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0" w:line="360" w:lineRule="auto"/>
        <w:jc w:val="center"/>
        <w:rPr/>
      </w:pPr>
      <w:r w:rsidDel="00000000" w:rsidR="00000000" w:rsidRPr="00000000">
        <w:rPr>
          <w:rtl w:val="0"/>
        </w:rPr>
      </w:r>
    </w:p>
    <w:p w:rsidR="00000000" w:rsidDel="00000000" w:rsidP="00000000" w:rsidRDefault="00000000" w:rsidRPr="00000000" w14:paraId="00000002">
      <w:pPr>
        <w:spacing w:after="600" w:line="360" w:lineRule="auto"/>
        <w:jc w:val="center"/>
        <w:rPr/>
      </w:pPr>
      <w:r w:rsidDel="00000000" w:rsidR="00000000" w:rsidRPr="00000000">
        <w:rPr>
          <w:rFonts w:ascii="Arial" w:cs="Arial" w:eastAsia="Arial" w:hAnsi="Arial"/>
          <w:b w:val="1"/>
          <w:bCs w:val="1"/>
          <w:sz w:val="32"/>
          <w:szCs w:val="32"/>
          <w:rtl w:val="0"/>
        </w:rPr>
        <w:t xml:space="preserve">Understanding Type 2 Diabetes: Blood Glucose Regulation, Monitoring and Lifestyle Management</w:t>
      </w:r>
      <w:r w:rsidDel="00000000" w:rsidR="00000000" w:rsidRPr="00000000">
        <w:rPr>
          <w:rtl w:val="0"/>
        </w:rPr>
      </w:r>
    </w:p>
    <w:p w:rsidR="00000000" w:rsidDel="00000000" w:rsidP="00000000" w:rsidRDefault="00000000" w:rsidRPr="00000000" w14:paraId="00000003">
      <w:pPr>
        <w:spacing w:after="1200" w:line="360" w:lineRule="auto"/>
        <w:jc w:val="center"/>
        <w:rPr>
          <w:b w:val="1"/>
          <w:bCs w:val="1"/>
          <w:sz w:val="26"/>
          <w:szCs w:val="26"/>
        </w:rPr>
      </w:pPr>
      <w:r w:rsidDel="00000000" w:rsidR="00000000" w:rsidRPr="00000000">
        <w:rPr>
          <w:rFonts w:ascii="Arial" w:cs="Arial" w:eastAsia="Arial" w:hAnsi="Arial"/>
          <w:b w:val="1"/>
          <w:bCs w:val="1"/>
          <w:sz w:val="26"/>
          <w:szCs w:val="26"/>
          <w:rtl w:val="0"/>
        </w:rPr>
        <w:t xml:space="preserve">Case Study 1 Report</w:t>
      </w:r>
      <w:r w:rsidDel="00000000" w:rsidR="00000000" w:rsidRPr="00000000">
        <w:rPr>
          <w:rtl w:val="0"/>
        </w:rPr>
      </w:r>
    </w:p>
    <w:p w:rsidR="00000000" w:rsidDel="00000000" w:rsidP="00000000" w:rsidRDefault="00000000" w:rsidRPr="00000000" w14:paraId="00000004">
      <w:pPr>
        <w:spacing w:after="240" w:line="360" w:lineRule="auto"/>
        <w:jc w:val="center"/>
        <w:rPr/>
      </w:pPr>
      <w:r w:rsidDel="00000000" w:rsidR="00000000" w:rsidRPr="00000000">
        <w:rPr>
          <w:rFonts w:ascii="Arial" w:cs="Arial" w:eastAsia="Arial" w:hAnsi="Arial"/>
          <w:sz w:val="22"/>
          <w:szCs w:val="22"/>
          <w:rtl w:val="0"/>
        </w:rPr>
        <w:t xml:space="preserve">Name: [</w:t>
      </w:r>
      <w:r w:rsidDel="00000000" w:rsidR="00000000" w:rsidRPr="00000000">
        <w:rPr>
          <w:rtl w:val="0"/>
        </w:rPr>
        <w:t xml:space="preserve">Olawunmi Bamgboye]</w:t>
      </w:r>
    </w:p>
    <w:p w:rsidR="00000000" w:rsidDel="00000000" w:rsidP="00000000" w:rsidRDefault="00000000" w:rsidRPr="00000000" w14:paraId="00000005">
      <w:pPr>
        <w:spacing w:after="240" w:line="360" w:lineRule="auto"/>
        <w:jc w:val="center"/>
        <w:rPr/>
      </w:pPr>
      <w:r w:rsidDel="00000000" w:rsidR="00000000" w:rsidRPr="00000000">
        <w:rPr>
          <w:rFonts w:ascii="Arial" w:cs="Arial" w:eastAsia="Arial" w:hAnsi="Arial"/>
          <w:sz w:val="22"/>
          <w:szCs w:val="22"/>
          <w:rtl w:val="0"/>
        </w:rPr>
        <w:t xml:space="preserve">Student number: [</w:t>
      </w:r>
      <w:r w:rsidDel="00000000" w:rsidR="00000000" w:rsidRPr="00000000">
        <w:rPr>
          <w:rtl w:val="0"/>
        </w:rPr>
        <w:t xml:space="preserve">2507681</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06">
      <w:pPr>
        <w:spacing w:after="240" w:line="360" w:lineRule="auto"/>
        <w:jc w:val="center"/>
        <w:rPr/>
      </w:pPr>
      <w:r w:rsidDel="00000000" w:rsidR="00000000" w:rsidRPr="00000000">
        <w:rPr>
          <w:rFonts w:ascii="Arial" w:cs="Arial" w:eastAsia="Arial" w:hAnsi="Arial"/>
          <w:sz w:val="22"/>
          <w:szCs w:val="22"/>
          <w:rtl w:val="0"/>
        </w:rPr>
        <w:t xml:space="preserve">Module code and title: [</w:t>
      </w:r>
      <w:r w:rsidDel="00000000" w:rsidR="00000000" w:rsidRPr="00000000">
        <w:rPr>
          <w:b w:val="1"/>
          <w:bCs w:val="1"/>
          <w:rtl w:val="0"/>
        </w:rPr>
        <w:t xml:space="preserve">BMHP5023</w:t>
      </w:r>
      <w:r w:rsidDel="00000000" w:rsidR="00000000" w:rsidRPr="00000000">
        <w:rPr>
          <w:rFonts w:ascii="Arial" w:cs="Arial" w:eastAsia="Arial" w:hAnsi="Arial"/>
          <w:sz w:val="22"/>
          <w:szCs w:val="22"/>
          <w:rtl w:val="0"/>
        </w:rPr>
        <w:t xml:space="preserve">] – [</w:t>
      </w:r>
      <w:r w:rsidDel="00000000" w:rsidR="00000000" w:rsidRPr="00000000">
        <w:rPr>
          <w:b w:val="1"/>
          <w:bCs w:val="1"/>
          <w:rtl w:val="0"/>
        </w:rPr>
        <w:t xml:space="preserve">Introduction to Physiology</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07">
      <w:pPr>
        <w:spacing w:after="240" w:line="360" w:lineRule="auto"/>
        <w:jc w:val="center"/>
        <w:rPr/>
      </w:pPr>
      <w:r w:rsidDel="00000000" w:rsidR="00000000" w:rsidRPr="00000000">
        <w:rPr>
          <w:rFonts w:ascii="Arial" w:cs="Arial" w:eastAsia="Arial" w:hAnsi="Arial"/>
          <w:sz w:val="22"/>
          <w:szCs w:val="22"/>
          <w:rtl w:val="0"/>
        </w:rPr>
        <w:t xml:space="preserve">Assignment title: Case Study 1 – Diabetes Report</w:t>
      </w:r>
      <w:r w:rsidDel="00000000" w:rsidR="00000000" w:rsidRPr="00000000">
        <w:rPr>
          <w:rtl w:val="0"/>
        </w:rPr>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1. Introduction</w:t>
      </w:r>
      <w:r w:rsidDel="00000000" w:rsidR="00000000" w:rsidRPr="00000000">
        <w:rPr>
          <w:rtl w:val="0"/>
        </w:rPr>
      </w:r>
    </w:p>
    <w:p w:rsidR="00000000" w:rsidDel="00000000" w:rsidP="00000000" w:rsidRDefault="00000000" w:rsidRPr="00000000" w14:paraId="0000000A">
      <w:pPr>
        <w:spacing w:after="120" w:line="360" w:lineRule="auto"/>
        <w:jc w:val="both"/>
        <w:rPr/>
      </w:pPr>
      <w:r w:rsidDel="00000000" w:rsidR="00000000" w:rsidRPr="00000000">
        <w:rPr>
          <w:rtl w:val="0"/>
        </w:rPr>
        <w:t xml:space="preserve">Diabetes mellitus is a lasting health problem that changes how the body uses sugar. In Diabetes mellitus the level of sugar in the blood stays high for a period of time. This high level of sugar in the blood is called hyperglycaemia. The reason for this is that the body does not make enough insulin or the body does not respond to insulin properly or both. (WHO, 2019).</w:t>
      </w:r>
    </w:p>
    <w:p w:rsidR="00000000" w:rsidDel="00000000" w:rsidP="00000000" w:rsidRDefault="00000000" w:rsidRPr="00000000" w14:paraId="0000000B">
      <w:pPr>
        <w:spacing w:after="120" w:line="360" w:lineRule="auto"/>
        <w:jc w:val="both"/>
        <w:rPr/>
      </w:pPr>
      <w:r w:rsidDel="00000000" w:rsidR="00000000" w:rsidRPr="00000000">
        <w:rPr>
          <w:rtl w:val="0"/>
        </w:rPr>
        <w:t xml:space="preserve">Four million people in the UK have been diagnosed with Diabetes mellitus. Of these people 90 percent have type 2 Diabetes mellitus. (Diabetes UK, 2024).</w:t>
      </w:r>
    </w:p>
    <w:p w:rsidR="00000000" w:rsidDel="00000000" w:rsidP="00000000" w:rsidRDefault="00000000" w:rsidRPr="00000000" w14:paraId="0000000C">
      <w:pPr>
        <w:spacing w:after="120" w:line="360" w:lineRule="auto"/>
        <w:jc w:val="both"/>
        <w:rPr/>
      </w:pPr>
      <w:r w:rsidDel="00000000" w:rsidR="00000000" w:rsidRPr="00000000">
        <w:rPr>
          <w:rtl w:val="0"/>
        </w:rPr>
        <w:t xml:space="preserve">The purpose of this report is to give patients who attend the surgery evidence-based information, about Diabetes mellitus. It also shows how lifestyle changes can help diabetes mellitus to be managed effectively.</w:t>
      </w:r>
    </w:p>
    <w:p w:rsidR="00000000" w:rsidDel="00000000" w:rsidP="00000000" w:rsidRDefault="00000000" w:rsidRPr="00000000" w14:paraId="0000000D">
      <w:pPr>
        <w:spacing w:after="120" w:line="360" w:lineRule="auto"/>
        <w:jc w:val="both"/>
        <w:rPr/>
      </w:pPr>
      <w:r w:rsidDel="00000000" w:rsidR="00000000" w:rsidRPr="00000000">
        <w:rPr>
          <w:rtl w:val="0"/>
        </w:rPr>
        <w:t xml:space="preserve">There are three forms of diabetes. Type 1 diabetes is a condition that makes the beta cells inside the pancreas disappear. That destruction leads to a lack of insulin. Because of that lack of insulin insulin treatment is needed from the moment of diagnosis. Type 2 diabetes happens when body cells become resistant to insulin. As time goes on the pancreas cannot keep up. Insulin production drops. (WHO, 2019). Gestational diabetes shows up during pregnancy. Usually goes away after the baby is born. Still gestational diabetes raises the risk of type 2 diabetes, for the mother.</w:t>
        <w:br w:type="textWrapping"/>
      </w:r>
    </w:p>
    <w:p w:rsidR="00000000" w:rsidDel="00000000" w:rsidP="00000000" w:rsidRDefault="00000000" w:rsidRPr="00000000" w14:paraId="0000000E">
      <w:pPr>
        <w:spacing w:after="120" w:line="360" w:lineRule="auto"/>
        <w:jc w:val="both"/>
        <w:rPr/>
      </w:pPr>
      <w:r w:rsidDel="00000000" w:rsidR="00000000" w:rsidRPr="00000000">
        <w:rPr>
          <w:rtl w:val="0"/>
        </w:rPr>
        <w:t xml:space="preserve">Risk factors can be divided into those that cannot be changed. Those that can. Non-modifiable risk factors include getting older, having a parent or sibling with diabetes South Asian, African‑Caribbean or Black African ethnicity and a history of diabetes. Modifiable risk factors include being overweight, especially having fat, around the belly not moving enough, eating a lot of refined carbs and processed foods, having high blood pressure and smoking (Diabetes UK, 2024; Pan et al., 2015).</w:t>
      </w:r>
    </w:p>
    <w:p w:rsidR="00000000" w:rsidDel="00000000" w:rsidP="00000000" w:rsidRDefault="00000000" w:rsidRPr="00000000" w14:paraId="0000000F">
      <w:pPr>
        <w:spacing w:after="120" w:line="360" w:lineRule="auto"/>
        <w:jc w:val="both"/>
        <w:rPr/>
      </w:pPr>
      <w:r w:rsidDel="00000000" w:rsidR="00000000" w:rsidRPr="00000000">
        <w:rPr>
          <w:rtl w:val="0"/>
        </w:rPr>
        <w:t xml:space="preserve">High blood sugar over a time can hurt both small and tiny blood vessels and the bigger ones too. This damage can lead to problems, such, as eye disease, kidney problems, nerve pain, heart trouble and stroke (Stratton et al., 2000).</w:t>
      </w:r>
    </w:p>
    <w:p w:rsidR="00000000" w:rsidDel="00000000" w:rsidP="00000000" w:rsidRDefault="00000000" w:rsidRPr="00000000" w14:paraId="00000010">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2. How Blood Glucose Is Maintained at a Safe Level</w:t>
      </w:r>
      <w:r w:rsidDel="00000000" w:rsidR="00000000" w:rsidRPr="00000000">
        <w:rPr>
          <w:rtl w:val="0"/>
        </w:rPr>
      </w:r>
    </w:p>
    <w:p w:rsidR="00000000" w:rsidDel="00000000" w:rsidP="00000000" w:rsidRDefault="00000000" w:rsidRPr="00000000" w14:paraId="00000011">
      <w:pPr>
        <w:spacing w:after="120" w:line="360" w:lineRule="auto"/>
        <w:jc w:val="both"/>
        <w:rPr/>
      </w:pPr>
      <w:r w:rsidDel="00000000" w:rsidR="00000000" w:rsidRPr="00000000">
        <w:rPr>
          <w:rtl w:val="0"/>
        </w:rPr>
        <w:t xml:space="preserve">In healthy adults, fasting blood glucose is held within a narrow range of roughly 4 to 6 mmol/L. This is an example of homeostasis, which is maintained by negative feedback: a change in glucose is detected, a response is triggered, and the response reverses the change (Tortora and Derrickson, 2017). The main control centre is the pancreas, a gland lying behind the stomach. Clusters of endocrine tissue within it, the islets of Langerhans, contain beta cells that release insulin and alpha cells that release glucagon (Hall and Hall, 2021).</w:t>
      </w:r>
    </w:p>
    <w:p w:rsidR="00000000" w:rsidDel="00000000" w:rsidP="00000000" w:rsidRDefault="00000000" w:rsidRPr="00000000" w14:paraId="00000012">
      <w:pPr>
        <w:spacing w:after="120" w:line="360" w:lineRule="auto"/>
        <w:jc w:val="both"/>
        <w:rPr/>
      </w:pPr>
      <w:r w:rsidDel="00000000" w:rsidR="00000000" w:rsidRPr="00000000">
        <w:rPr>
          <w:rtl w:val="0"/>
        </w:rPr>
        <w:t xml:space="preserve">After eating carbohydrates they get broken down into glucose. This glucose then moves into the bloodstream from the intestine. When the levels of glucose go up the beta cells notice the change. They release insulin. Insulin then connects to receptors on target cells such, as muscle, fat tissue and the liver. This connection causes glucose transporter proteins, called GLUT4 to go to the cell surface so that glucose can get inside the cell. In the liver insulin also helps with glycogenesis, which’ve the process of changing glucose into glycogen for storing. Because of insulin blood glucose drops back, toward the level (Hall and Hall, 2021). </w:t>
      </w:r>
    </w:p>
    <w:p w:rsidR="00000000" w:rsidDel="00000000" w:rsidP="00000000" w:rsidRDefault="00000000" w:rsidRPr="00000000" w14:paraId="00000013">
      <w:pPr>
        <w:spacing w:after="120" w:line="360" w:lineRule="auto"/>
        <w:jc w:val="both"/>
        <w:rPr/>
      </w:pPr>
      <w:r w:rsidDel="00000000" w:rsidR="00000000" w:rsidRPr="00000000">
        <w:rPr>
          <w:rtl w:val="0"/>
        </w:rPr>
        <w:t xml:space="preserve">Between meals. When exercising, blood glucose drops. At that point alpha cells in the pancreas release glucagon. This hormone mainly targets the liver. It tells the liver to break down glycogen into glucose. It also helps make glucose from things, like amino acids.The liver then puts glucose back into the blood. This brings blood sugar levels up. That’s how the body keeps glucose steady. The opposite actions of insulin and glucagon are shown in Table 1.</w:t>
      </w:r>
    </w:p>
    <w:p w:rsidR="00000000" w:rsidDel="00000000" w:rsidP="00000000" w:rsidRDefault="00000000" w:rsidRPr="00000000" w14:paraId="00000014">
      <w:pPr>
        <w:keepNext w:val="1"/>
        <w:spacing w:after="80" w:before="120" w:line="360" w:lineRule="auto"/>
        <w:rPr/>
      </w:pPr>
      <w:r w:rsidDel="00000000" w:rsidR="00000000" w:rsidRPr="00000000">
        <w:rPr>
          <w:rFonts w:ascii="Arial" w:cs="Arial" w:eastAsia="Arial" w:hAnsi="Arial"/>
          <w:b w:val="1"/>
          <w:bCs w:val="1"/>
          <w:sz w:val="20"/>
          <w:szCs w:val="20"/>
          <w:rtl w:val="0"/>
        </w:rPr>
        <w:t xml:space="preserve">Table 1: Hormonal control of blood glucose (adapted from Tortora and Derrickson, 2017; Hall and Hall, 2021)</w:t>
      </w: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0"/>
        <w:gridCol w:w="3560"/>
        <w:gridCol w:w="3900"/>
        <w:tblGridChange w:id="0">
          <w:tblGrid>
            <w:gridCol w:w="1900"/>
            <w:gridCol w:w="3560"/>
            <w:gridCol w:w="3900"/>
          </w:tblGrid>
        </w:tblGridChange>
      </w:tblGrid>
      <w:tr>
        <w:trPr>
          <w:cantSplit w:val="0"/>
          <w:tblHeader w:val="1"/>
        </w:trPr>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15">
            <w:pPr>
              <w:spacing w:line="276" w:lineRule="auto"/>
              <w:jc w:val="left"/>
              <w:rPr/>
            </w:pPr>
            <w:r w:rsidDel="00000000" w:rsidR="00000000" w:rsidRPr="00000000">
              <w:rPr>
                <w:rFonts w:ascii="Arial" w:cs="Arial" w:eastAsia="Arial" w:hAnsi="Arial"/>
                <w:b w:val="1"/>
                <w:bCs w:val="1"/>
                <w:sz w:val="20"/>
                <w:szCs w:val="20"/>
                <w:rtl w:val="0"/>
              </w:rPr>
              <w:t xml:space="preserve">Feature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16">
            <w:pPr>
              <w:spacing w:line="276" w:lineRule="auto"/>
              <w:jc w:val="left"/>
              <w:rPr/>
            </w:pPr>
            <w:r w:rsidDel="00000000" w:rsidR="00000000" w:rsidRPr="00000000">
              <w:rPr>
                <w:rFonts w:ascii="Arial" w:cs="Arial" w:eastAsia="Arial" w:hAnsi="Arial"/>
                <w:b w:val="1"/>
                <w:bCs w:val="1"/>
                <w:sz w:val="20"/>
                <w:szCs w:val="20"/>
                <w:rtl w:val="0"/>
              </w:rPr>
              <w:t xml:space="preserve">Insulin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17">
            <w:pPr>
              <w:spacing w:line="276" w:lineRule="auto"/>
              <w:jc w:val="left"/>
              <w:rPr/>
            </w:pPr>
            <w:r w:rsidDel="00000000" w:rsidR="00000000" w:rsidRPr="00000000">
              <w:rPr>
                <w:rFonts w:ascii="Arial" w:cs="Arial" w:eastAsia="Arial" w:hAnsi="Arial"/>
                <w:b w:val="1"/>
                <w:bCs w:val="1"/>
                <w:sz w:val="20"/>
                <w:szCs w:val="20"/>
                <w:rtl w:val="0"/>
              </w:rPr>
              <w:t xml:space="preserve">Glucagon</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8">
            <w:pPr>
              <w:spacing w:line="276" w:lineRule="auto"/>
              <w:jc w:val="left"/>
              <w:rPr/>
            </w:pPr>
            <w:r w:rsidDel="00000000" w:rsidR="00000000" w:rsidRPr="00000000">
              <w:rPr>
                <w:rFonts w:ascii="Arial" w:cs="Arial" w:eastAsia="Arial" w:hAnsi="Arial"/>
                <w:b w:val="0"/>
                <w:bCs w:val="0"/>
                <w:sz w:val="20"/>
                <w:szCs w:val="20"/>
                <w:rtl w:val="0"/>
              </w:rPr>
              <w:t xml:space="preserve">Source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9">
            <w:pPr>
              <w:spacing w:line="276" w:lineRule="auto"/>
              <w:jc w:val="left"/>
              <w:rPr/>
            </w:pPr>
            <w:r w:rsidDel="00000000" w:rsidR="00000000" w:rsidRPr="00000000">
              <w:rPr>
                <w:rFonts w:ascii="Arial" w:cs="Arial" w:eastAsia="Arial" w:hAnsi="Arial"/>
                <w:b w:val="0"/>
                <w:bCs w:val="0"/>
                <w:sz w:val="20"/>
                <w:szCs w:val="20"/>
                <w:rtl w:val="0"/>
              </w:rPr>
              <w:t xml:space="preserve">Beta cells of the islets of Langerhans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A">
            <w:pPr>
              <w:spacing w:line="276" w:lineRule="auto"/>
              <w:jc w:val="left"/>
              <w:rPr/>
            </w:pPr>
            <w:r w:rsidDel="00000000" w:rsidR="00000000" w:rsidRPr="00000000">
              <w:rPr>
                <w:rFonts w:ascii="Arial" w:cs="Arial" w:eastAsia="Arial" w:hAnsi="Arial"/>
                <w:b w:val="0"/>
                <w:bCs w:val="0"/>
                <w:sz w:val="20"/>
                <w:szCs w:val="20"/>
                <w:rtl w:val="0"/>
              </w:rPr>
              <w:t xml:space="preserve">Alpha cells of the islets of Langerhans</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B">
            <w:pPr>
              <w:spacing w:line="276" w:lineRule="auto"/>
              <w:jc w:val="left"/>
              <w:rPr/>
            </w:pPr>
            <w:r w:rsidDel="00000000" w:rsidR="00000000" w:rsidRPr="00000000">
              <w:rPr>
                <w:rFonts w:ascii="Arial" w:cs="Arial" w:eastAsia="Arial" w:hAnsi="Arial"/>
                <w:b w:val="0"/>
                <w:bCs w:val="0"/>
                <w:sz w:val="20"/>
                <w:szCs w:val="20"/>
                <w:rtl w:val="0"/>
              </w:rPr>
              <w:t xml:space="preserve">Released when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C">
            <w:pPr>
              <w:spacing w:line="276" w:lineRule="auto"/>
              <w:jc w:val="left"/>
              <w:rPr/>
            </w:pPr>
            <w:r w:rsidDel="00000000" w:rsidR="00000000" w:rsidRPr="00000000">
              <w:rPr>
                <w:rFonts w:ascii="Arial" w:cs="Arial" w:eastAsia="Arial" w:hAnsi="Arial"/>
                <w:b w:val="0"/>
                <w:bCs w:val="0"/>
                <w:sz w:val="20"/>
                <w:szCs w:val="20"/>
                <w:rtl w:val="0"/>
              </w:rPr>
              <w:t xml:space="preserve">Blood glucose is high (after eating)</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D">
            <w:pPr>
              <w:spacing w:line="276" w:lineRule="auto"/>
              <w:jc w:val="left"/>
              <w:rPr/>
            </w:pPr>
            <w:r w:rsidDel="00000000" w:rsidR="00000000" w:rsidRPr="00000000">
              <w:rPr>
                <w:rFonts w:ascii="Arial" w:cs="Arial" w:eastAsia="Arial" w:hAnsi="Arial"/>
                <w:b w:val="0"/>
                <w:bCs w:val="0"/>
                <w:sz w:val="20"/>
                <w:szCs w:val="20"/>
                <w:rtl w:val="0"/>
              </w:rPr>
              <w:t xml:space="preserve">Blood glucose is low (fasting, exercise)</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E">
            <w:pPr>
              <w:spacing w:line="276" w:lineRule="auto"/>
              <w:jc w:val="left"/>
              <w:rPr/>
            </w:pPr>
            <w:r w:rsidDel="00000000" w:rsidR="00000000" w:rsidRPr="00000000">
              <w:rPr>
                <w:rFonts w:ascii="Arial" w:cs="Arial" w:eastAsia="Arial" w:hAnsi="Arial"/>
                <w:b w:val="0"/>
                <w:bCs w:val="0"/>
                <w:sz w:val="20"/>
                <w:szCs w:val="20"/>
                <w:rtl w:val="0"/>
              </w:rPr>
              <w:t xml:space="preserve">Main actions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1F">
            <w:pPr>
              <w:spacing w:line="276" w:lineRule="auto"/>
              <w:jc w:val="left"/>
              <w:rPr/>
            </w:pPr>
            <w:r w:rsidDel="00000000" w:rsidR="00000000" w:rsidRPr="00000000">
              <w:rPr>
                <w:rFonts w:ascii="Arial" w:cs="Arial" w:eastAsia="Arial" w:hAnsi="Arial"/>
                <w:b w:val="0"/>
                <w:bCs w:val="0"/>
                <w:sz w:val="20"/>
                <w:szCs w:val="20"/>
                <w:rtl w:val="0"/>
              </w:rPr>
              <w:t xml:space="preserve">Increases glucose uptake into cells; promotes glycogenesis in the liver and muscle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0">
            <w:pPr>
              <w:spacing w:line="276" w:lineRule="auto"/>
              <w:jc w:val="left"/>
              <w:rPr/>
            </w:pPr>
            <w:r w:rsidDel="00000000" w:rsidR="00000000" w:rsidRPr="00000000">
              <w:rPr>
                <w:rFonts w:ascii="Arial" w:cs="Arial" w:eastAsia="Arial" w:hAnsi="Arial"/>
                <w:b w:val="0"/>
                <w:bCs w:val="0"/>
                <w:sz w:val="20"/>
                <w:szCs w:val="20"/>
                <w:rtl w:val="0"/>
              </w:rPr>
              <w:t xml:space="preserve">Stimulates glycogenolysis and gluconeogenesis in the liver</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1">
            <w:pPr>
              <w:spacing w:line="276" w:lineRule="auto"/>
              <w:jc w:val="left"/>
              <w:rPr/>
            </w:pPr>
            <w:r w:rsidDel="00000000" w:rsidR="00000000" w:rsidRPr="00000000">
              <w:rPr>
                <w:rFonts w:ascii="Arial" w:cs="Arial" w:eastAsia="Arial" w:hAnsi="Arial"/>
                <w:b w:val="0"/>
                <w:bCs w:val="0"/>
                <w:sz w:val="20"/>
                <w:szCs w:val="20"/>
                <w:rtl w:val="0"/>
              </w:rPr>
              <w:t xml:space="preserve">Effect on blood glucose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2">
            <w:pPr>
              <w:spacing w:line="276" w:lineRule="auto"/>
              <w:jc w:val="left"/>
              <w:rPr/>
            </w:pPr>
            <w:r w:rsidDel="00000000" w:rsidR="00000000" w:rsidRPr="00000000">
              <w:rPr>
                <w:rFonts w:ascii="Arial" w:cs="Arial" w:eastAsia="Arial" w:hAnsi="Arial"/>
                <w:b w:val="0"/>
                <w:bCs w:val="0"/>
                <w:sz w:val="20"/>
                <w:szCs w:val="20"/>
                <w:rtl w:val="0"/>
              </w:rPr>
              <w:t xml:space="preserve">Lowers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3">
            <w:pPr>
              <w:spacing w:line="276" w:lineRule="auto"/>
              <w:jc w:val="left"/>
              <w:rPr/>
            </w:pPr>
            <w:r w:rsidDel="00000000" w:rsidR="00000000" w:rsidRPr="00000000">
              <w:rPr>
                <w:rFonts w:ascii="Arial" w:cs="Arial" w:eastAsia="Arial" w:hAnsi="Arial"/>
                <w:b w:val="0"/>
                <w:bCs w:val="0"/>
                <w:sz w:val="20"/>
                <w:szCs w:val="20"/>
                <w:rtl w:val="0"/>
              </w:rPr>
              <w:t xml:space="preserve">Raises</w:t>
            </w:r>
            <w:r w:rsidDel="00000000" w:rsidR="00000000" w:rsidRPr="00000000">
              <w:rPr>
                <w:rtl w:val="0"/>
              </w:rPr>
            </w:r>
          </w:p>
        </w:tc>
      </w:tr>
    </w:tbl>
    <w:p w:rsidR="00000000" w:rsidDel="00000000" w:rsidP="00000000" w:rsidRDefault="00000000" w:rsidRPr="00000000" w14:paraId="00000024">
      <w:pPr>
        <w:spacing w:after="120" w:lineRule="auto"/>
        <w:rPr/>
      </w:pPr>
      <w:r w:rsidDel="00000000" w:rsidR="00000000" w:rsidRPr="00000000">
        <w:rPr>
          <w:rtl w:val="0"/>
        </w:rPr>
      </w:r>
    </w:p>
    <w:p w:rsidR="00000000" w:rsidDel="00000000" w:rsidP="00000000" w:rsidRDefault="00000000" w:rsidRPr="00000000" w14:paraId="00000025">
      <w:pPr>
        <w:spacing w:after="120" w:line="360" w:lineRule="auto"/>
        <w:jc w:val="both"/>
        <w:rPr/>
      </w:pPr>
      <w:r w:rsidDel="00000000" w:rsidR="00000000" w:rsidRPr="00000000">
        <w:rPr>
          <w:rtl w:val="0"/>
        </w:rPr>
        <w:t xml:space="preserve">I see that in type 2 diabetes the feedback loop fails.Target cells respond poorly to insulin so glucose enters them readily and stays in the blood.Beta cells initially compensate by producing insulin but eventually beta cells cannot keep up and glucose rises persistently (WHO, 2019).The liver may also keep releasing glucose. The result is hyperglycaemia even though the body is still in effect short of energy, at cell level.</w:t>
      </w:r>
    </w:p>
    <w:p w:rsidR="00000000" w:rsidDel="00000000" w:rsidP="00000000" w:rsidRDefault="00000000" w:rsidRPr="00000000" w14:paraId="00000026">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3. Energy Production: Oxygen, Glucose and Cell Metabolism</w:t>
      </w:r>
      <w:r w:rsidDel="00000000" w:rsidR="00000000" w:rsidRPr="00000000">
        <w:rPr>
          <w:rtl w:val="0"/>
        </w:rPr>
      </w:r>
    </w:p>
    <w:p w:rsidR="00000000" w:rsidDel="00000000" w:rsidP="00000000" w:rsidRDefault="00000000" w:rsidRPr="00000000" w14:paraId="00000027">
      <w:pPr>
        <w:spacing w:after="120" w:line="360" w:lineRule="auto"/>
        <w:jc w:val="both"/>
        <w:rPr/>
      </w:pPr>
      <w:r w:rsidDel="00000000" w:rsidR="00000000" w:rsidRPr="00000000">
        <w:rPr>
          <w:rtl w:val="0"/>
        </w:rPr>
        <w:t xml:space="preserve">Glucose is important because cells use glucose to produce triphosphate. Triphosphate is the energy that fuels muscle contraction, nerve transmission and active transport. The process that converts glucose into triphosphate is called respiration. The glucose (C6H12O6). 6 Oxygen (O2) goes to 6 carbon dioxide (CO2). 6 Water (H2O) + energy (ATP). (Tortora and Derrickson, 2017). Oxygen gets to the cells from the lungs through haemoglobin in blood cells. Glucose comes into the blood plasma. Then enters the cell through transporters such as GLUT4. That is why insulin is essential.</w:t>
      </w:r>
    </w:p>
    <w:p w:rsidR="00000000" w:rsidDel="00000000" w:rsidP="00000000" w:rsidRDefault="00000000" w:rsidRPr="00000000" w14:paraId="00000028">
      <w:pPr>
        <w:spacing w:after="120" w:line="360" w:lineRule="auto"/>
        <w:jc w:val="both"/>
        <w:rPr/>
      </w:pPr>
      <w:r w:rsidDel="00000000" w:rsidR="00000000" w:rsidRPr="00000000">
        <w:rPr>
          <w:rtl w:val="0"/>
        </w:rPr>
        <w:t xml:space="preserve">Three inter-related processes are involved in respiration (Table 2). Glycolysis involves splitting of a glucose molecule into two molecules of pyruvate within the cytoplasm. Splitting results in a net production of two ATP and reduction of NAD. No oxygen is required for glycolysis. In case of the presence of oxygen, pyruvate enters mitochondria to be converted to acetyl coenzyme A. The acetyl coenzyme A will go to the Krebs cycle taking place within the mitochondrial matrix. During the process carbon dioxide is released together with NADH and FADH2 reduced coenzymes (Marieb and Hoehn, 2018).</w:t>
      </w:r>
    </w:p>
    <w:p w:rsidR="00000000" w:rsidDel="00000000" w:rsidP="00000000" w:rsidRDefault="00000000" w:rsidRPr="00000000" w14:paraId="00000029">
      <w:pPr>
        <w:keepNext w:val="1"/>
        <w:spacing w:after="80" w:before="120" w:line="360" w:lineRule="auto"/>
        <w:rPr/>
      </w:pPr>
      <w:r w:rsidDel="00000000" w:rsidR="00000000" w:rsidRPr="00000000">
        <w:rPr>
          <w:rFonts w:ascii="Arial" w:cs="Arial" w:eastAsia="Arial" w:hAnsi="Arial"/>
          <w:b w:val="1"/>
          <w:bCs w:val="1"/>
          <w:sz w:val="20"/>
          <w:szCs w:val="20"/>
          <w:rtl w:val="0"/>
        </w:rPr>
        <w:t xml:space="preserve">Table 2: Stages of aerobic respiration (adapted from Tortora and Derrickson, 2017)</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2000"/>
        <w:gridCol w:w="2650"/>
        <w:gridCol w:w="2610"/>
        <w:tblGridChange w:id="0">
          <w:tblGrid>
            <w:gridCol w:w="2100"/>
            <w:gridCol w:w="2000"/>
            <w:gridCol w:w="2650"/>
            <w:gridCol w:w="2610"/>
          </w:tblGrid>
        </w:tblGridChange>
      </w:tblGrid>
      <w:tr>
        <w:trPr>
          <w:cantSplit w:val="0"/>
          <w:tblHeader w:val="1"/>
        </w:trPr>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2A">
            <w:pPr>
              <w:spacing w:line="276" w:lineRule="auto"/>
              <w:jc w:val="left"/>
              <w:rPr/>
            </w:pPr>
            <w:r w:rsidDel="00000000" w:rsidR="00000000" w:rsidRPr="00000000">
              <w:rPr>
                <w:rFonts w:ascii="Arial" w:cs="Arial" w:eastAsia="Arial" w:hAnsi="Arial"/>
                <w:b w:val="1"/>
                <w:bCs w:val="1"/>
                <w:sz w:val="20"/>
                <w:szCs w:val="20"/>
                <w:rtl w:val="0"/>
              </w:rPr>
              <w:t xml:space="preserve">Stage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2B">
            <w:pPr>
              <w:spacing w:line="276" w:lineRule="auto"/>
              <w:jc w:val="left"/>
              <w:rPr/>
            </w:pPr>
            <w:r w:rsidDel="00000000" w:rsidR="00000000" w:rsidRPr="00000000">
              <w:rPr>
                <w:rFonts w:ascii="Arial" w:cs="Arial" w:eastAsia="Arial" w:hAnsi="Arial"/>
                <w:b w:val="1"/>
                <w:bCs w:val="1"/>
                <w:sz w:val="20"/>
                <w:szCs w:val="20"/>
                <w:rtl w:val="0"/>
              </w:rPr>
              <w:t xml:space="preserve">Location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2C">
            <w:pPr>
              <w:spacing w:line="276" w:lineRule="auto"/>
              <w:jc w:val="left"/>
              <w:rPr/>
            </w:pPr>
            <w:r w:rsidDel="00000000" w:rsidR="00000000" w:rsidRPr="00000000">
              <w:rPr>
                <w:rFonts w:ascii="Arial" w:cs="Arial" w:eastAsia="Arial" w:hAnsi="Arial"/>
                <w:b w:val="1"/>
                <w:bCs w:val="1"/>
                <w:sz w:val="20"/>
                <w:szCs w:val="20"/>
                <w:rtl w:val="0"/>
              </w:rPr>
              <w:t xml:space="preserve">Main inputs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9d9d9" w:val="clear"/>
            <w:tcMar>
              <w:top w:w="60.0" w:type="dxa"/>
              <w:left w:w="100.0" w:type="dxa"/>
              <w:bottom w:w="60.0" w:type="dxa"/>
              <w:right w:w="100.0" w:type="dxa"/>
            </w:tcMar>
          </w:tcPr>
          <w:p w:rsidR="00000000" w:rsidDel="00000000" w:rsidP="00000000" w:rsidRDefault="00000000" w:rsidRPr="00000000" w14:paraId="0000002D">
            <w:pPr>
              <w:spacing w:line="276" w:lineRule="auto"/>
              <w:jc w:val="left"/>
              <w:rPr/>
            </w:pPr>
            <w:r w:rsidDel="00000000" w:rsidR="00000000" w:rsidRPr="00000000">
              <w:rPr>
                <w:rFonts w:ascii="Arial" w:cs="Arial" w:eastAsia="Arial" w:hAnsi="Arial"/>
                <w:b w:val="1"/>
                <w:bCs w:val="1"/>
                <w:sz w:val="20"/>
                <w:szCs w:val="20"/>
                <w:rtl w:val="0"/>
              </w:rPr>
              <w:t xml:space="preserve">Main outputs</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E">
            <w:pPr>
              <w:spacing w:line="276" w:lineRule="auto"/>
              <w:jc w:val="left"/>
              <w:rPr/>
            </w:pPr>
            <w:r w:rsidDel="00000000" w:rsidR="00000000" w:rsidRPr="00000000">
              <w:rPr>
                <w:rFonts w:ascii="Arial" w:cs="Arial" w:eastAsia="Arial" w:hAnsi="Arial"/>
                <w:b w:val="0"/>
                <w:bCs w:val="0"/>
                <w:sz w:val="20"/>
                <w:szCs w:val="20"/>
                <w:rtl w:val="0"/>
              </w:rPr>
              <w:t xml:space="preserve">Glycolysis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2F">
            <w:pPr>
              <w:spacing w:line="276" w:lineRule="auto"/>
              <w:jc w:val="left"/>
              <w:rPr/>
            </w:pPr>
            <w:r w:rsidDel="00000000" w:rsidR="00000000" w:rsidRPr="00000000">
              <w:rPr>
                <w:rFonts w:ascii="Arial" w:cs="Arial" w:eastAsia="Arial" w:hAnsi="Arial"/>
                <w:b w:val="0"/>
                <w:bCs w:val="0"/>
                <w:sz w:val="20"/>
                <w:szCs w:val="20"/>
                <w:rtl w:val="0"/>
              </w:rPr>
              <w:t xml:space="preserve">Cytoplasm</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0">
            <w:pPr>
              <w:spacing w:line="276" w:lineRule="auto"/>
              <w:jc w:val="left"/>
              <w:rPr/>
            </w:pPr>
            <w:r w:rsidDel="00000000" w:rsidR="00000000" w:rsidRPr="00000000">
              <w:rPr>
                <w:rFonts w:ascii="Arial" w:cs="Arial" w:eastAsia="Arial" w:hAnsi="Arial"/>
                <w:b w:val="0"/>
                <w:bCs w:val="0"/>
                <w:sz w:val="20"/>
                <w:szCs w:val="20"/>
                <w:rtl w:val="0"/>
              </w:rPr>
              <w:t xml:space="preserve">Glucose, 2 ATP, NAD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1">
            <w:pPr>
              <w:spacing w:line="276" w:lineRule="auto"/>
              <w:jc w:val="left"/>
              <w:rPr/>
            </w:pPr>
            <w:r w:rsidDel="00000000" w:rsidR="00000000" w:rsidRPr="00000000">
              <w:rPr>
                <w:rFonts w:ascii="Arial" w:cs="Arial" w:eastAsia="Arial" w:hAnsi="Arial"/>
                <w:b w:val="0"/>
                <w:bCs w:val="0"/>
                <w:sz w:val="20"/>
                <w:szCs w:val="20"/>
                <w:rtl w:val="0"/>
              </w:rPr>
              <w:t xml:space="preserve">2 pyruvate, 4 ATP (net 2), reduced NAD</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2">
            <w:pPr>
              <w:spacing w:line="276" w:lineRule="auto"/>
              <w:jc w:val="left"/>
              <w:rPr/>
            </w:pPr>
            <w:r w:rsidDel="00000000" w:rsidR="00000000" w:rsidRPr="00000000">
              <w:rPr>
                <w:rFonts w:ascii="Arial" w:cs="Arial" w:eastAsia="Arial" w:hAnsi="Arial"/>
                <w:b w:val="0"/>
                <w:bCs w:val="0"/>
                <w:sz w:val="20"/>
                <w:szCs w:val="20"/>
                <w:rtl w:val="0"/>
              </w:rPr>
              <w:t xml:space="preserve">Krebs cycle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3">
            <w:pPr>
              <w:spacing w:line="276" w:lineRule="auto"/>
              <w:jc w:val="left"/>
              <w:rPr/>
            </w:pPr>
            <w:r w:rsidDel="00000000" w:rsidR="00000000" w:rsidRPr="00000000">
              <w:rPr>
                <w:rFonts w:ascii="Arial" w:cs="Arial" w:eastAsia="Arial" w:hAnsi="Arial"/>
                <w:b w:val="0"/>
                <w:bCs w:val="0"/>
                <w:sz w:val="20"/>
                <w:szCs w:val="20"/>
                <w:rtl w:val="0"/>
              </w:rPr>
              <w:t xml:space="preserve">Mitochondrial matrix</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4">
            <w:pPr>
              <w:spacing w:line="276" w:lineRule="auto"/>
              <w:jc w:val="left"/>
              <w:rPr/>
            </w:pPr>
            <w:r w:rsidDel="00000000" w:rsidR="00000000" w:rsidRPr="00000000">
              <w:rPr>
                <w:rFonts w:ascii="Arial" w:cs="Arial" w:eastAsia="Arial" w:hAnsi="Arial"/>
                <w:b w:val="0"/>
                <w:bCs w:val="0"/>
                <w:sz w:val="20"/>
                <w:szCs w:val="20"/>
                <w:rtl w:val="0"/>
              </w:rPr>
              <w:t xml:space="preserve">Acetyl coenzyme 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5">
            <w:pPr>
              <w:spacing w:line="276" w:lineRule="auto"/>
              <w:jc w:val="left"/>
              <w:rPr/>
            </w:pPr>
            <w:r w:rsidDel="00000000" w:rsidR="00000000" w:rsidRPr="00000000">
              <w:rPr>
                <w:rFonts w:ascii="Arial" w:cs="Arial" w:eastAsia="Arial" w:hAnsi="Arial"/>
                <w:b w:val="0"/>
                <w:bCs w:val="0"/>
                <w:sz w:val="20"/>
                <w:szCs w:val="20"/>
                <w:rtl w:val="0"/>
              </w:rPr>
              <w:t xml:space="preserve">CO2, NADH, FADH2, small amount of ATP</w:t>
            </w:r>
            <w:r w:rsidDel="00000000" w:rsidR="00000000" w:rsidRPr="00000000">
              <w:rPr>
                <w:rtl w:val="0"/>
              </w:rPr>
            </w:r>
          </w:p>
        </w:tc>
      </w:tr>
      <w:tr>
        <w:trPr>
          <w:cantSplit w:val="1"/>
          <w:tblHeader w:val="0"/>
        </w:trPr>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6">
            <w:pPr>
              <w:spacing w:line="276" w:lineRule="auto"/>
              <w:jc w:val="left"/>
              <w:rPr/>
            </w:pPr>
            <w:r w:rsidDel="00000000" w:rsidR="00000000" w:rsidRPr="00000000">
              <w:rPr>
                <w:rFonts w:ascii="Arial" w:cs="Arial" w:eastAsia="Arial" w:hAnsi="Arial"/>
                <w:b w:val="0"/>
                <w:bCs w:val="0"/>
                <w:sz w:val="20"/>
                <w:szCs w:val="20"/>
                <w:rtl w:val="0"/>
              </w:rPr>
              <w:t xml:space="preserve">Oxidative phosphorylation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7">
            <w:pPr>
              <w:spacing w:line="276" w:lineRule="auto"/>
              <w:jc w:val="left"/>
              <w:rPr/>
            </w:pPr>
            <w:r w:rsidDel="00000000" w:rsidR="00000000" w:rsidRPr="00000000">
              <w:rPr>
                <w:rFonts w:ascii="Arial" w:cs="Arial" w:eastAsia="Arial" w:hAnsi="Arial"/>
                <w:b w:val="0"/>
                <w:bCs w:val="0"/>
                <w:sz w:val="20"/>
                <w:szCs w:val="20"/>
                <w:rtl w:val="0"/>
              </w:rPr>
              <w:t xml:space="preserve">Inner mitochondrial membrane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8">
            <w:pPr>
              <w:spacing w:line="276" w:lineRule="auto"/>
              <w:jc w:val="left"/>
              <w:rPr/>
            </w:pPr>
            <w:r w:rsidDel="00000000" w:rsidR="00000000" w:rsidRPr="00000000">
              <w:rPr>
                <w:rFonts w:ascii="Arial" w:cs="Arial" w:eastAsia="Arial" w:hAnsi="Arial"/>
                <w:b w:val="0"/>
                <w:bCs w:val="0"/>
                <w:sz w:val="20"/>
                <w:szCs w:val="20"/>
                <w:rtl w:val="0"/>
              </w:rPr>
              <w:t xml:space="preserve">NADH, FADH2, oxygen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60.0" w:type="dxa"/>
              <w:left w:w="100.0" w:type="dxa"/>
              <w:bottom w:w="60.0" w:type="dxa"/>
              <w:right w:w="100.0" w:type="dxa"/>
            </w:tcMar>
          </w:tcPr>
          <w:p w:rsidR="00000000" w:rsidDel="00000000" w:rsidP="00000000" w:rsidRDefault="00000000" w:rsidRPr="00000000" w14:paraId="00000039">
            <w:pPr>
              <w:spacing w:line="276" w:lineRule="auto"/>
              <w:jc w:val="left"/>
              <w:rPr/>
            </w:pPr>
            <w:r w:rsidDel="00000000" w:rsidR="00000000" w:rsidRPr="00000000">
              <w:rPr>
                <w:rFonts w:ascii="Arial" w:cs="Arial" w:eastAsia="Arial" w:hAnsi="Arial"/>
                <w:b w:val="0"/>
                <w:bCs w:val="0"/>
                <w:sz w:val="20"/>
                <w:szCs w:val="20"/>
                <w:rtl w:val="0"/>
              </w:rPr>
              <w:t xml:space="preserve">Around 26 to 28 ATP, water</w:t>
            </w:r>
            <w:r w:rsidDel="00000000" w:rsidR="00000000" w:rsidRPr="00000000">
              <w:rPr>
                <w:rtl w:val="0"/>
              </w:rPr>
            </w:r>
          </w:p>
        </w:tc>
      </w:tr>
    </w:tbl>
    <w:p w:rsidR="00000000" w:rsidDel="00000000" w:rsidP="00000000" w:rsidRDefault="00000000" w:rsidRPr="00000000" w14:paraId="0000003A">
      <w:pPr>
        <w:spacing w:after="120" w:lineRule="auto"/>
        <w:rPr/>
      </w:pPr>
      <w:r w:rsidDel="00000000" w:rsidR="00000000" w:rsidRPr="00000000">
        <w:rPr>
          <w:rtl w:val="0"/>
        </w:rPr>
      </w:r>
    </w:p>
    <w:p w:rsidR="00000000" w:rsidDel="00000000" w:rsidP="00000000" w:rsidRDefault="00000000" w:rsidRPr="00000000" w14:paraId="0000003B">
      <w:pPr>
        <w:spacing w:after="120" w:line="360" w:lineRule="auto"/>
        <w:jc w:val="both"/>
        <w:rPr/>
      </w:pPr>
      <w:r w:rsidDel="00000000" w:rsidR="00000000" w:rsidRPr="00000000">
        <w:rPr>
          <w:rtl w:val="0"/>
        </w:rPr>
        <w:t xml:space="preserve">In the final stage, phosphorylation happens on the inner mitochondrial membrane. Electrons from NADH and FADH2 move through the electron transport chain. The energy released from this process powers the making of most of the ATP. Oxygen takes in the electrons and joins with hydrogen to make water. If oxygen is not present this stage stops. Then cells have to switch to glycolysis, which makes much less ATP. Generally, aerobic respiration produces approximately 30 to 32 ATP molecules per glucose molecule.</w:t>
      </w:r>
    </w:p>
    <w:p w:rsidR="00000000" w:rsidDel="00000000" w:rsidP="00000000" w:rsidRDefault="00000000" w:rsidRPr="00000000" w14:paraId="0000003C">
      <w:pPr>
        <w:spacing w:after="120" w:line="360" w:lineRule="auto"/>
        <w:jc w:val="both"/>
        <w:rPr/>
      </w:pPr>
      <w:r w:rsidDel="00000000" w:rsidR="00000000" w:rsidRPr="00000000">
        <w:rPr>
          <w:rtl w:val="0"/>
        </w:rPr>
        <w:t xml:space="preserve">The link to diabetes is clear. When the body does not have insulin or when insulin is not working properly glucose cannot get into the cells well. This means the cells do not have fuel for energy. At the time the blood has too much glucose. People may feel very thirsty and they may need to go to the bathroom often. This happens because extra glucose is removed through urine and it pulls water along with it. (Hall and Hall, 2021).</w:t>
      </w:r>
    </w:p>
    <w:p w:rsidR="00000000" w:rsidDel="00000000" w:rsidP="00000000" w:rsidRDefault="00000000" w:rsidRPr="00000000" w14:paraId="0000003D">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4. Recording and Tracking Blood Glucose in Type 2 Diabetes</w:t>
      </w:r>
      <w:r w:rsidDel="00000000" w:rsidR="00000000" w:rsidRPr="00000000">
        <w:rPr>
          <w:rtl w:val="0"/>
        </w:rPr>
      </w:r>
    </w:p>
    <w:p w:rsidR="00000000" w:rsidDel="00000000" w:rsidP="00000000" w:rsidRDefault="00000000" w:rsidRPr="00000000" w14:paraId="0000003E">
      <w:pPr>
        <w:spacing w:after="120" w:line="360" w:lineRule="auto"/>
        <w:jc w:val="both"/>
        <w:rPr/>
      </w:pPr>
      <w:r w:rsidDel="00000000" w:rsidR="00000000" w:rsidRPr="00000000">
        <w:rPr>
          <w:rtl w:val="0"/>
        </w:rPr>
        <w:t xml:space="preserve">The process of documenting and monitoring the blood sugar levels offers detailed data on the body’s response to food intake, activity, stress, illness, and medications. Two main ways of measuring are usually used. Capillary blood glucose is a reading taken from a finger prick that shows the level now while HbA1c is a lab test that shows the average sugar level over the last two to three months. NICE (2022) suggests an HbA1c target of 48 mmol/mol, for adults who are managing their condition through lifestyle changes or metformin alone and 53 mmol/mol when treatment has a chance of causing blood sugar with targets set individually after talking to the patient.</w:t>
      </w:r>
    </w:p>
    <w:p w:rsidR="00000000" w:rsidDel="00000000" w:rsidP="00000000" w:rsidRDefault="00000000" w:rsidRPr="00000000" w14:paraId="0000003F">
      <w:pPr>
        <w:spacing w:after="120" w:line="360" w:lineRule="auto"/>
        <w:jc w:val="both"/>
        <w:rPr/>
      </w:pPr>
      <w:r w:rsidDel="00000000" w:rsidR="00000000" w:rsidRPr="00000000">
        <w:rPr>
          <w:rtl w:val="0"/>
        </w:rPr>
        <w:t xml:space="preserve">The long-term value of tracking is well established. In the UK Prospective Diabetes Study each 1 per cent reduction in HbA1c was linked to a 37 per cent risk of microvascular complications and also to a lower risk of heart attack and diabetes‑related death (Stratton et al., 2000). </w:t>
      </w:r>
    </w:p>
    <w:p w:rsidR="00000000" w:rsidDel="00000000" w:rsidP="00000000" w:rsidRDefault="00000000" w:rsidRPr="00000000" w14:paraId="00000040">
      <w:pPr>
        <w:spacing w:after="120" w:line="360" w:lineRule="auto"/>
        <w:jc w:val="both"/>
        <w:rPr/>
      </w:pPr>
      <w:r w:rsidDel="00000000" w:rsidR="00000000" w:rsidRPr="00000000">
        <w:rPr>
          <w:rtl w:val="0"/>
        </w:rPr>
        <w:t xml:space="preserve">Recording regularly will enable the patient to identify patterns. For instance, a very high level two hours after a specific meal will help understand how this food affects him, and a recurring low level after exercise will be an indication for some advice related to the right time to eat or take the medication. Patients using insulin or sulphonylureas should also be monitored in order to detect the condition of hypoglycemia (less than 4 mmol/L) as that can lead to confusion and loss consciousness (NICE, 2022).</w:t>
      </w:r>
    </w:p>
    <w:p w:rsidR="00000000" w:rsidDel="00000000" w:rsidP="00000000" w:rsidRDefault="00000000" w:rsidRPr="00000000" w14:paraId="00000041">
      <w:pPr>
        <w:spacing w:after="120" w:line="360" w:lineRule="auto"/>
        <w:jc w:val="both"/>
        <w:rPr/>
      </w:pPr>
      <w:r w:rsidDel="00000000" w:rsidR="00000000" w:rsidRPr="00000000">
        <w:rPr>
          <w:rtl w:val="0"/>
        </w:rPr>
        <w:t xml:space="preserve">It is important to be realistic. Research about self-monitoring among patients with type 2 diabetes mellitus who are not using insulin is vague. There are no major gains without taking action on the readings. These benefits will prove more effective when combined in an educational package (Farmer et al., 2012). Patients must be informed of how to interpret the readings and what to document as well as when to seek help. Patients must include the date time, blood glucose level, food intake, exercise routine and symptoms in the documentation. Patients must also be made aware of when to call the surgery. It is crucial that the documentation be available for each follow-up session. This makes it possible for the healthcare professionals to compare the HbA1c levels, blood pressure, body mass index and foot and eye examinations.</w:t>
      </w:r>
    </w:p>
    <w:p w:rsidR="00000000" w:rsidDel="00000000" w:rsidP="00000000" w:rsidRDefault="00000000" w:rsidRPr="00000000" w14:paraId="00000042">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5. Evidence-Based Lifestyle Recommendations</w:t>
      </w:r>
      <w:r w:rsidDel="00000000" w:rsidR="00000000" w:rsidRPr="00000000">
        <w:rPr>
          <w:rtl w:val="0"/>
        </w:rPr>
      </w:r>
    </w:p>
    <w:p w:rsidR="00000000" w:rsidDel="00000000" w:rsidP="00000000" w:rsidRDefault="00000000" w:rsidRPr="00000000" w14:paraId="00000043">
      <w:pPr>
        <w:spacing w:after="120" w:line="360" w:lineRule="auto"/>
        <w:jc w:val="both"/>
        <w:rPr/>
      </w:pPr>
      <w:r w:rsidDel="00000000" w:rsidR="00000000" w:rsidRPr="00000000">
        <w:rPr>
          <w:rtl w:val="0"/>
        </w:rPr>
        <w:t xml:space="preserve">Lifestyle modification forms the basis of managing type 2 diabetes. Is recommended by NICE (2022) alongside any medication.In the Diabetes Prevention Program intensive lifestyle intervention lowered the risk of developing type 2 diabetes in high‑risk adults by 58 percent compared with 31 percent, for metformin (Knowler et al., 2002).Three areas are particularly relevant: smoking, diet and physical activity.</w:t>
      </w:r>
    </w:p>
    <w:p w:rsidR="00000000" w:rsidDel="00000000" w:rsidP="00000000" w:rsidRDefault="00000000" w:rsidRPr="00000000" w14:paraId="00000044">
      <w:pPr>
        <w:pStyle w:val="Heading2"/>
        <w:keepNext w:val="1"/>
        <w:spacing w:after="60" w:before="120" w:line="360" w:lineRule="auto"/>
        <w:rPr/>
      </w:pPr>
      <w:r w:rsidDel="00000000" w:rsidR="00000000" w:rsidRPr="00000000">
        <w:rPr>
          <w:rFonts w:ascii="Arial" w:cs="Arial" w:eastAsia="Arial" w:hAnsi="Arial"/>
          <w:b w:val="1"/>
          <w:bCs w:val="1"/>
          <w:sz w:val="24"/>
          <w:szCs w:val="24"/>
          <w:rtl w:val="0"/>
        </w:rPr>
        <w:t xml:space="preserve">5.1 Smoking</w:t>
      </w:r>
      <w:r w:rsidDel="00000000" w:rsidR="00000000" w:rsidRPr="00000000">
        <w:rPr>
          <w:rtl w:val="0"/>
        </w:rPr>
      </w:r>
    </w:p>
    <w:p w:rsidR="00000000" w:rsidDel="00000000" w:rsidP="00000000" w:rsidRDefault="00000000" w:rsidRPr="00000000" w14:paraId="00000045">
      <w:pPr>
        <w:spacing w:after="120" w:line="360" w:lineRule="auto"/>
        <w:jc w:val="both"/>
        <w:rPr/>
      </w:pPr>
      <w:r w:rsidDel="00000000" w:rsidR="00000000" w:rsidRPr="00000000">
        <w:rPr>
          <w:rtl w:val="0"/>
        </w:rPr>
        <w:t xml:space="preserve">Smoking is a modifiable risk factor. According to a literature review of existing evidence, actively smoking individuals are about 37% more likely to develop type 2 diabetes compared to nonsmokers. Quitting smoking lowers this risk although it remains elevated for several years after this change in habit (Pan et al., 2015). Both nicotine and other substances contained in cigarette smoke contribute to insulin resistance and inflammation. In addition, the presence of cardiovascular complications in people with diabetes is aggravated by smoking. Medical practitioners need to provide their patients with counseling on quitting and refer them to local smoking cessation programs.</w:t>
      </w:r>
    </w:p>
    <w:p w:rsidR="00000000" w:rsidDel="00000000" w:rsidP="00000000" w:rsidRDefault="00000000" w:rsidRPr="00000000" w14:paraId="00000046">
      <w:pPr>
        <w:pStyle w:val="Heading2"/>
        <w:keepNext w:val="1"/>
        <w:spacing w:after="60" w:before="120" w:line="360" w:lineRule="auto"/>
        <w:rPr/>
      </w:pPr>
      <w:r w:rsidDel="00000000" w:rsidR="00000000" w:rsidRPr="00000000">
        <w:rPr>
          <w:rFonts w:ascii="Arial" w:cs="Arial" w:eastAsia="Arial" w:hAnsi="Arial"/>
          <w:b w:val="1"/>
          <w:bCs w:val="1"/>
          <w:sz w:val="24"/>
          <w:szCs w:val="24"/>
          <w:rtl w:val="0"/>
        </w:rPr>
        <w:t xml:space="preserve">5.2 Diet and weight management</w:t>
      </w:r>
      <w:r w:rsidDel="00000000" w:rsidR="00000000" w:rsidRPr="00000000">
        <w:rPr>
          <w:rtl w:val="0"/>
        </w:rPr>
      </w:r>
    </w:p>
    <w:p w:rsidR="00000000" w:rsidDel="00000000" w:rsidP="00000000" w:rsidRDefault="00000000" w:rsidRPr="00000000" w14:paraId="00000047">
      <w:pPr>
        <w:spacing w:after="120" w:line="360" w:lineRule="auto"/>
        <w:jc w:val="both"/>
        <w:rPr/>
      </w:pPr>
      <w:r w:rsidDel="00000000" w:rsidR="00000000" w:rsidRPr="00000000">
        <w:rPr>
          <w:rtl w:val="0"/>
        </w:rPr>
        <w:t xml:space="preserve">Not all dietary recommendations apply to all people. The results of a consensus review suggest that a Mediterranean diet, low carbohydrate diet and a plant-based diet can all be equally effective if well customised and maintained (Evert et al., 2019). There are some recommendations such as eating high fibre carbohydrates that are not refined starch and sugars, eating more vegetables using unsaturated fats, limiting the intake of processed meat and salt and limiting portion sizes. Losing weight is extremely effective. In the study, an intervention conducted by a doctor in the form of total diet replacement followed by reintroduction of foods resulted in remission of type 2 diabetes in 46% of the patients compared to only 4% of the control group after 12 months (Lean et al., 2018).</w:t>
      </w:r>
    </w:p>
    <w:p w:rsidR="00000000" w:rsidDel="00000000" w:rsidP="00000000" w:rsidRDefault="00000000" w:rsidRPr="00000000" w14:paraId="00000048">
      <w:pPr>
        <w:pStyle w:val="Heading2"/>
        <w:keepNext w:val="1"/>
        <w:spacing w:after="60" w:before="120" w:line="360" w:lineRule="auto"/>
        <w:rPr/>
      </w:pPr>
      <w:r w:rsidDel="00000000" w:rsidR="00000000" w:rsidRPr="00000000">
        <w:rPr>
          <w:rFonts w:ascii="Arial" w:cs="Arial" w:eastAsia="Arial" w:hAnsi="Arial"/>
          <w:b w:val="1"/>
          <w:bCs w:val="1"/>
          <w:sz w:val="24"/>
          <w:szCs w:val="24"/>
          <w:rtl w:val="0"/>
        </w:rPr>
        <w:t xml:space="preserve">5.3 Physical activity</w:t>
      </w:r>
      <w:r w:rsidDel="00000000" w:rsidR="00000000" w:rsidRPr="00000000">
        <w:rPr>
          <w:rtl w:val="0"/>
        </w:rPr>
      </w:r>
    </w:p>
    <w:p w:rsidR="00000000" w:rsidDel="00000000" w:rsidP="00000000" w:rsidRDefault="00000000" w:rsidRPr="00000000" w14:paraId="00000049">
      <w:pPr>
        <w:spacing w:after="120" w:line="360" w:lineRule="auto"/>
        <w:jc w:val="both"/>
        <w:rPr/>
      </w:pPr>
      <w:r w:rsidDel="00000000" w:rsidR="00000000" w:rsidRPr="00000000">
        <w:rPr>
          <w:rtl w:val="0"/>
        </w:rPr>
        <w:t xml:space="preserve">Patients should start exercising gradually,Patients can choose exercise activities that they enjoy such as walking, swimming or cycling. Patients on insulin or sulfonylureas should check glucose before and after exercise. Patients should carry fast acting carbohydrates. Patients should look after their feet and wear suitable footwear. I think patients should have a review with the practice team before starting an exercise program especially if patients have heart disease or neuropathy.</w:t>
        <w:br w:type="textWrapping"/>
        <w:br w:type="textWrapping"/>
        <w:t xml:space="preserve">Improved dietary habits and exercise can improve the effectiveness of insulin within the body. The cessation of smoking is also beneficial to avoid any issues related to the arteries. Goal setting and evaluating the patient’s progress during the visit to the doctor will also be useful for making permanent changes.</w:t>
      </w:r>
    </w:p>
    <w:p w:rsidR="00000000" w:rsidDel="00000000" w:rsidP="00000000" w:rsidRDefault="00000000" w:rsidRPr="00000000" w14:paraId="0000004A">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6. Conclusion</w:t>
      </w:r>
      <w:r w:rsidDel="00000000" w:rsidR="00000000" w:rsidRPr="00000000">
        <w:rPr>
          <w:rtl w:val="0"/>
        </w:rPr>
      </w:r>
    </w:p>
    <w:p w:rsidR="00000000" w:rsidDel="00000000" w:rsidP="00000000" w:rsidRDefault="00000000" w:rsidRPr="00000000" w14:paraId="0000004B">
      <w:pPr>
        <w:spacing w:after="120" w:line="360" w:lineRule="auto"/>
        <w:jc w:val="both"/>
        <w:rPr/>
      </w:pPr>
      <w:r w:rsidDel="00000000" w:rsidR="00000000" w:rsidRPr="00000000">
        <w:rPr>
          <w:rtl w:val="0"/>
        </w:rPr>
        <w:t xml:space="preserve">Type 2 diabetes occurs due to a failure in the body’s method of regulating blood glucose with the aid of insulin and glucagon. Consequently, glucose cannot enter the cells and will not be broken down via respiration for energy purposes. The consequence of this is elevated glucose levels, commonly known as hyperglycaemia, which in time can affect blood vessels and internal organs. Recording glucose levels and evaluating HbA1c assists both patient and healthcare provider to monitor the progress of the treatment and prevent any complications from forming. There is some evidence that cessation of smoking, diet modification, weight loss, and increased physical activity may positively influence the regulation of blood glucose levels and, in some instances, even result in remission.</w:t>
      </w:r>
    </w:p>
    <w:p w:rsidR="00000000" w:rsidDel="00000000" w:rsidP="00000000" w:rsidRDefault="00000000" w:rsidRPr="00000000" w14:paraId="0000004C">
      <w:pPr>
        <w:rPr/>
      </w:pPr>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keepNext w:val="1"/>
        <w:spacing w:after="120" w:before="240" w:line="360" w:lineRule="auto"/>
        <w:rPr/>
      </w:pPr>
      <w:r w:rsidDel="00000000" w:rsidR="00000000" w:rsidRPr="00000000">
        <w:rPr>
          <w:rFonts w:ascii="Arial" w:cs="Arial" w:eastAsia="Arial" w:hAnsi="Arial"/>
          <w:b w:val="1"/>
          <w:bCs w:val="1"/>
          <w:sz w:val="26"/>
          <w:szCs w:val="26"/>
          <w:rtl w:val="0"/>
        </w:rPr>
        <w:t xml:space="preserve">7. Reference List</w:t>
      </w:r>
      <w:r w:rsidDel="00000000" w:rsidR="00000000" w:rsidRPr="00000000">
        <w:rPr>
          <w:rtl w:val="0"/>
        </w:rPr>
      </w:r>
    </w:p>
    <w:p w:rsidR="00000000" w:rsidDel="00000000" w:rsidP="00000000" w:rsidRDefault="00000000" w:rsidRPr="00000000" w14:paraId="0000004E">
      <w:pPr>
        <w:spacing w:after="120" w:line="360" w:lineRule="auto"/>
        <w:ind w:left="567" w:hanging="567"/>
        <w:jc w:val="left"/>
        <w:rPr/>
      </w:pPr>
      <w:r w:rsidDel="00000000" w:rsidR="00000000" w:rsidRPr="00000000">
        <w:rPr>
          <w:rtl w:val="0"/>
        </w:rPr>
        <w:t xml:space="preserve">Colberg, S.R., Sigal, R.J., Yardley, J.E., Riddell, M.C., Dunstan, D.W., Dempsey, P.C., Horton, E.S., Castorino, K. and Tate, D.F. (2016) 'Physical activity/exercise and diabetes: a position statement of the American Diabetes Association', </w:t>
      </w:r>
      <w:r w:rsidDel="00000000" w:rsidR="00000000" w:rsidRPr="00000000">
        <w:rPr>
          <w:i w:val="1"/>
          <w:iCs w:val="1"/>
          <w:rtl w:val="0"/>
        </w:rPr>
        <w:t xml:space="preserve">Diabetes Care</w:t>
      </w:r>
      <w:r w:rsidDel="00000000" w:rsidR="00000000" w:rsidRPr="00000000">
        <w:rPr>
          <w:rtl w:val="0"/>
        </w:rPr>
        <w:t xml:space="preserve">, 39(11), pp. 2065–2079.</w:t>
      </w:r>
    </w:p>
    <w:p w:rsidR="00000000" w:rsidDel="00000000" w:rsidP="00000000" w:rsidRDefault="00000000" w:rsidRPr="00000000" w14:paraId="0000004F">
      <w:pPr>
        <w:spacing w:after="120" w:line="360" w:lineRule="auto"/>
        <w:ind w:left="567" w:hanging="567"/>
        <w:jc w:val="left"/>
        <w:rPr/>
      </w:pPr>
      <w:r w:rsidDel="00000000" w:rsidR="00000000" w:rsidRPr="00000000">
        <w:rPr>
          <w:rtl w:val="0"/>
        </w:rPr>
        <w:t xml:space="preserve">Diabetes UK (2024) </w:t>
      </w:r>
      <w:r w:rsidDel="00000000" w:rsidR="00000000" w:rsidRPr="00000000">
        <w:rPr>
          <w:i w:val="1"/>
          <w:iCs w:val="1"/>
          <w:rtl w:val="0"/>
        </w:rPr>
        <w:t xml:space="preserve">Diabetes statistics</w:t>
      </w:r>
      <w:r w:rsidDel="00000000" w:rsidR="00000000" w:rsidRPr="00000000">
        <w:rPr>
          <w:rtl w:val="0"/>
        </w:rPr>
        <w:t xml:space="preserve">. Available at: https://www.diabetes.org.uk/about-us/about-the-charity/our-strategy/statistics (Accessed: 21 October 2026).</w:t>
      </w:r>
    </w:p>
    <w:p w:rsidR="00000000" w:rsidDel="00000000" w:rsidP="00000000" w:rsidRDefault="00000000" w:rsidRPr="00000000" w14:paraId="00000050">
      <w:pPr>
        <w:spacing w:after="120" w:line="360" w:lineRule="auto"/>
        <w:ind w:left="567" w:hanging="567"/>
        <w:jc w:val="left"/>
        <w:rPr/>
      </w:pPr>
      <w:r w:rsidDel="00000000" w:rsidR="00000000" w:rsidRPr="00000000">
        <w:rPr>
          <w:rtl w:val="0"/>
        </w:rPr>
        <w:t xml:space="preserve">Evert, A.B., Dennison, M., Gardner, C.D., Garvey, W.T., Lau, K.H.K., MacLeod, J., Mitri, J., Pereira, R.F., Rawlings, K., Robinson, S., Saslow, L., Uelmen, S., Urbanski, P.B. and Yancy, W.S. (2019) 'Nutrition therapy for adults with diabetes or prediabetes: a consensus report', </w:t>
      </w:r>
      <w:r w:rsidDel="00000000" w:rsidR="00000000" w:rsidRPr="00000000">
        <w:rPr>
          <w:i w:val="1"/>
          <w:iCs w:val="1"/>
          <w:rtl w:val="0"/>
        </w:rPr>
        <w:t xml:space="preserve">Diabetes Care</w:t>
      </w:r>
      <w:r w:rsidDel="00000000" w:rsidR="00000000" w:rsidRPr="00000000">
        <w:rPr>
          <w:rtl w:val="0"/>
        </w:rPr>
        <w:t xml:space="preserve">, 42(5), pp. 731–754.</w:t>
      </w:r>
    </w:p>
    <w:p w:rsidR="00000000" w:rsidDel="00000000" w:rsidP="00000000" w:rsidRDefault="00000000" w:rsidRPr="00000000" w14:paraId="00000051">
      <w:pPr>
        <w:spacing w:after="120" w:line="360" w:lineRule="auto"/>
        <w:ind w:left="567" w:hanging="567"/>
        <w:jc w:val="left"/>
        <w:rPr/>
      </w:pPr>
      <w:r w:rsidDel="00000000" w:rsidR="00000000" w:rsidRPr="00000000">
        <w:rPr>
          <w:rtl w:val="0"/>
        </w:rPr>
        <w:t xml:space="preserve">Farmer, A.J., Perera, R., Ward, A., Heneghan, C., Oke, J., Barnett, A.H., Davidson, M.B., Guerci, B., Coates, V., Schwedes, U. and O'Malley, S. (2012) 'Meta-analysis of individual patient data in randomised trials of self monitoring of blood glucose in people with non-insulin treated type 2 diabetes', </w:t>
      </w:r>
      <w:r w:rsidDel="00000000" w:rsidR="00000000" w:rsidRPr="00000000">
        <w:rPr>
          <w:i w:val="1"/>
          <w:iCs w:val="1"/>
          <w:rtl w:val="0"/>
        </w:rPr>
        <w:t xml:space="preserve">BMJ</w:t>
      </w:r>
      <w:r w:rsidDel="00000000" w:rsidR="00000000" w:rsidRPr="00000000">
        <w:rPr>
          <w:rtl w:val="0"/>
        </w:rPr>
        <w:t xml:space="preserve">, 344, e486.</w:t>
      </w:r>
    </w:p>
    <w:p w:rsidR="00000000" w:rsidDel="00000000" w:rsidP="00000000" w:rsidRDefault="00000000" w:rsidRPr="00000000" w14:paraId="00000052">
      <w:pPr>
        <w:spacing w:after="120" w:line="360" w:lineRule="auto"/>
        <w:ind w:left="567" w:hanging="567"/>
        <w:jc w:val="left"/>
        <w:rPr/>
      </w:pPr>
      <w:r w:rsidDel="00000000" w:rsidR="00000000" w:rsidRPr="00000000">
        <w:rPr>
          <w:rtl w:val="0"/>
        </w:rPr>
        <w:t xml:space="preserve">Hall, J.E. and Hall, M.E. (2021) </w:t>
      </w:r>
      <w:r w:rsidDel="00000000" w:rsidR="00000000" w:rsidRPr="00000000">
        <w:rPr>
          <w:i w:val="1"/>
          <w:iCs w:val="1"/>
          <w:rtl w:val="0"/>
        </w:rPr>
        <w:t xml:space="preserve">Guyton and Hall textbook of medical physiology</w:t>
      </w:r>
      <w:r w:rsidDel="00000000" w:rsidR="00000000" w:rsidRPr="00000000">
        <w:rPr>
          <w:rtl w:val="0"/>
        </w:rPr>
        <w:t xml:space="preserve">. 14th edn. Philadelphia: Elsevier.</w:t>
      </w:r>
    </w:p>
    <w:p w:rsidR="00000000" w:rsidDel="00000000" w:rsidP="00000000" w:rsidRDefault="00000000" w:rsidRPr="00000000" w14:paraId="00000053">
      <w:pPr>
        <w:spacing w:after="120" w:line="360" w:lineRule="auto"/>
        <w:ind w:left="567" w:hanging="567"/>
        <w:jc w:val="left"/>
        <w:rPr/>
      </w:pPr>
      <w:r w:rsidDel="00000000" w:rsidR="00000000" w:rsidRPr="00000000">
        <w:rPr>
          <w:rtl w:val="0"/>
        </w:rPr>
        <w:t xml:space="preserve">Knowler, W.C., Barrett-Connor, E., Fowler, S.E., Hamman, R.F., Lachin, J.M., Walker, E.A. and Nathan, D.M. (2002) 'Reduction in the incidence of type 2 diabetes with lifestyle intervention or metformin', </w:t>
      </w:r>
      <w:r w:rsidDel="00000000" w:rsidR="00000000" w:rsidRPr="00000000">
        <w:rPr>
          <w:i w:val="1"/>
          <w:iCs w:val="1"/>
          <w:rtl w:val="0"/>
        </w:rPr>
        <w:t xml:space="preserve">New England Journal of Medicine</w:t>
      </w:r>
      <w:r w:rsidDel="00000000" w:rsidR="00000000" w:rsidRPr="00000000">
        <w:rPr>
          <w:rtl w:val="0"/>
        </w:rPr>
        <w:t xml:space="preserve">, 346(6), pp. 393–403.</w:t>
      </w:r>
    </w:p>
    <w:p w:rsidR="00000000" w:rsidDel="00000000" w:rsidP="00000000" w:rsidRDefault="00000000" w:rsidRPr="00000000" w14:paraId="00000054">
      <w:pPr>
        <w:spacing w:after="120" w:line="360" w:lineRule="auto"/>
        <w:ind w:left="567" w:hanging="567"/>
        <w:jc w:val="left"/>
        <w:rPr/>
      </w:pPr>
      <w:r w:rsidDel="00000000" w:rsidR="00000000" w:rsidRPr="00000000">
        <w:rPr>
          <w:rtl w:val="0"/>
        </w:rPr>
        <w:t xml:space="preserve">Lean, M.E.J., Leslie, W.S., Barnes, A.C., Brosnahan, N., Thom, G., McCombie, L., Peters, C., Zhyzhneuskaya, S., Al-Mrabeh, A., Hollingsworth, K.G., Rodrigues, A.M., Rehackova, L., Adamson, A.J., Sniehotta, F.F., Mathers, J.C., Ross, H.M., McIlvenna, Y., Stefanetti, R., Trenell, M., Welsh, P., Kean, S., Ford, I., McConnachie, A., Sattar, N. and Taylor, R. (2018) 'Primary care-led weight management for remission of type 2 diabetes (DiRECT): an open-label, cluster-randomised trial', </w:t>
      </w:r>
      <w:r w:rsidDel="00000000" w:rsidR="00000000" w:rsidRPr="00000000">
        <w:rPr>
          <w:i w:val="1"/>
          <w:iCs w:val="1"/>
          <w:rtl w:val="0"/>
        </w:rPr>
        <w:t xml:space="preserve">The Lancet</w:t>
      </w:r>
      <w:r w:rsidDel="00000000" w:rsidR="00000000" w:rsidRPr="00000000">
        <w:rPr>
          <w:rtl w:val="0"/>
        </w:rPr>
        <w:t xml:space="preserve">, 391(10120), pp. 541–551.</w:t>
      </w:r>
    </w:p>
    <w:p w:rsidR="00000000" w:rsidDel="00000000" w:rsidP="00000000" w:rsidRDefault="00000000" w:rsidRPr="00000000" w14:paraId="00000055">
      <w:pPr>
        <w:spacing w:after="120" w:line="360" w:lineRule="auto"/>
        <w:ind w:left="567" w:hanging="567"/>
        <w:jc w:val="left"/>
        <w:rPr/>
      </w:pPr>
      <w:r w:rsidDel="00000000" w:rsidR="00000000" w:rsidRPr="00000000">
        <w:rPr>
          <w:rtl w:val="0"/>
        </w:rPr>
        <w:t xml:space="preserve">Marieb, E.N. and Hoehn, K. (2018) </w:t>
      </w:r>
      <w:r w:rsidDel="00000000" w:rsidR="00000000" w:rsidRPr="00000000">
        <w:rPr>
          <w:i w:val="1"/>
          <w:iCs w:val="1"/>
          <w:rtl w:val="0"/>
        </w:rPr>
        <w:t xml:space="preserve">Human anatomy and physiology</w:t>
      </w:r>
      <w:r w:rsidDel="00000000" w:rsidR="00000000" w:rsidRPr="00000000">
        <w:rPr>
          <w:rtl w:val="0"/>
        </w:rPr>
        <w:t xml:space="preserve">. 11th edn. Harlow: Pearson.</w:t>
      </w:r>
    </w:p>
    <w:p w:rsidR="00000000" w:rsidDel="00000000" w:rsidP="00000000" w:rsidRDefault="00000000" w:rsidRPr="00000000" w14:paraId="00000056">
      <w:pPr>
        <w:spacing w:after="120" w:line="360" w:lineRule="auto"/>
        <w:ind w:left="567" w:hanging="567"/>
        <w:jc w:val="left"/>
        <w:rPr/>
      </w:pPr>
      <w:r w:rsidDel="00000000" w:rsidR="00000000" w:rsidRPr="00000000">
        <w:rPr>
          <w:rtl w:val="0"/>
        </w:rPr>
        <w:t xml:space="preserve">National Institute for Health and Care Excellence (NICE) (2022) </w:t>
      </w:r>
      <w:r w:rsidDel="00000000" w:rsidR="00000000" w:rsidRPr="00000000">
        <w:rPr>
          <w:i w:val="1"/>
          <w:iCs w:val="1"/>
          <w:rtl w:val="0"/>
        </w:rPr>
        <w:t xml:space="preserve">Type 2 diabetes in adults: management (NG28)</w:t>
      </w:r>
      <w:r w:rsidDel="00000000" w:rsidR="00000000" w:rsidRPr="00000000">
        <w:rPr>
          <w:rtl w:val="0"/>
        </w:rPr>
        <w:t xml:space="preserve">. Available at: https://www.nice.org.uk/guidance/ng28 (Accessed: 21 October 2026).</w:t>
      </w:r>
    </w:p>
    <w:p w:rsidR="00000000" w:rsidDel="00000000" w:rsidP="00000000" w:rsidRDefault="00000000" w:rsidRPr="00000000" w14:paraId="00000057">
      <w:pPr>
        <w:spacing w:after="120" w:line="360" w:lineRule="auto"/>
        <w:ind w:left="567" w:hanging="567"/>
        <w:jc w:val="left"/>
        <w:rPr/>
      </w:pPr>
      <w:r w:rsidDel="00000000" w:rsidR="00000000" w:rsidRPr="00000000">
        <w:rPr>
          <w:rtl w:val="0"/>
        </w:rPr>
        <w:t xml:space="preserve">Pan, A., Wang, Y., Talaei, M., Hu, F.B. and Wu, T. (2015) 'Relation of active, passive, and quitting smoking with incident type 2 diabetes: a systematic review and meta-analysis', </w:t>
      </w:r>
      <w:r w:rsidDel="00000000" w:rsidR="00000000" w:rsidRPr="00000000">
        <w:rPr>
          <w:i w:val="1"/>
          <w:iCs w:val="1"/>
          <w:rtl w:val="0"/>
        </w:rPr>
        <w:t xml:space="preserve">The LancetThe Lancet Diabetes &amp; Endocrinology</w:t>
      </w:r>
      <w:r w:rsidDel="00000000" w:rsidR="00000000" w:rsidRPr="00000000">
        <w:rPr>
          <w:rtl w:val="0"/>
        </w:rPr>
        <w:t xml:space="preserve">, 3(12), pp. 958–967.</w:t>
      </w:r>
    </w:p>
    <w:p w:rsidR="00000000" w:rsidDel="00000000" w:rsidP="00000000" w:rsidRDefault="00000000" w:rsidRPr="00000000" w14:paraId="00000058">
      <w:pPr>
        <w:spacing w:after="120" w:line="360" w:lineRule="auto"/>
        <w:ind w:left="567" w:hanging="567"/>
        <w:jc w:val="left"/>
        <w:rPr/>
      </w:pPr>
      <w:r w:rsidDel="00000000" w:rsidR="00000000" w:rsidRPr="00000000">
        <w:rPr>
          <w:rtl w:val="0"/>
        </w:rPr>
        <w:t xml:space="preserve">Stratton, I.M., Adler, A.I., Neil, H.A.W., Matthews, D.R., Manley, S.E., Cull, C.A., Hadden, D., Turner, R.C. and Holman, R.R. (2000) 'Association of glycaemia with macrovascular and microvascular complications of type 2 diabetes (UKPDS 35): prospective observational study', </w:t>
      </w:r>
      <w:r w:rsidDel="00000000" w:rsidR="00000000" w:rsidRPr="00000000">
        <w:rPr>
          <w:i w:val="1"/>
          <w:iCs w:val="1"/>
          <w:rtl w:val="0"/>
        </w:rPr>
        <w:t xml:space="preserve">BMJ</w:t>
      </w:r>
      <w:r w:rsidDel="00000000" w:rsidR="00000000" w:rsidRPr="00000000">
        <w:rPr>
          <w:rtl w:val="0"/>
        </w:rPr>
        <w:t xml:space="preserve">, 321(7258), pp. 405–412.</w:t>
      </w:r>
    </w:p>
    <w:p w:rsidR="00000000" w:rsidDel="00000000" w:rsidP="00000000" w:rsidRDefault="00000000" w:rsidRPr="00000000" w14:paraId="00000059">
      <w:pPr>
        <w:spacing w:after="120" w:line="360" w:lineRule="auto"/>
        <w:ind w:left="567" w:hanging="567"/>
        <w:jc w:val="left"/>
        <w:rPr/>
      </w:pPr>
      <w:r w:rsidDel="00000000" w:rsidR="00000000" w:rsidRPr="00000000">
        <w:rPr>
          <w:rtl w:val="0"/>
        </w:rPr>
        <w:t xml:space="preserve">Tortora, G.J. and Derrickson, B. (2017) </w:t>
      </w:r>
      <w:r w:rsidDel="00000000" w:rsidR="00000000" w:rsidRPr="00000000">
        <w:rPr>
          <w:i w:val="1"/>
          <w:iCs w:val="1"/>
          <w:rtl w:val="0"/>
        </w:rPr>
        <w:t xml:space="preserve">Principles of anatomy and physiology</w:t>
      </w:r>
      <w:r w:rsidDel="00000000" w:rsidR="00000000" w:rsidRPr="00000000">
        <w:rPr>
          <w:rtl w:val="0"/>
        </w:rPr>
        <w:t xml:space="preserve">. 15th edn. Hoboken, NJ: Wiley.</w:t>
      </w:r>
    </w:p>
    <w:p w:rsidR="00000000" w:rsidDel="00000000" w:rsidP="00000000" w:rsidRDefault="00000000" w:rsidRPr="00000000" w14:paraId="0000005A">
      <w:pPr>
        <w:spacing w:after="120" w:line="360" w:lineRule="auto"/>
        <w:ind w:left="567" w:hanging="567"/>
        <w:jc w:val="left"/>
        <w:rPr/>
      </w:pPr>
      <w:r w:rsidDel="00000000" w:rsidR="00000000" w:rsidRPr="00000000">
        <w:rPr>
          <w:rtl w:val="0"/>
        </w:rPr>
        <w:t xml:space="preserve">Wilmot, E.G., Edwardson, C.L., Achana, F.A., Davies, M.J., Gorely, T., Gray, L.J., Khunti, K., Yates, T. and Biddle, S.J.H. (2012) 'Sedentary time in adults and the association with diabetes, cardiovascular disease and death: systematic review and meta-analysis', </w:t>
      </w:r>
      <w:r w:rsidDel="00000000" w:rsidR="00000000" w:rsidRPr="00000000">
        <w:rPr>
          <w:i w:val="1"/>
          <w:iCs w:val="1"/>
          <w:rtl w:val="0"/>
        </w:rPr>
        <w:t xml:space="preserve">Diabetologia</w:t>
      </w:r>
      <w:r w:rsidDel="00000000" w:rsidR="00000000" w:rsidRPr="00000000">
        <w:rPr>
          <w:rtl w:val="0"/>
        </w:rPr>
        <w:t xml:space="preserve">, 55(11), pp. 2895–2905.</w:t>
      </w:r>
    </w:p>
    <w:p w:rsidR="00000000" w:rsidDel="00000000" w:rsidP="00000000" w:rsidRDefault="00000000" w:rsidRPr="00000000" w14:paraId="0000005B">
      <w:pPr>
        <w:spacing w:after="120" w:line="360" w:lineRule="auto"/>
        <w:ind w:left="567" w:hanging="567"/>
        <w:jc w:val="left"/>
        <w:rPr/>
      </w:pPr>
      <w:r w:rsidDel="00000000" w:rsidR="00000000" w:rsidRPr="00000000">
        <w:rPr>
          <w:rtl w:val="0"/>
        </w:rPr>
        <w:t xml:space="preserve">World Health Organization (WHO) (2019) </w:t>
      </w:r>
      <w:r w:rsidDel="00000000" w:rsidR="00000000" w:rsidRPr="00000000">
        <w:rPr>
          <w:i w:val="1"/>
          <w:iCs w:val="1"/>
          <w:rtl w:val="0"/>
        </w:rPr>
        <w:t xml:space="preserve">Classification of diabetes mellitus</w:t>
      </w:r>
      <w:r w:rsidDel="00000000" w:rsidR="00000000" w:rsidRPr="00000000">
        <w:rPr>
          <w:rtl w:val="0"/>
        </w:rPr>
        <w:t xml:space="preserve">. Geneva: World Health Organization.</w:t>
      </w:r>
    </w:p>
    <w:sectPr>
      <w:footerReference r:id="rId6" w:type="default"/>
      <w:pgSz w:h="16838" w:w="11906" w:orient="portrait"/>
      <w:pgMar w:bottom="1440" w:top="1440" w:left="1273" w:right="1273"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jc w:val="center"/>
      <w:rPr/>
    </w:pPr>
    <w:r w:rsidDel="00000000" w:rsidR="00000000" w:rsidRPr="00000000">
      <w:rPr>
        <w:rFonts w:ascii="Arial" w:cs="Arial" w:eastAsia="Arial" w:hAnsi="Arial"/>
        <w:sz w:val="20"/>
        <w:szCs w:val="20"/>
        <w:rtl w:val="0"/>
      </w:rPr>
      <w:t xml:space="preserve">Page </w:t>
    </w: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Arial" w:cs="Arial" w:eastAsia="Arial" w:hAnsi="Arial"/>
      <w:b w:val="1"/>
      <w:bCs w:val="1"/>
      <w:sz w:val="26"/>
      <w:szCs w:val="26"/>
    </w:rPr>
  </w:style>
  <w:style w:type="paragraph" w:styleId="Heading2">
    <w:name w:val="heading 2"/>
    <w:basedOn w:val="Normal"/>
    <w:next w:val="Normal"/>
    <w:pPr/>
    <w:rPr>
      <w:rFonts w:ascii="Arial" w:cs="Arial" w:eastAsia="Arial" w:hAnsi="Arial"/>
      <w:b w:val="1"/>
      <w:bCs w:val="1"/>
      <w:sz w:val="24"/>
      <w:szCs w:val="24"/>
    </w:rPr>
  </w:style>
  <w:style w:type="paragraph" w:styleId="Heading3">
    <w:name w:val="heading 3"/>
    <w:basedOn w:val="Normal"/>
    <w:next w:val="Normal"/>
    <w:pPr/>
    <w:rPr>
      <w:color w:val="1f4d78"/>
      <w:sz w:val="24"/>
      <w:szCs w:val="24"/>
    </w:rPr>
  </w:style>
  <w:style w:type="paragraph" w:styleId="Heading4">
    <w:name w:val="heading 4"/>
    <w:basedOn w:val="Normal"/>
    <w:next w:val="Normal"/>
    <w:pPr/>
    <w:rPr>
      <w:i w:val="1"/>
      <w:iCs w:val="1"/>
      <w:color w:val="2e74b5"/>
    </w:rPr>
  </w:style>
  <w:style w:type="paragraph" w:styleId="Heading5">
    <w:name w:val="heading 5"/>
    <w:basedOn w:val="Normal"/>
    <w:next w:val="Normal"/>
    <w:pPr/>
    <w:rPr>
      <w:color w:val="2e74b5"/>
    </w:rPr>
  </w:style>
  <w:style w:type="paragraph" w:styleId="Heading6">
    <w:name w:val="heading 6"/>
    <w:basedOn w:val="Normal"/>
    <w:next w:val="Normal"/>
    <w:pPr/>
    <w:rPr>
      <w:color w:val="1f4d78"/>
    </w:rPr>
  </w:style>
  <w:style w:type="paragraph" w:styleId="Title">
    <w:name w:val="Title"/>
    <w:basedOn w:val="Normal"/>
    <w:next w:val="Normal"/>
    <w:pPr/>
    <w:rPr>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