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33528882"/>
        <w:docPartObj>
          <w:docPartGallery w:val="Cover Pages"/>
          <w:docPartUnique/>
        </w:docPartObj>
      </w:sdtPr>
      <w:sdtContent>
        <w:p w14:paraId="333FD736" w14:textId="1B177BDD" w:rsidR="00776A2C" w:rsidRDefault="00776A2C">
          <w:r>
            <w:rPr>
              <w:noProof/>
            </w:rPr>
            <mc:AlternateContent>
              <mc:Choice Requires="wps">
                <w:drawing>
                  <wp:anchor distT="0" distB="0" distL="114300" distR="114300" simplePos="0" relativeHeight="251660288" behindDoc="0" locked="0" layoutInCell="1" allowOverlap="1" wp14:anchorId="344CAB5D" wp14:editId="6EF79CD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25C93F5" w14:textId="224DE9C4" w:rsidR="00776A2C" w:rsidRDefault="00776A2C">
                                    <w:pPr>
                                      <w:pStyle w:val="NoSpacing"/>
                                      <w:jc w:val="right"/>
                                      <w:rPr>
                                        <w:color w:val="595959" w:themeColor="text1" w:themeTint="A6"/>
                                        <w:sz w:val="28"/>
                                        <w:szCs w:val="28"/>
                                      </w:rPr>
                                    </w:pPr>
                                    <w:r>
                                      <w:rPr>
                                        <w:color w:val="595959" w:themeColor="text1" w:themeTint="A6"/>
                                        <w:sz w:val="28"/>
                                        <w:szCs w:val="28"/>
                                      </w:rPr>
                                      <w:t>Ian Cockerham (2105630)</w:t>
                                    </w:r>
                                  </w:p>
                                </w:sdtContent>
                              </w:sdt>
                              <w:p w14:paraId="34A4E244" w14:textId="4B702F25" w:rsidR="00776A2C" w:rsidRDefault="00776A2C">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44CAB5D"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25C93F5" w14:textId="224DE9C4" w:rsidR="00776A2C" w:rsidRDefault="00776A2C">
                              <w:pPr>
                                <w:pStyle w:val="NoSpacing"/>
                                <w:jc w:val="right"/>
                                <w:rPr>
                                  <w:color w:val="595959" w:themeColor="text1" w:themeTint="A6"/>
                                  <w:sz w:val="28"/>
                                  <w:szCs w:val="28"/>
                                </w:rPr>
                              </w:pPr>
                              <w:r>
                                <w:rPr>
                                  <w:color w:val="595959" w:themeColor="text1" w:themeTint="A6"/>
                                  <w:sz w:val="28"/>
                                  <w:szCs w:val="28"/>
                                </w:rPr>
                                <w:t>Ian Cockerham (2105630)</w:t>
                              </w:r>
                            </w:p>
                          </w:sdtContent>
                        </w:sdt>
                        <w:p w14:paraId="34A4E244" w14:textId="4B702F25" w:rsidR="00776A2C" w:rsidRDefault="00776A2C">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2C01E0FD" wp14:editId="5F2121A6">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73A710B7" w14:textId="7579110B" w:rsidR="00776A2C" w:rsidRDefault="00776A2C">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C01E0FD"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73A710B7" w14:textId="7579110B" w:rsidR="00776A2C" w:rsidRDefault="00776A2C">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514D20C" wp14:editId="5ACAC9A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60F152" w14:textId="40BD5D31" w:rsidR="00776A2C" w:rsidRDefault="00776A2C">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Assignemnt 2</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81695F4" w14:textId="3E689E00" w:rsidR="00776A2C" w:rsidRDefault="00776A2C">
                                    <w:pPr>
                                      <w:jc w:val="right"/>
                                      <w:rPr>
                                        <w:smallCaps/>
                                        <w:color w:val="404040" w:themeColor="text1" w:themeTint="BF"/>
                                        <w:sz w:val="36"/>
                                        <w:szCs w:val="36"/>
                                      </w:rPr>
                                    </w:pPr>
                                    <w:r>
                                      <w:rPr>
                                        <w:color w:val="404040" w:themeColor="text1" w:themeTint="BF"/>
                                        <w:sz w:val="36"/>
                                        <w:szCs w:val="36"/>
                                      </w:rPr>
                                      <w:t>Sport, Physical Activity and Society</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514D20C"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0E60F152" w14:textId="40BD5D31" w:rsidR="00776A2C" w:rsidRDefault="00776A2C">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Assignemnt 2</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81695F4" w14:textId="3E689E00" w:rsidR="00776A2C" w:rsidRDefault="00776A2C">
                              <w:pPr>
                                <w:jc w:val="right"/>
                                <w:rPr>
                                  <w:smallCaps/>
                                  <w:color w:val="404040" w:themeColor="text1" w:themeTint="BF"/>
                                  <w:sz w:val="36"/>
                                  <w:szCs w:val="36"/>
                                </w:rPr>
                              </w:pPr>
                              <w:r>
                                <w:rPr>
                                  <w:color w:val="404040" w:themeColor="text1" w:themeTint="BF"/>
                                  <w:sz w:val="36"/>
                                  <w:szCs w:val="36"/>
                                </w:rPr>
                                <w:t>Sport, Physical Activity and Society</w:t>
                              </w:r>
                            </w:p>
                          </w:sdtContent>
                        </w:sdt>
                      </w:txbxContent>
                    </v:textbox>
                    <w10:wrap type="square" anchorx="page" anchory="page"/>
                  </v:shape>
                </w:pict>
              </mc:Fallback>
            </mc:AlternateContent>
          </w:r>
        </w:p>
        <w:p w14:paraId="5B3EB4DB" w14:textId="30A828AD" w:rsidR="00776A2C" w:rsidRDefault="00776A2C">
          <w:r>
            <w:br w:type="page"/>
          </w:r>
        </w:p>
      </w:sdtContent>
    </w:sdt>
    <w:p w14:paraId="523C367F" w14:textId="5EEB6BB1" w:rsidR="00227E18" w:rsidRDefault="00776A2C">
      <w:pPr>
        <w:rPr>
          <w:b/>
          <w:bCs/>
          <w:u w:val="single"/>
        </w:rPr>
      </w:pPr>
      <w:r w:rsidRPr="00776A2C">
        <w:rPr>
          <w:b/>
          <w:bCs/>
          <w:u w:val="single"/>
        </w:rPr>
        <w:lastRenderedPageBreak/>
        <w:t>Contents Page</w:t>
      </w:r>
    </w:p>
    <w:p w14:paraId="088F4A3C" w14:textId="203960EA" w:rsidR="00776A2C" w:rsidRDefault="00776A2C" w:rsidP="00776A2C">
      <w:pPr>
        <w:tabs>
          <w:tab w:val="center" w:pos="4513"/>
          <w:tab w:val="right" w:pos="9026"/>
        </w:tabs>
        <w:rPr>
          <w:b/>
          <w:bCs/>
        </w:rPr>
      </w:pPr>
      <w:r>
        <w:rPr>
          <w:b/>
          <w:bCs/>
        </w:rPr>
        <w:t>Section</w:t>
      </w:r>
      <w:r>
        <w:rPr>
          <w:b/>
          <w:bCs/>
        </w:rPr>
        <w:tab/>
        <w:t>Title</w:t>
      </w:r>
      <w:r>
        <w:rPr>
          <w:b/>
          <w:bCs/>
        </w:rPr>
        <w:tab/>
        <w:t>Page Number</w:t>
      </w:r>
    </w:p>
    <w:p w14:paraId="5447BC4F" w14:textId="1C3F7FFB" w:rsidR="00776A2C" w:rsidRDefault="00776A2C" w:rsidP="0043237B">
      <w:pPr>
        <w:tabs>
          <w:tab w:val="center" w:pos="4513"/>
          <w:tab w:val="right" w:pos="9026"/>
        </w:tabs>
      </w:pPr>
      <w:r>
        <w:t>1.1</w:t>
      </w:r>
      <w:r>
        <w:tab/>
        <w:t>Sociological Imagination</w:t>
      </w:r>
      <w:r w:rsidR="0043237B">
        <w:tab/>
      </w:r>
      <w:r w:rsidR="00F76EBF">
        <w:t>2</w:t>
      </w:r>
    </w:p>
    <w:p w14:paraId="4B1D7EC0" w14:textId="6617E50F" w:rsidR="002776EA" w:rsidRDefault="002776EA" w:rsidP="002776EA">
      <w:pPr>
        <w:tabs>
          <w:tab w:val="center" w:pos="4513"/>
          <w:tab w:val="right" w:pos="9026"/>
        </w:tabs>
      </w:pPr>
      <w:r>
        <w:t>1.2</w:t>
      </w:r>
      <w:r>
        <w:tab/>
        <w:t>Word Count</w:t>
      </w:r>
      <w:r>
        <w:tab/>
        <w:t>2</w:t>
      </w:r>
    </w:p>
    <w:p w14:paraId="16CE47E2" w14:textId="09C31669" w:rsidR="0043237B" w:rsidRDefault="0043237B" w:rsidP="0043237B">
      <w:pPr>
        <w:tabs>
          <w:tab w:val="center" w:pos="4513"/>
          <w:tab w:val="right" w:pos="9026"/>
        </w:tabs>
      </w:pPr>
      <w:r>
        <w:t>1.</w:t>
      </w:r>
      <w:r w:rsidR="002776EA">
        <w:t>3</w:t>
      </w:r>
      <w:r>
        <w:tab/>
        <w:t>References</w:t>
      </w:r>
      <w:r>
        <w:tab/>
      </w:r>
      <w:r w:rsidR="00F76EBF">
        <w:t>3</w:t>
      </w:r>
    </w:p>
    <w:p w14:paraId="7AC4C2B4" w14:textId="77777777" w:rsidR="0043237B" w:rsidRDefault="0043237B" w:rsidP="0043237B">
      <w:pPr>
        <w:tabs>
          <w:tab w:val="center" w:pos="4513"/>
          <w:tab w:val="right" w:pos="9026"/>
        </w:tabs>
      </w:pPr>
    </w:p>
    <w:p w14:paraId="4F76000A" w14:textId="79791BD7" w:rsidR="0043237B" w:rsidRDefault="0043237B" w:rsidP="0043237B">
      <w:pPr>
        <w:tabs>
          <w:tab w:val="center" w:pos="4513"/>
          <w:tab w:val="right" w:pos="9026"/>
        </w:tabs>
      </w:pPr>
      <w:r>
        <w:t>2.1</w:t>
      </w:r>
      <w:r>
        <w:tab/>
        <w:t>Sports Participation Statistics</w:t>
      </w:r>
      <w:r>
        <w:tab/>
      </w:r>
      <w:r w:rsidR="00F76EBF">
        <w:t>4</w:t>
      </w:r>
    </w:p>
    <w:p w14:paraId="362DF6C0" w14:textId="1CC1D165" w:rsidR="008F4B20" w:rsidRDefault="008F4B20" w:rsidP="008F4B20">
      <w:pPr>
        <w:tabs>
          <w:tab w:val="center" w:pos="4513"/>
          <w:tab w:val="right" w:pos="9026"/>
        </w:tabs>
      </w:pPr>
      <w:r>
        <w:t>2.2</w:t>
      </w:r>
      <w:r>
        <w:tab/>
        <w:t>Word Count</w:t>
      </w:r>
      <w:r>
        <w:tab/>
        <w:t>4</w:t>
      </w:r>
    </w:p>
    <w:p w14:paraId="4DD99A04" w14:textId="6702A98E" w:rsidR="0043237B" w:rsidRDefault="0043237B" w:rsidP="0043237B">
      <w:pPr>
        <w:tabs>
          <w:tab w:val="center" w:pos="4513"/>
          <w:tab w:val="right" w:pos="9026"/>
        </w:tabs>
      </w:pPr>
      <w:r>
        <w:t>2.</w:t>
      </w:r>
      <w:r w:rsidR="008F4B20">
        <w:t>3</w:t>
      </w:r>
      <w:r>
        <w:tab/>
        <w:t>References</w:t>
      </w:r>
      <w:r>
        <w:tab/>
      </w:r>
      <w:r w:rsidR="00F76EBF">
        <w:t>5</w:t>
      </w:r>
    </w:p>
    <w:p w14:paraId="0511F1EF" w14:textId="77777777" w:rsidR="0043237B" w:rsidRDefault="0043237B" w:rsidP="0043237B">
      <w:pPr>
        <w:tabs>
          <w:tab w:val="center" w:pos="4513"/>
          <w:tab w:val="right" w:pos="9026"/>
        </w:tabs>
      </w:pPr>
    </w:p>
    <w:p w14:paraId="26B996EB" w14:textId="528ADD17" w:rsidR="0043237B" w:rsidRDefault="0043237B" w:rsidP="0043237B">
      <w:pPr>
        <w:tabs>
          <w:tab w:val="center" w:pos="4513"/>
          <w:tab w:val="right" w:pos="9026"/>
        </w:tabs>
      </w:pPr>
      <w:r>
        <w:t>3.1</w:t>
      </w:r>
      <w:r>
        <w:tab/>
        <w:t>Health-based Intervention</w:t>
      </w:r>
      <w:r>
        <w:tab/>
      </w:r>
      <w:r w:rsidR="00F76EBF">
        <w:t>6</w:t>
      </w:r>
    </w:p>
    <w:p w14:paraId="3450AD8C" w14:textId="0F36C02B" w:rsidR="008F4B20" w:rsidRDefault="008F4B20" w:rsidP="008F4B20">
      <w:pPr>
        <w:tabs>
          <w:tab w:val="center" w:pos="4513"/>
          <w:tab w:val="right" w:pos="9026"/>
        </w:tabs>
      </w:pPr>
      <w:r>
        <w:t>3.2</w:t>
      </w:r>
      <w:r>
        <w:tab/>
        <w:t>Word Count</w:t>
      </w:r>
      <w:r>
        <w:tab/>
        <w:t>6</w:t>
      </w:r>
    </w:p>
    <w:p w14:paraId="245BAF77" w14:textId="7D55BCE2" w:rsidR="0043237B" w:rsidRDefault="0043237B" w:rsidP="0043237B">
      <w:pPr>
        <w:tabs>
          <w:tab w:val="center" w:pos="4513"/>
          <w:tab w:val="right" w:pos="9026"/>
        </w:tabs>
      </w:pPr>
      <w:r>
        <w:t>3.</w:t>
      </w:r>
      <w:r w:rsidR="008F4B20">
        <w:t>3</w:t>
      </w:r>
      <w:r>
        <w:tab/>
        <w:t>References</w:t>
      </w:r>
      <w:r>
        <w:tab/>
      </w:r>
      <w:r w:rsidR="00F76EBF">
        <w:t>7</w:t>
      </w:r>
    </w:p>
    <w:p w14:paraId="19DABA0E" w14:textId="73AFAFB9" w:rsidR="0043237B" w:rsidRDefault="0043237B" w:rsidP="0043237B">
      <w:pPr>
        <w:tabs>
          <w:tab w:val="center" w:pos="4513"/>
          <w:tab w:val="right" w:pos="9026"/>
        </w:tabs>
      </w:pPr>
    </w:p>
    <w:p w14:paraId="35F53C73" w14:textId="77777777" w:rsidR="0043237B" w:rsidRDefault="0043237B">
      <w:r>
        <w:br w:type="page"/>
      </w:r>
    </w:p>
    <w:p w14:paraId="50E81082" w14:textId="7BFA672D" w:rsidR="00F76EBF" w:rsidRPr="000F4526" w:rsidRDefault="00F76EBF" w:rsidP="00F76EBF">
      <w:pPr>
        <w:pStyle w:val="ListParagraph"/>
        <w:numPr>
          <w:ilvl w:val="1"/>
          <w:numId w:val="1"/>
        </w:numPr>
        <w:tabs>
          <w:tab w:val="center" w:pos="4513"/>
          <w:tab w:val="right" w:pos="9026"/>
        </w:tabs>
      </w:pPr>
      <w:r w:rsidRPr="00F76EBF">
        <w:rPr>
          <w:b/>
          <w:bCs/>
        </w:rPr>
        <w:lastRenderedPageBreak/>
        <w:t>Sociological Imagination</w:t>
      </w:r>
    </w:p>
    <w:p w14:paraId="505531B7" w14:textId="04DC824D" w:rsidR="000F4526" w:rsidRDefault="000F4526" w:rsidP="000F4526">
      <w:pPr>
        <w:tabs>
          <w:tab w:val="center" w:pos="4513"/>
          <w:tab w:val="right" w:pos="9026"/>
        </w:tabs>
      </w:pPr>
    </w:p>
    <w:p w14:paraId="2735F286" w14:textId="409D5FDB" w:rsidR="000F4526" w:rsidRDefault="000F4526" w:rsidP="000F4526">
      <w:r>
        <w:t xml:space="preserve">Sociological Imagination is a sociological concept created by C Wright Mills in the 1950’s to better exemplify social phenomenon than other sociological concepts of his time. Mills, unlike his peers, places importance on </w:t>
      </w:r>
      <w:r w:rsidRPr="006E6EC0">
        <w:t>“seeing the connections between social structure and individual experience and agency” (Crossman, 20</w:t>
      </w:r>
      <w:r>
        <w:t>20</w:t>
      </w:r>
      <w:r w:rsidRPr="006E6EC0">
        <w:t>).</w:t>
      </w:r>
      <w:r>
        <w:t xml:space="preserve"> It is the idealism that an individual both has an impact on society and society’s impact on the individual that makes Mills concept so applicable in the modern environment (“What is Sociology Imagination?”, 2022). </w:t>
      </w:r>
    </w:p>
    <w:p w14:paraId="5BA5D820" w14:textId="77777777" w:rsidR="000F4526" w:rsidRDefault="000F4526" w:rsidP="000F4526"/>
    <w:p w14:paraId="046120B1" w14:textId="77777777" w:rsidR="000F4526" w:rsidRDefault="000F4526" w:rsidP="000F4526">
      <w:r>
        <w:t>Sociological Imagination is not reserved for sociologists or other experts in the human sciences. Rather it is a useful tool that is able to help individuals better understand the effect of their decisions, and how society can impact the actions of individuals. Take physical activity as an example. In England 33,148,100 people or 72.5% of the population are at least “fairly active” meaning they exercise for 30 minutes or more a week (“Active Lives data tables | Sport England”, 2022). An individual now has a choice to make, how much exercise do they want to do. Doing less than 30 minutes of exercise will classify them as inactive according to Sport England week (“Active Lives data tables | Sport England”, 2022). This is where the individual benefits from stopping and using sociological imagination. By not blindly conforming to the societal norm of partaking in physical activity or not partaking, and making a conscientious decisions the individual is empowering themselves. This is the sentiment that Mills expressed when he developed sociological imagination (“What is Sociological Imagination?”, 2022).</w:t>
      </w:r>
    </w:p>
    <w:p w14:paraId="1D2FCA58" w14:textId="77777777" w:rsidR="000F4526" w:rsidRDefault="000F4526" w:rsidP="000F4526"/>
    <w:p w14:paraId="4D72539B" w14:textId="77777777" w:rsidR="000F4526" w:rsidRDefault="000F4526" w:rsidP="000F4526">
      <w:r>
        <w:t>Freedom and autonomy are aspects heavily integrated into sociological imagination. Mills argued that in over developed organizations rationality, freedom, is moved from the individual to the organization (Mills, 1976, cited in Elwell, 2013). This event occurs not just in the greater environment of society but also in micro environments such as sports. Sports can be a way for individuals to express themselves. Football, for example, has a very linear authority structure. There is a team manager (organisation) that controls the players (individuals). When a Football match is being played, the players are responsible for their performance, no matter if its flashy or plain and simple. Should the manager try and dictate that the players perform in a specific manner, according to Mills, the manager is instilling “rationality without reason” and is thus stripping the players of their freedom of choice (Mills, 1976, cited in Elwell, 2013).</w:t>
      </w:r>
    </w:p>
    <w:p w14:paraId="35FE3FA5" w14:textId="77777777" w:rsidR="000F4526" w:rsidRDefault="000F4526" w:rsidP="000F4526"/>
    <w:p w14:paraId="75DC6AB7" w14:textId="77777777" w:rsidR="000F4526" w:rsidRDefault="000F4526" w:rsidP="000F4526">
      <w:r>
        <w:t xml:space="preserve">Sociological Imagination is a critical tool that can be used by everyone, not just specialists. It helps differentiate between the wishes of the individual verses the demands of an organisation or society. Through this realization the individual is able to exercise human values that are fundamental, “freedom and reason” (Mills, 1976, cited in Elwell, 2013). Sociological imagination can be used for more than understanding the present. Not only can the individual see “what </w:t>
      </w:r>
      <w:r>
        <w:rPr>
          <w:i/>
          <w:iCs/>
        </w:rPr>
        <w:t>is</w:t>
      </w:r>
      <w:r>
        <w:t xml:space="preserve"> real” they can also see what “could </w:t>
      </w:r>
      <w:r>
        <w:rPr>
          <w:i/>
          <w:iCs/>
        </w:rPr>
        <w:t>become</w:t>
      </w:r>
      <w:r>
        <w:t xml:space="preserve"> real” through the usage of sociological imagination (Crossman, 2020). </w:t>
      </w:r>
    </w:p>
    <w:p w14:paraId="1A7F7847" w14:textId="77777777" w:rsidR="000F4526" w:rsidRDefault="000F4526" w:rsidP="000F4526">
      <w:pPr>
        <w:tabs>
          <w:tab w:val="center" w:pos="4513"/>
          <w:tab w:val="right" w:pos="9026"/>
        </w:tabs>
      </w:pPr>
    </w:p>
    <w:p w14:paraId="6BD38DA0" w14:textId="268D661E" w:rsidR="002776EA" w:rsidRPr="008F4B20" w:rsidRDefault="008F4B20">
      <w:pPr>
        <w:rPr>
          <w:b/>
          <w:bCs/>
        </w:rPr>
      </w:pPr>
      <w:r w:rsidRPr="008F4B20">
        <w:rPr>
          <w:b/>
          <w:bCs/>
        </w:rPr>
        <w:t xml:space="preserve">1.2 </w:t>
      </w:r>
      <w:r w:rsidR="000F4526" w:rsidRPr="008F4B20">
        <w:rPr>
          <w:b/>
          <w:bCs/>
        </w:rPr>
        <w:t>Word Count: 494</w:t>
      </w:r>
      <w:r w:rsidR="002776EA" w:rsidRPr="008F4B20">
        <w:rPr>
          <w:b/>
          <w:bCs/>
        </w:rPr>
        <w:br w:type="page"/>
      </w:r>
    </w:p>
    <w:p w14:paraId="5BA979D2" w14:textId="6BEA47AF" w:rsidR="002776EA" w:rsidRPr="000F4526" w:rsidRDefault="008F4B20" w:rsidP="008F4B20">
      <w:pPr>
        <w:tabs>
          <w:tab w:val="center" w:pos="4513"/>
          <w:tab w:val="right" w:pos="9026"/>
        </w:tabs>
      </w:pPr>
      <w:r>
        <w:rPr>
          <w:b/>
          <w:bCs/>
        </w:rPr>
        <w:lastRenderedPageBreak/>
        <w:t>1.3 R</w:t>
      </w:r>
      <w:r w:rsidR="002776EA" w:rsidRPr="008F4B20">
        <w:rPr>
          <w:b/>
          <w:bCs/>
        </w:rPr>
        <w:t>eferences</w:t>
      </w:r>
    </w:p>
    <w:p w14:paraId="0612189A" w14:textId="77777777" w:rsidR="000F4526" w:rsidRDefault="000F4526" w:rsidP="000F4526">
      <w:pPr>
        <w:tabs>
          <w:tab w:val="center" w:pos="4513"/>
          <w:tab w:val="right" w:pos="9026"/>
        </w:tabs>
      </w:pPr>
    </w:p>
    <w:p w14:paraId="3B26231C" w14:textId="1F5A1CC5" w:rsidR="002776EA" w:rsidRDefault="000F4526" w:rsidP="002776EA">
      <w:pPr>
        <w:tabs>
          <w:tab w:val="center" w:pos="4513"/>
          <w:tab w:val="right" w:pos="9026"/>
        </w:tabs>
      </w:pPr>
      <w:r>
        <w:rPr>
          <w:rFonts w:ascii="Open Sans" w:hAnsi="Open Sans" w:cs="Open Sans"/>
          <w:i/>
          <w:iCs/>
          <w:color w:val="000000"/>
          <w:sz w:val="20"/>
          <w:szCs w:val="20"/>
          <w:shd w:val="clear" w:color="auto" w:fill="FFFFFF"/>
        </w:rPr>
        <w:t>Active Lives data tables | Sport England</w:t>
      </w:r>
      <w:r>
        <w:rPr>
          <w:rFonts w:ascii="Open Sans" w:hAnsi="Open Sans" w:cs="Open Sans"/>
          <w:color w:val="000000"/>
          <w:sz w:val="20"/>
          <w:szCs w:val="20"/>
          <w:shd w:val="clear" w:color="auto" w:fill="FFFFFF"/>
        </w:rPr>
        <w:t>. Sport England. (2022). Retrieved 6 January 2022, from https://www.sportengland.org/know-your-audience/data/active-lives/active-lives-data-tables.</w:t>
      </w:r>
    </w:p>
    <w:p w14:paraId="0B1BCA11" w14:textId="2BB9F59F" w:rsidR="002776EA" w:rsidRDefault="002776EA" w:rsidP="002776EA">
      <w:pPr>
        <w:tabs>
          <w:tab w:val="center" w:pos="4513"/>
          <w:tab w:val="right" w:pos="9026"/>
        </w:tabs>
      </w:pPr>
      <w:r>
        <w:rPr>
          <w:rFonts w:ascii="Open Sans" w:hAnsi="Open Sans" w:cs="Open Sans"/>
          <w:color w:val="000000"/>
          <w:sz w:val="20"/>
          <w:szCs w:val="20"/>
          <w:shd w:val="clear" w:color="auto" w:fill="FFFFFF"/>
        </w:rPr>
        <w:t>Crossman, A. (20</w:t>
      </w:r>
      <w:r w:rsidR="000F4526">
        <w:rPr>
          <w:rFonts w:ascii="Open Sans" w:hAnsi="Open Sans" w:cs="Open Sans"/>
          <w:color w:val="000000"/>
          <w:sz w:val="20"/>
          <w:szCs w:val="20"/>
          <w:shd w:val="clear" w:color="auto" w:fill="FFFFFF"/>
        </w:rPr>
        <w:t>20</w:t>
      </w:r>
      <w:r>
        <w:rPr>
          <w:rFonts w:ascii="Open Sans" w:hAnsi="Open Sans" w:cs="Open Sans"/>
          <w:color w:val="000000"/>
          <w:sz w:val="20"/>
          <w:szCs w:val="20"/>
          <w:shd w:val="clear" w:color="auto" w:fill="FFFFFF"/>
        </w:rPr>
        <w:t>). </w:t>
      </w:r>
      <w:r>
        <w:rPr>
          <w:rFonts w:ascii="Open Sans" w:hAnsi="Open Sans" w:cs="Open Sans"/>
          <w:i/>
          <w:iCs/>
          <w:color w:val="000000"/>
          <w:sz w:val="20"/>
          <w:szCs w:val="20"/>
          <w:shd w:val="clear" w:color="auto" w:fill="FFFFFF"/>
        </w:rPr>
        <w:t>How to Use the Sociological Imagination</w:t>
      </w:r>
      <w:r>
        <w:rPr>
          <w:rFonts w:ascii="Open Sans" w:hAnsi="Open Sans" w:cs="Open Sans"/>
          <w:color w:val="000000"/>
          <w:sz w:val="20"/>
          <w:szCs w:val="20"/>
          <w:shd w:val="clear" w:color="auto" w:fill="FFFFFF"/>
        </w:rPr>
        <w:t xml:space="preserve">. ThoughtCo. Retrieved 6 January 2022, from </w:t>
      </w:r>
      <w:hyperlink r:id="rId10" w:history="1">
        <w:r w:rsidRPr="00AB5067">
          <w:rPr>
            <w:rStyle w:val="Hyperlink"/>
            <w:rFonts w:ascii="Open Sans" w:hAnsi="Open Sans" w:cs="Open Sans"/>
            <w:sz w:val="20"/>
            <w:szCs w:val="20"/>
            <w:shd w:val="clear" w:color="auto" w:fill="FFFFFF"/>
          </w:rPr>
          <w:t>https://www.thoughtco.com/sociological-imagination-3026756</w:t>
        </w:r>
      </w:hyperlink>
      <w:r>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xml:space="preserve"> </w:t>
      </w:r>
    </w:p>
    <w:p w14:paraId="10EAB601" w14:textId="448A7A83" w:rsidR="002776EA" w:rsidRDefault="002776EA" w:rsidP="002776EA">
      <w:pPr>
        <w:tabs>
          <w:tab w:val="center" w:pos="4513"/>
          <w:tab w:val="right" w:pos="9026"/>
        </w:tabs>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Elwell, F. (2013). </w:t>
      </w:r>
      <w:r>
        <w:rPr>
          <w:rFonts w:ascii="Open Sans" w:hAnsi="Open Sans" w:cs="Open Sans"/>
          <w:i/>
          <w:iCs/>
          <w:color w:val="000000"/>
          <w:sz w:val="20"/>
          <w:szCs w:val="20"/>
          <w:shd w:val="clear" w:color="auto" w:fill="FFFFFF"/>
        </w:rPr>
        <w:t>C. Wright Mills On the Sociological Imagination</w:t>
      </w:r>
      <w:r>
        <w:rPr>
          <w:rFonts w:ascii="Open Sans" w:hAnsi="Open Sans" w:cs="Open Sans"/>
          <w:color w:val="000000"/>
          <w:sz w:val="20"/>
          <w:szCs w:val="20"/>
          <w:shd w:val="clear" w:color="auto" w:fill="FFFFFF"/>
        </w:rPr>
        <w:t xml:space="preserve">. Faculty.rsu.edu. Retrieved 6 January 2022, from </w:t>
      </w:r>
      <w:hyperlink r:id="rId11" w:history="1">
        <w:r w:rsidRPr="00AB5067">
          <w:rPr>
            <w:rStyle w:val="Hyperlink"/>
            <w:rFonts w:ascii="Open Sans" w:hAnsi="Open Sans" w:cs="Open Sans"/>
            <w:sz w:val="20"/>
            <w:szCs w:val="20"/>
            <w:shd w:val="clear" w:color="auto" w:fill="FFFFFF"/>
          </w:rPr>
          <w:t>http://faculty.rsu.edu/~felwell/Theorists/Essays/Mills3.htm</w:t>
        </w:r>
      </w:hyperlink>
      <w:r>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xml:space="preserve"> </w:t>
      </w:r>
    </w:p>
    <w:p w14:paraId="0F8AD9CC" w14:textId="5D42225E" w:rsidR="000F4526" w:rsidRDefault="000F4526" w:rsidP="002776EA">
      <w:pPr>
        <w:tabs>
          <w:tab w:val="center" w:pos="4513"/>
          <w:tab w:val="right" w:pos="9026"/>
        </w:tabs>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Mills, C. (1976). </w:t>
      </w:r>
      <w:r>
        <w:rPr>
          <w:rFonts w:ascii="Open Sans" w:hAnsi="Open Sans" w:cs="Open Sans"/>
          <w:i/>
          <w:iCs/>
          <w:color w:val="000000"/>
          <w:sz w:val="20"/>
          <w:szCs w:val="20"/>
          <w:shd w:val="clear" w:color="auto" w:fill="FFFFFF"/>
        </w:rPr>
        <w:t>The sociological imagination</w:t>
      </w:r>
      <w:r>
        <w:rPr>
          <w:rFonts w:ascii="Open Sans" w:hAnsi="Open Sans" w:cs="Open Sans"/>
          <w:color w:val="000000"/>
          <w:sz w:val="20"/>
          <w:szCs w:val="20"/>
          <w:shd w:val="clear" w:color="auto" w:fill="FFFFFF"/>
        </w:rPr>
        <w:t>. Oxford University Press.</w:t>
      </w:r>
    </w:p>
    <w:p w14:paraId="4D2D64E3" w14:textId="6EF7D18D" w:rsidR="000F4526" w:rsidRPr="000F4526" w:rsidRDefault="000F4526" w:rsidP="002776EA">
      <w:pPr>
        <w:tabs>
          <w:tab w:val="center" w:pos="4513"/>
          <w:tab w:val="right" w:pos="9026"/>
        </w:tabs>
        <w:rPr>
          <w:rFonts w:ascii="Open Sans" w:hAnsi="Open Sans" w:cs="Open Sans"/>
          <w:color w:val="000000"/>
          <w:sz w:val="20"/>
          <w:szCs w:val="20"/>
          <w:shd w:val="clear" w:color="auto" w:fill="FFFFFF"/>
        </w:rPr>
      </w:pPr>
      <w:r>
        <w:rPr>
          <w:rFonts w:ascii="Open Sans" w:hAnsi="Open Sans" w:cs="Open Sans"/>
          <w:i/>
          <w:iCs/>
          <w:color w:val="000000"/>
          <w:sz w:val="20"/>
          <w:szCs w:val="20"/>
          <w:shd w:val="clear" w:color="auto" w:fill="FFFFFF"/>
        </w:rPr>
        <w:t>Obesity Rates by Country 2021</w:t>
      </w:r>
      <w:r>
        <w:rPr>
          <w:rFonts w:ascii="Open Sans" w:hAnsi="Open Sans" w:cs="Open Sans"/>
          <w:color w:val="000000"/>
          <w:sz w:val="20"/>
          <w:szCs w:val="20"/>
          <w:shd w:val="clear" w:color="auto" w:fill="FFFFFF"/>
        </w:rPr>
        <w:t>. Worldpopulationreview.com. (2022). Retrieved 6 January 2022, from https://worldpopulationreview.com/country-rankings/obesity-rates-by-country.</w:t>
      </w:r>
    </w:p>
    <w:p w14:paraId="34A51B4A" w14:textId="51636E7F" w:rsidR="002776EA" w:rsidRDefault="002776EA" w:rsidP="002776EA">
      <w:pPr>
        <w:tabs>
          <w:tab w:val="center" w:pos="4513"/>
          <w:tab w:val="right" w:pos="9026"/>
        </w:tabs>
        <w:rPr>
          <w:rFonts w:ascii="Open Sans" w:hAnsi="Open Sans" w:cs="Open Sans"/>
          <w:color w:val="000000"/>
          <w:sz w:val="20"/>
          <w:szCs w:val="20"/>
          <w:shd w:val="clear" w:color="auto" w:fill="FFFFFF"/>
        </w:rPr>
      </w:pPr>
      <w:r>
        <w:rPr>
          <w:rFonts w:ascii="Open Sans" w:hAnsi="Open Sans" w:cs="Open Sans"/>
          <w:i/>
          <w:iCs/>
          <w:color w:val="000000"/>
          <w:sz w:val="20"/>
          <w:szCs w:val="20"/>
          <w:shd w:val="clear" w:color="auto" w:fill="FFFFFF"/>
        </w:rPr>
        <w:t>What is Sociological Imagination?</w:t>
      </w:r>
      <w:r>
        <w:rPr>
          <w:rFonts w:ascii="Open Sans" w:hAnsi="Open Sans" w:cs="Open Sans"/>
          <w:color w:val="000000"/>
          <w:sz w:val="20"/>
          <w:szCs w:val="20"/>
          <w:shd w:val="clear" w:color="auto" w:fill="FFFFFF"/>
        </w:rPr>
        <w:t xml:space="preserve">. Nu.edu. (2022). Retrieved 6 January 2022, from </w:t>
      </w:r>
      <w:hyperlink r:id="rId12" w:history="1">
        <w:r w:rsidRPr="00AB5067">
          <w:rPr>
            <w:rStyle w:val="Hyperlink"/>
            <w:rFonts w:ascii="Open Sans" w:hAnsi="Open Sans" w:cs="Open Sans"/>
            <w:sz w:val="20"/>
            <w:szCs w:val="20"/>
            <w:shd w:val="clear" w:color="auto" w:fill="FFFFFF"/>
          </w:rPr>
          <w:t>https://www.nu.edu/resources/what-is-sociological-imagination/</w:t>
        </w:r>
      </w:hyperlink>
      <w:r>
        <w:rPr>
          <w:rFonts w:ascii="Open Sans" w:hAnsi="Open Sans" w:cs="Open Sans"/>
          <w:color w:val="000000"/>
          <w:sz w:val="20"/>
          <w:szCs w:val="20"/>
          <w:shd w:val="clear" w:color="auto" w:fill="FFFFFF"/>
        </w:rPr>
        <w:t>.</w:t>
      </w:r>
    </w:p>
    <w:p w14:paraId="583735F2" w14:textId="5ED2552B" w:rsidR="002776EA" w:rsidRDefault="002776EA" w:rsidP="002776EA">
      <w:pPr>
        <w:tabs>
          <w:tab w:val="center" w:pos="4513"/>
          <w:tab w:val="right" w:pos="9026"/>
        </w:tabs>
        <w:rPr>
          <w:rFonts w:ascii="Open Sans" w:hAnsi="Open Sans" w:cs="Open Sans"/>
          <w:color w:val="000000"/>
          <w:sz w:val="20"/>
          <w:szCs w:val="20"/>
          <w:shd w:val="clear" w:color="auto" w:fill="FFFFFF"/>
        </w:rPr>
      </w:pPr>
    </w:p>
    <w:p w14:paraId="461A408A" w14:textId="782AD9E0" w:rsidR="002776EA" w:rsidRDefault="002776EA" w:rsidP="002776EA">
      <w:pPr>
        <w:tabs>
          <w:tab w:val="center" w:pos="4513"/>
          <w:tab w:val="right" w:pos="9026"/>
        </w:tabs>
        <w:rPr>
          <w:rFonts w:ascii="Open Sans" w:hAnsi="Open Sans" w:cs="Open Sans"/>
          <w:color w:val="000000"/>
          <w:sz w:val="20"/>
          <w:szCs w:val="20"/>
          <w:shd w:val="clear" w:color="auto" w:fill="FFFFFF"/>
        </w:rPr>
      </w:pPr>
    </w:p>
    <w:p w14:paraId="1EF56E39" w14:textId="58D1551E" w:rsidR="002776EA" w:rsidRDefault="002776EA" w:rsidP="002776EA">
      <w:pPr>
        <w:tabs>
          <w:tab w:val="center" w:pos="4513"/>
          <w:tab w:val="right" w:pos="9026"/>
        </w:tabs>
      </w:pPr>
    </w:p>
    <w:p w14:paraId="71BB3C22" w14:textId="77777777" w:rsidR="002776EA" w:rsidRDefault="002776EA">
      <w:r>
        <w:br w:type="page"/>
      </w:r>
    </w:p>
    <w:p w14:paraId="77F6F992" w14:textId="2244F883" w:rsidR="002776EA" w:rsidRDefault="002776EA" w:rsidP="002776EA">
      <w:pPr>
        <w:tabs>
          <w:tab w:val="center" w:pos="4513"/>
          <w:tab w:val="right" w:pos="9026"/>
        </w:tabs>
      </w:pPr>
      <w:r>
        <w:lastRenderedPageBreak/>
        <w:t xml:space="preserve">2.1 </w:t>
      </w:r>
      <w:r>
        <w:rPr>
          <w:b/>
          <w:bCs/>
        </w:rPr>
        <w:t>Sports Participation Statistics</w:t>
      </w:r>
    </w:p>
    <w:p w14:paraId="4AFE900F" w14:textId="22E95A74" w:rsidR="002776EA" w:rsidRDefault="002776EA" w:rsidP="002776EA">
      <w:pPr>
        <w:tabs>
          <w:tab w:val="center" w:pos="4513"/>
          <w:tab w:val="right" w:pos="9026"/>
        </w:tabs>
      </w:pPr>
    </w:p>
    <w:p w14:paraId="176DCE2E" w14:textId="77777777" w:rsidR="008F4B20" w:rsidRDefault="008F4B20" w:rsidP="008F4B20">
      <w:pPr>
        <w:ind w:firstLine="720"/>
      </w:pPr>
      <w:r>
        <w:t>Statistics in sport allow for in depth understanding of information. Information which gives teams, managers, and fans insight to how well an athlete or group of athletes are competing. When the focus of sport statistics is no longer on competition, rather participation the information gives insight into the underlying foundation of a sport. The boundaries to partaking in sport are identifiable through the understanding of the participation statistics.</w:t>
      </w:r>
    </w:p>
    <w:p w14:paraId="6A8B6BDD" w14:textId="77777777" w:rsidR="008F4B20" w:rsidRDefault="008F4B20" w:rsidP="008F4B20"/>
    <w:p w14:paraId="01B5DD1F" w14:textId="77777777" w:rsidR="008F4B20" w:rsidRDefault="008F4B20" w:rsidP="008F4B20">
      <w:r>
        <w:t xml:space="preserve">In 2017 Lukas </w:t>
      </w:r>
      <w:proofErr w:type="spellStart"/>
      <w:r>
        <w:t>Audickas</w:t>
      </w:r>
      <w:proofErr w:type="spellEnd"/>
      <w:r>
        <w:t xml:space="preserve"> wrote a report regarding the participation in sport of England. </w:t>
      </w:r>
      <w:proofErr w:type="spellStart"/>
      <w:r>
        <w:t>Audickas</w:t>
      </w:r>
      <w:proofErr w:type="spellEnd"/>
      <w:r>
        <w:t xml:space="preserve"> looked into a wide variety of different variables. One such variable </w:t>
      </w:r>
      <w:proofErr w:type="spellStart"/>
      <w:r>
        <w:t>Audickas</w:t>
      </w:r>
      <w:proofErr w:type="spellEnd"/>
      <w:r>
        <w:t xml:space="preserve"> looked into was socioeconomic status, how much money an individual or household has at their disposal. Starting with NS SEC1-2’s (managers, admin, and professional occupations) participation rating of 70% (active) and 14% (fairly active) there was a downward trend all the way until NS SEC 9 (long term unemployed or never worked) whose participation rating was 49% (active) and 14% (fairly active). There was one outlier to the overall downward trend, Students. Students had a 69% (active) participation rating. This overall trend suggests that the amount of income a household makes is a strong determiner to if that household partakes in sport, there are more variables that also hold an impact in participation.</w:t>
      </w:r>
    </w:p>
    <w:p w14:paraId="38F0ADF4" w14:textId="77777777" w:rsidR="008F4B20" w:rsidRDefault="008F4B20" w:rsidP="008F4B20"/>
    <w:p w14:paraId="044E2C42" w14:textId="77777777" w:rsidR="008F4B20" w:rsidRDefault="008F4B20" w:rsidP="008F4B20">
      <w:r>
        <w:t>If participation can be linked to the amount of money in a household, then there should be a link between age and sport since individuals can only work in England and the UK after a certain age. Though plausible the data suggests a different story. The data suggests that as individuals get older they partake in sport less and less, in fact the highest participation rating of 74% (active) was recorded for those aged 16-24 (</w:t>
      </w:r>
      <w:proofErr w:type="spellStart"/>
      <w:r>
        <w:t>Audickas</w:t>
      </w:r>
      <w:proofErr w:type="spellEnd"/>
      <w:r>
        <w:t xml:space="preserve">, 2017). </w:t>
      </w:r>
    </w:p>
    <w:p w14:paraId="46049673" w14:textId="77777777" w:rsidR="008F4B20" w:rsidRDefault="008F4B20" w:rsidP="008F4B20"/>
    <w:p w14:paraId="390C95A4" w14:textId="77777777" w:rsidR="008F4B20" w:rsidRDefault="008F4B20" w:rsidP="008F4B20">
      <w:r>
        <w:t xml:space="preserve">Gender is another factor that can cause a difference in participation. In 2017 </w:t>
      </w:r>
      <w:proofErr w:type="spellStart"/>
      <w:r>
        <w:t>Audickas</w:t>
      </w:r>
      <w:proofErr w:type="spellEnd"/>
      <w:r>
        <w:t xml:space="preserve"> found that men had a participation rating of 63% while women had a participation rating of 58%. A more recent report found that participation has grown for both men and women, however the gap has closed; men: 65%, women: 63% (O’Keefe, 2020). While there is a difference in sports participation for leisure, there is no difference in sports participation for work. According to </w:t>
      </w:r>
      <w:proofErr w:type="spellStart"/>
      <w:r>
        <w:t>Audickas’s</w:t>
      </w:r>
      <w:proofErr w:type="spellEnd"/>
      <w:r>
        <w:t xml:space="preserve"> report, of England’s 399,100 sport workers, 50% are male, 50% are female (2017). </w:t>
      </w:r>
    </w:p>
    <w:p w14:paraId="32D58294" w14:textId="77777777" w:rsidR="008F4B20" w:rsidRDefault="008F4B20" w:rsidP="008F4B20"/>
    <w:p w14:paraId="6D3FE729" w14:textId="0A4416D9" w:rsidR="002776EA" w:rsidRDefault="008F4B20" w:rsidP="008F4B20">
      <w:pPr>
        <w:tabs>
          <w:tab w:val="center" w:pos="4513"/>
          <w:tab w:val="right" w:pos="9026"/>
        </w:tabs>
      </w:pPr>
      <w:r>
        <w:tab/>
        <w:t>Sports statistics compile a visual representation of who is partaking and who is not. Identifying the potential reasons certain groups of people are unwilling or unable to partake allows a sport to modify participation requirements to effect participation rates. Though potential restrictions maybe be statistically relevant, not every barrier can be accounted for. Extenuating circumstances occur that prohibit individuals from partaking in sport, none the less sport should remain an open, safe, and competitive, environment for all to enjoy</w:t>
      </w:r>
      <w:r>
        <w:t>.</w:t>
      </w:r>
    </w:p>
    <w:p w14:paraId="712D484A" w14:textId="713B32D5" w:rsidR="008F4B20" w:rsidRDefault="008F4B20" w:rsidP="008F4B20">
      <w:pPr>
        <w:tabs>
          <w:tab w:val="center" w:pos="4513"/>
          <w:tab w:val="right" w:pos="9026"/>
        </w:tabs>
      </w:pPr>
    </w:p>
    <w:p w14:paraId="14118A80" w14:textId="1618FDAC" w:rsidR="008F4B20" w:rsidRPr="008F4B20" w:rsidRDefault="008F4B20" w:rsidP="008F4B20">
      <w:pPr>
        <w:tabs>
          <w:tab w:val="center" w:pos="4513"/>
          <w:tab w:val="right" w:pos="9026"/>
        </w:tabs>
        <w:rPr>
          <w:b/>
          <w:bCs/>
        </w:rPr>
      </w:pPr>
      <w:r w:rsidRPr="008F4B20">
        <w:rPr>
          <w:b/>
          <w:bCs/>
        </w:rPr>
        <w:t xml:space="preserve">2.2 Word Count: 455 </w:t>
      </w:r>
      <w:r w:rsidRPr="008F4B20">
        <w:rPr>
          <w:b/>
          <w:bCs/>
        </w:rPr>
        <w:br w:type="page"/>
      </w:r>
    </w:p>
    <w:p w14:paraId="74566590" w14:textId="65962962" w:rsidR="008F4B20" w:rsidRDefault="008F4B20" w:rsidP="008F4B20">
      <w:pPr>
        <w:tabs>
          <w:tab w:val="center" w:pos="4513"/>
          <w:tab w:val="right" w:pos="9026"/>
        </w:tabs>
        <w:rPr>
          <w:b/>
          <w:bCs/>
        </w:rPr>
      </w:pPr>
      <w:r>
        <w:rPr>
          <w:b/>
          <w:bCs/>
        </w:rPr>
        <w:lastRenderedPageBreak/>
        <w:t>2.3 References</w:t>
      </w:r>
    </w:p>
    <w:p w14:paraId="78C65D22" w14:textId="77777777" w:rsidR="008F4B20" w:rsidRDefault="008F4B20" w:rsidP="008F4B20">
      <w:pPr>
        <w:tabs>
          <w:tab w:val="center" w:pos="4513"/>
          <w:tab w:val="right" w:pos="9026"/>
        </w:tabs>
      </w:pPr>
    </w:p>
    <w:p w14:paraId="51DECBF4" w14:textId="461D9F67" w:rsidR="008F4B20" w:rsidRDefault="008F4B20" w:rsidP="008F4B20">
      <w:pPr>
        <w:rPr>
          <w:rFonts w:ascii="Open Sans" w:hAnsi="Open Sans" w:cs="Open Sans"/>
          <w:color w:val="000000"/>
          <w:sz w:val="20"/>
          <w:szCs w:val="20"/>
          <w:shd w:val="clear" w:color="auto" w:fill="FFFFFF"/>
        </w:rPr>
      </w:pPr>
      <w:proofErr w:type="spellStart"/>
      <w:r>
        <w:rPr>
          <w:rFonts w:ascii="Open Sans" w:hAnsi="Open Sans" w:cs="Open Sans"/>
          <w:color w:val="000000"/>
          <w:sz w:val="20"/>
          <w:szCs w:val="20"/>
          <w:shd w:val="clear" w:color="auto" w:fill="FFFFFF"/>
        </w:rPr>
        <w:t>Audickas</w:t>
      </w:r>
      <w:proofErr w:type="spellEnd"/>
      <w:r>
        <w:rPr>
          <w:rFonts w:ascii="Open Sans" w:hAnsi="Open Sans" w:cs="Open Sans"/>
          <w:color w:val="000000"/>
          <w:sz w:val="20"/>
          <w:szCs w:val="20"/>
          <w:shd w:val="clear" w:color="auto" w:fill="FFFFFF"/>
        </w:rPr>
        <w:t xml:space="preserve">, L. (2017). Researchbriefings.files.parliament.uk. Retrieved 7 January 2022, from </w:t>
      </w:r>
      <w:hyperlink r:id="rId13" w:history="1">
        <w:r w:rsidRPr="00AB5067">
          <w:rPr>
            <w:rStyle w:val="Hyperlink"/>
            <w:rFonts w:ascii="Open Sans" w:hAnsi="Open Sans" w:cs="Open Sans"/>
            <w:sz w:val="20"/>
            <w:szCs w:val="20"/>
            <w:shd w:val="clear" w:color="auto" w:fill="FFFFFF"/>
          </w:rPr>
          <w:t>https://researchbriefings.files.parliament.uk/documents/CBP-8181/CBP-8181.pdf</w:t>
        </w:r>
      </w:hyperlink>
      <w:r>
        <w:rPr>
          <w:rFonts w:ascii="Open Sans" w:hAnsi="Open Sans" w:cs="Open Sans"/>
          <w:color w:val="000000"/>
          <w:sz w:val="20"/>
          <w:szCs w:val="20"/>
          <w:shd w:val="clear" w:color="auto" w:fill="FFFFFF"/>
        </w:rPr>
        <w:t>.</w:t>
      </w:r>
    </w:p>
    <w:p w14:paraId="6B4334DE" w14:textId="77777777" w:rsidR="008F4B20" w:rsidRDefault="008F4B20" w:rsidP="008F4B20">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O'Keefe, L. (2020). </w:t>
      </w:r>
      <w:r>
        <w:rPr>
          <w:rFonts w:ascii="Open Sans" w:hAnsi="Open Sans" w:cs="Open Sans"/>
          <w:i/>
          <w:iCs/>
          <w:color w:val="000000"/>
          <w:sz w:val="20"/>
          <w:szCs w:val="20"/>
          <w:shd w:val="clear" w:color="auto" w:fill="FFFFFF"/>
        </w:rPr>
        <w:t>Active Lives Adult Survey</w:t>
      </w:r>
      <w:r>
        <w:rPr>
          <w:rFonts w:ascii="Open Sans" w:hAnsi="Open Sans" w:cs="Open Sans"/>
          <w:color w:val="000000"/>
          <w:sz w:val="20"/>
          <w:szCs w:val="20"/>
          <w:shd w:val="clear" w:color="auto" w:fill="FFFFFF"/>
        </w:rPr>
        <w:t xml:space="preserve">. Sportengland-production-files.s3.eu-west-2.amazonaws.com. Retrieved 7 January 2022, from </w:t>
      </w:r>
      <w:hyperlink r:id="rId14" w:history="1">
        <w:r w:rsidRPr="00AB5067">
          <w:rPr>
            <w:rStyle w:val="Hyperlink"/>
            <w:rFonts w:ascii="Open Sans" w:hAnsi="Open Sans" w:cs="Open Sans"/>
            <w:sz w:val="20"/>
            <w:szCs w:val="20"/>
            <w:shd w:val="clear" w:color="auto" w:fill="FFFFFF"/>
          </w:rPr>
          <w:t>https://sportengland-production-files.s3.eu-west-2.amazonaws.com/s3fs-public/2020-10/Active%20Lives%20Adult%20May%2019-20%20Report.pdf?AYzBswpBmlh9cNcH8TFctPI38v4Ok2JD</w:t>
        </w:r>
      </w:hyperlink>
      <w:r>
        <w:rPr>
          <w:rFonts w:ascii="Open Sans" w:hAnsi="Open Sans" w:cs="Open Sans"/>
          <w:color w:val="000000"/>
          <w:sz w:val="20"/>
          <w:szCs w:val="20"/>
          <w:shd w:val="clear" w:color="auto" w:fill="FFFFFF"/>
        </w:rPr>
        <w:t>.</w:t>
      </w:r>
    </w:p>
    <w:p w14:paraId="44699F09" w14:textId="34F30741" w:rsidR="008F4B20" w:rsidRDefault="008F4B20" w:rsidP="008F4B20">
      <w:pPr>
        <w:tabs>
          <w:tab w:val="center" w:pos="4513"/>
          <w:tab w:val="right" w:pos="9026"/>
        </w:tabs>
      </w:pPr>
    </w:p>
    <w:p w14:paraId="6A6A1377" w14:textId="77777777" w:rsidR="008F4B20" w:rsidRDefault="008F4B20">
      <w:r>
        <w:br w:type="page"/>
      </w:r>
    </w:p>
    <w:p w14:paraId="46BF537F" w14:textId="0D6E8484" w:rsidR="008F4B20" w:rsidRDefault="008F4B20" w:rsidP="008F4B20">
      <w:pPr>
        <w:tabs>
          <w:tab w:val="center" w:pos="4513"/>
          <w:tab w:val="right" w:pos="9026"/>
        </w:tabs>
      </w:pPr>
      <w:r>
        <w:rPr>
          <w:b/>
          <w:bCs/>
        </w:rPr>
        <w:lastRenderedPageBreak/>
        <w:t>3.1 Health Based Intervention</w:t>
      </w:r>
    </w:p>
    <w:p w14:paraId="22BD9930" w14:textId="77777777" w:rsidR="008F4B20" w:rsidRDefault="008F4B20" w:rsidP="008F4B20">
      <w:r>
        <w:t>Sport provides a unique opportunity to diversify the way in which health-based interventions are managed. Football in particular is an ideal sport for implementation due to its team based structure, and cultural significance in England. While most health-based interventions have focused on a more rigid and structure format of providing information to the populace, the Premier League Health Programme or PLH uses its unique circumstance to integrate 16 English Premier League football clubs into reaching out to young men.</w:t>
      </w:r>
    </w:p>
    <w:p w14:paraId="5EAA7CAF" w14:textId="77777777" w:rsidR="008F4B20" w:rsidRDefault="008F4B20" w:rsidP="008F4B20"/>
    <w:p w14:paraId="4D7E32E5" w14:textId="77777777" w:rsidR="008F4B20" w:rsidRDefault="008F4B20" w:rsidP="008F4B20">
      <w:r>
        <w:t>The PLH program focuses on spreading information on preventable diseases that particularly affect young men who fail to engage with regular NHS services. Such preventable diseases include mental health issues, fat related cancers, and cardiovascular diseases. These diseases become more intensive the longer treatment is postponed, despite having relatively low costs to early treatment (Pringle et al., 2013). The reason the PLH and NHS are working together in order to provide information to young men is due to a subsidiary population of men called “hard-to-engage-men” (HTEM) who just as the title sounds, do not engage with standard NHS programs (Pringle et al., 2013). According to Pringle et al. (2013), these men are typically aged 16-35, are homeless or unemployed or are of black or minority ethic (BME) background.</w:t>
      </w:r>
    </w:p>
    <w:p w14:paraId="7D73558D" w14:textId="77777777" w:rsidR="008F4B20" w:rsidRDefault="008F4B20" w:rsidP="008F4B20"/>
    <w:p w14:paraId="4CA604AC" w14:textId="77777777" w:rsidR="008F4B20" w:rsidRDefault="008F4B20" w:rsidP="008F4B20">
      <w:r>
        <w:t xml:space="preserve">The PLH knew that the primary focus should be to engage HTEM as opposed to forcing information upon them. By structuring the intervention into game day segments where the focus wasn’t purely informational, the HTEM were more receptive and inclined to come back and reengage. Pringle et al. (2013), also found that consistent structure to the management of time was key in maintaining engagement, for example meeting every Tuesday and Thursday at the same time. In addition to the management of the interventions, the staffing of the event proved just as critical. At events where the Health Trainers (HTs) were dressed in the same kit as representatives from the Premier League teams, HTEM had an increase in participation (Pringles et al., 2013). </w:t>
      </w:r>
    </w:p>
    <w:p w14:paraId="180E1D78" w14:textId="77777777" w:rsidR="008F4B20" w:rsidRDefault="008F4B20" w:rsidP="008F4B20"/>
    <w:p w14:paraId="708D360B" w14:textId="77777777" w:rsidR="008F4B20" w:rsidRDefault="008F4B20" w:rsidP="008F4B20">
      <w:r>
        <w:t>Pringles et al. (2013), interviewed participants before and after the interventions to gauge how effective the intervention was and how well the HTEM implemented the information introduced to them. Pringles et al. (2013) looked at six main categories: physical activity time, sitting times, consumption of fruits and vegetables, smoking, drinking, and Body Mass Index (BMI). By the end of the intervention, all six categories statistically shifted in positive directions (Pringles et al., 2013). This shows evidence that health-based sport interventions are effective. Despite its success, Pringles et al., (2013) addresses a concern to the participation numbers, citing that word of mouth was one of the more prominent forms of informing HTEM of the intervention. Thus for more HTEM to be informed, implementation will be “slow to build until ‘influential word’ passes withing any community (Pringles et al., 2013).</w:t>
      </w:r>
    </w:p>
    <w:p w14:paraId="745F3FB3" w14:textId="77777777" w:rsidR="008F4B20" w:rsidRDefault="008F4B20" w:rsidP="008F4B20"/>
    <w:p w14:paraId="051BB20A" w14:textId="77777777" w:rsidR="008F4B20" w:rsidRDefault="008F4B20" w:rsidP="008F4B20">
      <w:r>
        <w:t>While other health-based interventions have been proven to hold a positive impact, health-based sport interventions are still a new concept. To further prove the benefits of sport interventions, other programs should use PLH as a model of a successful intervention.</w:t>
      </w:r>
    </w:p>
    <w:p w14:paraId="6F430567" w14:textId="453BE734" w:rsidR="008F4B20" w:rsidRDefault="008F4B20" w:rsidP="008F4B20">
      <w:pPr>
        <w:tabs>
          <w:tab w:val="center" w:pos="4513"/>
          <w:tab w:val="right" w:pos="9026"/>
        </w:tabs>
        <w:rPr>
          <w:b/>
          <w:bCs/>
        </w:rPr>
      </w:pPr>
      <w:r>
        <w:rPr>
          <w:b/>
          <w:bCs/>
        </w:rPr>
        <w:t>3.2 Word Count: 507</w:t>
      </w:r>
    </w:p>
    <w:p w14:paraId="2B144F88" w14:textId="3879B8FA" w:rsidR="008F4B20" w:rsidRDefault="008F4B20" w:rsidP="008F4B20">
      <w:r>
        <w:rPr>
          <w:b/>
          <w:bCs/>
        </w:rPr>
        <w:br w:type="page"/>
      </w:r>
      <w:r>
        <w:rPr>
          <w:b/>
          <w:bCs/>
        </w:rPr>
        <w:lastRenderedPageBreak/>
        <w:t>3.3 References</w:t>
      </w:r>
    </w:p>
    <w:p w14:paraId="30BA2BBC" w14:textId="7469B540" w:rsidR="008F4B20" w:rsidRPr="008F4B20" w:rsidRDefault="00AC0D67" w:rsidP="00AC0D67">
      <w:r>
        <w:rPr>
          <w:rFonts w:ascii="Open Sans" w:hAnsi="Open Sans" w:cs="Open Sans"/>
          <w:color w:val="000000"/>
          <w:sz w:val="20"/>
          <w:szCs w:val="20"/>
          <w:shd w:val="clear" w:color="auto" w:fill="FFFFFF"/>
        </w:rPr>
        <w:t xml:space="preserve">Pringle, A., </w:t>
      </w:r>
      <w:proofErr w:type="spellStart"/>
      <w:r>
        <w:rPr>
          <w:rFonts w:ascii="Open Sans" w:hAnsi="Open Sans" w:cs="Open Sans"/>
          <w:color w:val="000000"/>
          <w:sz w:val="20"/>
          <w:szCs w:val="20"/>
          <w:shd w:val="clear" w:color="auto" w:fill="FFFFFF"/>
        </w:rPr>
        <w:t>Zwolinsky</w:t>
      </w:r>
      <w:proofErr w:type="spellEnd"/>
      <w:r>
        <w:rPr>
          <w:rFonts w:ascii="Open Sans" w:hAnsi="Open Sans" w:cs="Open Sans"/>
          <w:color w:val="000000"/>
          <w:sz w:val="20"/>
          <w:szCs w:val="20"/>
          <w:shd w:val="clear" w:color="auto" w:fill="FFFFFF"/>
        </w:rPr>
        <w:t>, S., McKenna, J., Daly-Smith, A., Robertson, S., &amp; White, A. (2013). Delivering men's health interventions in English Premier League football clubs: key design characteristics. </w:t>
      </w:r>
      <w:r>
        <w:rPr>
          <w:rFonts w:ascii="Open Sans" w:hAnsi="Open Sans" w:cs="Open Sans"/>
          <w:i/>
          <w:iCs/>
          <w:color w:val="000000"/>
          <w:sz w:val="20"/>
          <w:szCs w:val="20"/>
          <w:shd w:val="clear" w:color="auto" w:fill="FFFFFF"/>
        </w:rPr>
        <w:t>Public Health</w:t>
      </w:r>
      <w:r>
        <w:rPr>
          <w:rFonts w:ascii="Open Sans" w:hAnsi="Open Sans" w:cs="Open Sans"/>
          <w:color w:val="000000"/>
          <w:sz w:val="20"/>
          <w:szCs w:val="20"/>
          <w:shd w:val="clear" w:color="auto" w:fill="FFFFFF"/>
        </w:rPr>
        <w:t>, </w:t>
      </w:r>
      <w:r>
        <w:rPr>
          <w:rFonts w:ascii="Open Sans" w:hAnsi="Open Sans" w:cs="Open Sans"/>
          <w:i/>
          <w:iCs/>
          <w:color w:val="000000"/>
          <w:sz w:val="20"/>
          <w:szCs w:val="20"/>
          <w:shd w:val="clear" w:color="auto" w:fill="FFFFFF"/>
        </w:rPr>
        <w:t>127</w:t>
      </w:r>
      <w:r>
        <w:rPr>
          <w:rFonts w:ascii="Open Sans" w:hAnsi="Open Sans" w:cs="Open Sans"/>
          <w:color w:val="000000"/>
          <w:sz w:val="20"/>
          <w:szCs w:val="20"/>
          <w:shd w:val="clear" w:color="auto" w:fill="FFFFFF"/>
        </w:rPr>
        <w:t xml:space="preserve">(8), 716-726. </w:t>
      </w:r>
      <w:hyperlink r:id="rId15" w:history="1">
        <w:r w:rsidRPr="00AB5067">
          <w:rPr>
            <w:rStyle w:val="Hyperlink"/>
            <w:rFonts w:ascii="Open Sans" w:hAnsi="Open Sans" w:cs="Open Sans"/>
            <w:sz w:val="20"/>
            <w:szCs w:val="20"/>
            <w:shd w:val="clear" w:color="auto" w:fill="FFFFFF"/>
          </w:rPr>
          <w:t>https://doi.org/10.1016/j.puhe.2013.04.011</w:t>
        </w:r>
      </w:hyperlink>
      <w:r>
        <w:rPr>
          <w:rFonts w:ascii="Open Sans" w:hAnsi="Open Sans" w:cs="Open Sans"/>
          <w:color w:val="000000"/>
          <w:sz w:val="20"/>
          <w:szCs w:val="20"/>
          <w:shd w:val="clear" w:color="auto" w:fill="FFFFFF"/>
        </w:rPr>
        <w:t xml:space="preserve"> </w:t>
      </w:r>
    </w:p>
    <w:sectPr w:rsidR="008F4B20" w:rsidRPr="008F4B20" w:rsidSect="00776A2C">
      <w:head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57CEC" w14:textId="77777777" w:rsidR="00F76EBF" w:rsidRDefault="00F76EBF" w:rsidP="00F76EBF">
      <w:pPr>
        <w:spacing w:after="0" w:line="240" w:lineRule="auto"/>
      </w:pPr>
      <w:r>
        <w:separator/>
      </w:r>
    </w:p>
  </w:endnote>
  <w:endnote w:type="continuationSeparator" w:id="0">
    <w:p w14:paraId="60B29210" w14:textId="77777777" w:rsidR="00F76EBF" w:rsidRDefault="00F76EBF" w:rsidP="00F76E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E962B7" w14:textId="77777777" w:rsidR="00F76EBF" w:rsidRDefault="00F76EBF" w:rsidP="00F76EBF">
      <w:pPr>
        <w:spacing w:after="0" w:line="240" w:lineRule="auto"/>
      </w:pPr>
      <w:r>
        <w:separator/>
      </w:r>
    </w:p>
  </w:footnote>
  <w:footnote w:type="continuationSeparator" w:id="0">
    <w:p w14:paraId="5199E662" w14:textId="77777777" w:rsidR="00F76EBF" w:rsidRDefault="00F76EBF" w:rsidP="00F76E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4086088"/>
      <w:docPartObj>
        <w:docPartGallery w:val="Page Numbers (Top of Page)"/>
        <w:docPartUnique/>
      </w:docPartObj>
    </w:sdtPr>
    <w:sdtEndPr>
      <w:rPr>
        <w:noProof/>
      </w:rPr>
    </w:sdtEndPr>
    <w:sdtContent>
      <w:p w14:paraId="3D289168" w14:textId="77777777" w:rsidR="00F76EBF" w:rsidRDefault="00F76EBF">
        <w:pPr>
          <w:pStyle w:val="Header"/>
          <w:jc w:val="right"/>
        </w:pPr>
      </w:p>
      <w:p w14:paraId="248C451A" w14:textId="44FF57D0" w:rsidR="00F76EBF" w:rsidRDefault="00F76EBF">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FCF1AF6" w14:textId="77777777" w:rsidR="00F76EBF" w:rsidRDefault="00F76E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376AC0"/>
    <w:multiLevelType w:val="multilevel"/>
    <w:tmpl w:val="9D76676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6A2C"/>
    <w:rsid w:val="000F4526"/>
    <w:rsid w:val="00227E18"/>
    <w:rsid w:val="002776EA"/>
    <w:rsid w:val="0043237B"/>
    <w:rsid w:val="00776A2C"/>
    <w:rsid w:val="008F4B20"/>
    <w:rsid w:val="00AC0D67"/>
    <w:rsid w:val="00F76E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234E80"/>
  <w15:chartTrackingRefBased/>
  <w15:docId w15:val="{01161060-AB04-46C0-B210-D8DEBAD95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76A2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76A2C"/>
    <w:rPr>
      <w:rFonts w:eastAsiaTheme="minorEastAsia"/>
      <w:lang w:val="en-US"/>
    </w:rPr>
  </w:style>
  <w:style w:type="paragraph" w:styleId="Header">
    <w:name w:val="header"/>
    <w:basedOn w:val="Normal"/>
    <w:link w:val="HeaderChar"/>
    <w:uiPriority w:val="99"/>
    <w:unhideWhenUsed/>
    <w:rsid w:val="00F76E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6EBF"/>
  </w:style>
  <w:style w:type="paragraph" w:styleId="Footer">
    <w:name w:val="footer"/>
    <w:basedOn w:val="Normal"/>
    <w:link w:val="FooterChar"/>
    <w:uiPriority w:val="99"/>
    <w:unhideWhenUsed/>
    <w:rsid w:val="00F76E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6EBF"/>
  </w:style>
  <w:style w:type="paragraph" w:styleId="ListParagraph">
    <w:name w:val="List Paragraph"/>
    <w:basedOn w:val="Normal"/>
    <w:uiPriority w:val="34"/>
    <w:qFormat/>
    <w:rsid w:val="00F76EBF"/>
    <w:pPr>
      <w:ind w:left="720"/>
      <w:contextualSpacing/>
    </w:pPr>
  </w:style>
  <w:style w:type="character" w:styleId="Hyperlink">
    <w:name w:val="Hyperlink"/>
    <w:basedOn w:val="DefaultParagraphFont"/>
    <w:uiPriority w:val="99"/>
    <w:unhideWhenUsed/>
    <w:rsid w:val="002776EA"/>
    <w:rPr>
      <w:color w:val="0563C1" w:themeColor="hyperlink"/>
      <w:u w:val="single"/>
    </w:rPr>
  </w:style>
  <w:style w:type="character" w:styleId="UnresolvedMention">
    <w:name w:val="Unresolved Mention"/>
    <w:basedOn w:val="DefaultParagraphFont"/>
    <w:uiPriority w:val="99"/>
    <w:semiHidden/>
    <w:unhideWhenUsed/>
    <w:rsid w:val="002776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researchbriefings.files.parliament.uk/documents/CBP-8181/CBP-8181.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nu.edu/resources/what-is-sociological-imagination/"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faculty.rsu.edu/~felwell/Theorists/Essays/Mills3.htm" TargetMode="External"/><Relationship Id="rId5" Type="http://schemas.openxmlformats.org/officeDocument/2006/relationships/styles" Target="styles.xml"/><Relationship Id="rId15" Type="http://schemas.openxmlformats.org/officeDocument/2006/relationships/hyperlink" Target="https://doi.org/10.1016/j.puhe.2013.04.011" TargetMode="External"/><Relationship Id="rId10" Type="http://schemas.openxmlformats.org/officeDocument/2006/relationships/hyperlink" Target="https://www.thoughtco.com/sociological-imagination-3026756"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sportengland-production-files.s3.eu-west-2.amazonaws.com/s3fs-public/2020-10/Active%20Lives%20Adult%20May%2019-20%20Report.pdf?AYzBswpBmlh9cNcH8TFctPI38v4Ok2J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7" ma:contentTypeDescription="Create a new document." ma:contentTypeScope="" ma:versionID="da0ae952f5382b9bb324bf811cc5ae8f">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11a18ca6b8c01546b44ccddb89cdd6c1"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56BBC90-7E76-4541-A52D-A71DD3CE18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74AB5C4-6E81-4904-98F2-E3E7968D1502}">
  <ds:schemaRefs>
    <ds:schemaRef ds:uri="http://schemas.microsoft.com/sharepoint/v3/contenttype/forms"/>
  </ds:schemaRefs>
</ds:datastoreItem>
</file>

<file path=customXml/itemProps3.xml><?xml version="1.0" encoding="utf-8"?>
<ds:datastoreItem xmlns:ds="http://schemas.openxmlformats.org/officeDocument/2006/customXml" ds:itemID="{5FE3EEED-492B-4453-A5E7-6916C2380A70}">
  <ds:schemaRefs>
    <ds:schemaRef ds:uri="http://schemas.microsoft.com/office/2006/documentManagement/types"/>
    <ds:schemaRef ds:uri="http://schemas.microsoft.com/office/2006/metadata/properties"/>
    <ds:schemaRef ds:uri="http://schemas.openxmlformats.org/package/2006/metadata/core-properties"/>
    <ds:schemaRef ds:uri="http://purl.org/dc/terms/"/>
    <ds:schemaRef ds:uri="http://purl.org/dc/dcmitype/"/>
    <ds:schemaRef ds:uri="http://purl.org/dc/elements/1.1/"/>
    <ds:schemaRef ds:uri="http://www.w3.org/XML/1998/namespace"/>
    <ds:schemaRef ds:uri="http://schemas.microsoft.com/office/infopath/2007/PartnerControls"/>
    <ds:schemaRef ds:uri="9823f8e4-81f3-4a59-a026-c1a9717271fd"/>
    <ds:schemaRef ds:uri="95817cb9-f0eb-4f4d-892c-47ab9f8957c0"/>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1805</Words>
  <Characters>10293</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Assignemnt 2</dc:title>
  <dc:subject>Sport, Physical Activity and Society</dc:subject>
  <dc:creator>Ian Cockerham (2105630)</dc:creator>
  <cp:keywords/>
  <dc:description/>
  <cp:lastModifiedBy>Ian Cockerham (2105630)</cp:lastModifiedBy>
  <cp:revision>1</cp:revision>
  <dcterms:created xsi:type="dcterms:W3CDTF">2022-01-05T23:38:00Z</dcterms:created>
  <dcterms:modified xsi:type="dcterms:W3CDTF">2022-01-07T11:33:00Z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