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74504727"/>
        <w:docPartObj>
          <w:docPartGallery w:val="Cover Pages"/>
          <w:docPartUnique/>
        </w:docPartObj>
      </w:sdtPr>
      <w:sdtEndPr>
        <w:rPr>
          <w:rStyle w:val="s1"/>
          <w:rFonts w:ascii="Arial" w:hAnsi="Arial" w:cs="Arial"/>
          <w:sz w:val="32"/>
          <w:szCs w:val="32"/>
        </w:rPr>
      </w:sdtEndPr>
      <w:sdtContent>
        <w:p w14:paraId="1E64954A" w14:textId="346C2C09" w:rsidR="00B8384B" w:rsidRDefault="00B8384B">
          <w:r>
            <w:rPr>
              <w:noProof/>
            </w:rPr>
            <mc:AlternateContent>
              <mc:Choice Requires="wpg">
                <w:drawing>
                  <wp:anchor distT="0" distB="0" distL="114300" distR="114300" simplePos="0" relativeHeight="251658240" behindDoc="1" locked="0" layoutInCell="1" allowOverlap="1" wp14:anchorId="13BFF720" wp14:editId="5B8D1F75">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E9FD605" w14:textId="3FF34F47" w:rsidR="00B8384B" w:rsidRDefault="00B8384B">
                                      <w:pPr>
                                        <w:pStyle w:val="NoSpacing"/>
                                        <w:spacing w:before="120"/>
                                        <w:jc w:val="center"/>
                                        <w:rPr>
                                          <w:color w:val="FFFFFF" w:themeColor="background1"/>
                                        </w:rPr>
                                      </w:pPr>
                                      <w:r>
                                        <w:rPr>
                                          <w:color w:val="FFFFFF" w:themeColor="background1"/>
                                        </w:rPr>
                                        <w:t>Emilia Milewska (2245525)</w:t>
                                      </w:r>
                                    </w:p>
                                  </w:sdtContent>
                                </w:sdt>
                                <w:p w14:paraId="24E22FF2" w14:textId="658ABADE" w:rsidR="00B8384B"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D4BFF">
                                        <w:rPr>
                                          <w:caps/>
                                          <w:color w:val="FFFFFF" w:themeColor="background1"/>
                                        </w:rPr>
                                        <w:t xml:space="preserve">Lecturer: </w:t>
                                      </w:r>
                                      <w:r w:rsidR="007A23F1">
                                        <w:rPr>
                                          <w:caps/>
                                          <w:color w:val="FFFFFF" w:themeColor="background1"/>
                                        </w:rPr>
                                        <w:t>D</w:t>
                                      </w:r>
                                      <w:r w:rsidR="00B4742F">
                                        <w:rPr>
                                          <w:caps/>
                                          <w:color w:val="FFFFFF" w:themeColor="background1"/>
                                        </w:rPr>
                                        <w:t xml:space="preserve">r </w:t>
                                      </w:r>
                                      <w:r w:rsidR="00BB7E51">
                                        <w:rPr>
                                          <w:caps/>
                                          <w:color w:val="FFFFFF" w:themeColor="background1"/>
                                        </w:rPr>
                                        <w:t>Pascal</w:t>
                                      </w:r>
                                      <w:r w:rsidR="007D4BFF">
                                        <w:rPr>
                                          <w:caps/>
                                          <w:color w:val="FFFFFF" w:themeColor="background1"/>
                                        </w:rPr>
                                        <w:t xml:space="preserve"> Neville</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6D32DBB" w14:textId="2C054411" w:rsidR="00B8384B" w:rsidRDefault="000E2A01" w:rsidP="006B55C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Health Care System Organisation and Leadership Case Study Analysis Report: The Lewis Blackman Case</w:t>
                                      </w:r>
                                      <w:r w:rsidR="004270E7">
                                        <w:rPr>
                                          <w:rFonts w:asciiTheme="majorHAnsi" w:eastAsiaTheme="majorEastAsia" w:hAnsiTheme="majorHAnsi" w:cstheme="majorBidi"/>
                                          <w:caps/>
                                          <w:color w:val="4472C4" w:themeColor="accent1"/>
                                          <w:sz w:val="72"/>
                                          <w:szCs w:val="72"/>
                                        </w:rPr>
                                        <w:t xml:space="preserve"> </w:t>
                                      </w:r>
                                      <w:r w:rsidR="00B165BD">
                                        <w:rPr>
                                          <w:rFonts w:asciiTheme="majorHAnsi" w:eastAsiaTheme="majorEastAsia" w:hAnsiTheme="majorHAnsi" w:cstheme="majorBidi"/>
                                          <w:caps/>
                                          <w:color w:val="4472C4" w:themeColor="accent1"/>
                                          <w:sz w:val="72"/>
                                          <w:szCs w:val="72"/>
                                        </w:rPr>
                                        <w:t>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3BFF720" id="Group 198"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E9FD605" w14:textId="3FF34F47" w:rsidR="00B8384B" w:rsidRDefault="00B8384B">
                                <w:pPr>
                                  <w:pStyle w:val="NoSpacing"/>
                                  <w:spacing w:before="120"/>
                                  <w:jc w:val="center"/>
                                  <w:rPr>
                                    <w:color w:val="FFFFFF" w:themeColor="background1"/>
                                  </w:rPr>
                                </w:pPr>
                                <w:r>
                                  <w:rPr>
                                    <w:color w:val="FFFFFF" w:themeColor="background1"/>
                                  </w:rPr>
                                  <w:t>Emilia Milewska (2245525)</w:t>
                                </w:r>
                              </w:p>
                            </w:sdtContent>
                          </w:sdt>
                          <w:p w14:paraId="24E22FF2" w14:textId="658ABADE" w:rsidR="00B8384B"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D4BFF">
                                  <w:rPr>
                                    <w:caps/>
                                    <w:color w:val="FFFFFF" w:themeColor="background1"/>
                                  </w:rPr>
                                  <w:t xml:space="preserve">Lecturer: </w:t>
                                </w:r>
                                <w:r w:rsidR="007A23F1">
                                  <w:rPr>
                                    <w:caps/>
                                    <w:color w:val="FFFFFF" w:themeColor="background1"/>
                                  </w:rPr>
                                  <w:t>D</w:t>
                                </w:r>
                                <w:r w:rsidR="00B4742F">
                                  <w:rPr>
                                    <w:caps/>
                                    <w:color w:val="FFFFFF" w:themeColor="background1"/>
                                  </w:rPr>
                                  <w:t xml:space="preserve">r </w:t>
                                </w:r>
                                <w:r w:rsidR="00BB7E51">
                                  <w:rPr>
                                    <w:caps/>
                                    <w:color w:val="FFFFFF" w:themeColor="background1"/>
                                  </w:rPr>
                                  <w:t>Pascal</w:t>
                                </w:r>
                                <w:r w:rsidR="007D4BFF">
                                  <w:rPr>
                                    <w:caps/>
                                    <w:color w:val="FFFFFF" w:themeColor="background1"/>
                                  </w:rPr>
                                  <w:t xml:space="preserve"> Neville</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6D32DBB" w14:textId="2C054411" w:rsidR="00B8384B" w:rsidRDefault="000E2A01" w:rsidP="006B55C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Health Care System Organisation and Leadership Case Study Analysis Report: The Lewis Blackman Case</w:t>
                                </w:r>
                                <w:r w:rsidR="004270E7">
                                  <w:rPr>
                                    <w:rFonts w:asciiTheme="majorHAnsi" w:eastAsiaTheme="majorEastAsia" w:hAnsiTheme="majorHAnsi" w:cstheme="majorBidi"/>
                                    <w:caps/>
                                    <w:color w:val="4472C4" w:themeColor="accent1"/>
                                    <w:sz w:val="72"/>
                                    <w:szCs w:val="72"/>
                                  </w:rPr>
                                  <w:t xml:space="preserve"> </w:t>
                                </w:r>
                                <w:r w:rsidR="00B165BD">
                                  <w:rPr>
                                    <w:rFonts w:asciiTheme="majorHAnsi" w:eastAsiaTheme="majorEastAsia" w:hAnsiTheme="majorHAnsi" w:cstheme="majorBidi"/>
                                    <w:caps/>
                                    <w:color w:val="4472C4" w:themeColor="accent1"/>
                                    <w:sz w:val="72"/>
                                    <w:szCs w:val="72"/>
                                  </w:rPr>
                                  <w:t>1</w:t>
                                </w:r>
                              </w:p>
                            </w:sdtContent>
                          </w:sdt>
                        </w:txbxContent>
                      </v:textbox>
                    </v:shape>
                    <w10:wrap anchorx="page" anchory="page"/>
                  </v:group>
                </w:pict>
              </mc:Fallback>
            </mc:AlternateContent>
          </w:r>
        </w:p>
        <w:p w14:paraId="3671764A" w14:textId="7ACA361C" w:rsidR="00B8384B" w:rsidRDefault="00B4742F">
          <w:pPr>
            <w:rPr>
              <w:rStyle w:val="s1"/>
              <w:rFonts w:ascii="Arial" w:hAnsi="Arial" w:cs="Arial"/>
              <w:kern w:val="0"/>
              <w:sz w:val="32"/>
              <w:szCs w:val="32"/>
              <w14:ligatures w14:val="none"/>
            </w:rPr>
          </w:pPr>
          <w:r>
            <w:rPr>
              <w:rFonts w:ascii="Arial" w:hAnsi="Arial" w:cs="Arial"/>
              <w:noProof/>
              <w:sz w:val="32"/>
              <w:szCs w:val="32"/>
            </w:rPr>
            <mc:AlternateContent>
              <mc:Choice Requires="wps">
                <w:drawing>
                  <wp:anchor distT="0" distB="0" distL="114300" distR="114300" simplePos="0" relativeHeight="251658241" behindDoc="0" locked="0" layoutInCell="1" allowOverlap="1" wp14:anchorId="3A8ADCF6" wp14:editId="0313D41D">
                    <wp:simplePos x="0" y="0"/>
                    <wp:positionH relativeFrom="column">
                      <wp:posOffset>1333500</wp:posOffset>
                    </wp:positionH>
                    <wp:positionV relativeFrom="paragraph">
                      <wp:posOffset>3936365</wp:posOffset>
                    </wp:positionV>
                    <wp:extent cx="2811780" cy="373380"/>
                    <wp:effectExtent l="0" t="0" r="26670" b="26670"/>
                    <wp:wrapNone/>
                    <wp:docPr id="1748947936" name="Text Box 4"/>
                    <wp:cNvGraphicFramePr/>
                    <a:graphic xmlns:a="http://schemas.openxmlformats.org/drawingml/2006/main">
                      <a:graphicData uri="http://schemas.microsoft.com/office/word/2010/wordprocessingShape">
                        <wps:wsp>
                          <wps:cNvSpPr txBox="1"/>
                          <wps:spPr>
                            <a:xfrm>
                              <a:off x="0" y="0"/>
                              <a:ext cx="2811780" cy="373380"/>
                            </a:xfrm>
                            <a:prstGeom prst="rect">
                              <a:avLst/>
                            </a:prstGeom>
                            <a:solidFill>
                              <a:schemeClr val="accent1"/>
                            </a:solidFill>
                            <a:ln w="6350">
                              <a:solidFill>
                                <a:schemeClr val="accent1"/>
                              </a:solidFill>
                            </a:ln>
                          </wps:spPr>
                          <wps:txbx>
                            <w:txbxContent>
                              <w:p w14:paraId="45295995" w14:textId="6A165439" w:rsidR="00B4742F" w:rsidRPr="00B4742F" w:rsidRDefault="00B4742F" w:rsidP="00B4742F">
                                <w:pPr>
                                  <w:jc w:val="center"/>
                                  <w:rPr>
                                    <w:rFonts w:ascii="Arial" w:hAnsi="Arial" w:cs="Arial"/>
                                    <w:b/>
                                    <w:bCs/>
                                    <w:color w:val="FFFFFF" w:themeColor="background1"/>
                                    <w:sz w:val="24"/>
                                    <w:szCs w:val="24"/>
                                  </w:rPr>
                                </w:pPr>
                                <w:r w:rsidRPr="00B4742F">
                                  <w:rPr>
                                    <w:rFonts w:ascii="Arial" w:hAnsi="Arial" w:cs="Arial"/>
                                    <w:b/>
                                    <w:bCs/>
                                    <w:color w:val="FFFFFF" w:themeColor="background1"/>
                                    <w:sz w:val="24"/>
                                    <w:szCs w:val="24"/>
                                  </w:rPr>
                                  <w:t>LCHS7002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8ADCF6" id="Text Box 4" o:spid="_x0000_s1030" type="#_x0000_t202" style="position:absolute;margin-left:105pt;margin-top:309.95pt;width:221.4pt;height:29.4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" fillcolor="#4472c4 [3204]" strokecolor="#4472c4 [3204]" strokeweight=".5pt">
                    <v:textbox>
                      <w:txbxContent>
                        <w:p w14:paraId="45295995" w14:textId="6A165439" w:rsidR="00B4742F" w:rsidRPr="00B4742F" w:rsidRDefault="00B4742F" w:rsidP="00B4742F">
                          <w:pPr>
                            <w:jc w:val="center"/>
                            <w:rPr>
                              <w:rFonts w:ascii="Arial" w:hAnsi="Arial" w:cs="Arial"/>
                              <w:b/>
                              <w:bCs/>
                              <w:color w:val="FFFFFF" w:themeColor="background1"/>
                              <w:sz w:val="24"/>
                              <w:szCs w:val="24"/>
                            </w:rPr>
                          </w:pPr>
                          <w:r w:rsidRPr="00B4742F">
                            <w:rPr>
                              <w:rFonts w:ascii="Arial" w:hAnsi="Arial" w:cs="Arial"/>
                              <w:b/>
                              <w:bCs/>
                              <w:color w:val="FFFFFF" w:themeColor="background1"/>
                              <w:sz w:val="24"/>
                              <w:szCs w:val="24"/>
                            </w:rPr>
                            <w:t>LCHS7002</w:t>
                          </w:r>
                        </w:p>
                      </w:txbxContent>
                    </v:textbox>
                  </v:shape>
                </w:pict>
              </mc:Fallback>
            </mc:AlternateContent>
          </w:r>
          <w:r w:rsidR="00B8384B">
            <w:rPr>
              <w:rStyle w:val="s1"/>
              <w:rFonts w:ascii="Arial" w:hAnsi="Arial" w:cs="Arial"/>
              <w:sz w:val="32"/>
              <w:szCs w:val="32"/>
            </w:rPr>
            <w:br w:type="page"/>
          </w:r>
        </w:p>
      </w:sdtContent>
    </w:sdt>
    <w:sdt>
      <w:sdtPr>
        <w:rPr>
          <w:rFonts w:asciiTheme="minorHAnsi" w:eastAsiaTheme="minorEastAsia" w:hAnsiTheme="minorHAnsi" w:cstheme="minorBidi"/>
          <w:color w:val="auto"/>
          <w:kern w:val="2"/>
          <w:sz w:val="22"/>
          <w:szCs w:val="22"/>
          <w:lang w:val="en-GB" w:eastAsia="en-GB"/>
          <w14:ligatures w14:val="standardContextual"/>
        </w:rPr>
        <w:id w:val="-904911684"/>
        <w:docPartObj>
          <w:docPartGallery w:val="Table of Contents"/>
          <w:docPartUnique/>
        </w:docPartObj>
      </w:sdtPr>
      <w:sdtEndPr>
        <w:rPr>
          <w:b/>
          <w:bCs/>
          <w:noProof/>
        </w:rPr>
      </w:sdtEndPr>
      <w:sdtContent>
        <w:p w14:paraId="793BCB69" w14:textId="4E1A6103" w:rsidR="00994002" w:rsidRDefault="00994002">
          <w:pPr>
            <w:pStyle w:val="TOCHeading"/>
          </w:pPr>
          <w:r>
            <w:t>Table of Contents</w:t>
          </w:r>
        </w:p>
        <w:p w14:paraId="0BB78C87" w14:textId="0EC591FD" w:rsidR="000B35E9" w:rsidRDefault="00994002">
          <w:pPr>
            <w:pStyle w:val="TOC1"/>
            <w:tabs>
              <w:tab w:val="right" w:leader="dot" w:pos="9016"/>
            </w:tabs>
            <w:rPr>
              <w:noProof/>
              <w:sz w:val="24"/>
              <w:szCs w:val="24"/>
            </w:rPr>
          </w:pPr>
          <w:r>
            <w:fldChar w:fldCharType="begin"/>
          </w:r>
          <w:r>
            <w:instrText xml:space="preserve"> TOC \o "1-3" \h \z \u </w:instrText>
          </w:r>
          <w:r>
            <w:fldChar w:fldCharType="separate"/>
          </w:r>
          <w:hyperlink w:anchor="_Toc236148034" w:history="1">
            <w:r w:rsidR="000B35E9" w:rsidRPr="00C209C0">
              <w:rPr>
                <w:rStyle w:val="Hyperlink"/>
                <w:noProof/>
                <w:lang w:val="en-US"/>
              </w:rPr>
              <w:t>Introduction</w:t>
            </w:r>
            <w:r w:rsidR="000B35E9">
              <w:rPr>
                <w:noProof/>
                <w:webHidden/>
              </w:rPr>
              <w:tab/>
            </w:r>
            <w:r w:rsidR="000B35E9">
              <w:rPr>
                <w:noProof/>
                <w:webHidden/>
              </w:rPr>
              <w:fldChar w:fldCharType="begin"/>
            </w:r>
            <w:r w:rsidR="000B35E9">
              <w:rPr>
                <w:noProof/>
                <w:webHidden/>
              </w:rPr>
              <w:instrText xml:space="preserve"> PAGEREF _Toc236148034 \h </w:instrText>
            </w:r>
            <w:r w:rsidR="000B35E9">
              <w:rPr>
                <w:noProof/>
                <w:webHidden/>
              </w:rPr>
            </w:r>
            <w:r w:rsidR="000B35E9">
              <w:rPr>
                <w:noProof/>
                <w:webHidden/>
              </w:rPr>
              <w:fldChar w:fldCharType="separate"/>
            </w:r>
            <w:r w:rsidR="000B35E9">
              <w:rPr>
                <w:noProof/>
                <w:webHidden/>
              </w:rPr>
              <w:t>2</w:t>
            </w:r>
            <w:r w:rsidR="000B35E9">
              <w:rPr>
                <w:noProof/>
                <w:webHidden/>
              </w:rPr>
              <w:fldChar w:fldCharType="end"/>
            </w:r>
          </w:hyperlink>
        </w:p>
        <w:p w14:paraId="1B96C833" w14:textId="23AAED21" w:rsidR="000B35E9" w:rsidRDefault="000B35E9">
          <w:pPr>
            <w:pStyle w:val="TOC1"/>
            <w:tabs>
              <w:tab w:val="right" w:leader="dot" w:pos="9016"/>
            </w:tabs>
            <w:rPr>
              <w:noProof/>
              <w:sz w:val="24"/>
              <w:szCs w:val="24"/>
            </w:rPr>
          </w:pPr>
          <w:hyperlink w:anchor="_Toc236148035" w:history="1">
            <w:r w:rsidRPr="00C209C0">
              <w:rPr>
                <w:rStyle w:val="Hyperlink"/>
                <w:noProof/>
                <w:lang w:val="en-US"/>
              </w:rPr>
              <w:t>Evidence-Based Problem and System Context</w:t>
            </w:r>
            <w:r>
              <w:rPr>
                <w:noProof/>
                <w:webHidden/>
              </w:rPr>
              <w:tab/>
            </w:r>
            <w:r>
              <w:rPr>
                <w:noProof/>
                <w:webHidden/>
              </w:rPr>
              <w:fldChar w:fldCharType="begin"/>
            </w:r>
            <w:r>
              <w:rPr>
                <w:noProof/>
                <w:webHidden/>
              </w:rPr>
              <w:instrText xml:space="preserve"> PAGEREF _Toc236148035 \h </w:instrText>
            </w:r>
            <w:r>
              <w:rPr>
                <w:noProof/>
                <w:webHidden/>
              </w:rPr>
            </w:r>
            <w:r>
              <w:rPr>
                <w:noProof/>
                <w:webHidden/>
              </w:rPr>
              <w:fldChar w:fldCharType="separate"/>
            </w:r>
            <w:r>
              <w:rPr>
                <w:noProof/>
                <w:webHidden/>
              </w:rPr>
              <w:t>2</w:t>
            </w:r>
            <w:r>
              <w:rPr>
                <w:noProof/>
                <w:webHidden/>
              </w:rPr>
              <w:fldChar w:fldCharType="end"/>
            </w:r>
          </w:hyperlink>
        </w:p>
        <w:p w14:paraId="028B0600" w14:textId="194E9210" w:rsidR="000B35E9" w:rsidRDefault="000B35E9">
          <w:pPr>
            <w:pStyle w:val="TOC2"/>
            <w:tabs>
              <w:tab w:val="right" w:leader="dot" w:pos="9016"/>
            </w:tabs>
            <w:rPr>
              <w:noProof/>
              <w:sz w:val="24"/>
              <w:szCs w:val="24"/>
            </w:rPr>
          </w:pPr>
          <w:hyperlink w:anchor="_Toc236148036" w:history="1">
            <w:r w:rsidRPr="00C209C0">
              <w:rPr>
                <w:rStyle w:val="Hyperlink"/>
                <w:noProof/>
                <w:lang w:val="en-US"/>
              </w:rPr>
              <w:t>The patient-safety problem</w:t>
            </w:r>
            <w:r>
              <w:rPr>
                <w:noProof/>
                <w:webHidden/>
              </w:rPr>
              <w:tab/>
            </w:r>
            <w:r>
              <w:rPr>
                <w:noProof/>
                <w:webHidden/>
              </w:rPr>
              <w:fldChar w:fldCharType="begin"/>
            </w:r>
            <w:r>
              <w:rPr>
                <w:noProof/>
                <w:webHidden/>
              </w:rPr>
              <w:instrText xml:space="preserve"> PAGEREF _Toc236148036 \h </w:instrText>
            </w:r>
            <w:r>
              <w:rPr>
                <w:noProof/>
                <w:webHidden/>
              </w:rPr>
            </w:r>
            <w:r>
              <w:rPr>
                <w:noProof/>
                <w:webHidden/>
              </w:rPr>
              <w:fldChar w:fldCharType="separate"/>
            </w:r>
            <w:r>
              <w:rPr>
                <w:noProof/>
                <w:webHidden/>
              </w:rPr>
              <w:t>2</w:t>
            </w:r>
            <w:r>
              <w:rPr>
                <w:noProof/>
                <w:webHidden/>
              </w:rPr>
              <w:fldChar w:fldCharType="end"/>
            </w:r>
          </w:hyperlink>
        </w:p>
        <w:p w14:paraId="2A71EDB1" w14:textId="7C6B580D" w:rsidR="000B35E9" w:rsidRDefault="000B35E9">
          <w:pPr>
            <w:pStyle w:val="TOC2"/>
            <w:tabs>
              <w:tab w:val="right" w:leader="dot" w:pos="9016"/>
            </w:tabs>
            <w:rPr>
              <w:noProof/>
              <w:sz w:val="24"/>
              <w:szCs w:val="24"/>
            </w:rPr>
          </w:pPr>
          <w:hyperlink w:anchor="_Toc236148037" w:history="1">
            <w:r w:rsidRPr="00C209C0">
              <w:rPr>
                <w:rStyle w:val="Hyperlink"/>
                <w:noProof/>
                <w:lang w:val="en-US"/>
              </w:rPr>
              <w:t>Global, national and case-level evidence</w:t>
            </w:r>
            <w:r>
              <w:rPr>
                <w:noProof/>
                <w:webHidden/>
              </w:rPr>
              <w:tab/>
            </w:r>
            <w:r>
              <w:rPr>
                <w:noProof/>
                <w:webHidden/>
              </w:rPr>
              <w:fldChar w:fldCharType="begin"/>
            </w:r>
            <w:r>
              <w:rPr>
                <w:noProof/>
                <w:webHidden/>
              </w:rPr>
              <w:instrText xml:space="preserve"> PAGEREF _Toc236148037 \h </w:instrText>
            </w:r>
            <w:r>
              <w:rPr>
                <w:noProof/>
                <w:webHidden/>
              </w:rPr>
            </w:r>
            <w:r>
              <w:rPr>
                <w:noProof/>
                <w:webHidden/>
              </w:rPr>
              <w:fldChar w:fldCharType="separate"/>
            </w:r>
            <w:r>
              <w:rPr>
                <w:noProof/>
                <w:webHidden/>
              </w:rPr>
              <w:t>3</w:t>
            </w:r>
            <w:r>
              <w:rPr>
                <w:noProof/>
                <w:webHidden/>
              </w:rPr>
              <w:fldChar w:fldCharType="end"/>
            </w:r>
          </w:hyperlink>
        </w:p>
        <w:p w14:paraId="6FB861E9" w14:textId="3E65E7E2" w:rsidR="000B35E9" w:rsidRDefault="000B35E9">
          <w:pPr>
            <w:pStyle w:val="TOC2"/>
            <w:tabs>
              <w:tab w:val="right" w:leader="dot" w:pos="9016"/>
            </w:tabs>
            <w:rPr>
              <w:noProof/>
              <w:sz w:val="24"/>
              <w:szCs w:val="24"/>
            </w:rPr>
          </w:pPr>
          <w:hyperlink w:anchor="_Toc236148038" w:history="1">
            <w:r w:rsidRPr="00C209C0">
              <w:rPr>
                <w:rStyle w:val="Hyperlink"/>
                <w:noProof/>
                <w:lang w:val="en-US"/>
              </w:rPr>
              <w:t>Governance, underlying challenges and system dependencies</w:t>
            </w:r>
            <w:r>
              <w:rPr>
                <w:noProof/>
                <w:webHidden/>
              </w:rPr>
              <w:tab/>
            </w:r>
            <w:r>
              <w:rPr>
                <w:noProof/>
                <w:webHidden/>
              </w:rPr>
              <w:fldChar w:fldCharType="begin"/>
            </w:r>
            <w:r>
              <w:rPr>
                <w:noProof/>
                <w:webHidden/>
              </w:rPr>
              <w:instrText xml:space="preserve"> PAGEREF _Toc236148038 \h </w:instrText>
            </w:r>
            <w:r>
              <w:rPr>
                <w:noProof/>
                <w:webHidden/>
              </w:rPr>
            </w:r>
            <w:r>
              <w:rPr>
                <w:noProof/>
                <w:webHidden/>
              </w:rPr>
              <w:fldChar w:fldCharType="separate"/>
            </w:r>
            <w:r>
              <w:rPr>
                <w:noProof/>
                <w:webHidden/>
              </w:rPr>
              <w:t>5</w:t>
            </w:r>
            <w:r>
              <w:rPr>
                <w:noProof/>
                <w:webHidden/>
              </w:rPr>
              <w:fldChar w:fldCharType="end"/>
            </w:r>
          </w:hyperlink>
        </w:p>
        <w:p w14:paraId="0F912AD9" w14:textId="79F28AF9" w:rsidR="000B35E9" w:rsidRDefault="000B35E9">
          <w:pPr>
            <w:pStyle w:val="TOC1"/>
            <w:tabs>
              <w:tab w:val="right" w:leader="dot" w:pos="9016"/>
            </w:tabs>
            <w:rPr>
              <w:noProof/>
              <w:sz w:val="24"/>
              <w:szCs w:val="24"/>
            </w:rPr>
          </w:pPr>
          <w:hyperlink w:anchor="_Toc236148039" w:history="1">
            <w:r w:rsidRPr="00C209C0">
              <w:rPr>
                <w:rStyle w:val="Hyperlink"/>
                <w:noProof/>
                <w:lang w:val="en-US"/>
              </w:rPr>
              <w:t>Systems-Thinking Analysis: Rich Picture, Feedback Loops and CATWOE</w:t>
            </w:r>
            <w:r>
              <w:rPr>
                <w:noProof/>
                <w:webHidden/>
              </w:rPr>
              <w:tab/>
            </w:r>
            <w:r>
              <w:rPr>
                <w:noProof/>
                <w:webHidden/>
              </w:rPr>
              <w:fldChar w:fldCharType="begin"/>
            </w:r>
            <w:r>
              <w:rPr>
                <w:noProof/>
                <w:webHidden/>
              </w:rPr>
              <w:instrText xml:space="preserve"> PAGEREF _Toc236148039 \h </w:instrText>
            </w:r>
            <w:r>
              <w:rPr>
                <w:noProof/>
                <w:webHidden/>
              </w:rPr>
            </w:r>
            <w:r>
              <w:rPr>
                <w:noProof/>
                <w:webHidden/>
              </w:rPr>
              <w:fldChar w:fldCharType="separate"/>
            </w:r>
            <w:r>
              <w:rPr>
                <w:noProof/>
                <w:webHidden/>
              </w:rPr>
              <w:t>6</w:t>
            </w:r>
            <w:r>
              <w:rPr>
                <w:noProof/>
                <w:webHidden/>
              </w:rPr>
              <w:fldChar w:fldCharType="end"/>
            </w:r>
          </w:hyperlink>
        </w:p>
        <w:p w14:paraId="4F257C68" w14:textId="39C2ED63" w:rsidR="000B35E9" w:rsidRDefault="000B35E9">
          <w:pPr>
            <w:pStyle w:val="TOC1"/>
            <w:tabs>
              <w:tab w:val="right" w:leader="dot" w:pos="9016"/>
            </w:tabs>
            <w:rPr>
              <w:noProof/>
              <w:sz w:val="24"/>
              <w:szCs w:val="24"/>
            </w:rPr>
          </w:pPr>
          <w:hyperlink w:anchor="_Toc236148040" w:history="1">
            <w:r w:rsidRPr="00C209C0">
              <w:rPr>
                <w:rStyle w:val="Hyperlink"/>
                <w:noProof/>
                <w:lang w:val="en-US"/>
              </w:rPr>
              <w:t>Centralisation and Decentralisation</w:t>
            </w:r>
            <w:r>
              <w:rPr>
                <w:noProof/>
                <w:webHidden/>
              </w:rPr>
              <w:tab/>
            </w:r>
            <w:r>
              <w:rPr>
                <w:noProof/>
                <w:webHidden/>
              </w:rPr>
              <w:fldChar w:fldCharType="begin"/>
            </w:r>
            <w:r>
              <w:rPr>
                <w:noProof/>
                <w:webHidden/>
              </w:rPr>
              <w:instrText xml:space="preserve"> PAGEREF _Toc236148040 \h </w:instrText>
            </w:r>
            <w:r>
              <w:rPr>
                <w:noProof/>
                <w:webHidden/>
              </w:rPr>
            </w:r>
            <w:r>
              <w:rPr>
                <w:noProof/>
                <w:webHidden/>
              </w:rPr>
              <w:fldChar w:fldCharType="separate"/>
            </w:r>
            <w:r>
              <w:rPr>
                <w:noProof/>
                <w:webHidden/>
              </w:rPr>
              <w:t>8</w:t>
            </w:r>
            <w:r>
              <w:rPr>
                <w:noProof/>
                <w:webHidden/>
              </w:rPr>
              <w:fldChar w:fldCharType="end"/>
            </w:r>
          </w:hyperlink>
        </w:p>
        <w:p w14:paraId="6C2276BF" w14:textId="23E0938A" w:rsidR="000B35E9" w:rsidRDefault="000B35E9">
          <w:pPr>
            <w:pStyle w:val="TOC2"/>
            <w:tabs>
              <w:tab w:val="right" w:leader="dot" w:pos="9016"/>
            </w:tabs>
            <w:rPr>
              <w:noProof/>
              <w:sz w:val="24"/>
              <w:szCs w:val="24"/>
            </w:rPr>
          </w:pPr>
          <w:hyperlink w:anchor="_Toc236148041" w:history="1">
            <w:r w:rsidRPr="00C209C0">
              <w:rPr>
                <w:rStyle w:val="Hyperlink"/>
                <w:noProof/>
                <w:lang w:val="en-US"/>
              </w:rPr>
              <w:t>Strengths and limitations of centralisation</w:t>
            </w:r>
            <w:r>
              <w:rPr>
                <w:noProof/>
                <w:webHidden/>
              </w:rPr>
              <w:tab/>
            </w:r>
            <w:r>
              <w:rPr>
                <w:noProof/>
                <w:webHidden/>
              </w:rPr>
              <w:fldChar w:fldCharType="begin"/>
            </w:r>
            <w:r>
              <w:rPr>
                <w:noProof/>
                <w:webHidden/>
              </w:rPr>
              <w:instrText xml:space="preserve"> PAGEREF _Toc236148041 \h </w:instrText>
            </w:r>
            <w:r>
              <w:rPr>
                <w:noProof/>
                <w:webHidden/>
              </w:rPr>
            </w:r>
            <w:r>
              <w:rPr>
                <w:noProof/>
                <w:webHidden/>
              </w:rPr>
              <w:fldChar w:fldCharType="separate"/>
            </w:r>
            <w:r>
              <w:rPr>
                <w:noProof/>
                <w:webHidden/>
              </w:rPr>
              <w:t>8</w:t>
            </w:r>
            <w:r>
              <w:rPr>
                <w:noProof/>
                <w:webHidden/>
              </w:rPr>
              <w:fldChar w:fldCharType="end"/>
            </w:r>
          </w:hyperlink>
        </w:p>
        <w:p w14:paraId="01327CD8" w14:textId="120B9D40" w:rsidR="000B35E9" w:rsidRDefault="000B35E9">
          <w:pPr>
            <w:pStyle w:val="TOC2"/>
            <w:tabs>
              <w:tab w:val="right" w:leader="dot" w:pos="9016"/>
            </w:tabs>
            <w:rPr>
              <w:noProof/>
              <w:sz w:val="24"/>
              <w:szCs w:val="24"/>
            </w:rPr>
          </w:pPr>
          <w:hyperlink w:anchor="_Toc236148042" w:history="1">
            <w:r w:rsidRPr="00C209C0">
              <w:rPr>
                <w:rStyle w:val="Hyperlink"/>
                <w:noProof/>
                <w:lang w:val="en-US"/>
              </w:rPr>
              <w:t>Strengths and limitations of decentralisation</w:t>
            </w:r>
            <w:r>
              <w:rPr>
                <w:noProof/>
                <w:webHidden/>
              </w:rPr>
              <w:tab/>
            </w:r>
            <w:r>
              <w:rPr>
                <w:noProof/>
                <w:webHidden/>
              </w:rPr>
              <w:fldChar w:fldCharType="begin"/>
            </w:r>
            <w:r>
              <w:rPr>
                <w:noProof/>
                <w:webHidden/>
              </w:rPr>
              <w:instrText xml:space="preserve"> PAGEREF _Toc236148042 \h </w:instrText>
            </w:r>
            <w:r>
              <w:rPr>
                <w:noProof/>
                <w:webHidden/>
              </w:rPr>
            </w:r>
            <w:r>
              <w:rPr>
                <w:noProof/>
                <w:webHidden/>
              </w:rPr>
              <w:fldChar w:fldCharType="separate"/>
            </w:r>
            <w:r>
              <w:rPr>
                <w:noProof/>
                <w:webHidden/>
              </w:rPr>
              <w:t>9</w:t>
            </w:r>
            <w:r>
              <w:rPr>
                <w:noProof/>
                <w:webHidden/>
              </w:rPr>
              <w:fldChar w:fldCharType="end"/>
            </w:r>
          </w:hyperlink>
        </w:p>
        <w:p w14:paraId="08EC1CE6" w14:textId="213C6424" w:rsidR="000B35E9" w:rsidRDefault="000B35E9">
          <w:pPr>
            <w:pStyle w:val="TOC1"/>
            <w:tabs>
              <w:tab w:val="right" w:leader="dot" w:pos="9016"/>
            </w:tabs>
            <w:rPr>
              <w:noProof/>
              <w:sz w:val="24"/>
              <w:szCs w:val="24"/>
            </w:rPr>
          </w:pPr>
          <w:hyperlink w:anchor="_Toc236148043" w:history="1">
            <w:r w:rsidRPr="00C209C0">
              <w:rPr>
                <w:rStyle w:val="Hyperlink"/>
                <w:noProof/>
                <w:lang w:val="en-US"/>
              </w:rPr>
              <w:t>Leadership Theories and Quantitative Evidence</w:t>
            </w:r>
            <w:r>
              <w:rPr>
                <w:noProof/>
                <w:webHidden/>
              </w:rPr>
              <w:tab/>
            </w:r>
            <w:r>
              <w:rPr>
                <w:noProof/>
                <w:webHidden/>
              </w:rPr>
              <w:fldChar w:fldCharType="begin"/>
            </w:r>
            <w:r>
              <w:rPr>
                <w:noProof/>
                <w:webHidden/>
              </w:rPr>
              <w:instrText xml:space="preserve"> PAGEREF _Toc236148043 \h </w:instrText>
            </w:r>
            <w:r>
              <w:rPr>
                <w:noProof/>
                <w:webHidden/>
              </w:rPr>
            </w:r>
            <w:r>
              <w:rPr>
                <w:noProof/>
                <w:webHidden/>
              </w:rPr>
              <w:fldChar w:fldCharType="separate"/>
            </w:r>
            <w:r>
              <w:rPr>
                <w:noProof/>
                <w:webHidden/>
              </w:rPr>
              <w:t>10</w:t>
            </w:r>
            <w:r>
              <w:rPr>
                <w:noProof/>
                <w:webHidden/>
              </w:rPr>
              <w:fldChar w:fldCharType="end"/>
            </w:r>
          </w:hyperlink>
        </w:p>
        <w:p w14:paraId="651D6065" w14:textId="6F855B93" w:rsidR="000B35E9" w:rsidRDefault="000B35E9">
          <w:pPr>
            <w:pStyle w:val="TOC2"/>
            <w:tabs>
              <w:tab w:val="right" w:leader="dot" w:pos="9016"/>
            </w:tabs>
            <w:rPr>
              <w:noProof/>
              <w:sz w:val="24"/>
              <w:szCs w:val="24"/>
            </w:rPr>
          </w:pPr>
          <w:hyperlink w:anchor="_Toc236148044" w:history="1">
            <w:r w:rsidRPr="00C209C0">
              <w:rPr>
                <w:rStyle w:val="Hyperlink"/>
                <w:noProof/>
                <w:lang w:val="en-US"/>
              </w:rPr>
              <w:t>Transformational leadership</w:t>
            </w:r>
            <w:r>
              <w:rPr>
                <w:noProof/>
                <w:webHidden/>
              </w:rPr>
              <w:tab/>
            </w:r>
            <w:r>
              <w:rPr>
                <w:noProof/>
                <w:webHidden/>
              </w:rPr>
              <w:fldChar w:fldCharType="begin"/>
            </w:r>
            <w:r>
              <w:rPr>
                <w:noProof/>
                <w:webHidden/>
              </w:rPr>
              <w:instrText xml:space="preserve"> PAGEREF _Toc236148044 \h </w:instrText>
            </w:r>
            <w:r>
              <w:rPr>
                <w:noProof/>
                <w:webHidden/>
              </w:rPr>
            </w:r>
            <w:r>
              <w:rPr>
                <w:noProof/>
                <w:webHidden/>
              </w:rPr>
              <w:fldChar w:fldCharType="separate"/>
            </w:r>
            <w:r>
              <w:rPr>
                <w:noProof/>
                <w:webHidden/>
              </w:rPr>
              <w:t>11</w:t>
            </w:r>
            <w:r>
              <w:rPr>
                <w:noProof/>
                <w:webHidden/>
              </w:rPr>
              <w:fldChar w:fldCharType="end"/>
            </w:r>
          </w:hyperlink>
        </w:p>
        <w:p w14:paraId="3307FAEA" w14:textId="133E04E3" w:rsidR="000B35E9" w:rsidRDefault="000B35E9">
          <w:pPr>
            <w:pStyle w:val="TOC2"/>
            <w:tabs>
              <w:tab w:val="right" w:leader="dot" w:pos="9016"/>
            </w:tabs>
            <w:rPr>
              <w:noProof/>
              <w:sz w:val="24"/>
              <w:szCs w:val="24"/>
            </w:rPr>
          </w:pPr>
          <w:hyperlink w:anchor="_Toc236148045" w:history="1">
            <w:r w:rsidRPr="00C209C0">
              <w:rPr>
                <w:rStyle w:val="Hyperlink"/>
                <w:noProof/>
                <w:lang w:val="en-US"/>
              </w:rPr>
              <w:t>Transactional leadership</w:t>
            </w:r>
            <w:r>
              <w:rPr>
                <w:noProof/>
                <w:webHidden/>
              </w:rPr>
              <w:tab/>
            </w:r>
            <w:r>
              <w:rPr>
                <w:noProof/>
                <w:webHidden/>
              </w:rPr>
              <w:fldChar w:fldCharType="begin"/>
            </w:r>
            <w:r>
              <w:rPr>
                <w:noProof/>
                <w:webHidden/>
              </w:rPr>
              <w:instrText xml:space="preserve"> PAGEREF _Toc236148045 \h </w:instrText>
            </w:r>
            <w:r>
              <w:rPr>
                <w:noProof/>
                <w:webHidden/>
              </w:rPr>
            </w:r>
            <w:r>
              <w:rPr>
                <w:noProof/>
                <w:webHidden/>
              </w:rPr>
              <w:fldChar w:fldCharType="separate"/>
            </w:r>
            <w:r>
              <w:rPr>
                <w:noProof/>
                <w:webHidden/>
              </w:rPr>
              <w:t>11</w:t>
            </w:r>
            <w:r>
              <w:rPr>
                <w:noProof/>
                <w:webHidden/>
              </w:rPr>
              <w:fldChar w:fldCharType="end"/>
            </w:r>
          </w:hyperlink>
        </w:p>
        <w:p w14:paraId="5431BAAC" w14:textId="4A3DB6A1" w:rsidR="000B35E9" w:rsidRDefault="000B35E9">
          <w:pPr>
            <w:pStyle w:val="TOC2"/>
            <w:tabs>
              <w:tab w:val="right" w:leader="dot" w:pos="9016"/>
            </w:tabs>
            <w:rPr>
              <w:noProof/>
              <w:sz w:val="24"/>
              <w:szCs w:val="24"/>
            </w:rPr>
          </w:pPr>
          <w:hyperlink w:anchor="_Toc236148046" w:history="1">
            <w:r w:rsidRPr="00C209C0">
              <w:rPr>
                <w:rStyle w:val="Hyperlink"/>
                <w:noProof/>
                <w:lang w:val="en-US"/>
              </w:rPr>
              <w:t>Situational leadership</w:t>
            </w:r>
            <w:r>
              <w:rPr>
                <w:noProof/>
                <w:webHidden/>
              </w:rPr>
              <w:tab/>
            </w:r>
            <w:r>
              <w:rPr>
                <w:noProof/>
                <w:webHidden/>
              </w:rPr>
              <w:fldChar w:fldCharType="begin"/>
            </w:r>
            <w:r>
              <w:rPr>
                <w:noProof/>
                <w:webHidden/>
              </w:rPr>
              <w:instrText xml:space="preserve"> PAGEREF _Toc236148046 \h </w:instrText>
            </w:r>
            <w:r>
              <w:rPr>
                <w:noProof/>
                <w:webHidden/>
              </w:rPr>
            </w:r>
            <w:r>
              <w:rPr>
                <w:noProof/>
                <w:webHidden/>
              </w:rPr>
              <w:fldChar w:fldCharType="separate"/>
            </w:r>
            <w:r>
              <w:rPr>
                <w:noProof/>
                <w:webHidden/>
              </w:rPr>
              <w:t>11</w:t>
            </w:r>
            <w:r>
              <w:rPr>
                <w:noProof/>
                <w:webHidden/>
              </w:rPr>
              <w:fldChar w:fldCharType="end"/>
            </w:r>
          </w:hyperlink>
        </w:p>
        <w:p w14:paraId="12D34642" w14:textId="184B0221" w:rsidR="000B35E9" w:rsidRDefault="000B35E9">
          <w:pPr>
            <w:pStyle w:val="TOC2"/>
            <w:tabs>
              <w:tab w:val="right" w:leader="dot" w:pos="9016"/>
            </w:tabs>
            <w:rPr>
              <w:noProof/>
              <w:sz w:val="24"/>
              <w:szCs w:val="24"/>
            </w:rPr>
          </w:pPr>
          <w:hyperlink w:anchor="_Toc236148047" w:history="1">
            <w:r w:rsidRPr="00C209C0">
              <w:rPr>
                <w:rStyle w:val="Hyperlink"/>
                <w:noProof/>
                <w:lang w:val="en-US"/>
              </w:rPr>
              <w:t>Distributed and servant leadership</w:t>
            </w:r>
            <w:r>
              <w:rPr>
                <w:noProof/>
                <w:webHidden/>
              </w:rPr>
              <w:tab/>
            </w:r>
            <w:r>
              <w:rPr>
                <w:noProof/>
                <w:webHidden/>
              </w:rPr>
              <w:fldChar w:fldCharType="begin"/>
            </w:r>
            <w:r>
              <w:rPr>
                <w:noProof/>
                <w:webHidden/>
              </w:rPr>
              <w:instrText xml:space="preserve"> PAGEREF _Toc236148047 \h </w:instrText>
            </w:r>
            <w:r>
              <w:rPr>
                <w:noProof/>
                <w:webHidden/>
              </w:rPr>
            </w:r>
            <w:r>
              <w:rPr>
                <w:noProof/>
                <w:webHidden/>
              </w:rPr>
              <w:fldChar w:fldCharType="separate"/>
            </w:r>
            <w:r>
              <w:rPr>
                <w:noProof/>
                <w:webHidden/>
              </w:rPr>
              <w:t>12</w:t>
            </w:r>
            <w:r>
              <w:rPr>
                <w:noProof/>
                <w:webHidden/>
              </w:rPr>
              <w:fldChar w:fldCharType="end"/>
            </w:r>
          </w:hyperlink>
        </w:p>
        <w:p w14:paraId="4E3B096C" w14:textId="03D6A234" w:rsidR="000B35E9" w:rsidRDefault="000B35E9">
          <w:pPr>
            <w:pStyle w:val="TOC1"/>
            <w:tabs>
              <w:tab w:val="right" w:leader="dot" w:pos="9016"/>
            </w:tabs>
            <w:rPr>
              <w:noProof/>
              <w:sz w:val="24"/>
              <w:szCs w:val="24"/>
            </w:rPr>
          </w:pPr>
          <w:hyperlink w:anchor="_Toc236148048" w:history="1">
            <w:r w:rsidRPr="00C209C0">
              <w:rPr>
                <w:rStyle w:val="Hyperlink"/>
                <w:noProof/>
                <w:lang w:val="en-US"/>
              </w:rPr>
              <w:t>Organisational Transformation and Change Management</w:t>
            </w:r>
            <w:r>
              <w:rPr>
                <w:noProof/>
                <w:webHidden/>
              </w:rPr>
              <w:tab/>
            </w:r>
            <w:r>
              <w:rPr>
                <w:noProof/>
                <w:webHidden/>
              </w:rPr>
              <w:fldChar w:fldCharType="begin"/>
            </w:r>
            <w:r>
              <w:rPr>
                <w:noProof/>
                <w:webHidden/>
              </w:rPr>
              <w:instrText xml:space="preserve"> PAGEREF _Toc236148048 \h </w:instrText>
            </w:r>
            <w:r>
              <w:rPr>
                <w:noProof/>
                <w:webHidden/>
              </w:rPr>
            </w:r>
            <w:r>
              <w:rPr>
                <w:noProof/>
                <w:webHidden/>
              </w:rPr>
              <w:fldChar w:fldCharType="separate"/>
            </w:r>
            <w:r>
              <w:rPr>
                <w:noProof/>
                <w:webHidden/>
              </w:rPr>
              <w:t>13</w:t>
            </w:r>
            <w:r>
              <w:rPr>
                <w:noProof/>
                <w:webHidden/>
              </w:rPr>
              <w:fldChar w:fldCharType="end"/>
            </w:r>
          </w:hyperlink>
        </w:p>
        <w:p w14:paraId="49E55DF5" w14:textId="536E3F2C" w:rsidR="000B35E9" w:rsidRDefault="000B35E9">
          <w:pPr>
            <w:pStyle w:val="TOC1"/>
            <w:tabs>
              <w:tab w:val="right" w:leader="dot" w:pos="9016"/>
            </w:tabs>
            <w:rPr>
              <w:noProof/>
              <w:sz w:val="24"/>
              <w:szCs w:val="24"/>
            </w:rPr>
          </w:pPr>
          <w:hyperlink w:anchor="_Toc236148049" w:history="1">
            <w:r w:rsidRPr="00C209C0">
              <w:rPr>
                <w:rStyle w:val="Hyperlink"/>
                <w:noProof/>
                <w:lang w:val="en-US"/>
              </w:rPr>
              <w:t>Recommendations, Efficiency, Co-production and Risk Mitigation</w:t>
            </w:r>
            <w:r>
              <w:rPr>
                <w:noProof/>
                <w:webHidden/>
              </w:rPr>
              <w:tab/>
            </w:r>
            <w:r>
              <w:rPr>
                <w:noProof/>
                <w:webHidden/>
              </w:rPr>
              <w:fldChar w:fldCharType="begin"/>
            </w:r>
            <w:r>
              <w:rPr>
                <w:noProof/>
                <w:webHidden/>
              </w:rPr>
              <w:instrText xml:space="preserve"> PAGEREF _Toc236148049 \h </w:instrText>
            </w:r>
            <w:r>
              <w:rPr>
                <w:noProof/>
                <w:webHidden/>
              </w:rPr>
            </w:r>
            <w:r>
              <w:rPr>
                <w:noProof/>
                <w:webHidden/>
              </w:rPr>
              <w:fldChar w:fldCharType="separate"/>
            </w:r>
            <w:r>
              <w:rPr>
                <w:noProof/>
                <w:webHidden/>
              </w:rPr>
              <w:t>14</w:t>
            </w:r>
            <w:r>
              <w:rPr>
                <w:noProof/>
                <w:webHidden/>
              </w:rPr>
              <w:fldChar w:fldCharType="end"/>
            </w:r>
          </w:hyperlink>
        </w:p>
        <w:p w14:paraId="7F526527" w14:textId="3DACF673" w:rsidR="000B35E9" w:rsidRDefault="000B35E9">
          <w:pPr>
            <w:pStyle w:val="TOC2"/>
            <w:tabs>
              <w:tab w:val="right" w:leader="dot" w:pos="9016"/>
            </w:tabs>
            <w:rPr>
              <w:noProof/>
              <w:sz w:val="24"/>
              <w:szCs w:val="24"/>
            </w:rPr>
          </w:pPr>
          <w:hyperlink w:anchor="_Toc236148050" w:history="1">
            <w:r w:rsidRPr="00C209C0">
              <w:rPr>
                <w:rStyle w:val="Hyperlink"/>
                <w:noProof/>
                <w:lang w:val="en-US"/>
              </w:rPr>
              <w:t>Integrated patient-safety recommendations</w:t>
            </w:r>
            <w:r>
              <w:rPr>
                <w:noProof/>
                <w:webHidden/>
              </w:rPr>
              <w:tab/>
            </w:r>
            <w:r>
              <w:rPr>
                <w:noProof/>
                <w:webHidden/>
              </w:rPr>
              <w:fldChar w:fldCharType="begin"/>
            </w:r>
            <w:r>
              <w:rPr>
                <w:noProof/>
                <w:webHidden/>
              </w:rPr>
              <w:instrText xml:space="preserve"> PAGEREF _Toc236148050 \h </w:instrText>
            </w:r>
            <w:r>
              <w:rPr>
                <w:noProof/>
                <w:webHidden/>
              </w:rPr>
            </w:r>
            <w:r>
              <w:rPr>
                <w:noProof/>
                <w:webHidden/>
              </w:rPr>
              <w:fldChar w:fldCharType="separate"/>
            </w:r>
            <w:r>
              <w:rPr>
                <w:noProof/>
                <w:webHidden/>
              </w:rPr>
              <w:t>14</w:t>
            </w:r>
            <w:r>
              <w:rPr>
                <w:noProof/>
                <w:webHidden/>
              </w:rPr>
              <w:fldChar w:fldCharType="end"/>
            </w:r>
          </w:hyperlink>
        </w:p>
        <w:p w14:paraId="16FF919D" w14:textId="159B1A90" w:rsidR="000B35E9" w:rsidRDefault="000B35E9">
          <w:pPr>
            <w:pStyle w:val="TOC2"/>
            <w:tabs>
              <w:tab w:val="right" w:leader="dot" w:pos="9016"/>
            </w:tabs>
            <w:rPr>
              <w:noProof/>
              <w:sz w:val="24"/>
              <w:szCs w:val="24"/>
            </w:rPr>
          </w:pPr>
          <w:hyperlink w:anchor="_Toc236148051" w:history="1">
            <w:r w:rsidRPr="00C209C0">
              <w:rPr>
                <w:rStyle w:val="Hyperlink"/>
                <w:noProof/>
                <w:lang w:val="en-US"/>
              </w:rPr>
              <w:t>Technical efficiency and allocative efficiency</w:t>
            </w:r>
            <w:r>
              <w:rPr>
                <w:noProof/>
                <w:webHidden/>
              </w:rPr>
              <w:tab/>
            </w:r>
            <w:r>
              <w:rPr>
                <w:noProof/>
                <w:webHidden/>
              </w:rPr>
              <w:fldChar w:fldCharType="begin"/>
            </w:r>
            <w:r>
              <w:rPr>
                <w:noProof/>
                <w:webHidden/>
              </w:rPr>
              <w:instrText xml:space="preserve"> PAGEREF _Toc236148051 \h </w:instrText>
            </w:r>
            <w:r>
              <w:rPr>
                <w:noProof/>
                <w:webHidden/>
              </w:rPr>
            </w:r>
            <w:r>
              <w:rPr>
                <w:noProof/>
                <w:webHidden/>
              </w:rPr>
              <w:fldChar w:fldCharType="separate"/>
            </w:r>
            <w:r>
              <w:rPr>
                <w:noProof/>
                <w:webHidden/>
              </w:rPr>
              <w:t>15</w:t>
            </w:r>
            <w:r>
              <w:rPr>
                <w:noProof/>
                <w:webHidden/>
              </w:rPr>
              <w:fldChar w:fldCharType="end"/>
            </w:r>
          </w:hyperlink>
        </w:p>
        <w:p w14:paraId="65820508" w14:textId="6E97CFBB" w:rsidR="000B35E9" w:rsidRDefault="000B35E9">
          <w:pPr>
            <w:pStyle w:val="TOC2"/>
            <w:tabs>
              <w:tab w:val="right" w:leader="dot" w:pos="9016"/>
            </w:tabs>
            <w:rPr>
              <w:noProof/>
              <w:sz w:val="24"/>
              <w:szCs w:val="24"/>
            </w:rPr>
          </w:pPr>
          <w:hyperlink w:anchor="_Toc236148052" w:history="1">
            <w:r w:rsidRPr="00C209C0">
              <w:rPr>
                <w:rStyle w:val="Hyperlink"/>
                <w:noProof/>
                <w:lang w:val="en-US"/>
              </w:rPr>
              <w:t>Co-production and stakeholder engagement</w:t>
            </w:r>
            <w:r>
              <w:rPr>
                <w:noProof/>
                <w:webHidden/>
              </w:rPr>
              <w:tab/>
            </w:r>
            <w:r>
              <w:rPr>
                <w:noProof/>
                <w:webHidden/>
              </w:rPr>
              <w:fldChar w:fldCharType="begin"/>
            </w:r>
            <w:r>
              <w:rPr>
                <w:noProof/>
                <w:webHidden/>
              </w:rPr>
              <w:instrText xml:space="preserve"> PAGEREF _Toc236148052 \h </w:instrText>
            </w:r>
            <w:r>
              <w:rPr>
                <w:noProof/>
                <w:webHidden/>
              </w:rPr>
            </w:r>
            <w:r>
              <w:rPr>
                <w:noProof/>
                <w:webHidden/>
              </w:rPr>
              <w:fldChar w:fldCharType="separate"/>
            </w:r>
            <w:r>
              <w:rPr>
                <w:noProof/>
                <w:webHidden/>
              </w:rPr>
              <w:t>16</w:t>
            </w:r>
            <w:r>
              <w:rPr>
                <w:noProof/>
                <w:webHidden/>
              </w:rPr>
              <w:fldChar w:fldCharType="end"/>
            </w:r>
          </w:hyperlink>
        </w:p>
        <w:p w14:paraId="4807EB4F" w14:textId="66CE28E5" w:rsidR="000B35E9" w:rsidRDefault="000B35E9">
          <w:pPr>
            <w:pStyle w:val="TOC2"/>
            <w:tabs>
              <w:tab w:val="right" w:leader="dot" w:pos="9016"/>
            </w:tabs>
            <w:rPr>
              <w:noProof/>
              <w:sz w:val="24"/>
              <w:szCs w:val="24"/>
            </w:rPr>
          </w:pPr>
          <w:hyperlink w:anchor="_Toc236148053" w:history="1">
            <w:r w:rsidRPr="00C209C0">
              <w:rPr>
                <w:rStyle w:val="Hyperlink"/>
                <w:noProof/>
                <w:lang w:val="en-US"/>
              </w:rPr>
              <w:t>Implementation risk-mitigation strategy</w:t>
            </w:r>
            <w:r>
              <w:rPr>
                <w:noProof/>
                <w:webHidden/>
              </w:rPr>
              <w:tab/>
            </w:r>
            <w:r>
              <w:rPr>
                <w:noProof/>
                <w:webHidden/>
              </w:rPr>
              <w:fldChar w:fldCharType="begin"/>
            </w:r>
            <w:r>
              <w:rPr>
                <w:noProof/>
                <w:webHidden/>
              </w:rPr>
              <w:instrText xml:space="preserve"> PAGEREF _Toc236148053 \h </w:instrText>
            </w:r>
            <w:r>
              <w:rPr>
                <w:noProof/>
                <w:webHidden/>
              </w:rPr>
            </w:r>
            <w:r>
              <w:rPr>
                <w:noProof/>
                <w:webHidden/>
              </w:rPr>
              <w:fldChar w:fldCharType="separate"/>
            </w:r>
            <w:r>
              <w:rPr>
                <w:noProof/>
                <w:webHidden/>
              </w:rPr>
              <w:t>16</w:t>
            </w:r>
            <w:r>
              <w:rPr>
                <w:noProof/>
                <w:webHidden/>
              </w:rPr>
              <w:fldChar w:fldCharType="end"/>
            </w:r>
          </w:hyperlink>
        </w:p>
        <w:p w14:paraId="72DB02A6" w14:textId="4270439E" w:rsidR="000B35E9" w:rsidRDefault="000B35E9">
          <w:pPr>
            <w:pStyle w:val="TOC1"/>
            <w:tabs>
              <w:tab w:val="right" w:leader="dot" w:pos="9016"/>
            </w:tabs>
            <w:rPr>
              <w:noProof/>
              <w:sz w:val="24"/>
              <w:szCs w:val="24"/>
            </w:rPr>
          </w:pPr>
          <w:hyperlink w:anchor="_Toc236148054" w:history="1">
            <w:r w:rsidRPr="00C209C0">
              <w:rPr>
                <w:rStyle w:val="Hyperlink"/>
                <w:noProof/>
                <w:lang w:val="en-US"/>
              </w:rPr>
              <w:t>Conclusion</w:t>
            </w:r>
            <w:r>
              <w:rPr>
                <w:noProof/>
                <w:webHidden/>
              </w:rPr>
              <w:tab/>
            </w:r>
            <w:r>
              <w:rPr>
                <w:noProof/>
                <w:webHidden/>
              </w:rPr>
              <w:fldChar w:fldCharType="begin"/>
            </w:r>
            <w:r>
              <w:rPr>
                <w:noProof/>
                <w:webHidden/>
              </w:rPr>
              <w:instrText xml:space="preserve"> PAGEREF _Toc236148054 \h </w:instrText>
            </w:r>
            <w:r>
              <w:rPr>
                <w:noProof/>
                <w:webHidden/>
              </w:rPr>
            </w:r>
            <w:r>
              <w:rPr>
                <w:noProof/>
                <w:webHidden/>
              </w:rPr>
              <w:fldChar w:fldCharType="separate"/>
            </w:r>
            <w:r>
              <w:rPr>
                <w:noProof/>
                <w:webHidden/>
              </w:rPr>
              <w:t>18</w:t>
            </w:r>
            <w:r>
              <w:rPr>
                <w:noProof/>
                <w:webHidden/>
              </w:rPr>
              <w:fldChar w:fldCharType="end"/>
            </w:r>
          </w:hyperlink>
        </w:p>
        <w:p w14:paraId="5701890C" w14:textId="6AD2C969" w:rsidR="000B35E9" w:rsidRDefault="000B35E9">
          <w:pPr>
            <w:pStyle w:val="TOC1"/>
            <w:tabs>
              <w:tab w:val="right" w:leader="dot" w:pos="9016"/>
            </w:tabs>
            <w:rPr>
              <w:noProof/>
              <w:sz w:val="24"/>
              <w:szCs w:val="24"/>
            </w:rPr>
          </w:pPr>
          <w:hyperlink w:anchor="_Toc236148055" w:history="1">
            <w:r w:rsidRPr="00C209C0">
              <w:rPr>
                <w:rStyle w:val="Hyperlink"/>
                <w:noProof/>
                <w:lang w:val="en-US"/>
              </w:rPr>
              <w:t>References</w:t>
            </w:r>
            <w:r>
              <w:rPr>
                <w:noProof/>
                <w:webHidden/>
              </w:rPr>
              <w:tab/>
            </w:r>
            <w:r>
              <w:rPr>
                <w:noProof/>
                <w:webHidden/>
              </w:rPr>
              <w:fldChar w:fldCharType="begin"/>
            </w:r>
            <w:r>
              <w:rPr>
                <w:noProof/>
                <w:webHidden/>
              </w:rPr>
              <w:instrText xml:space="preserve"> PAGEREF _Toc236148055 \h </w:instrText>
            </w:r>
            <w:r>
              <w:rPr>
                <w:noProof/>
                <w:webHidden/>
              </w:rPr>
            </w:r>
            <w:r>
              <w:rPr>
                <w:noProof/>
                <w:webHidden/>
              </w:rPr>
              <w:fldChar w:fldCharType="separate"/>
            </w:r>
            <w:r>
              <w:rPr>
                <w:noProof/>
                <w:webHidden/>
              </w:rPr>
              <w:t>19</w:t>
            </w:r>
            <w:r>
              <w:rPr>
                <w:noProof/>
                <w:webHidden/>
              </w:rPr>
              <w:fldChar w:fldCharType="end"/>
            </w:r>
          </w:hyperlink>
        </w:p>
        <w:p w14:paraId="05F77834" w14:textId="70F37D2E" w:rsidR="00994002" w:rsidRDefault="00994002">
          <w:r>
            <w:rPr>
              <w:b/>
              <w:bCs/>
              <w:noProof/>
            </w:rPr>
            <w:fldChar w:fldCharType="end"/>
          </w:r>
        </w:p>
      </w:sdtContent>
    </w:sdt>
    <w:p w14:paraId="748483C8" w14:textId="77777777" w:rsidR="00994002" w:rsidRDefault="00994002" w:rsidP="008D3389">
      <w:pPr>
        <w:pStyle w:val="p1"/>
        <w:ind w:left="720"/>
        <w:rPr>
          <w:rStyle w:val="s1"/>
          <w:rFonts w:ascii="Arial" w:hAnsi="Arial" w:cs="Arial"/>
          <w:sz w:val="32"/>
          <w:szCs w:val="32"/>
        </w:rPr>
      </w:pPr>
    </w:p>
    <w:p w14:paraId="65A6FBE9" w14:textId="77777777" w:rsidR="00994002" w:rsidRDefault="00994002">
      <w:pPr>
        <w:rPr>
          <w:rStyle w:val="s1"/>
          <w:rFonts w:ascii="Arial" w:hAnsi="Arial" w:cs="Arial"/>
          <w:kern w:val="0"/>
          <w:sz w:val="32"/>
          <w:szCs w:val="32"/>
          <w14:ligatures w14:val="none"/>
        </w:rPr>
      </w:pPr>
      <w:r>
        <w:rPr>
          <w:rStyle w:val="s1"/>
          <w:rFonts w:ascii="Arial" w:hAnsi="Arial" w:cs="Arial"/>
          <w:sz w:val="32"/>
          <w:szCs w:val="32"/>
        </w:rPr>
        <w:br w:type="page"/>
      </w:r>
    </w:p>
    <w:p w14:paraId="25FEE5A8" w14:textId="7E993BC9" w:rsidR="00B23C66" w:rsidRDefault="00B23C66" w:rsidP="005C5F42">
      <w:pPr>
        <w:pStyle w:val="Heading1"/>
      </w:pPr>
      <w:bookmarkStart w:id="0" w:name="_Toc236148034"/>
      <w:r w:rsidRPr="002C127A">
        <w:rPr>
          <w:lang w:val="en-US"/>
        </w:rPr>
        <w:lastRenderedPageBreak/>
        <w:t>Introduction</w:t>
      </w:r>
      <w:bookmarkEnd w:id="0"/>
      <w:r w:rsidRPr="002C127A">
        <w:t> </w:t>
      </w:r>
    </w:p>
    <w:p w14:paraId="5F634BFA" w14:textId="77777777" w:rsidR="00494760" w:rsidRPr="00494760" w:rsidRDefault="00494760" w:rsidP="00494760"/>
    <w:p w14:paraId="3EBD1AB9" w14:textId="77777777" w:rsidR="00B23C66" w:rsidRDefault="00B23C66" w:rsidP="005C5F42">
      <w:pPr>
        <w:spacing w:line="360" w:lineRule="auto"/>
        <w:rPr>
          <w:rFonts w:ascii="Arial" w:hAnsi="Arial" w:cs="Arial"/>
        </w:rPr>
      </w:pPr>
      <w:r w:rsidRPr="002C127A">
        <w:rPr>
          <w:rFonts w:ascii="Arial" w:hAnsi="Arial" w:cs="Arial"/>
          <w:lang w:val="en-US"/>
        </w:rPr>
        <w:t>Healthcare organisations are complex adaptive systems in which patient outcomes emerge from the interaction of people, professional hierarchies, technology, resources, governance and culture. Leadership is therefore not limited to directing staff: it involves creating the conditions in which information moves reliably, responsibility is clear, professionals can challenge unsafe decisions and patients and families are treated as partners in care (West et al., 2015; Northouse, 2022). Where these conditions are absent, apparently minor weaknesses can combine to produce serious harm, even when individual practitioners intend to provide good care (Reason, 2000).</w:t>
      </w:r>
      <w:r w:rsidRPr="002C127A">
        <w:rPr>
          <w:rFonts w:ascii="Arial" w:hAnsi="Arial" w:cs="Arial"/>
        </w:rPr>
        <w:t> </w:t>
      </w:r>
    </w:p>
    <w:p w14:paraId="44BA7429" w14:textId="77777777" w:rsidR="00B55100" w:rsidRPr="002C127A" w:rsidRDefault="00B55100" w:rsidP="005C5F42">
      <w:pPr>
        <w:spacing w:line="360" w:lineRule="auto"/>
        <w:rPr>
          <w:rFonts w:ascii="Arial" w:hAnsi="Arial" w:cs="Arial"/>
        </w:rPr>
      </w:pPr>
    </w:p>
    <w:p w14:paraId="77B709FD" w14:textId="6909AE4F" w:rsidR="00B23C66" w:rsidRDefault="00B23C66" w:rsidP="005C5F42">
      <w:pPr>
        <w:spacing w:line="360" w:lineRule="auto"/>
        <w:rPr>
          <w:rFonts w:ascii="Arial" w:hAnsi="Arial" w:cs="Arial"/>
        </w:rPr>
      </w:pPr>
      <w:r w:rsidRPr="002C127A">
        <w:rPr>
          <w:rFonts w:ascii="Arial" w:hAnsi="Arial" w:cs="Arial"/>
          <w:lang w:val="en-US"/>
        </w:rPr>
        <w:t xml:space="preserve">This report analyses the death of Lewis Blackman, a healthy 15-year-old who deteriorated and died less than four days after elective surgery at a teaching hospital in South Carolina, United States. The operation itself was initially considered successful, but Lewis subsequently developed abdominal pain, tachycardia, reduced urine output, </w:t>
      </w:r>
      <w:r w:rsidR="00882042" w:rsidRPr="002C127A">
        <w:rPr>
          <w:rFonts w:ascii="Arial" w:hAnsi="Arial" w:cs="Arial"/>
          <w:lang w:val="en-US"/>
        </w:rPr>
        <w:t>hypoxemia</w:t>
      </w:r>
      <w:r w:rsidRPr="002C127A">
        <w:rPr>
          <w:rFonts w:ascii="Arial" w:hAnsi="Arial" w:cs="Arial"/>
          <w:lang w:val="en-US"/>
        </w:rPr>
        <w:t xml:space="preserve"> and shock. His deterioration was repeatedly attributed to postoperative constipation, while monitoring safeguards were weakened, senior medical review did not occur at the critical time</w:t>
      </w:r>
      <w:r w:rsidR="005C5F42">
        <w:rPr>
          <w:rFonts w:ascii="Arial" w:hAnsi="Arial" w:cs="Arial"/>
          <w:lang w:val="en-US"/>
        </w:rPr>
        <w:t>,</w:t>
      </w:r>
      <w:r w:rsidRPr="002C127A">
        <w:rPr>
          <w:rFonts w:ascii="Arial" w:hAnsi="Arial" w:cs="Arial"/>
          <w:lang w:val="en-US"/>
        </w:rPr>
        <w:t xml:space="preserve"> and his parents' concerns did not trigger an effective escalation response (Blackman, 2008). The case consequently illustrates diagnostic anchoring, failure to rescue, fragmented communication and weaknesses in clinical governance rather than a single isolated mistake.</w:t>
      </w:r>
      <w:r w:rsidRPr="002C127A">
        <w:rPr>
          <w:rFonts w:ascii="Arial" w:hAnsi="Arial" w:cs="Arial"/>
        </w:rPr>
        <w:t> </w:t>
      </w:r>
    </w:p>
    <w:p w14:paraId="6DE60B4B" w14:textId="77777777" w:rsidR="00B55100" w:rsidRPr="002C127A" w:rsidRDefault="00B55100" w:rsidP="005C5F42">
      <w:pPr>
        <w:spacing w:line="360" w:lineRule="auto"/>
        <w:rPr>
          <w:rFonts w:ascii="Arial" w:hAnsi="Arial" w:cs="Arial"/>
        </w:rPr>
      </w:pPr>
    </w:p>
    <w:p w14:paraId="4407267F" w14:textId="77777777" w:rsidR="00B23C66" w:rsidRDefault="00B23C66" w:rsidP="005C5F42">
      <w:pPr>
        <w:spacing w:line="360" w:lineRule="auto"/>
        <w:rPr>
          <w:rFonts w:ascii="Arial" w:hAnsi="Arial" w:cs="Arial"/>
        </w:rPr>
      </w:pPr>
      <w:r w:rsidRPr="002C127A">
        <w:rPr>
          <w:rFonts w:ascii="Arial" w:hAnsi="Arial" w:cs="Arial"/>
          <w:lang w:val="en-US"/>
        </w:rPr>
        <w:t>The report first establishes the problem through global, United States and case-level evidence. It then applies systems thinking through a Rich Picture, feedback-loop analysis and CATWOE. A dedicated comparison of centralised and decentralised structures evaluates how hierarchy influenced the case and why a hybrid governance model is preferable. Transformational, transactional, situational, distributed and servant leadership are critically examined using quantitative evidence where available. Finally, change-management theory is linked to an implementation plan that addresses technical efficiency, allocative efficiency, co-production, risk mitigation and measurable outcomes. The central argument is that safe care requires centralised standards and accountability alongside decentralised authority to escalate concerns rapidly at the point of care.</w:t>
      </w:r>
      <w:r w:rsidRPr="002C127A">
        <w:rPr>
          <w:rFonts w:ascii="Arial" w:hAnsi="Arial" w:cs="Arial"/>
        </w:rPr>
        <w:t> </w:t>
      </w:r>
    </w:p>
    <w:p w14:paraId="615CAC14" w14:textId="0DE79DFE" w:rsidR="00B23C66" w:rsidRPr="002C127A" w:rsidRDefault="00B23C66" w:rsidP="00B55100">
      <w:pPr>
        <w:pStyle w:val="Heading1"/>
      </w:pPr>
      <w:bookmarkStart w:id="1" w:name="_Toc236148035"/>
      <w:r w:rsidRPr="002C127A">
        <w:rPr>
          <w:lang w:val="en-US"/>
        </w:rPr>
        <w:t>Evidence-Based Problem and System Context</w:t>
      </w:r>
      <w:bookmarkEnd w:id="1"/>
      <w:r w:rsidRPr="002C127A">
        <w:t> </w:t>
      </w:r>
    </w:p>
    <w:p w14:paraId="3B426238" w14:textId="173FB40D" w:rsidR="00B23C66" w:rsidRPr="002C127A" w:rsidRDefault="00B55100" w:rsidP="00B55100">
      <w:pPr>
        <w:pStyle w:val="Heading2"/>
      </w:pPr>
      <w:bookmarkStart w:id="2" w:name="_Toc236148036"/>
      <w:r>
        <w:rPr>
          <w:lang w:val="en-US"/>
        </w:rPr>
        <w:t xml:space="preserve">The </w:t>
      </w:r>
      <w:r w:rsidR="00B23C66" w:rsidRPr="002C127A">
        <w:rPr>
          <w:lang w:val="en-US"/>
        </w:rPr>
        <w:t>patient-safety problem</w:t>
      </w:r>
      <w:bookmarkEnd w:id="2"/>
      <w:r w:rsidR="00B23C66" w:rsidRPr="002C127A">
        <w:t> </w:t>
      </w:r>
    </w:p>
    <w:p w14:paraId="7CBEC7D8" w14:textId="3BDA684B" w:rsidR="00B23C66" w:rsidRDefault="00B23C66" w:rsidP="002C127A">
      <w:pPr>
        <w:spacing w:line="360" w:lineRule="auto"/>
        <w:rPr>
          <w:rFonts w:ascii="Arial" w:hAnsi="Arial" w:cs="Arial"/>
        </w:rPr>
      </w:pPr>
      <w:r w:rsidRPr="002C127A">
        <w:rPr>
          <w:rFonts w:ascii="Arial" w:hAnsi="Arial" w:cs="Arial"/>
          <w:lang w:val="en-US"/>
        </w:rPr>
        <w:t xml:space="preserve">The central problem was the failure to </w:t>
      </w:r>
      <w:r w:rsidR="00FF41A4">
        <w:rPr>
          <w:rFonts w:ascii="Arial" w:hAnsi="Arial" w:cs="Arial"/>
          <w:lang w:val="en-US"/>
        </w:rPr>
        <w:t>recognise</w:t>
      </w:r>
      <w:r w:rsidRPr="002C127A">
        <w:rPr>
          <w:rFonts w:ascii="Arial" w:hAnsi="Arial" w:cs="Arial"/>
          <w:lang w:val="en-US"/>
        </w:rPr>
        <w:t xml:space="preserve">, communicate and escalate Lewis Blackman's postoperative deterioration despite repeated physiological warning signs and </w:t>
      </w:r>
      <w:r w:rsidRPr="002C127A">
        <w:rPr>
          <w:rFonts w:ascii="Arial" w:hAnsi="Arial" w:cs="Arial"/>
          <w:lang w:val="en-US"/>
        </w:rPr>
        <w:lastRenderedPageBreak/>
        <w:t xml:space="preserve">concerns raised by his family. After surgery, ketorolac was used as part of his analgesic regimen. Lewis later developed a ruptured duodenal ulcer, internal bleeding, peritonitis and </w:t>
      </w:r>
      <w:r w:rsidR="00FF41A4" w:rsidRPr="002C127A">
        <w:rPr>
          <w:rFonts w:ascii="Arial" w:hAnsi="Arial" w:cs="Arial"/>
          <w:lang w:val="en-US"/>
        </w:rPr>
        <w:t>hypovolemic</w:t>
      </w:r>
      <w:r w:rsidRPr="002C127A">
        <w:rPr>
          <w:rFonts w:ascii="Arial" w:hAnsi="Arial" w:cs="Arial"/>
          <w:lang w:val="en-US"/>
        </w:rPr>
        <w:t xml:space="preserve"> shock; the condition was considered treatable if recognised promptly (Blackman, 2008). Clinicians nevertheless remained anchored to constipation as the explanation for his symptoms. Croskerry (2003) identifies anchoring and premature closure as important cognitive contributors to diagnostic error, but a systems perspective asks why the organisation did not interrupt that reasoning through senior review, pharmacy input, objective escalation criteria or family-activated assistance.</w:t>
      </w:r>
      <w:r w:rsidRPr="002C127A">
        <w:rPr>
          <w:rFonts w:ascii="Arial" w:hAnsi="Arial" w:cs="Arial"/>
        </w:rPr>
        <w:t> </w:t>
      </w:r>
    </w:p>
    <w:p w14:paraId="122A8238" w14:textId="77777777" w:rsidR="007866EF" w:rsidRPr="002C127A" w:rsidRDefault="007866EF" w:rsidP="002C127A">
      <w:pPr>
        <w:spacing w:line="360" w:lineRule="auto"/>
        <w:rPr>
          <w:rFonts w:ascii="Arial" w:hAnsi="Arial" w:cs="Arial"/>
        </w:rPr>
      </w:pPr>
    </w:p>
    <w:p w14:paraId="3E05B0F1" w14:textId="12D20634" w:rsidR="00B23C66" w:rsidRDefault="00B23C66" w:rsidP="002C127A">
      <w:pPr>
        <w:spacing w:line="360" w:lineRule="auto"/>
        <w:rPr>
          <w:rFonts w:ascii="Arial" w:hAnsi="Arial" w:cs="Arial"/>
        </w:rPr>
      </w:pPr>
      <w:r w:rsidRPr="002C127A">
        <w:rPr>
          <w:rFonts w:ascii="Arial" w:hAnsi="Arial" w:cs="Arial"/>
          <w:lang w:val="en-US"/>
        </w:rPr>
        <w:t xml:space="preserve">The case contained several interacting organisational failures. Junior doctors carried substantial responsibility without supervision proportionate to the patient's risk; nurses' observations did not produce a reliable escalation response; the pulse-oximeter alarm threshold was reduced from 90% to 85%, weakening a technological defence; and the family could not independently secure senior assessment (Blackman, 2008). These were </w:t>
      </w:r>
      <w:r w:rsidR="00B55100" w:rsidRPr="002C127A">
        <w:rPr>
          <w:rFonts w:ascii="Arial" w:hAnsi="Arial" w:cs="Arial"/>
          <w:lang w:val="en-US"/>
        </w:rPr>
        <w:t>dependent on events</w:t>
      </w:r>
      <w:r w:rsidRPr="002C127A">
        <w:rPr>
          <w:rFonts w:ascii="Arial" w:hAnsi="Arial" w:cs="Arial"/>
          <w:lang w:val="en-US"/>
        </w:rPr>
        <w:t xml:space="preserve"> rather than separate events. Monitoring had value only if staff interpreted the data, communication had value only if it reached a decision-maker, and senior expertise had value only if the organisational structure made it available. The absence of any one </w:t>
      </w:r>
      <w:r w:rsidR="00B55100">
        <w:rPr>
          <w:rFonts w:ascii="Arial" w:hAnsi="Arial" w:cs="Arial"/>
          <w:lang w:val="en-US"/>
        </w:rPr>
        <w:t>defence</w:t>
      </w:r>
      <w:r w:rsidRPr="002C127A">
        <w:rPr>
          <w:rFonts w:ascii="Arial" w:hAnsi="Arial" w:cs="Arial"/>
          <w:lang w:val="en-US"/>
        </w:rPr>
        <w:t xml:space="preserve"> increased reliance on the others, and their combined failure created the pathway to harm described by Reason's (2000) Swiss Cheese Model.</w:t>
      </w:r>
      <w:r w:rsidRPr="002C127A">
        <w:rPr>
          <w:rFonts w:ascii="Arial" w:hAnsi="Arial" w:cs="Arial"/>
        </w:rPr>
        <w:t> </w:t>
      </w:r>
    </w:p>
    <w:p w14:paraId="3330AB96" w14:textId="77777777" w:rsidR="00936967" w:rsidRDefault="00936967" w:rsidP="002C127A">
      <w:pPr>
        <w:spacing w:line="360" w:lineRule="auto"/>
        <w:rPr>
          <w:rFonts w:ascii="Arial" w:hAnsi="Arial" w:cs="Arial"/>
        </w:rPr>
      </w:pPr>
    </w:p>
    <w:p w14:paraId="7B61D09C" w14:textId="3BBE97F4" w:rsidR="00B23C66" w:rsidRDefault="00B23C66" w:rsidP="00936967">
      <w:pPr>
        <w:pStyle w:val="Heading2"/>
      </w:pPr>
      <w:bookmarkStart w:id="3" w:name="_Toc236148037"/>
      <w:r w:rsidRPr="002C127A">
        <w:rPr>
          <w:lang w:val="en-US"/>
        </w:rPr>
        <w:t>Global, national and case-level evidence</w:t>
      </w:r>
      <w:bookmarkEnd w:id="3"/>
      <w:r w:rsidRPr="002C127A">
        <w:t> </w:t>
      </w:r>
    </w:p>
    <w:p w14:paraId="4A8E3FF4" w14:textId="77777777" w:rsidR="00494760" w:rsidRPr="00494760" w:rsidRDefault="00494760" w:rsidP="00494760"/>
    <w:p w14:paraId="728CE050" w14:textId="7EF294F8" w:rsidR="00B23C66" w:rsidRDefault="00B23C66" w:rsidP="002C127A">
      <w:pPr>
        <w:spacing w:line="360" w:lineRule="auto"/>
        <w:rPr>
          <w:rFonts w:ascii="Arial" w:hAnsi="Arial" w:cs="Arial"/>
        </w:rPr>
      </w:pPr>
      <w:r w:rsidRPr="002C127A">
        <w:rPr>
          <w:rFonts w:ascii="Arial" w:hAnsi="Arial" w:cs="Arial"/>
          <w:lang w:val="en-US"/>
        </w:rPr>
        <w:t xml:space="preserve">The global scale of unsafe care confirms that the case is not an exceptional or purely historical event. The World Health </w:t>
      </w:r>
      <w:r w:rsidR="007866EF">
        <w:rPr>
          <w:rFonts w:ascii="Arial" w:hAnsi="Arial" w:cs="Arial"/>
          <w:lang w:val="en-US"/>
        </w:rPr>
        <w:t>Organisation</w:t>
      </w:r>
      <w:r w:rsidRPr="002C127A">
        <w:rPr>
          <w:rFonts w:ascii="Arial" w:hAnsi="Arial" w:cs="Arial"/>
          <w:lang w:val="en-US"/>
        </w:rPr>
        <w:t xml:space="preserve"> (2023) estimates that around one in ten patients </w:t>
      </w:r>
      <w:r w:rsidR="004D18E2" w:rsidRPr="002C127A">
        <w:rPr>
          <w:rFonts w:ascii="Arial" w:hAnsi="Arial" w:cs="Arial"/>
          <w:lang w:val="en-US"/>
        </w:rPr>
        <w:t>are</w:t>
      </w:r>
      <w:r w:rsidRPr="002C127A">
        <w:rPr>
          <w:rFonts w:ascii="Arial" w:hAnsi="Arial" w:cs="Arial"/>
          <w:lang w:val="en-US"/>
        </w:rPr>
        <w:t xml:space="preserve"> harmed during healthcare, more than three million deaths occur annually because of unsafe care, and over half of the harm is preventable. Medication-related harm accounts for approximately half of preventable harm. These figures are directly relevant because Lewis's outcome involved medicine risk, delayed recognition and failures in the response to deterioration. The economic burden is also material: the OECD estimates that the direct cost of unsafe care in developed health systems approaches 13% of healthcare expenditure, approximately US$606 billion annually, while the wider global economic cost exceeds US$1 trillion (Slawomirski and Klazinga, 2022). Patient safety is therefore both an ethical and a resource-allocation issue.</w:t>
      </w:r>
      <w:r w:rsidRPr="002C127A">
        <w:rPr>
          <w:rFonts w:ascii="Arial" w:hAnsi="Arial" w:cs="Arial"/>
        </w:rPr>
        <w:t> </w:t>
      </w:r>
    </w:p>
    <w:p w14:paraId="281C25F8" w14:textId="77777777" w:rsidR="00F038AF" w:rsidRPr="002C127A" w:rsidRDefault="00F038AF" w:rsidP="002C127A">
      <w:pPr>
        <w:spacing w:line="360" w:lineRule="auto"/>
        <w:rPr>
          <w:rFonts w:ascii="Arial" w:hAnsi="Arial" w:cs="Arial"/>
        </w:rPr>
      </w:pPr>
    </w:p>
    <w:p w14:paraId="21864FC8" w14:textId="77777777" w:rsidR="00B23C66" w:rsidRDefault="00B23C66" w:rsidP="002C127A">
      <w:pPr>
        <w:spacing w:line="360" w:lineRule="auto"/>
        <w:rPr>
          <w:rFonts w:ascii="Arial" w:hAnsi="Arial" w:cs="Arial"/>
        </w:rPr>
      </w:pPr>
      <w:r w:rsidRPr="002C127A">
        <w:rPr>
          <w:rFonts w:ascii="Arial" w:hAnsi="Arial" w:cs="Arial"/>
          <w:lang w:val="en-US"/>
        </w:rPr>
        <w:t xml:space="preserve">United States evidence provides the appropriate national context. Bates et al. (2023) reviewed 2,809 admissions across 11 Massachusetts hospitals and found at least one adverse event in 23.6% of admissions. Of 978 identified events, 22.7% were judged </w:t>
      </w:r>
      <w:r w:rsidRPr="002C127A">
        <w:rPr>
          <w:rFonts w:ascii="Arial" w:hAnsi="Arial" w:cs="Arial"/>
          <w:lang w:val="en-US"/>
        </w:rPr>
        <w:lastRenderedPageBreak/>
        <w:t>preventable and 32.3% caused serious harm or worse; adverse drug events were the largest category, accounting for 39.0% of events. Although the study was conducted many years after Lewis's death and in a different state, it demonstrates that hospital harm, medication-related events and preventable serious outcomes remain significant national challenges. The National Academies of Sciences, Engineering and Medicine (2015) further concluded that most people will experience at least one diagnostic error in their lifetime, reinforcing the importance of systems that challenge early assumptions and make diagnostic uncertainty visible.</w:t>
      </w:r>
      <w:r w:rsidRPr="002C127A">
        <w:rPr>
          <w:rFonts w:ascii="Arial" w:hAnsi="Arial" w:cs="Arial"/>
        </w:rPr>
        <w:t> </w:t>
      </w:r>
    </w:p>
    <w:p w14:paraId="489C8D7B" w14:textId="77777777" w:rsidR="00F038AF" w:rsidRPr="002C127A" w:rsidRDefault="00F038AF" w:rsidP="002C127A">
      <w:pPr>
        <w:spacing w:line="360" w:lineRule="auto"/>
        <w:rPr>
          <w:rFonts w:ascii="Arial" w:hAnsi="Arial" w:cs="Arial"/>
        </w:rPr>
      </w:pPr>
    </w:p>
    <w:p w14:paraId="38AF62BB" w14:textId="34F426BF" w:rsidR="00B23C66" w:rsidRDefault="009920C7" w:rsidP="002C127A">
      <w:pPr>
        <w:spacing w:line="360" w:lineRule="auto"/>
        <w:rPr>
          <w:rFonts w:ascii="Arial" w:hAnsi="Arial" w:cs="Arial"/>
        </w:rPr>
      </w:pPr>
      <w:r>
        <w:rPr>
          <w:rFonts w:ascii="Arial" w:hAnsi="Arial" w:cs="Arial"/>
          <w:lang w:val="en-US"/>
        </w:rPr>
        <w:t>The case materials do not include safety data for the individual teaching hospital, so it would be misleading to estimate an institutional adverse event rate.</w:t>
      </w:r>
      <w:r w:rsidR="00B23C66" w:rsidRPr="002C127A">
        <w:rPr>
          <w:rFonts w:ascii="Arial" w:hAnsi="Arial" w:cs="Arial"/>
          <w:lang w:val="en-US"/>
        </w:rPr>
        <w:t xml:space="preserve"> Organisation-level evidence must instead use verifiable features of Lewis's pathway: he was 15 years old, deteriorated over fewer than four postoperative days, experienced a reduction in the oxygen-alarm threshold from 90% to 85%, received repeated junior assessments and did not obtain the requested attending-physician review during the critical period (Blackman, 2008). The organisational response is also measurable through the later state reform. The Lewis Blackman Hospital Patient Safety Act became law in South Carolina on 8 June 2005 and required clear staff identification, information about the roles of trainees and attending physicians, nurse assistance when a patient requests contact with the attending physician, and a continuously available mechanism for prompt help with personal medical-care concerns (South Carolina General Assembly, 2005).</w:t>
      </w:r>
      <w:r w:rsidR="00B23C66" w:rsidRPr="002C127A">
        <w:rPr>
          <w:rFonts w:ascii="Arial" w:hAnsi="Arial" w:cs="Arial"/>
        </w:rPr>
        <w:t> </w:t>
      </w:r>
    </w:p>
    <w:p w14:paraId="62FB5151" w14:textId="77777777" w:rsidR="00F038AF" w:rsidRPr="002C127A" w:rsidRDefault="00F038AF" w:rsidP="002C127A">
      <w:pPr>
        <w:spacing w:line="360" w:lineRule="auto"/>
        <w:rPr>
          <w:rFonts w:ascii="Arial" w:hAnsi="Arial" w:cs="Arial"/>
        </w:rPr>
      </w:pPr>
    </w:p>
    <w:p w14:paraId="3B6B66D1" w14:textId="77777777" w:rsidR="00B23C66" w:rsidRDefault="00B23C66" w:rsidP="002C127A">
      <w:pPr>
        <w:spacing w:line="360" w:lineRule="auto"/>
        <w:rPr>
          <w:rFonts w:ascii="Arial" w:hAnsi="Arial" w:cs="Arial"/>
        </w:rPr>
      </w:pPr>
      <w:r w:rsidRPr="002C127A">
        <w:rPr>
          <w:rFonts w:ascii="Arial" w:hAnsi="Arial" w:cs="Arial"/>
          <w:b/>
          <w:bCs/>
          <w:lang w:val="en-US"/>
        </w:rPr>
        <w:t>Table 1. Evidence across system levels and its relevance to the case</w:t>
      </w:r>
      <w:r w:rsidRPr="002C127A">
        <w:rPr>
          <w:rFonts w:ascii="Arial" w:hAnsi="Arial" w:cs="Arial"/>
        </w:rPr>
        <w:t> </w:t>
      </w:r>
    </w:p>
    <w:p w14:paraId="252B2889" w14:textId="77777777" w:rsidR="00494760" w:rsidRPr="002C127A" w:rsidRDefault="00494760" w:rsidP="002C127A">
      <w:pPr>
        <w:spacing w:line="360" w:lineRule="auto"/>
        <w:rPr>
          <w:rFonts w:ascii="Arial" w:hAnsi="Arial" w:cs="Arial"/>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85"/>
        <w:gridCol w:w="2237"/>
        <w:gridCol w:w="2244"/>
        <w:gridCol w:w="2244"/>
      </w:tblGrid>
      <w:tr w:rsidR="00B23C66" w:rsidRPr="002C127A" w14:paraId="4ACCF9FB" w14:textId="77777777">
        <w:trPr>
          <w:trHeight w:val="300"/>
        </w:trPr>
        <w:tc>
          <w:tcPr>
            <w:tcW w:w="2325"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22543353" w14:textId="77777777" w:rsidR="00B23C66" w:rsidRPr="002C127A" w:rsidRDefault="00B23C66" w:rsidP="002C127A">
            <w:pPr>
              <w:spacing w:line="360" w:lineRule="auto"/>
              <w:rPr>
                <w:rFonts w:ascii="Arial" w:hAnsi="Arial" w:cs="Arial"/>
              </w:rPr>
            </w:pPr>
            <w:r w:rsidRPr="002C127A">
              <w:rPr>
                <w:rFonts w:ascii="Arial" w:hAnsi="Arial" w:cs="Arial"/>
                <w:b/>
                <w:bCs/>
                <w:lang w:val="en-US"/>
              </w:rPr>
              <w:t>System level</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1341B100" w14:textId="77777777" w:rsidR="00B23C66" w:rsidRPr="002C127A" w:rsidRDefault="00B23C66" w:rsidP="002C127A">
            <w:pPr>
              <w:spacing w:line="360" w:lineRule="auto"/>
              <w:rPr>
                <w:rFonts w:ascii="Arial" w:hAnsi="Arial" w:cs="Arial"/>
              </w:rPr>
            </w:pPr>
            <w:r w:rsidRPr="002C127A">
              <w:rPr>
                <w:rFonts w:ascii="Arial" w:hAnsi="Arial" w:cs="Arial"/>
                <w:b/>
                <w:bCs/>
                <w:lang w:val="en-US"/>
              </w:rPr>
              <w:t>Quantitative or verifiable evidence</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5A30092B" w14:textId="77777777" w:rsidR="00B23C66" w:rsidRPr="002C127A" w:rsidRDefault="00B23C66" w:rsidP="002C127A">
            <w:pPr>
              <w:spacing w:line="360" w:lineRule="auto"/>
              <w:rPr>
                <w:rFonts w:ascii="Arial" w:hAnsi="Arial" w:cs="Arial"/>
              </w:rPr>
            </w:pPr>
            <w:r w:rsidRPr="002C127A">
              <w:rPr>
                <w:rFonts w:ascii="Arial" w:hAnsi="Arial" w:cs="Arial"/>
                <w:b/>
                <w:bCs/>
                <w:lang w:val="en-US"/>
              </w:rPr>
              <w:t>Relevance</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7FDC8AFD" w14:textId="77777777" w:rsidR="00B23C66" w:rsidRPr="002C127A" w:rsidRDefault="00B23C66" w:rsidP="002C127A">
            <w:pPr>
              <w:spacing w:line="360" w:lineRule="auto"/>
              <w:rPr>
                <w:rFonts w:ascii="Arial" w:hAnsi="Arial" w:cs="Arial"/>
              </w:rPr>
            </w:pPr>
            <w:r w:rsidRPr="002C127A">
              <w:rPr>
                <w:rFonts w:ascii="Arial" w:hAnsi="Arial" w:cs="Arial"/>
                <w:b/>
                <w:bCs/>
                <w:lang w:val="en-US"/>
              </w:rPr>
              <w:t>Governance implication</w:t>
            </w:r>
            <w:r w:rsidRPr="002C127A">
              <w:rPr>
                <w:rFonts w:ascii="Arial" w:hAnsi="Arial" w:cs="Arial"/>
              </w:rPr>
              <w:t> </w:t>
            </w:r>
          </w:p>
        </w:tc>
      </w:tr>
      <w:tr w:rsidR="00B23C66" w:rsidRPr="002C127A" w14:paraId="60C10FDC" w14:textId="77777777">
        <w:trPr>
          <w:trHeight w:val="300"/>
        </w:trPr>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49EE594" w14:textId="77777777" w:rsidR="00B23C66" w:rsidRPr="002C127A" w:rsidRDefault="00B23C66" w:rsidP="002C127A">
            <w:pPr>
              <w:spacing w:line="360" w:lineRule="auto"/>
              <w:rPr>
                <w:rFonts w:ascii="Arial" w:hAnsi="Arial" w:cs="Arial"/>
              </w:rPr>
            </w:pPr>
            <w:r w:rsidRPr="002C127A">
              <w:rPr>
                <w:rFonts w:ascii="Arial" w:hAnsi="Arial" w:cs="Arial"/>
                <w:lang w:val="en-US"/>
              </w:rPr>
              <w:t>Global</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EDA3EF9" w14:textId="5D5BAF26" w:rsidR="00B23C66" w:rsidRPr="002C127A" w:rsidRDefault="00B23C66" w:rsidP="002C127A">
            <w:pPr>
              <w:spacing w:line="360" w:lineRule="auto"/>
              <w:rPr>
                <w:rFonts w:ascii="Arial" w:hAnsi="Arial" w:cs="Arial"/>
              </w:rPr>
            </w:pPr>
            <w:r w:rsidRPr="002C127A">
              <w:rPr>
                <w:rFonts w:ascii="Arial" w:hAnsi="Arial" w:cs="Arial"/>
                <w:lang w:val="en-US"/>
              </w:rPr>
              <w:t>Around 1 in 10 patients harmed; more than 3 million deaths annually; over 50</w:t>
            </w:r>
            <w:r w:rsidR="00203374" w:rsidRPr="002C127A">
              <w:rPr>
                <w:rFonts w:ascii="Arial" w:hAnsi="Arial" w:cs="Arial"/>
                <w:lang w:val="en-US"/>
              </w:rPr>
              <w:t>%</w:t>
            </w:r>
            <w:r w:rsidRPr="002C127A">
              <w:rPr>
                <w:rFonts w:ascii="Arial" w:hAnsi="Arial" w:cs="Arial"/>
                <w:lang w:val="en-US"/>
              </w:rPr>
              <w:t xml:space="preserve"> harm preventable (WHO, 2023).</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5AEB8FD" w14:textId="77777777" w:rsidR="00B23C66" w:rsidRPr="002C127A" w:rsidRDefault="00B23C66" w:rsidP="002C127A">
            <w:pPr>
              <w:spacing w:line="360" w:lineRule="auto"/>
              <w:rPr>
                <w:rFonts w:ascii="Arial" w:hAnsi="Arial" w:cs="Arial"/>
              </w:rPr>
            </w:pPr>
            <w:r w:rsidRPr="002C127A">
              <w:rPr>
                <w:rFonts w:ascii="Arial" w:hAnsi="Arial" w:cs="Arial"/>
                <w:lang w:val="en-US"/>
              </w:rPr>
              <w:t>Shows that preventable harm is a system-wide international problem.</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AFB9648" w14:textId="77777777" w:rsidR="00B23C66" w:rsidRPr="002C127A" w:rsidRDefault="00B23C66" w:rsidP="002C127A">
            <w:pPr>
              <w:spacing w:line="360" w:lineRule="auto"/>
              <w:rPr>
                <w:rFonts w:ascii="Arial" w:hAnsi="Arial" w:cs="Arial"/>
              </w:rPr>
            </w:pPr>
            <w:r w:rsidRPr="002C127A">
              <w:rPr>
                <w:rFonts w:ascii="Arial" w:hAnsi="Arial" w:cs="Arial"/>
                <w:lang w:val="en-US"/>
              </w:rPr>
              <w:t>Global safety standards should be translated into national and organisational controls.</w:t>
            </w:r>
            <w:r w:rsidRPr="002C127A">
              <w:rPr>
                <w:rFonts w:ascii="Arial" w:hAnsi="Arial" w:cs="Arial"/>
              </w:rPr>
              <w:t> </w:t>
            </w:r>
          </w:p>
        </w:tc>
      </w:tr>
      <w:tr w:rsidR="00B23C66" w:rsidRPr="002C127A" w14:paraId="2ECC328A" w14:textId="77777777">
        <w:trPr>
          <w:trHeight w:val="300"/>
        </w:trPr>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698A649A" w14:textId="77777777" w:rsidR="00B23C66" w:rsidRPr="002C127A" w:rsidRDefault="00B23C66" w:rsidP="002C127A">
            <w:pPr>
              <w:spacing w:line="360" w:lineRule="auto"/>
              <w:rPr>
                <w:rFonts w:ascii="Arial" w:hAnsi="Arial" w:cs="Arial"/>
              </w:rPr>
            </w:pPr>
            <w:r w:rsidRPr="002C127A">
              <w:rPr>
                <w:rFonts w:ascii="Arial" w:hAnsi="Arial" w:cs="Arial"/>
                <w:lang w:val="en-US"/>
              </w:rPr>
              <w:t>Economic</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D42678B" w14:textId="77777777" w:rsidR="00B23C66" w:rsidRPr="002C127A" w:rsidRDefault="00B23C66" w:rsidP="002C127A">
            <w:pPr>
              <w:spacing w:line="360" w:lineRule="auto"/>
              <w:rPr>
                <w:rFonts w:ascii="Arial" w:hAnsi="Arial" w:cs="Arial"/>
              </w:rPr>
            </w:pPr>
            <w:r w:rsidRPr="002C127A">
              <w:rPr>
                <w:rFonts w:ascii="Arial" w:hAnsi="Arial" w:cs="Arial"/>
                <w:lang w:val="en-US"/>
              </w:rPr>
              <w:t xml:space="preserve">Unsafe care approaches 13% of health expenditure in developed systems </w:t>
            </w:r>
            <w:r w:rsidRPr="002C127A">
              <w:rPr>
                <w:rFonts w:ascii="Arial" w:hAnsi="Arial" w:cs="Arial"/>
                <w:lang w:val="en-US"/>
              </w:rPr>
              <w:lastRenderedPageBreak/>
              <w:t>(Slawomirski and Klazinga, 2022).</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78B4C82" w14:textId="77777777" w:rsidR="00B23C66" w:rsidRPr="002C127A" w:rsidRDefault="00B23C66" w:rsidP="002C127A">
            <w:pPr>
              <w:spacing w:line="360" w:lineRule="auto"/>
              <w:rPr>
                <w:rFonts w:ascii="Arial" w:hAnsi="Arial" w:cs="Arial"/>
              </w:rPr>
            </w:pPr>
            <w:r w:rsidRPr="002C127A">
              <w:rPr>
                <w:rFonts w:ascii="Arial" w:hAnsi="Arial" w:cs="Arial"/>
                <w:lang w:val="en-US"/>
              </w:rPr>
              <w:lastRenderedPageBreak/>
              <w:t>Links safety improvement to technical and allocative efficiency.</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60311BC" w14:textId="77777777" w:rsidR="00B23C66" w:rsidRPr="002C127A" w:rsidRDefault="00B23C66" w:rsidP="002C127A">
            <w:pPr>
              <w:spacing w:line="360" w:lineRule="auto"/>
              <w:rPr>
                <w:rFonts w:ascii="Arial" w:hAnsi="Arial" w:cs="Arial"/>
              </w:rPr>
            </w:pPr>
            <w:r w:rsidRPr="002C127A">
              <w:rPr>
                <w:rFonts w:ascii="Arial" w:hAnsi="Arial" w:cs="Arial"/>
                <w:lang w:val="en-US"/>
              </w:rPr>
              <w:t xml:space="preserve">Investment decisions should compare prevention costs with </w:t>
            </w:r>
            <w:r w:rsidRPr="002C127A">
              <w:rPr>
                <w:rFonts w:ascii="Arial" w:hAnsi="Arial" w:cs="Arial"/>
                <w:lang w:val="en-US"/>
              </w:rPr>
              <w:lastRenderedPageBreak/>
              <w:t>the cost of avoidable harm.</w:t>
            </w:r>
            <w:r w:rsidRPr="002C127A">
              <w:rPr>
                <w:rFonts w:ascii="Arial" w:hAnsi="Arial" w:cs="Arial"/>
              </w:rPr>
              <w:t> </w:t>
            </w:r>
          </w:p>
        </w:tc>
      </w:tr>
      <w:tr w:rsidR="00B23C66" w:rsidRPr="002C127A" w14:paraId="078CE93C" w14:textId="77777777">
        <w:trPr>
          <w:trHeight w:val="300"/>
        </w:trPr>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6ABB986B" w14:textId="77777777" w:rsidR="00B23C66" w:rsidRPr="002C127A" w:rsidRDefault="00B23C66" w:rsidP="002C127A">
            <w:pPr>
              <w:spacing w:line="360" w:lineRule="auto"/>
              <w:rPr>
                <w:rFonts w:ascii="Arial" w:hAnsi="Arial" w:cs="Arial"/>
              </w:rPr>
            </w:pPr>
            <w:r w:rsidRPr="002C127A">
              <w:rPr>
                <w:rFonts w:ascii="Arial" w:hAnsi="Arial" w:cs="Arial"/>
                <w:lang w:val="en-US"/>
              </w:rPr>
              <w:lastRenderedPageBreak/>
              <w:t>United States</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9D33B3B" w14:textId="77777777" w:rsidR="00B23C66" w:rsidRPr="002C127A" w:rsidRDefault="00B23C66" w:rsidP="002C127A">
            <w:pPr>
              <w:spacing w:line="360" w:lineRule="auto"/>
              <w:rPr>
                <w:rFonts w:ascii="Arial" w:hAnsi="Arial" w:cs="Arial"/>
              </w:rPr>
            </w:pPr>
            <w:r w:rsidRPr="002C127A">
              <w:rPr>
                <w:rFonts w:ascii="Arial" w:hAnsi="Arial" w:cs="Arial"/>
                <w:lang w:val="en-US"/>
              </w:rPr>
              <w:t>23.6% of 2,809 admissions had an adverse event; 22.7% of events were preventable; 39.0% were medication-related (Bates et al., 2023).</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79411A9" w14:textId="77777777" w:rsidR="00B23C66" w:rsidRPr="002C127A" w:rsidRDefault="00B23C66" w:rsidP="002C127A">
            <w:pPr>
              <w:spacing w:line="360" w:lineRule="auto"/>
              <w:rPr>
                <w:rFonts w:ascii="Arial" w:hAnsi="Arial" w:cs="Arial"/>
              </w:rPr>
            </w:pPr>
            <w:r w:rsidRPr="002C127A">
              <w:rPr>
                <w:rFonts w:ascii="Arial" w:hAnsi="Arial" w:cs="Arial"/>
                <w:lang w:val="en-US"/>
              </w:rPr>
              <w:t>Demonstrates continuing national relevance of hospital and medication safety.</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6766853" w14:textId="77777777" w:rsidR="00B23C66" w:rsidRPr="002C127A" w:rsidRDefault="00B23C66" w:rsidP="002C127A">
            <w:pPr>
              <w:spacing w:line="360" w:lineRule="auto"/>
              <w:rPr>
                <w:rFonts w:ascii="Arial" w:hAnsi="Arial" w:cs="Arial"/>
              </w:rPr>
            </w:pPr>
            <w:r w:rsidRPr="002C127A">
              <w:rPr>
                <w:rFonts w:ascii="Arial" w:hAnsi="Arial" w:cs="Arial"/>
                <w:lang w:val="en-US"/>
              </w:rPr>
              <w:t>Accreditation, professional standards and hospital boards should monitor preventable harm.</w:t>
            </w:r>
            <w:r w:rsidRPr="002C127A">
              <w:rPr>
                <w:rFonts w:ascii="Arial" w:hAnsi="Arial" w:cs="Arial"/>
              </w:rPr>
              <w:t> </w:t>
            </w:r>
          </w:p>
        </w:tc>
      </w:tr>
      <w:tr w:rsidR="00B23C66" w:rsidRPr="002C127A" w14:paraId="5381F820" w14:textId="77777777">
        <w:trPr>
          <w:trHeight w:val="300"/>
        </w:trPr>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3DC554C" w14:textId="158B632F" w:rsidR="00B23C66" w:rsidRPr="002C127A" w:rsidRDefault="00543DCA" w:rsidP="002C127A">
            <w:pPr>
              <w:spacing w:line="360" w:lineRule="auto"/>
              <w:rPr>
                <w:rFonts w:ascii="Arial" w:hAnsi="Arial" w:cs="Arial"/>
              </w:rPr>
            </w:pPr>
            <w:r>
              <w:rPr>
                <w:rFonts w:ascii="Arial" w:hAnsi="Arial" w:cs="Arial"/>
                <w:lang w:val="en-US"/>
              </w:rPr>
              <w:t>Case/organisation</w:t>
            </w:r>
            <w:r w:rsidR="00B23C66"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6C12EC8" w14:textId="77777777" w:rsidR="00B23C66" w:rsidRPr="002C127A" w:rsidRDefault="00B23C66" w:rsidP="002C127A">
            <w:pPr>
              <w:spacing w:line="360" w:lineRule="auto"/>
              <w:rPr>
                <w:rFonts w:ascii="Arial" w:hAnsi="Arial" w:cs="Arial"/>
              </w:rPr>
            </w:pPr>
            <w:r w:rsidRPr="002C127A">
              <w:rPr>
                <w:rFonts w:ascii="Arial" w:hAnsi="Arial" w:cs="Arial"/>
                <w:lang w:val="en-US"/>
              </w:rPr>
              <w:t>Age 15; deterioration within fewer than 4 days; oxygen alarm reduced from 90% to 85%; senior review absent at the critical time (Blackman, 2008).</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6C2C9741" w14:textId="77777777" w:rsidR="00B23C66" w:rsidRPr="002C127A" w:rsidRDefault="00B23C66" w:rsidP="002C127A">
            <w:pPr>
              <w:spacing w:line="360" w:lineRule="auto"/>
              <w:rPr>
                <w:rFonts w:ascii="Arial" w:hAnsi="Arial" w:cs="Arial"/>
              </w:rPr>
            </w:pPr>
            <w:r w:rsidRPr="002C127A">
              <w:rPr>
                <w:rFonts w:ascii="Arial" w:hAnsi="Arial" w:cs="Arial"/>
                <w:lang w:val="en-US"/>
              </w:rPr>
              <w:t>Identifies the local failure pathway without fabricating a hospital-wide rate.</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5B38856" w14:textId="77777777" w:rsidR="00B23C66" w:rsidRPr="002C127A" w:rsidRDefault="00B23C66" w:rsidP="002C127A">
            <w:pPr>
              <w:spacing w:line="360" w:lineRule="auto"/>
              <w:rPr>
                <w:rFonts w:ascii="Arial" w:hAnsi="Arial" w:cs="Arial"/>
              </w:rPr>
            </w:pPr>
            <w:r w:rsidRPr="002C127A">
              <w:rPr>
                <w:rFonts w:ascii="Arial" w:hAnsi="Arial" w:cs="Arial"/>
                <w:lang w:val="en-US"/>
              </w:rPr>
              <w:t>Local accountability must connect observations, escalation, supervision and family concerns.</w:t>
            </w:r>
            <w:r w:rsidRPr="002C127A">
              <w:rPr>
                <w:rFonts w:ascii="Arial" w:hAnsi="Arial" w:cs="Arial"/>
              </w:rPr>
              <w:t> </w:t>
            </w:r>
          </w:p>
        </w:tc>
      </w:tr>
      <w:tr w:rsidR="00B23C66" w:rsidRPr="002C127A" w14:paraId="19ACE5A9" w14:textId="77777777">
        <w:trPr>
          <w:trHeight w:val="300"/>
        </w:trPr>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C18B5E6" w14:textId="77777777" w:rsidR="00B23C66" w:rsidRPr="002C127A" w:rsidRDefault="00B23C66" w:rsidP="002C127A">
            <w:pPr>
              <w:spacing w:line="360" w:lineRule="auto"/>
              <w:rPr>
                <w:rFonts w:ascii="Arial" w:hAnsi="Arial" w:cs="Arial"/>
              </w:rPr>
            </w:pPr>
            <w:r w:rsidRPr="002C127A">
              <w:rPr>
                <w:rFonts w:ascii="Arial" w:hAnsi="Arial" w:cs="Arial"/>
                <w:lang w:val="en-US"/>
              </w:rPr>
              <w:t>State reform</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B06FCF8" w14:textId="77777777" w:rsidR="00B23C66" w:rsidRPr="002C127A" w:rsidRDefault="00B23C66" w:rsidP="002C127A">
            <w:pPr>
              <w:spacing w:line="360" w:lineRule="auto"/>
              <w:rPr>
                <w:rFonts w:ascii="Arial" w:hAnsi="Arial" w:cs="Arial"/>
              </w:rPr>
            </w:pPr>
            <w:r w:rsidRPr="002C127A">
              <w:rPr>
                <w:rFonts w:ascii="Arial" w:hAnsi="Arial" w:cs="Arial"/>
                <w:lang w:val="en-US"/>
              </w:rPr>
              <w:t>The Act became law on 8 June 2005 and established identification, disclosure and an always-available assistance mechanism (South Carolina General Assembly, 2005).</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6236359" w14:textId="77777777" w:rsidR="00B23C66" w:rsidRPr="002C127A" w:rsidRDefault="00B23C66" w:rsidP="002C127A">
            <w:pPr>
              <w:spacing w:line="360" w:lineRule="auto"/>
              <w:rPr>
                <w:rFonts w:ascii="Arial" w:hAnsi="Arial" w:cs="Arial"/>
              </w:rPr>
            </w:pPr>
            <w:r w:rsidRPr="002C127A">
              <w:rPr>
                <w:rFonts w:ascii="Arial" w:hAnsi="Arial" w:cs="Arial"/>
                <w:lang w:val="en-US"/>
              </w:rPr>
              <w:t>Shows that the case generated enforceable structural change.</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6A74272" w14:textId="77777777" w:rsidR="00B23C66" w:rsidRPr="002C127A" w:rsidRDefault="00B23C66" w:rsidP="002C127A">
            <w:pPr>
              <w:spacing w:line="360" w:lineRule="auto"/>
              <w:rPr>
                <w:rFonts w:ascii="Arial" w:hAnsi="Arial" w:cs="Arial"/>
              </w:rPr>
            </w:pPr>
            <w:r w:rsidRPr="002C127A">
              <w:rPr>
                <w:rFonts w:ascii="Arial" w:hAnsi="Arial" w:cs="Arial"/>
                <w:lang w:val="en-US"/>
              </w:rPr>
              <w:t>State regulation can set minimum rights while hospitals design operational processes.</w:t>
            </w:r>
            <w:r w:rsidRPr="002C127A">
              <w:rPr>
                <w:rFonts w:ascii="Arial" w:hAnsi="Arial" w:cs="Arial"/>
              </w:rPr>
              <w:t> </w:t>
            </w:r>
          </w:p>
        </w:tc>
      </w:tr>
    </w:tbl>
    <w:p w14:paraId="1F69A8FA" w14:textId="77777777" w:rsidR="00DF6BE5" w:rsidRDefault="00DF6BE5" w:rsidP="00DF6BE5">
      <w:pPr>
        <w:pStyle w:val="Heading2"/>
        <w:rPr>
          <w:lang w:val="en-US"/>
        </w:rPr>
      </w:pPr>
    </w:p>
    <w:p w14:paraId="18F33A7F" w14:textId="03EFBE71" w:rsidR="00B23C66" w:rsidRDefault="00B23C66" w:rsidP="00DF6BE5">
      <w:pPr>
        <w:pStyle w:val="Heading2"/>
      </w:pPr>
      <w:bookmarkStart w:id="4" w:name="_Toc236148038"/>
      <w:r w:rsidRPr="002C127A">
        <w:rPr>
          <w:lang w:val="en-US"/>
        </w:rPr>
        <w:t>Governance, underlying challenges and system dependencies</w:t>
      </w:r>
      <w:bookmarkEnd w:id="4"/>
      <w:r w:rsidRPr="002C127A">
        <w:t> </w:t>
      </w:r>
    </w:p>
    <w:p w14:paraId="7B60DEB2" w14:textId="77777777" w:rsidR="007E6C20" w:rsidRPr="007E6C20" w:rsidRDefault="007E6C20" w:rsidP="007E6C20"/>
    <w:p w14:paraId="4617D328" w14:textId="46CBF18E" w:rsidR="00B23C66" w:rsidRDefault="00B23C66" w:rsidP="002C127A">
      <w:pPr>
        <w:spacing w:line="360" w:lineRule="auto"/>
        <w:rPr>
          <w:rFonts w:ascii="Arial" w:hAnsi="Arial" w:cs="Arial"/>
        </w:rPr>
      </w:pPr>
      <w:r w:rsidRPr="002C127A">
        <w:rPr>
          <w:rFonts w:ascii="Arial" w:hAnsi="Arial" w:cs="Arial"/>
          <w:lang w:val="en-US"/>
        </w:rPr>
        <w:t xml:space="preserve">Governance operated at four connected levels. Locally, the </w:t>
      </w:r>
      <w:r w:rsidR="004D18E2">
        <w:rPr>
          <w:rFonts w:ascii="Arial" w:hAnsi="Arial" w:cs="Arial"/>
          <w:lang w:val="en-US"/>
        </w:rPr>
        <w:t>hospital-controlled</w:t>
      </w:r>
      <w:r w:rsidRPr="002C127A">
        <w:rPr>
          <w:rFonts w:ascii="Arial" w:hAnsi="Arial" w:cs="Arial"/>
          <w:lang w:val="en-US"/>
        </w:rPr>
        <w:t xml:space="preserve"> staffing, supervision, medication systems, alarm configuration, escalation procedures and incident learning. At </w:t>
      </w:r>
      <w:r w:rsidR="004724DF">
        <w:rPr>
          <w:rFonts w:ascii="Arial" w:hAnsi="Arial" w:cs="Arial"/>
          <w:lang w:val="en-US"/>
        </w:rPr>
        <w:t xml:space="preserve">the </w:t>
      </w:r>
      <w:r w:rsidRPr="002C127A">
        <w:rPr>
          <w:rFonts w:ascii="Arial" w:hAnsi="Arial" w:cs="Arial"/>
          <w:lang w:val="en-US"/>
        </w:rPr>
        <w:t xml:space="preserve">state level, South Carolina could specify patient rights and minimum hospital duties. Nationally, professional standards, accreditation expectations and evidence on patient safety shaped acceptable practice. Globally, WHO priorities established a broader expectation that avoidable harm should be reduced through leadership, safer systems and </w:t>
      </w:r>
      <w:r w:rsidRPr="002C127A">
        <w:rPr>
          <w:rFonts w:ascii="Arial" w:hAnsi="Arial" w:cs="Arial"/>
          <w:lang w:val="en-US"/>
        </w:rPr>
        <w:lastRenderedPageBreak/>
        <w:t xml:space="preserve">patient engagement (World Health </w:t>
      </w:r>
      <w:r w:rsidR="00543DCA">
        <w:rPr>
          <w:rFonts w:ascii="Arial" w:hAnsi="Arial" w:cs="Arial"/>
          <w:lang w:val="en-US"/>
        </w:rPr>
        <w:t>Organisation</w:t>
      </w:r>
      <w:r w:rsidRPr="002C127A">
        <w:rPr>
          <w:rFonts w:ascii="Arial" w:hAnsi="Arial" w:cs="Arial"/>
          <w:lang w:val="en-US"/>
        </w:rPr>
        <w:t>, 2021). A weakness at one level could be compensated for by another, but only when information and accountability crossed organisational boundaries.</w:t>
      </w:r>
      <w:r w:rsidRPr="002C127A">
        <w:rPr>
          <w:rFonts w:ascii="Arial" w:hAnsi="Arial" w:cs="Arial"/>
        </w:rPr>
        <w:t> </w:t>
      </w:r>
    </w:p>
    <w:p w14:paraId="07E925E7" w14:textId="77777777" w:rsidR="00543DCA" w:rsidRPr="002C127A" w:rsidRDefault="00543DCA" w:rsidP="002C127A">
      <w:pPr>
        <w:spacing w:line="360" w:lineRule="auto"/>
        <w:rPr>
          <w:rFonts w:ascii="Arial" w:hAnsi="Arial" w:cs="Arial"/>
        </w:rPr>
      </w:pPr>
    </w:p>
    <w:p w14:paraId="1B0C8824" w14:textId="78150613" w:rsidR="00B23C66" w:rsidRDefault="00B23C66" w:rsidP="002C127A">
      <w:pPr>
        <w:spacing w:line="360" w:lineRule="auto"/>
        <w:rPr>
          <w:rFonts w:ascii="Arial" w:hAnsi="Arial" w:cs="Arial"/>
        </w:rPr>
      </w:pPr>
      <w:r w:rsidRPr="002C127A">
        <w:rPr>
          <w:rFonts w:ascii="Arial" w:hAnsi="Arial" w:cs="Arial"/>
          <w:lang w:val="en-US"/>
        </w:rPr>
        <w:t xml:space="preserve">The underlying challenges were cultural as well as procedural. </w:t>
      </w:r>
      <w:r w:rsidR="00E47104" w:rsidRPr="00E47104">
        <w:rPr>
          <w:rFonts w:ascii="Arial" w:hAnsi="Arial" w:cs="Arial"/>
          <w:lang w:val="en-US"/>
        </w:rPr>
        <w:t>Senior doctors held most of the authority but were often unavailable when needed</w:t>
      </w:r>
      <w:r w:rsidRPr="002C127A">
        <w:rPr>
          <w:rFonts w:ascii="Arial" w:hAnsi="Arial" w:cs="Arial"/>
          <w:lang w:val="en-US"/>
        </w:rPr>
        <w:t>. Junior clinicians therefore carried responsibility without equivalent authority or support. Diagnostic anchoring reduced attention to contradictory evidence; professional boundaries limited pharmacy and nursing influence; and the family was treated as an observer rather than a contributor to safety. The case demonstrates a paradox: the organisation was highly centralised in status, yet weakly centralised in accountability and standardisation. This distinction is important because merely adding more hierarchy would not necessarily improve safety. The system required clearer central rules and more decentralised permission to act when those rules were breached.</w:t>
      </w:r>
      <w:r w:rsidRPr="002C127A">
        <w:rPr>
          <w:rFonts w:ascii="Arial" w:hAnsi="Arial" w:cs="Arial"/>
        </w:rPr>
        <w:t> </w:t>
      </w:r>
    </w:p>
    <w:p w14:paraId="4ACF820D" w14:textId="730BEFAF" w:rsidR="00B23C66" w:rsidRDefault="00B23C66" w:rsidP="00543DCA">
      <w:pPr>
        <w:pStyle w:val="Heading1"/>
      </w:pPr>
      <w:bookmarkStart w:id="5" w:name="_Toc236148039"/>
      <w:r w:rsidRPr="002C127A">
        <w:rPr>
          <w:lang w:val="en-US"/>
        </w:rPr>
        <w:t>Systems-Thinking Analysis: Rich Picture, Feedback Loops and CATWOE</w:t>
      </w:r>
      <w:bookmarkEnd w:id="5"/>
      <w:r w:rsidRPr="002C127A">
        <w:t> </w:t>
      </w:r>
    </w:p>
    <w:p w14:paraId="61A679DF" w14:textId="77777777" w:rsidR="007E6C20" w:rsidRPr="007E6C20" w:rsidRDefault="007E6C20" w:rsidP="007E6C20"/>
    <w:p w14:paraId="66953C06" w14:textId="77777777" w:rsidR="008B1163" w:rsidRDefault="00B23C66" w:rsidP="008B1163">
      <w:pPr>
        <w:spacing w:line="360" w:lineRule="auto"/>
        <w:rPr>
          <w:rFonts w:ascii="Arial" w:hAnsi="Arial" w:cs="Arial"/>
          <w:lang w:val="en-US"/>
        </w:rPr>
      </w:pPr>
      <w:r w:rsidRPr="002C127A">
        <w:rPr>
          <w:rFonts w:ascii="Arial" w:hAnsi="Arial" w:cs="Arial"/>
          <w:lang w:val="en-US"/>
        </w:rPr>
        <w:t xml:space="preserve">Soft Systems Methodology is appropriate where a problem involves competing perspectives, unclear ownership and human </w:t>
      </w:r>
      <w:r w:rsidR="00294E34">
        <w:rPr>
          <w:rFonts w:ascii="Arial" w:hAnsi="Arial" w:cs="Arial"/>
          <w:lang w:val="en-US"/>
        </w:rPr>
        <w:t>behaviour</w:t>
      </w:r>
      <w:r w:rsidRPr="002C127A">
        <w:rPr>
          <w:rFonts w:ascii="Arial" w:hAnsi="Arial" w:cs="Arial"/>
          <w:lang w:val="en-US"/>
        </w:rPr>
        <w:t xml:space="preserve"> rather than a single technical fault. Rich Pictures make relationships, tensions and information </w:t>
      </w:r>
      <w:r w:rsidR="00543DCA" w:rsidRPr="002C127A">
        <w:rPr>
          <w:rFonts w:ascii="Arial" w:hAnsi="Arial" w:cs="Arial"/>
          <w:lang w:val="en-US"/>
        </w:rPr>
        <w:t>flow</w:t>
      </w:r>
      <w:r w:rsidRPr="002C127A">
        <w:rPr>
          <w:rFonts w:ascii="Arial" w:hAnsi="Arial" w:cs="Arial"/>
          <w:lang w:val="en-US"/>
        </w:rPr>
        <w:t xml:space="preserve"> visible, while CATWOE tests a proposed transformation through the perspectives of customers, actors, transformation, worldview, owners and environmental constraints (Checkland and Poulter, 2006). </w:t>
      </w:r>
    </w:p>
    <w:p w14:paraId="47A9F26E" w14:textId="16C22105" w:rsidR="008B1163" w:rsidRDefault="008B1163" w:rsidP="008B1163">
      <w:pPr>
        <w:spacing w:line="360" w:lineRule="auto"/>
        <w:rPr>
          <w:rFonts w:ascii="Arial" w:hAnsi="Arial" w:cs="Arial"/>
          <w:lang w:val="en-US"/>
        </w:rPr>
      </w:pPr>
    </w:p>
    <w:p w14:paraId="5DC63802" w14:textId="5476A99A" w:rsidR="00B23C66" w:rsidRDefault="00D04CE7" w:rsidP="008B1163">
      <w:pPr>
        <w:spacing w:line="360" w:lineRule="auto"/>
        <w:rPr>
          <w:rFonts w:ascii="Arial" w:hAnsi="Arial" w:cs="Arial"/>
        </w:rPr>
      </w:pPr>
      <w:r w:rsidRPr="00D04CE7">
        <w:rPr>
          <w:rFonts w:ascii="Arial" w:hAnsi="Arial" w:cs="Arial"/>
          <w:lang w:val="en-US"/>
        </w:rPr>
        <w:t xml:space="preserve">Three important feedback processes failed. As the patient's condition deteriorated, staff should have increased monitoring, </w:t>
      </w:r>
      <w:proofErr w:type="gramStart"/>
      <w:r w:rsidR="00406484">
        <w:rPr>
          <w:rFonts w:ascii="Arial" w:hAnsi="Arial" w:cs="Arial"/>
          <w:lang w:val="en-US"/>
        </w:rPr>
        <w:t>reassessed</w:t>
      </w:r>
      <w:proofErr w:type="gramEnd"/>
      <w:r w:rsidRPr="00D04CE7">
        <w:rPr>
          <w:rFonts w:ascii="Arial" w:hAnsi="Arial" w:cs="Arial"/>
          <w:lang w:val="en-US"/>
        </w:rPr>
        <w:t xml:space="preserve"> the diagnosis and sought senior review. Instead, clinicians remained anchored to their initial assessment, causing new clinical information to be interpreted in ways that supported rather than challenged the original diagnosis. This delayed recognition of deterioration and contributed to a failure-to-rescue situation</w:t>
      </w:r>
      <w:r w:rsidR="00406484">
        <w:rPr>
          <w:rFonts w:ascii="Arial" w:hAnsi="Arial" w:cs="Arial"/>
          <w:lang w:val="en-US"/>
        </w:rPr>
        <w:t>.</w:t>
      </w:r>
      <w:r w:rsidRPr="00D04CE7">
        <w:rPr>
          <w:rFonts w:ascii="Arial" w:hAnsi="Arial" w:cs="Arial"/>
          <w:lang w:val="en-US"/>
        </w:rPr>
        <w:t xml:space="preserve"> </w:t>
      </w:r>
      <w:r w:rsidR="00B23C66" w:rsidRPr="002C127A">
        <w:rPr>
          <w:rFonts w:ascii="Arial" w:hAnsi="Arial" w:cs="Arial"/>
          <w:lang w:val="en-US"/>
        </w:rPr>
        <w:t xml:space="preserve">Second, repeated family </w:t>
      </w:r>
      <w:r w:rsidR="006F52EF">
        <w:rPr>
          <w:rFonts w:ascii="Arial" w:hAnsi="Arial" w:cs="Arial"/>
          <w:lang w:val="en-US"/>
        </w:rPr>
        <w:t xml:space="preserve">concerns should have attracted greater organisational attention; because there was no independent escalation route, the </w:t>
      </w:r>
      <w:r w:rsidR="00B23C66" w:rsidRPr="002C127A">
        <w:rPr>
          <w:rFonts w:ascii="Arial" w:hAnsi="Arial" w:cs="Arial"/>
          <w:lang w:val="en-US"/>
        </w:rPr>
        <w:t xml:space="preserve">dismissal of the concern reduced the family's influence and preserved the existing plan. Third, junior uncertainty should have </w:t>
      </w:r>
      <w:r w:rsidR="006F52EF">
        <w:rPr>
          <w:rFonts w:ascii="Arial" w:hAnsi="Arial" w:cs="Arial"/>
          <w:lang w:val="en-US"/>
        </w:rPr>
        <w:t>prompted supervision, but hierarchy and the unavailability of senior leadership limited</w:t>
      </w:r>
      <w:r w:rsidR="00B23C66" w:rsidRPr="002C127A">
        <w:rPr>
          <w:rFonts w:ascii="Arial" w:hAnsi="Arial" w:cs="Arial"/>
          <w:lang w:val="en-US"/>
        </w:rPr>
        <w:t xml:space="preserve"> escalation, leaving senior clinicians unaware of the severity of the situation. These are reinforcing loops because each failure increased the conditions that allowed the next failure to continue</w:t>
      </w:r>
      <w:r w:rsidR="00406484">
        <w:rPr>
          <w:rFonts w:ascii="Arial" w:hAnsi="Arial" w:cs="Arial"/>
          <w:lang w:val="en-US"/>
        </w:rPr>
        <w:t xml:space="preserve"> </w:t>
      </w:r>
      <w:r w:rsidR="00406484" w:rsidRPr="00D04CE7">
        <w:rPr>
          <w:rFonts w:ascii="Arial" w:hAnsi="Arial" w:cs="Arial"/>
          <w:lang w:val="en-US"/>
        </w:rPr>
        <w:t>(Acquaviva, Haskell and Johnson, 2013)</w:t>
      </w:r>
      <w:r w:rsidR="00406484" w:rsidRPr="002C127A">
        <w:rPr>
          <w:rFonts w:ascii="Arial" w:hAnsi="Arial" w:cs="Arial"/>
          <w:lang w:val="en-US"/>
        </w:rPr>
        <w:t xml:space="preserve">. </w:t>
      </w:r>
    </w:p>
    <w:p w14:paraId="415B140F" w14:textId="77777777" w:rsidR="00406484" w:rsidRDefault="00406484" w:rsidP="002C127A">
      <w:pPr>
        <w:spacing w:line="360" w:lineRule="auto"/>
        <w:rPr>
          <w:rFonts w:ascii="Arial" w:hAnsi="Arial" w:cs="Arial"/>
          <w:lang w:val="en-US"/>
        </w:rPr>
      </w:pPr>
    </w:p>
    <w:p w14:paraId="185F7A99" w14:textId="776A3AB4" w:rsidR="00B23C66" w:rsidRDefault="00B23C66" w:rsidP="002C127A">
      <w:pPr>
        <w:spacing w:line="360" w:lineRule="auto"/>
        <w:rPr>
          <w:rFonts w:ascii="Arial" w:hAnsi="Arial" w:cs="Arial"/>
        </w:rPr>
      </w:pPr>
      <w:r w:rsidRPr="002C127A">
        <w:rPr>
          <w:rFonts w:ascii="Arial" w:hAnsi="Arial" w:cs="Arial"/>
          <w:lang w:val="en-US"/>
        </w:rPr>
        <w:lastRenderedPageBreak/>
        <w:t>A balancing safety loop would operate differently: abnormal observations or serious concern would activate an objective threshold; a multidisciplinary rapid-response team would review the patient; the response and outcome would be recorded; and audit data would feed back to leadership, training and resource decisions. The post-incident legislation created part of such a loop by giving patients a route to assistance and clarifying the responsibilities of attending physicians and hospitals (South Carolina General Assembly, 2005). However, legislation alone cannot guarantee that staff respond effectively; local culture, staffing and monitoring remain essential.</w:t>
      </w:r>
      <w:r w:rsidRPr="002C127A">
        <w:rPr>
          <w:rFonts w:ascii="Arial" w:hAnsi="Arial" w:cs="Arial"/>
        </w:rPr>
        <w:t> </w:t>
      </w:r>
    </w:p>
    <w:p w14:paraId="0E8BB014" w14:textId="77777777" w:rsidR="00E47104" w:rsidRDefault="00E47104" w:rsidP="002C127A">
      <w:pPr>
        <w:spacing w:line="360" w:lineRule="auto"/>
        <w:rPr>
          <w:rFonts w:ascii="Arial" w:hAnsi="Arial" w:cs="Arial"/>
        </w:rPr>
      </w:pPr>
    </w:p>
    <w:p w14:paraId="21EEF934" w14:textId="77777777" w:rsidR="00B23C66" w:rsidRDefault="00B23C66" w:rsidP="002C127A">
      <w:pPr>
        <w:spacing w:line="360" w:lineRule="auto"/>
        <w:rPr>
          <w:rFonts w:ascii="Arial" w:hAnsi="Arial" w:cs="Arial"/>
        </w:rPr>
      </w:pPr>
      <w:r w:rsidRPr="002C127A">
        <w:rPr>
          <w:rFonts w:ascii="Arial" w:hAnsi="Arial" w:cs="Arial"/>
          <w:b/>
          <w:bCs/>
          <w:lang w:val="en-US"/>
        </w:rPr>
        <w:t>Table 2. CATWOE analysis of the required patient-safety transformation</w:t>
      </w:r>
      <w:r w:rsidRPr="002C127A">
        <w:rPr>
          <w:rFonts w:ascii="Arial" w:hAnsi="Arial" w:cs="Arial"/>
        </w:rPr>
        <w:t> </w:t>
      </w:r>
    </w:p>
    <w:p w14:paraId="670F5873" w14:textId="77777777" w:rsidR="005C679A" w:rsidRPr="002C127A" w:rsidRDefault="005C679A" w:rsidP="002C127A">
      <w:pPr>
        <w:spacing w:line="360" w:lineRule="auto"/>
        <w:rPr>
          <w:rFonts w:ascii="Arial" w:hAnsi="Arial" w:cs="Arial"/>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6"/>
        <w:gridCol w:w="2999"/>
        <w:gridCol w:w="3005"/>
      </w:tblGrid>
      <w:tr w:rsidR="00B23C66" w:rsidRPr="002C127A" w14:paraId="6918C333" w14:textId="77777777">
        <w:trPr>
          <w:trHeight w:val="300"/>
        </w:trPr>
        <w:tc>
          <w:tcPr>
            <w:tcW w:w="3090"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67DB0D84" w14:textId="77777777" w:rsidR="00B23C66" w:rsidRPr="002C127A" w:rsidRDefault="00B23C66" w:rsidP="002C127A">
            <w:pPr>
              <w:spacing w:line="360" w:lineRule="auto"/>
              <w:rPr>
                <w:rFonts w:ascii="Arial" w:hAnsi="Arial" w:cs="Arial"/>
              </w:rPr>
            </w:pPr>
            <w:r w:rsidRPr="002C127A">
              <w:rPr>
                <w:rFonts w:ascii="Arial" w:hAnsi="Arial" w:cs="Arial"/>
                <w:b/>
                <w:bCs/>
                <w:lang w:val="en-US"/>
              </w:rPr>
              <w:t>CATWOE element</w:t>
            </w:r>
            <w:r w:rsidRPr="002C127A">
              <w:rPr>
                <w:rFonts w:ascii="Arial" w:hAnsi="Arial" w:cs="Arial"/>
              </w:rPr>
              <w:t> </w:t>
            </w:r>
          </w:p>
        </w:tc>
        <w:tc>
          <w:tcPr>
            <w:tcW w:w="3090"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59A261AF" w14:textId="77777777" w:rsidR="00B23C66" w:rsidRPr="002C127A" w:rsidRDefault="00B23C66" w:rsidP="002C127A">
            <w:pPr>
              <w:spacing w:line="360" w:lineRule="auto"/>
              <w:rPr>
                <w:rFonts w:ascii="Arial" w:hAnsi="Arial" w:cs="Arial"/>
              </w:rPr>
            </w:pPr>
            <w:r w:rsidRPr="002C127A">
              <w:rPr>
                <w:rFonts w:ascii="Arial" w:hAnsi="Arial" w:cs="Arial"/>
                <w:b/>
                <w:bCs/>
                <w:lang w:val="en-US"/>
              </w:rPr>
              <w:t>Application to the case</w:t>
            </w:r>
            <w:r w:rsidRPr="002C127A">
              <w:rPr>
                <w:rFonts w:ascii="Arial" w:hAnsi="Arial" w:cs="Arial"/>
              </w:rPr>
              <w:t> </w:t>
            </w:r>
          </w:p>
        </w:tc>
        <w:tc>
          <w:tcPr>
            <w:tcW w:w="3090"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458A6385" w14:textId="77777777" w:rsidR="00B23C66" w:rsidRPr="002C127A" w:rsidRDefault="00B23C66" w:rsidP="002C127A">
            <w:pPr>
              <w:spacing w:line="360" w:lineRule="auto"/>
              <w:rPr>
                <w:rFonts w:ascii="Arial" w:hAnsi="Arial" w:cs="Arial"/>
              </w:rPr>
            </w:pPr>
            <w:r w:rsidRPr="002C127A">
              <w:rPr>
                <w:rFonts w:ascii="Arial" w:hAnsi="Arial" w:cs="Arial"/>
                <w:b/>
                <w:bCs/>
                <w:lang w:val="en-US"/>
              </w:rPr>
              <w:t>Implication for redesign</w:t>
            </w:r>
            <w:r w:rsidRPr="002C127A">
              <w:rPr>
                <w:rFonts w:ascii="Arial" w:hAnsi="Arial" w:cs="Arial"/>
              </w:rPr>
              <w:t> </w:t>
            </w:r>
          </w:p>
        </w:tc>
      </w:tr>
      <w:tr w:rsidR="00B23C66" w:rsidRPr="002C127A" w14:paraId="0161C428" w14:textId="77777777">
        <w:trPr>
          <w:trHeight w:val="300"/>
        </w:trPr>
        <w:tc>
          <w:tcPr>
            <w:tcW w:w="309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6056C37" w14:textId="77777777" w:rsidR="00B23C66" w:rsidRPr="002C127A" w:rsidRDefault="00B23C66" w:rsidP="002C127A">
            <w:pPr>
              <w:spacing w:line="360" w:lineRule="auto"/>
              <w:rPr>
                <w:rFonts w:ascii="Arial" w:hAnsi="Arial" w:cs="Arial"/>
              </w:rPr>
            </w:pPr>
            <w:r w:rsidRPr="002C127A">
              <w:rPr>
                <w:rFonts w:ascii="Arial" w:hAnsi="Arial" w:cs="Arial"/>
                <w:lang w:val="en-US"/>
              </w:rPr>
              <w:t>Customers</w:t>
            </w:r>
            <w:r w:rsidRPr="002C127A">
              <w:rPr>
                <w:rFonts w:ascii="Arial" w:hAnsi="Arial" w:cs="Arial"/>
              </w:rPr>
              <w:t> </w:t>
            </w:r>
          </w:p>
        </w:tc>
        <w:tc>
          <w:tcPr>
            <w:tcW w:w="309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9158160" w14:textId="77777777" w:rsidR="00B23C66" w:rsidRPr="002C127A" w:rsidRDefault="00B23C66" w:rsidP="002C127A">
            <w:pPr>
              <w:spacing w:line="360" w:lineRule="auto"/>
              <w:rPr>
                <w:rFonts w:ascii="Arial" w:hAnsi="Arial" w:cs="Arial"/>
              </w:rPr>
            </w:pPr>
            <w:r w:rsidRPr="002C127A">
              <w:rPr>
                <w:rFonts w:ascii="Arial" w:hAnsi="Arial" w:cs="Arial"/>
                <w:lang w:val="en-US"/>
              </w:rPr>
              <w:t>Lewis, his family and future patients exposed to postoperative deterioration.</w:t>
            </w:r>
            <w:r w:rsidRPr="002C127A">
              <w:rPr>
                <w:rFonts w:ascii="Arial" w:hAnsi="Arial" w:cs="Arial"/>
              </w:rPr>
              <w:t> </w:t>
            </w:r>
          </w:p>
        </w:tc>
        <w:tc>
          <w:tcPr>
            <w:tcW w:w="309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9112268" w14:textId="77777777" w:rsidR="00B23C66" w:rsidRPr="002C127A" w:rsidRDefault="00B23C66" w:rsidP="002C127A">
            <w:pPr>
              <w:spacing w:line="360" w:lineRule="auto"/>
              <w:rPr>
                <w:rFonts w:ascii="Arial" w:hAnsi="Arial" w:cs="Arial"/>
              </w:rPr>
            </w:pPr>
            <w:r w:rsidRPr="002C127A">
              <w:rPr>
                <w:rFonts w:ascii="Arial" w:hAnsi="Arial" w:cs="Arial"/>
                <w:lang w:val="en-US"/>
              </w:rPr>
              <w:t>Benefits should be measured through timely review, reduced preventable harm and improved family experience.</w:t>
            </w:r>
            <w:r w:rsidRPr="002C127A">
              <w:rPr>
                <w:rFonts w:ascii="Arial" w:hAnsi="Arial" w:cs="Arial"/>
              </w:rPr>
              <w:t> </w:t>
            </w:r>
          </w:p>
        </w:tc>
      </w:tr>
      <w:tr w:rsidR="00B23C66" w:rsidRPr="002C127A" w14:paraId="2284B4B8" w14:textId="77777777">
        <w:trPr>
          <w:trHeight w:val="300"/>
        </w:trPr>
        <w:tc>
          <w:tcPr>
            <w:tcW w:w="309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EAED3E0" w14:textId="77777777" w:rsidR="00B23C66" w:rsidRPr="002C127A" w:rsidRDefault="00B23C66" w:rsidP="002C127A">
            <w:pPr>
              <w:spacing w:line="360" w:lineRule="auto"/>
              <w:rPr>
                <w:rFonts w:ascii="Arial" w:hAnsi="Arial" w:cs="Arial"/>
              </w:rPr>
            </w:pPr>
            <w:r w:rsidRPr="002C127A">
              <w:rPr>
                <w:rFonts w:ascii="Arial" w:hAnsi="Arial" w:cs="Arial"/>
                <w:lang w:val="en-US"/>
              </w:rPr>
              <w:t>Actors</w:t>
            </w:r>
            <w:r w:rsidRPr="002C127A">
              <w:rPr>
                <w:rFonts w:ascii="Arial" w:hAnsi="Arial" w:cs="Arial"/>
              </w:rPr>
              <w:t> </w:t>
            </w:r>
          </w:p>
        </w:tc>
        <w:tc>
          <w:tcPr>
            <w:tcW w:w="309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4030BB3" w14:textId="77777777" w:rsidR="00B23C66" w:rsidRPr="002C127A" w:rsidRDefault="00B23C66" w:rsidP="002C127A">
            <w:pPr>
              <w:spacing w:line="360" w:lineRule="auto"/>
              <w:rPr>
                <w:rFonts w:ascii="Arial" w:hAnsi="Arial" w:cs="Arial"/>
              </w:rPr>
            </w:pPr>
            <w:r w:rsidRPr="002C127A">
              <w:rPr>
                <w:rFonts w:ascii="Arial" w:hAnsi="Arial" w:cs="Arial"/>
                <w:lang w:val="en-US"/>
              </w:rPr>
              <w:t>Nurses, junior doctors, attending physicians, pharmacists, rapid-response staff, managers and patient-safety teams.</w:t>
            </w:r>
            <w:r w:rsidRPr="002C127A">
              <w:rPr>
                <w:rFonts w:ascii="Arial" w:hAnsi="Arial" w:cs="Arial"/>
              </w:rPr>
              <w:t> </w:t>
            </w:r>
          </w:p>
        </w:tc>
        <w:tc>
          <w:tcPr>
            <w:tcW w:w="309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3E49067" w14:textId="77777777" w:rsidR="00B23C66" w:rsidRPr="002C127A" w:rsidRDefault="00B23C66" w:rsidP="002C127A">
            <w:pPr>
              <w:spacing w:line="360" w:lineRule="auto"/>
              <w:rPr>
                <w:rFonts w:ascii="Arial" w:hAnsi="Arial" w:cs="Arial"/>
              </w:rPr>
            </w:pPr>
            <w:r w:rsidRPr="002C127A">
              <w:rPr>
                <w:rFonts w:ascii="Arial" w:hAnsi="Arial" w:cs="Arial"/>
                <w:lang w:val="en-US"/>
              </w:rPr>
              <w:t>Each actor needs defined authority, competencies and communication routes.</w:t>
            </w:r>
            <w:r w:rsidRPr="002C127A">
              <w:rPr>
                <w:rFonts w:ascii="Arial" w:hAnsi="Arial" w:cs="Arial"/>
              </w:rPr>
              <w:t> </w:t>
            </w:r>
          </w:p>
        </w:tc>
      </w:tr>
      <w:tr w:rsidR="00B23C66" w:rsidRPr="002C127A" w14:paraId="6069786B" w14:textId="77777777">
        <w:trPr>
          <w:trHeight w:val="300"/>
        </w:trPr>
        <w:tc>
          <w:tcPr>
            <w:tcW w:w="309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815CB49" w14:textId="77777777" w:rsidR="00B23C66" w:rsidRPr="002C127A" w:rsidRDefault="00B23C66" w:rsidP="002C127A">
            <w:pPr>
              <w:spacing w:line="360" w:lineRule="auto"/>
              <w:rPr>
                <w:rFonts w:ascii="Arial" w:hAnsi="Arial" w:cs="Arial"/>
              </w:rPr>
            </w:pPr>
            <w:r w:rsidRPr="002C127A">
              <w:rPr>
                <w:rFonts w:ascii="Arial" w:hAnsi="Arial" w:cs="Arial"/>
                <w:lang w:val="en-US"/>
              </w:rPr>
              <w:t>Transformation</w:t>
            </w:r>
            <w:r w:rsidRPr="002C127A">
              <w:rPr>
                <w:rFonts w:ascii="Arial" w:hAnsi="Arial" w:cs="Arial"/>
              </w:rPr>
              <w:t> </w:t>
            </w:r>
          </w:p>
        </w:tc>
        <w:tc>
          <w:tcPr>
            <w:tcW w:w="309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724A48E" w14:textId="77777777" w:rsidR="00B23C66" w:rsidRPr="002C127A" w:rsidRDefault="00B23C66" w:rsidP="002C127A">
            <w:pPr>
              <w:spacing w:line="360" w:lineRule="auto"/>
              <w:rPr>
                <w:rFonts w:ascii="Arial" w:hAnsi="Arial" w:cs="Arial"/>
              </w:rPr>
            </w:pPr>
            <w:r w:rsidRPr="002C127A">
              <w:rPr>
                <w:rFonts w:ascii="Arial" w:hAnsi="Arial" w:cs="Arial"/>
                <w:lang w:val="en-US"/>
              </w:rPr>
              <w:t>Fragmented, reactive and hierarchy-dependent care becomes coordinated, monitored and rapidly escalated care.</w:t>
            </w:r>
            <w:r w:rsidRPr="002C127A">
              <w:rPr>
                <w:rFonts w:ascii="Arial" w:hAnsi="Arial" w:cs="Arial"/>
              </w:rPr>
              <w:t> </w:t>
            </w:r>
          </w:p>
        </w:tc>
        <w:tc>
          <w:tcPr>
            <w:tcW w:w="309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3C9D126" w14:textId="2F1181ED" w:rsidR="00B23C66" w:rsidRPr="002C127A" w:rsidRDefault="009B2AF9" w:rsidP="002C127A">
            <w:pPr>
              <w:spacing w:line="360" w:lineRule="auto"/>
              <w:rPr>
                <w:rFonts w:ascii="Arial" w:hAnsi="Arial" w:cs="Arial"/>
              </w:rPr>
            </w:pPr>
            <w:r>
              <w:rPr>
                <w:rFonts w:ascii="Arial" w:hAnsi="Arial" w:cs="Arial"/>
                <w:lang w:val="en-US"/>
              </w:rPr>
              <w:t>Standardise</w:t>
            </w:r>
            <w:r w:rsidR="00B23C66" w:rsidRPr="002C127A">
              <w:rPr>
                <w:rFonts w:ascii="Arial" w:hAnsi="Arial" w:cs="Arial"/>
                <w:lang w:val="en-US"/>
              </w:rPr>
              <w:t xml:space="preserve"> triggers but </w:t>
            </w:r>
            <w:r w:rsidR="00684C69">
              <w:rPr>
                <w:rFonts w:ascii="Arial" w:hAnsi="Arial" w:cs="Arial"/>
                <w:lang w:val="en-US"/>
              </w:rPr>
              <w:t>decentralise</w:t>
            </w:r>
            <w:r w:rsidR="00B23C66" w:rsidRPr="002C127A">
              <w:rPr>
                <w:rFonts w:ascii="Arial" w:hAnsi="Arial" w:cs="Arial"/>
                <w:lang w:val="en-US"/>
              </w:rPr>
              <w:t xml:space="preserve"> the right to activate urgent review.</w:t>
            </w:r>
            <w:r w:rsidR="00B23C66" w:rsidRPr="002C127A">
              <w:rPr>
                <w:rFonts w:ascii="Arial" w:hAnsi="Arial" w:cs="Arial"/>
              </w:rPr>
              <w:t> </w:t>
            </w:r>
          </w:p>
        </w:tc>
      </w:tr>
      <w:tr w:rsidR="00B23C66" w:rsidRPr="002C127A" w14:paraId="1137AA4D" w14:textId="77777777">
        <w:trPr>
          <w:trHeight w:val="300"/>
        </w:trPr>
        <w:tc>
          <w:tcPr>
            <w:tcW w:w="309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93D8400" w14:textId="77777777" w:rsidR="00B23C66" w:rsidRPr="002C127A" w:rsidRDefault="00B23C66" w:rsidP="002C127A">
            <w:pPr>
              <w:spacing w:line="360" w:lineRule="auto"/>
              <w:rPr>
                <w:rFonts w:ascii="Arial" w:hAnsi="Arial" w:cs="Arial"/>
              </w:rPr>
            </w:pPr>
            <w:r w:rsidRPr="002C127A">
              <w:rPr>
                <w:rFonts w:ascii="Arial" w:hAnsi="Arial" w:cs="Arial"/>
                <w:lang w:val="en-US"/>
              </w:rPr>
              <w:t>Worldview</w:t>
            </w:r>
            <w:r w:rsidRPr="002C127A">
              <w:rPr>
                <w:rFonts w:ascii="Arial" w:hAnsi="Arial" w:cs="Arial"/>
              </w:rPr>
              <w:t> </w:t>
            </w:r>
          </w:p>
        </w:tc>
        <w:tc>
          <w:tcPr>
            <w:tcW w:w="309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7FDD9C0" w14:textId="77777777" w:rsidR="00B23C66" w:rsidRPr="002C127A" w:rsidRDefault="00B23C66" w:rsidP="002C127A">
            <w:pPr>
              <w:spacing w:line="360" w:lineRule="auto"/>
              <w:rPr>
                <w:rFonts w:ascii="Arial" w:hAnsi="Arial" w:cs="Arial"/>
              </w:rPr>
            </w:pPr>
            <w:r w:rsidRPr="002C127A">
              <w:rPr>
                <w:rFonts w:ascii="Arial" w:hAnsi="Arial" w:cs="Arial"/>
                <w:lang w:val="en-US"/>
              </w:rPr>
              <w:t>Preventable harm arises from interacting system conditions, not only from one individual error.</w:t>
            </w:r>
            <w:r w:rsidRPr="002C127A">
              <w:rPr>
                <w:rFonts w:ascii="Arial" w:hAnsi="Arial" w:cs="Arial"/>
              </w:rPr>
              <w:t> </w:t>
            </w:r>
          </w:p>
        </w:tc>
        <w:tc>
          <w:tcPr>
            <w:tcW w:w="309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0978E37" w14:textId="77777777" w:rsidR="00B23C66" w:rsidRPr="002C127A" w:rsidRDefault="00B23C66" w:rsidP="002C127A">
            <w:pPr>
              <w:spacing w:line="360" w:lineRule="auto"/>
              <w:rPr>
                <w:rFonts w:ascii="Arial" w:hAnsi="Arial" w:cs="Arial"/>
              </w:rPr>
            </w:pPr>
            <w:r w:rsidRPr="002C127A">
              <w:rPr>
                <w:rFonts w:ascii="Arial" w:hAnsi="Arial" w:cs="Arial"/>
                <w:lang w:val="en-US"/>
              </w:rPr>
              <w:t>Investigation should examine design, culture and workload while retaining proportionate accountability.</w:t>
            </w:r>
            <w:r w:rsidRPr="002C127A">
              <w:rPr>
                <w:rFonts w:ascii="Arial" w:hAnsi="Arial" w:cs="Arial"/>
              </w:rPr>
              <w:t> </w:t>
            </w:r>
          </w:p>
        </w:tc>
      </w:tr>
      <w:tr w:rsidR="00B23C66" w:rsidRPr="002C127A" w14:paraId="31712ACD" w14:textId="77777777">
        <w:trPr>
          <w:trHeight w:val="300"/>
        </w:trPr>
        <w:tc>
          <w:tcPr>
            <w:tcW w:w="309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F8D090B" w14:textId="77777777" w:rsidR="00B23C66" w:rsidRPr="002C127A" w:rsidRDefault="00B23C66" w:rsidP="002C127A">
            <w:pPr>
              <w:spacing w:line="360" w:lineRule="auto"/>
              <w:rPr>
                <w:rFonts w:ascii="Arial" w:hAnsi="Arial" w:cs="Arial"/>
              </w:rPr>
            </w:pPr>
            <w:r w:rsidRPr="002C127A">
              <w:rPr>
                <w:rFonts w:ascii="Arial" w:hAnsi="Arial" w:cs="Arial"/>
                <w:lang w:val="en-US"/>
              </w:rPr>
              <w:t>Owners</w:t>
            </w:r>
            <w:r w:rsidRPr="002C127A">
              <w:rPr>
                <w:rFonts w:ascii="Arial" w:hAnsi="Arial" w:cs="Arial"/>
              </w:rPr>
              <w:t> </w:t>
            </w:r>
          </w:p>
        </w:tc>
        <w:tc>
          <w:tcPr>
            <w:tcW w:w="309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0A09FE6" w14:textId="77777777" w:rsidR="00B23C66" w:rsidRPr="002C127A" w:rsidRDefault="00B23C66" w:rsidP="002C127A">
            <w:pPr>
              <w:spacing w:line="360" w:lineRule="auto"/>
              <w:rPr>
                <w:rFonts w:ascii="Arial" w:hAnsi="Arial" w:cs="Arial"/>
              </w:rPr>
            </w:pPr>
            <w:r w:rsidRPr="002C127A">
              <w:rPr>
                <w:rFonts w:ascii="Arial" w:hAnsi="Arial" w:cs="Arial"/>
                <w:lang w:val="en-US"/>
              </w:rPr>
              <w:t>Hospital board, executive and clinical leaders, with state regulators able to mandate minimum requirements.</w:t>
            </w:r>
            <w:r w:rsidRPr="002C127A">
              <w:rPr>
                <w:rFonts w:ascii="Arial" w:hAnsi="Arial" w:cs="Arial"/>
              </w:rPr>
              <w:t> </w:t>
            </w:r>
          </w:p>
        </w:tc>
        <w:tc>
          <w:tcPr>
            <w:tcW w:w="309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D22F72C" w14:textId="77777777" w:rsidR="00B23C66" w:rsidRPr="002C127A" w:rsidRDefault="00B23C66" w:rsidP="002C127A">
            <w:pPr>
              <w:spacing w:line="360" w:lineRule="auto"/>
              <w:rPr>
                <w:rFonts w:ascii="Arial" w:hAnsi="Arial" w:cs="Arial"/>
              </w:rPr>
            </w:pPr>
            <w:r w:rsidRPr="002C127A">
              <w:rPr>
                <w:rFonts w:ascii="Arial" w:hAnsi="Arial" w:cs="Arial"/>
                <w:lang w:val="en-US"/>
              </w:rPr>
              <w:t>Owners must resource, authorise and monitor the redesigned process.</w:t>
            </w:r>
            <w:r w:rsidRPr="002C127A">
              <w:rPr>
                <w:rFonts w:ascii="Arial" w:hAnsi="Arial" w:cs="Arial"/>
              </w:rPr>
              <w:t> </w:t>
            </w:r>
          </w:p>
        </w:tc>
      </w:tr>
      <w:tr w:rsidR="00B23C66" w:rsidRPr="002C127A" w14:paraId="59ECBC2F" w14:textId="77777777">
        <w:trPr>
          <w:trHeight w:val="300"/>
        </w:trPr>
        <w:tc>
          <w:tcPr>
            <w:tcW w:w="309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D83DB51" w14:textId="77777777" w:rsidR="00B23C66" w:rsidRPr="002C127A" w:rsidRDefault="00B23C66" w:rsidP="002C127A">
            <w:pPr>
              <w:spacing w:line="360" w:lineRule="auto"/>
              <w:rPr>
                <w:rFonts w:ascii="Arial" w:hAnsi="Arial" w:cs="Arial"/>
              </w:rPr>
            </w:pPr>
            <w:r w:rsidRPr="002C127A">
              <w:rPr>
                <w:rFonts w:ascii="Arial" w:hAnsi="Arial" w:cs="Arial"/>
                <w:lang w:val="en-US"/>
              </w:rPr>
              <w:t>Environmental constraints</w:t>
            </w:r>
            <w:r w:rsidRPr="002C127A">
              <w:rPr>
                <w:rFonts w:ascii="Arial" w:hAnsi="Arial" w:cs="Arial"/>
              </w:rPr>
              <w:t> </w:t>
            </w:r>
          </w:p>
        </w:tc>
        <w:tc>
          <w:tcPr>
            <w:tcW w:w="309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68196A5" w14:textId="77777777" w:rsidR="00B23C66" w:rsidRPr="002C127A" w:rsidRDefault="00B23C66" w:rsidP="002C127A">
            <w:pPr>
              <w:spacing w:line="360" w:lineRule="auto"/>
              <w:rPr>
                <w:rFonts w:ascii="Arial" w:hAnsi="Arial" w:cs="Arial"/>
              </w:rPr>
            </w:pPr>
            <w:r w:rsidRPr="002C127A">
              <w:rPr>
                <w:rFonts w:ascii="Arial" w:hAnsi="Arial" w:cs="Arial"/>
                <w:lang w:val="en-US"/>
              </w:rPr>
              <w:t xml:space="preserve">Workload, staffing, professional boundaries, </w:t>
            </w:r>
            <w:r w:rsidRPr="002C127A">
              <w:rPr>
                <w:rFonts w:ascii="Arial" w:hAnsi="Arial" w:cs="Arial"/>
                <w:lang w:val="en-US"/>
              </w:rPr>
              <w:lastRenderedPageBreak/>
              <w:t>technology, regulation, training capacity and resistance to challenge.</w:t>
            </w:r>
            <w:r w:rsidRPr="002C127A">
              <w:rPr>
                <w:rFonts w:ascii="Arial" w:hAnsi="Arial" w:cs="Arial"/>
              </w:rPr>
              <w:t> </w:t>
            </w:r>
          </w:p>
        </w:tc>
        <w:tc>
          <w:tcPr>
            <w:tcW w:w="309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47CFC6D" w14:textId="77777777" w:rsidR="00B23C66" w:rsidRPr="002C127A" w:rsidRDefault="00B23C66" w:rsidP="002C127A">
            <w:pPr>
              <w:spacing w:line="360" w:lineRule="auto"/>
              <w:rPr>
                <w:rFonts w:ascii="Arial" w:hAnsi="Arial" w:cs="Arial"/>
              </w:rPr>
            </w:pPr>
            <w:r w:rsidRPr="002C127A">
              <w:rPr>
                <w:rFonts w:ascii="Arial" w:hAnsi="Arial" w:cs="Arial"/>
                <w:lang w:val="en-US"/>
              </w:rPr>
              <w:lastRenderedPageBreak/>
              <w:t xml:space="preserve">Implementation must include protected training, reliable </w:t>
            </w:r>
            <w:r w:rsidRPr="002C127A">
              <w:rPr>
                <w:rFonts w:ascii="Arial" w:hAnsi="Arial" w:cs="Arial"/>
                <w:lang w:val="en-US"/>
              </w:rPr>
              <w:lastRenderedPageBreak/>
              <w:t>senior cover, risk controls and ongoing audit.</w:t>
            </w:r>
            <w:r w:rsidRPr="002C127A">
              <w:rPr>
                <w:rFonts w:ascii="Arial" w:hAnsi="Arial" w:cs="Arial"/>
              </w:rPr>
              <w:t> </w:t>
            </w:r>
          </w:p>
        </w:tc>
      </w:tr>
    </w:tbl>
    <w:p w14:paraId="144D0FD4" w14:textId="77777777" w:rsidR="006F52EF" w:rsidRDefault="006F52EF" w:rsidP="002C127A">
      <w:pPr>
        <w:spacing w:line="360" w:lineRule="auto"/>
        <w:rPr>
          <w:rFonts w:ascii="Arial" w:hAnsi="Arial" w:cs="Arial"/>
          <w:lang w:val="en-US"/>
        </w:rPr>
      </w:pPr>
    </w:p>
    <w:p w14:paraId="69FC4810" w14:textId="0B25454C" w:rsidR="00B23C66" w:rsidRDefault="00B23C66" w:rsidP="002C127A">
      <w:pPr>
        <w:spacing w:line="360" w:lineRule="auto"/>
        <w:rPr>
          <w:rFonts w:ascii="Arial" w:hAnsi="Arial" w:cs="Arial"/>
        </w:rPr>
      </w:pPr>
      <w:r w:rsidRPr="002C127A">
        <w:rPr>
          <w:rFonts w:ascii="Arial" w:hAnsi="Arial" w:cs="Arial"/>
          <w:lang w:val="en-US"/>
        </w:rPr>
        <w:t xml:space="preserve">CATWOE is useful because it prevents the proposed change from being defined only from the perspective of senior management. Its limitation is that it simplifies emotion, power and time pressure. Lewis's parents experienced fear and loss of trust, while junior staff operated within professional relationships that a table cannot fully represent. The model should therefore be used as a discussion and design tool rather than as proof that the system has been completely </w:t>
      </w:r>
      <w:r w:rsidR="00535BE3" w:rsidRPr="002C127A">
        <w:rPr>
          <w:rFonts w:ascii="Arial" w:hAnsi="Arial" w:cs="Arial"/>
          <w:lang w:val="en-US"/>
        </w:rPr>
        <w:t>understood</w:t>
      </w:r>
      <w:r w:rsidR="00535BE3" w:rsidRPr="00535BE3">
        <w:rPr>
          <w:rFonts w:ascii="Arial" w:hAnsi="Arial" w:cs="Arial"/>
          <w:lang w:val="en-US"/>
        </w:rPr>
        <w:t xml:space="preserve"> (Checkland and Scholes, 1990)</w:t>
      </w:r>
      <w:r w:rsidRPr="002C127A">
        <w:rPr>
          <w:rFonts w:ascii="Arial" w:hAnsi="Arial" w:cs="Arial"/>
          <w:lang w:val="en-US"/>
        </w:rPr>
        <w:t>.</w:t>
      </w:r>
      <w:r w:rsidRPr="002C127A">
        <w:rPr>
          <w:rFonts w:ascii="Arial" w:hAnsi="Arial" w:cs="Arial"/>
        </w:rPr>
        <w:t> </w:t>
      </w:r>
    </w:p>
    <w:p w14:paraId="0E658AB9" w14:textId="096D853D" w:rsidR="00B23C66" w:rsidRPr="002C127A" w:rsidRDefault="00B23C66" w:rsidP="006F52EF">
      <w:pPr>
        <w:pStyle w:val="Heading1"/>
        <w:spacing w:after="240"/>
      </w:pPr>
      <w:bookmarkStart w:id="6" w:name="_Toc236148040"/>
      <w:proofErr w:type="spellStart"/>
      <w:r w:rsidRPr="002C127A">
        <w:rPr>
          <w:lang w:val="en-US"/>
        </w:rPr>
        <w:t>Centralisation</w:t>
      </w:r>
      <w:proofErr w:type="spellEnd"/>
      <w:r w:rsidRPr="002C127A">
        <w:rPr>
          <w:lang w:val="en-US"/>
        </w:rPr>
        <w:t xml:space="preserve"> and Dec</w:t>
      </w:r>
      <w:r w:rsidR="00535BE3">
        <w:rPr>
          <w:lang w:val="en-US"/>
        </w:rPr>
        <w:t xml:space="preserve"> </w:t>
      </w:r>
      <w:proofErr w:type="spellStart"/>
      <w:r w:rsidRPr="002C127A">
        <w:rPr>
          <w:lang w:val="en-US"/>
        </w:rPr>
        <w:t>entralisation</w:t>
      </w:r>
      <w:bookmarkEnd w:id="6"/>
      <w:proofErr w:type="spellEnd"/>
    </w:p>
    <w:p w14:paraId="688786D0" w14:textId="1B46D70D" w:rsidR="00B23C66" w:rsidRDefault="00B23C66" w:rsidP="002C127A">
      <w:pPr>
        <w:spacing w:line="360" w:lineRule="auto"/>
        <w:rPr>
          <w:rFonts w:ascii="Arial" w:hAnsi="Arial" w:cs="Arial"/>
        </w:rPr>
      </w:pPr>
      <w:r w:rsidRPr="002C127A">
        <w:rPr>
          <w:rFonts w:ascii="Arial" w:hAnsi="Arial" w:cs="Arial"/>
          <w:lang w:val="en-US"/>
        </w:rPr>
        <w:t xml:space="preserve">Centralisation concentrates formal authority, standards and resource decisions at higher organisational levels; decentralisation distributes decision authority closer to frontline work (Mintzberg, 1983; Daft, 2021). </w:t>
      </w:r>
      <w:r w:rsidR="009E5B9C" w:rsidRPr="009E5B9C">
        <w:rPr>
          <w:rFonts w:ascii="Arial" w:hAnsi="Arial" w:cs="Arial"/>
          <w:lang w:val="en-US"/>
        </w:rPr>
        <w:t>This case shows why the distinction should be used carefully. Authority was concentrated among senior physicians because junior staff and nurses relied on them for decisions. However, control over patient care was inconsistent because there was no required process for senior review. As a result, the system did not function as an effective centralised model. Instead, it created a bottleneck, with decision-making authority resting with senior physicians who were often unavailable.</w:t>
      </w:r>
    </w:p>
    <w:p w14:paraId="324BCED4" w14:textId="3E01B724" w:rsidR="00B23C66" w:rsidRDefault="00B23C66" w:rsidP="007D0381">
      <w:pPr>
        <w:pStyle w:val="Heading2"/>
      </w:pPr>
      <w:bookmarkStart w:id="7" w:name="_Toc236148041"/>
      <w:r w:rsidRPr="002C127A">
        <w:rPr>
          <w:lang w:val="en-US"/>
        </w:rPr>
        <w:t>Strengths and limitations of centralisation</w:t>
      </w:r>
      <w:bookmarkEnd w:id="7"/>
      <w:r w:rsidRPr="002C127A">
        <w:t> </w:t>
      </w:r>
    </w:p>
    <w:p w14:paraId="0CC95386" w14:textId="77777777" w:rsidR="007D0381" w:rsidRPr="007D0381" w:rsidRDefault="007D0381" w:rsidP="007D0381"/>
    <w:p w14:paraId="04F88A3B" w14:textId="304671C3" w:rsidR="006F52EF" w:rsidRDefault="00B56510" w:rsidP="002C127A">
      <w:pPr>
        <w:spacing w:line="360" w:lineRule="auto"/>
        <w:rPr>
          <w:rFonts w:ascii="Arial" w:hAnsi="Arial" w:cs="Arial"/>
          <w:lang w:val="en-US"/>
        </w:rPr>
      </w:pPr>
      <w:r w:rsidRPr="00B56510">
        <w:rPr>
          <w:rFonts w:ascii="Arial" w:hAnsi="Arial" w:cs="Arial"/>
          <w:lang w:val="en-US"/>
        </w:rPr>
        <w:t>Centralised governance can improve patient safety by setting clear rules that everyone must follow. Hospital leaders can require standards for medication management, patient observations, alarm settings, consultant availability, and incident reporting. It can also reduce differences in practice by ensuring that the same signs of patient deterioration receive the same response across all wards. Accountability is easier when responsibilities, response times, and performance measures are clearly defined. In the Lewis Blackman case, centralised standards could have prevented alarm settings from being changed for convenience and could have required senior doctors to review the patient when specific changes in his condition occurred</w:t>
      </w:r>
      <w:r w:rsidR="001207AA">
        <w:rPr>
          <w:rFonts w:ascii="Arial" w:hAnsi="Arial" w:cs="Arial"/>
          <w:lang w:val="en-US"/>
        </w:rPr>
        <w:t xml:space="preserve"> </w:t>
      </w:r>
      <w:r w:rsidR="001207AA" w:rsidRPr="001207AA">
        <w:rPr>
          <w:rFonts w:ascii="Arial" w:hAnsi="Arial" w:cs="Arial"/>
          <w:lang w:val="en-US"/>
        </w:rPr>
        <w:t>(Acquaviva, Haskell and Johnson, 2013)</w:t>
      </w:r>
      <w:r w:rsidR="001207AA">
        <w:rPr>
          <w:rFonts w:ascii="Arial" w:hAnsi="Arial" w:cs="Arial"/>
          <w:lang w:val="en-US"/>
        </w:rPr>
        <w:t>.</w:t>
      </w:r>
    </w:p>
    <w:p w14:paraId="021129B4" w14:textId="77777777" w:rsidR="00B56510" w:rsidRPr="002C127A" w:rsidRDefault="00B56510" w:rsidP="002C127A">
      <w:pPr>
        <w:spacing w:line="360" w:lineRule="auto"/>
        <w:rPr>
          <w:rFonts w:ascii="Arial" w:hAnsi="Arial" w:cs="Arial"/>
        </w:rPr>
      </w:pPr>
    </w:p>
    <w:p w14:paraId="3C3BD7BA" w14:textId="707E2B73" w:rsidR="00B23C66" w:rsidRDefault="00B23C66" w:rsidP="002C127A">
      <w:pPr>
        <w:spacing w:line="360" w:lineRule="auto"/>
        <w:rPr>
          <w:rFonts w:ascii="Arial" w:hAnsi="Arial" w:cs="Arial"/>
        </w:rPr>
      </w:pPr>
      <w:r w:rsidRPr="002C127A">
        <w:rPr>
          <w:rFonts w:ascii="Arial" w:hAnsi="Arial" w:cs="Arial"/>
          <w:lang w:val="en-US"/>
        </w:rPr>
        <w:t xml:space="preserve">However, </w:t>
      </w:r>
      <w:r w:rsidR="003D0932">
        <w:rPr>
          <w:rFonts w:ascii="Arial" w:hAnsi="Arial" w:cs="Arial"/>
          <w:lang w:val="en-US"/>
        </w:rPr>
        <w:t>over-centralisation</w:t>
      </w:r>
      <w:r w:rsidRPr="002C127A">
        <w:rPr>
          <w:rFonts w:ascii="Arial" w:hAnsi="Arial" w:cs="Arial"/>
          <w:lang w:val="en-US"/>
        </w:rPr>
        <w:t xml:space="preserve"> can delay action, suppress </w:t>
      </w:r>
      <w:r w:rsidR="006F52EF" w:rsidRPr="002C127A">
        <w:rPr>
          <w:rFonts w:ascii="Arial" w:hAnsi="Arial" w:cs="Arial"/>
          <w:lang w:val="en-US"/>
        </w:rPr>
        <w:t>challenges</w:t>
      </w:r>
      <w:r w:rsidRPr="002C127A">
        <w:rPr>
          <w:rFonts w:ascii="Arial" w:hAnsi="Arial" w:cs="Arial"/>
          <w:lang w:val="en-US"/>
        </w:rPr>
        <w:t xml:space="preserve"> and create dependence on scarce decision-makers. When escalation must travel vertically through several layers, delay becomes structurally predictable. Staff may also interpret professional hierarchy as a reason not to question a senior diagnosis. Lewis's parents repeatedly requested greater medical attention, but their information was filtered through the same hierarchy that had </w:t>
      </w:r>
      <w:r w:rsidRPr="002C127A">
        <w:rPr>
          <w:rFonts w:ascii="Arial" w:hAnsi="Arial" w:cs="Arial"/>
          <w:lang w:val="en-US"/>
        </w:rPr>
        <w:lastRenderedPageBreak/>
        <w:t xml:space="preserve">accepted constipation as the explanation (Blackman, 2008). </w:t>
      </w:r>
      <w:r w:rsidR="003D0932">
        <w:rPr>
          <w:rFonts w:ascii="Arial" w:hAnsi="Arial" w:cs="Arial"/>
          <w:lang w:val="en-US"/>
        </w:rPr>
        <w:t>Centralisation</w:t>
      </w:r>
      <w:r w:rsidRPr="002C127A">
        <w:rPr>
          <w:rFonts w:ascii="Arial" w:hAnsi="Arial" w:cs="Arial"/>
          <w:lang w:val="en-US"/>
        </w:rPr>
        <w:t xml:space="preserve"> is therefore unsafe when authority is not matched by availability, when communication is one-directional or when local staff are punished for </w:t>
      </w:r>
      <w:r w:rsidR="006F52EF" w:rsidRPr="002C127A">
        <w:rPr>
          <w:rFonts w:ascii="Arial" w:hAnsi="Arial" w:cs="Arial"/>
          <w:lang w:val="en-US"/>
        </w:rPr>
        <w:t>passing</w:t>
      </w:r>
      <w:r w:rsidRPr="002C127A">
        <w:rPr>
          <w:rFonts w:ascii="Arial" w:hAnsi="Arial" w:cs="Arial"/>
          <w:lang w:val="en-US"/>
        </w:rPr>
        <w:t xml:space="preserve"> the chain of command.</w:t>
      </w:r>
      <w:r w:rsidRPr="002C127A">
        <w:rPr>
          <w:rFonts w:ascii="Arial" w:hAnsi="Arial" w:cs="Arial"/>
        </w:rPr>
        <w:t> </w:t>
      </w:r>
    </w:p>
    <w:p w14:paraId="5ECFDED3" w14:textId="326B13A6" w:rsidR="00B23C66" w:rsidRDefault="00B23C66" w:rsidP="007D0381">
      <w:pPr>
        <w:pStyle w:val="Heading2"/>
      </w:pPr>
      <w:bookmarkStart w:id="8" w:name="_Toc236148042"/>
      <w:r w:rsidRPr="002C127A">
        <w:rPr>
          <w:lang w:val="en-US"/>
        </w:rPr>
        <w:t>Strengths and limitations of decentralisation</w:t>
      </w:r>
      <w:bookmarkEnd w:id="8"/>
      <w:r w:rsidRPr="002C127A">
        <w:t> </w:t>
      </w:r>
    </w:p>
    <w:p w14:paraId="2439903B" w14:textId="77777777" w:rsidR="007D0381" w:rsidRPr="007D0381" w:rsidRDefault="007D0381" w:rsidP="007D0381"/>
    <w:p w14:paraId="621E40AA" w14:textId="76614222" w:rsidR="00B17F3B" w:rsidRDefault="00B23C66" w:rsidP="002C127A">
      <w:pPr>
        <w:spacing w:line="360" w:lineRule="auto"/>
        <w:rPr>
          <w:rFonts w:ascii="Arial" w:hAnsi="Arial" w:cs="Arial"/>
          <w:lang w:val="en-US"/>
        </w:rPr>
      </w:pPr>
      <w:r w:rsidRPr="002C127A">
        <w:rPr>
          <w:rFonts w:ascii="Arial" w:hAnsi="Arial" w:cs="Arial"/>
          <w:lang w:val="en-US"/>
        </w:rPr>
        <w:t xml:space="preserve">Decentralisation can move authority to the point where risk is detected. Nurse-led escalation, rapid-response teams, pharmacist intervention, multidisciplinary safety huddles and family-activated review allow action without waiting for permission from an unavailable attending physician. This does not mean that every professional makes the final diagnosis. It means that any authorised actor can trigger a higher level of assessment. </w:t>
      </w:r>
      <w:r w:rsidR="00852BC5" w:rsidRPr="00852BC5">
        <w:rPr>
          <w:rFonts w:ascii="Arial" w:hAnsi="Arial" w:cs="Arial"/>
          <w:lang w:val="en-US"/>
        </w:rPr>
        <w:t xml:space="preserve">The evidence supporting rapid-response systems is strong. Maharaj, Raffaele and Wendon (2015) reviewed 29 studies involving more than 2.16 million patients. They found that hospitals with </w:t>
      </w:r>
      <w:r w:rsidR="00841BDA" w:rsidRPr="00852BC5">
        <w:rPr>
          <w:rFonts w:ascii="Arial" w:hAnsi="Arial" w:cs="Arial"/>
          <w:lang w:val="en-US"/>
        </w:rPr>
        <w:t>rapid response</w:t>
      </w:r>
      <w:r w:rsidR="00852BC5" w:rsidRPr="00852BC5">
        <w:rPr>
          <w:rFonts w:ascii="Arial" w:hAnsi="Arial" w:cs="Arial"/>
          <w:lang w:val="en-US"/>
        </w:rPr>
        <w:t xml:space="preserve"> systems had lower mortality rates and fewer cardiopulmonary arrests in adults. However, most of the studies were observational</w:t>
      </w:r>
      <w:r w:rsidR="00841BDA">
        <w:rPr>
          <w:rFonts w:ascii="Arial" w:hAnsi="Arial" w:cs="Arial"/>
          <w:lang w:val="en-US"/>
        </w:rPr>
        <w:t>,</w:t>
      </w:r>
      <w:r w:rsidR="00852BC5" w:rsidRPr="00852BC5">
        <w:rPr>
          <w:rFonts w:ascii="Arial" w:hAnsi="Arial" w:cs="Arial"/>
          <w:lang w:val="en-US"/>
        </w:rPr>
        <w:t xml:space="preserve"> and the results varied between studies, which means the findings should be interpreted with some caution.</w:t>
      </w:r>
    </w:p>
    <w:p w14:paraId="2E7FD3DA" w14:textId="77777777" w:rsidR="00852BC5" w:rsidRPr="002C127A" w:rsidRDefault="00852BC5" w:rsidP="002C127A">
      <w:pPr>
        <w:spacing w:line="360" w:lineRule="auto"/>
        <w:rPr>
          <w:rFonts w:ascii="Arial" w:hAnsi="Arial" w:cs="Arial"/>
        </w:rPr>
      </w:pPr>
    </w:p>
    <w:p w14:paraId="0F7D8E91" w14:textId="37CCF9F3" w:rsidR="002F08B9" w:rsidRDefault="008F4B03" w:rsidP="002C127A">
      <w:pPr>
        <w:spacing w:line="360" w:lineRule="auto"/>
        <w:rPr>
          <w:rFonts w:ascii="Arial" w:hAnsi="Arial" w:cs="Arial"/>
          <w:lang w:val="en-US"/>
        </w:rPr>
      </w:pPr>
      <w:r w:rsidRPr="008F4B03">
        <w:rPr>
          <w:rFonts w:ascii="Arial" w:hAnsi="Arial" w:cs="Arial"/>
          <w:lang w:val="en-US"/>
        </w:rPr>
        <w:t>Decentralisation can also create problems. If roles and responsibilities are not clearly defined, teams may duplicate work, respond differently to the same situation, or disagree about what action to take. Too many alerts can lead to staff becoming overwhelmed and less responsive. Giving departments more autonomy can also make it harder to maintain consistent standards and procedures across the hospital. In addition, accountability may become unclear, as responsibility for decisions is shared between many people. For decentralisation to work effectively, staff must have the right skills, keep accurate records, and have clearly defined clinical responsibilities</w:t>
      </w:r>
      <w:r w:rsidR="00EC0F49">
        <w:rPr>
          <w:rFonts w:ascii="Arial" w:hAnsi="Arial" w:cs="Arial"/>
          <w:lang w:val="en-US"/>
        </w:rPr>
        <w:t xml:space="preserve"> </w:t>
      </w:r>
      <w:r w:rsidR="00EC0F49" w:rsidRPr="00EC0F49">
        <w:rPr>
          <w:rFonts w:ascii="Arial" w:hAnsi="Arial" w:cs="Arial"/>
          <w:lang w:val="en-US"/>
        </w:rPr>
        <w:t>(Mintzberg, 1983; Braithwaite et al., 2017)</w:t>
      </w:r>
      <w:r w:rsidR="00EC0F49">
        <w:rPr>
          <w:rFonts w:ascii="Arial" w:hAnsi="Arial" w:cs="Arial"/>
          <w:lang w:val="en-US"/>
        </w:rPr>
        <w:t>.</w:t>
      </w:r>
    </w:p>
    <w:p w14:paraId="736C7CC9" w14:textId="77777777" w:rsidR="008F4B03" w:rsidRDefault="008F4B03" w:rsidP="002C127A">
      <w:pPr>
        <w:spacing w:line="360" w:lineRule="auto"/>
        <w:rPr>
          <w:rFonts w:ascii="Arial" w:hAnsi="Arial" w:cs="Arial"/>
        </w:rPr>
      </w:pPr>
    </w:p>
    <w:p w14:paraId="5728F5D6" w14:textId="77777777" w:rsidR="00B23C66" w:rsidRDefault="00B23C66" w:rsidP="002C127A">
      <w:pPr>
        <w:spacing w:line="360" w:lineRule="auto"/>
        <w:rPr>
          <w:rFonts w:ascii="Arial" w:hAnsi="Arial" w:cs="Arial"/>
        </w:rPr>
      </w:pPr>
      <w:r w:rsidRPr="002C127A">
        <w:rPr>
          <w:rFonts w:ascii="Arial" w:hAnsi="Arial" w:cs="Arial"/>
          <w:b/>
          <w:bCs/>
          <w:lang w:val="en-US"/>
        </w:rPr>
        <w:t>Table 3. Critical comparison of centralised and decentralised governance</w:t>
      </w:r>
      <w:r w:rsidRPr="002C127A">
        <w:rPr>
          <w:rFonts w:ascii="Arial" w:hAnsi="Arial" w:cs="Arial"/>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39"/>
        <w:gridCol w:w="2254"/>
        <w:gridCol w:w="2263"/>
        <w:gridCol w:w="2254"/>
      </w:tblGrid>
      <w:tr w:rsidR="00B23C66" w:rsidRPr="002C127A" w14:paraId="33E9B85C" w14:textId="77777777" w:rsidTr="00546029">
        <w:trPr>
          <w:trHeight w:val="300"/>
        </w:trPr>
        <w:tc>
          <w:tcPr>
            <w:tcW w:w="2239"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596BE7B6" w14:textId="77777777" w:rsidR="00B23C66" w:rsidRPr="002C127A" w:rsidRDefault="00B23C66" w:rsidP="002C127A">
            <w:pPr>
              <w:spacing w:line="360" w:lineRule="auto"/>
              <w:rPr>
                <w:rFonts w:ascii="Arial" w:hAnsi="Arial" w:cs="Arial"/>
              </w:rPr>
            </w:pPr>
            <w:r w:rsidRPr="002C127A">
              <w:rPr>
                <w:rFonts w:ascii="Arial" w:hAnsi="Arial" w:cs="Arial"/>
                <w:b/>
                <w:bCs/>
                <w:lang w:val="en-US"/>
              </w:rPr>
              <w:t>Dimension</w:t>
            </w:r>
            <w:r w:rsidRPr="002C127A">
              <w:rPr>
                <w:rFonts w:ascii="Arial" w:hAnsi="Arial" w:cs="Arial"/>
              </w:rPr>
              <w:t> </w:t>
            </w:r>
          </w:p>
        </w:tc>
        <w:tc>
          <w:tcPr>
            <w:tcW w:w="2254"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1BA50A36" w14:textId="77777777" w:rsidR="00B23C66" w:rsidRPr="002C127A" w:rsidRDefault="00B23C66" w:rsidP="002C127A">
            <w:pPr>
              <w:spacing w:line="360" w:lineRule="auto"/>
              <w:rPr>
                <w:rFonts w:ascii="Arial" w:hAnsi="Arial" w:cs="Arial"/>
              </w:rPr>
            </w:pPr>
            <w:r w:rsidRPr="002C127A">
              <w:rPr>
                <w:rFonts w:ascii="Arial" w:hAnsi="Arial" w:cs="Arial"/>
                <w:b/>
                <w:bCs/>
                <w:lang w:val="en-US"/>
              </w:rPr>
              <w:t>Centralised arrangement</w:t>
            </w:r>
            <w:r w:rsidRPr="002C127A">
              <w:rPr>
                <w:rFonts w:ascii="Arial" w:hAnsi="Arial" w:cs="Arial"/>
              </w:rPr>
              <w:t> </w:t>
            </w:r>
          </w:p>
        </w:tc>
        <w:tc>
          <w:tcPr>
            <w:tcW w:w="2263"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25856BF9" w14:textId="77777777" w:rsidR="00B23C66" w:rsidRPr="002C127A" w:rsidRDefault="00B23C66" w:rsidP="002C127A">
            <w:pPr>
              <w:spacing w:line="360" w:lineRule="auto"/>
              <w:rPr>
                <w:rFonts w:ascii="Arial" w:hAnsi="Arial" w:cs="Arial"/>
              </w:rPr>
            </w:pPr>
            <w:r w:rsidRPr="002C127A">
              <w:rPr>
                <w:rFonts w:ascii="Arial" w:hAnsi="Arial" w:cs="Arial"/>
                <w:b/>
                <w:bCs/>
                <w:lang w:val="en-US"/>
              </w:rPr>
              <w:t>Decentralised arrangement</w:t>
            </w:r>
            <w:r w:rsidRPr="002C127A">
              <w:rPr>
                <w:rFonts w:ascii="Arial" w:hAnsi="Arial" w:cs="Arial"/>
              </w:rPr>
              <w:t> </w:t>
            </w:r>
          </w:p>
        </w:tc>
        <w:tc>
          <w:tcPr>
            <w:tcW w:w="2254"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0A8BE556" w14:textId="77777777" w:rsidR="00B23C66" w:rsidRPr="002C127A" w:rsidRDefault="00B23C66" w:rsidP="002C127A">
            <w:pPr>
              <w:spacing w:line="360" w:lineRule="auto"/>
              <w:rPr>
                <w:rFonts w:ascii="Arial" w:hAnsi="Arial" w:cs="Arial"/>
              </w:rPr>
            </w:pPr>
            <w:r w:rsidRPr="002C127A">
              <w:rPr>
                <w:rFonts w:ascii="Arial" w:hAnsi="Arial" w:cs="Arial"/>
                <w:b/>
                <w:bCs/>
                <w:lang w:val="en-US"/>
              </w:rPr>
              <w:t>Required hybrid control</w:t>
            </w:r>
            <w:r w:rsidRPr="002C127A">
              <w:rPr>
                <w:rFonts w:ascii="Arial" w:hAnsi="Arial" w:cs="Arial"/>
              </w:rPr>
              <w:t> </w:t>
            </w:r>
          </w:p>
        </w:tc>
      </w:tr>
      <w:tr w:rsidR="00B23C66" w:rsidRPr="002C127A" w14:paraId="18A44667" w14:textId="77777777" w:rsidTr="00546029">
        <w:trPr>
          <w:trHeight w:val="300"/>
        </w:trPr>
        <w:tc>
          <w:tcPr>
            <w:tcW w:w="2239"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8526A07" w14:textId="77777777" w:rsidR="00B23C66" w:rsidRPr="002C127A" w:rsidRDefault="00B23C66" w:rsidP="002C127A">
            <w:pPr>
              <w:spacing w:line="360" w:lineRule="auto"/>
              <w:rPr>
                <w:rFonts w:ascii="Arial" w:hAnsi="Arial" w:cs="Arial"/>
              </w:rPr>
            </w:pPr>
            <w:r w:rsidRPr="002C127A">
              <w:rPr>
                <w:rFonts w:ascii="Arial" w:hAnsi="Arial" w:cs="Arial"/>
                <w:lang w:val="en-US"/>
              </w:rPr>
              <w:t>Standards</w:t>
            </w:r>
            <w:r w:rsidRPr="002C127A">
              <w:rPr>
                <w:rFonts w:ascii="Arial" w:hAnsi="Arial" w:cs="Arial"/>
              </w:rPr>
              <w:t> </w:t>
            </w:r>
          </w:p>
        </w:tc>
        <w:tc>
          <w:tcPr>
            <w:tcW w:w="2254"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CBA68C1" w14:textId="77777777" w:rsidR="00B23C66" w:rsidRPr="002C127A" w:rsidRDefault="00B23C66" w:rsidP="002C127A">
            <w:pPr>
              <w:spacing w:line="360" w:lineRule="auto"/>
              <w:rPr>
                <w:rFonts w:ascii="Arial" w:hAnsi="Arial" w:cs="Arial"/>
              </w:rPr>
            </w:pPr>
            <w:r w:rsidRPr="002C127A">
              <w:rPr>
                <w:rFonts w:ascii="Arial" w:hAnsi="Arial" w:cs="Arial"/>
                <w:lang w:val="en-US"/>
              </w:rPr>
              <w:t>Board-approved observation, medication and escalation rules.</w:t>
            </w:r>
            <w:r w:rsidRPr="002C127A">
              <w:rPr>
                <w:rFonts w:ascii="Arial" w:hAnsi="Arial" w:cs="Arial"/>
              </w:rPr>
              <w:t> </w:t>
            </w:r>
          </w:p>
        </w:tc>
        <w:tc>
          <w:tcPr>
            <w:tcW w:w="2263"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651A8A1" w14:textId="77777777" w:rsidR="00B23C66" w:rsidRPr="002C127A" w:rsidRDefault="00B23C66" w:rsidP="002C127A">
            <w:pPr>
              <w:spacing w:line="360" w:lineRule="auto"/>
              <w:rPr>
                <w:rFonts w:ascii="Arial" w:hAnsi="Arial" w:cs="Arial"/>
              </w:rPr>
            </w:pPr>
            <w:r w:rsidRPr="002C127A">
              <w:rPr>
                <w:rFonts w:ascii="Arial" w:hAnsi="Arial" w:cs="Arial"/>
                <w:lang w:val="en-US"/>
              </w:rPr>
              <w:t>Frontline teams apply and adapt the response to the patient’s condition.</w:t>
            </w:r>
            <w:r w:rsidRPr="002C127A">
              <w:rPr>
                <w:rFonts w:ascii="Arial" w:hAnsi="Arial" w:cs="Arial"/>
              </w:rPr>
              <w:t> </w:t>
            </w:r>
          </w:p>
        </w:tc>
        <w:tc>
          <w:tcPr>
            <w:tcW w:w="2254"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5BEED59" w14:textId="3EE916C7" w:rsidR="00B23C66" w:rsidRPr="002C127A" w:rsidRDefault="00B23C66" w:rsidP="002C127A">
            <w:pPr>
              <w:spacing w:line="360" w:lineRule="auto"/>
              <w:rPr>
                <w:rFonts w:ascii="Arial" w:hAnsi="Arial" w:cs="Arial"/>
              </w:rPr>
            </w:pPr>
            <w:r w:rsidRPr="002C127A">
              <w:rPr>
                <w:rFonts w:ascii="Arial" w:hAnsi="Arial" w:cs="Arial"/>
                <w:lang w:val="en-US"/>
              </w:rPr>
              <w:t xml:space="preserve">Central minimum standards with local authority </w:t>
            </w:r>
            <w:r w:rsidR="00546029" w:rsidRPr="002C127A">
              <w:rPr>
                <w:rFonts w:ascii="Arial" w:hAnsi="Arial" w:cs="Arial"/>
                <w:lang w:val="en-US"/>
              </w:rPr>
              <w:t>exceed</w:t>
            </w:r>
            <w:r w:rsidRPr="002C127A">
              <w:rPr>
                <w:rFonts w:ascii="Arial" w:hAnsi="Arial" w:cs="Arial"/>
                <w:lang w:val="en-US"/>
              </w:rPr>
              <w:t xml:space="preserve"> them.</w:t>
            </w:r>
            <w:r w:rsidRPr="002C127A">
              <w:rPr>
                <w:rFonts w:ascii="Arial" w:hAnsi="Arial" w:cs="Arial"/>
              </w:rPr>
              <w:t> </w:t>
            </w:r>
          </w:p>
        </w:tc>
      </w:tr>
      <w:tr w:rsidR="00B23C66" w:rsidRPr="002C127A" w14:paraId="44533712" w14:textId="77777777" w:rsidTr="00546029">
        <w:trPr>
          <w:trHeight w:val="300"/>
        </w:trPr>
        <w:tc>
          <w:tcPr>
            <w:tcW w:w="2239"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12D9370" w14:textId="77777777" w:rsidR="00B23C66" w:rsidRPr="002C127A" w:rsidRDefault="00B23C66" w:rsidP="002C127A">
            <w:pPr>
              <w:spacing w:line="360" w:lineRule="auto"/>
              <w:rPr>
                <w:rFonts w:ascii="Arial" w:hAnsi="Arial" w:cs="Arial"/>
              </w:rPr>
            </w:pPr>
            <w:r w:rsidRPr="002C127A">
              <w:rPr>
                <w:rFonts w:ascii="Arial" w:hAnsi="Arial" w:cs="Arial"/>
                <w:lang w:val="en-US"/>
              </w:rPr>
              <w:t>Decision speed</w:t>
            </w:r>
            <w:r w:rsidRPr="002C127A">
              <w:rPr>
                <w:rFonts w:ascii="Arial" w:hAnsi="Arial" w:cs="Arial"/>
              </w:rPr>
              <w:t> </w:t>
            </w:r>
          </w:p>
        </w:tc>
        <w:tc>
          <w:tcPr>
            <w:tcW w:w="2254"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C7E2E76" w14:textId="77777777" w:rsidR="00B23C66" w:rsidRPr="002C127A" w:rsidRDefault="00B23C66" w:rsidP="002C127A">
            <w:pPr>
              <w:spacing w:line="360" w:lineRule="auto"/>
              <w:rPr>
                <w:rFonts w:ascii="Arial" w:hAnsi="Arial" w:cs="Arial"/>
              </w:rPr>
            </w:pPr>
            <w:r w:rsidRPr="002C127A">
              <w:rPr>
                <w:rFonts w:ascii="Arial" w:hAnsi="Arial" w:cs="Arial"/>
                <w:lang w:val="en-US"/>
              </w:rPr>
              <w:t>May be slow if senior approval is unavailable.</w:t>
            </w:r>
            <w:r w:rsidRPr="002C127A">
              <w:rPr>
                <w:rFonts w:ascii="Arial" w:hAnsi="Arial" w:cs="Arial"/>
              </w:rPr>
              <w:t> </w:t>
            </w:r>
          </w:p>
        </w:tc>
        <w:tc>
          <w:tcPr>
            <w:tcW w:w="2263"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FC971F6" w14:textId="77777777" w:rsidR="00B23C66" w:rsidRPr="002C127A" w:rsidRDefault="00B23C66" w:rsidP="002C127A">
            <w:pPr>
              <w:spacing w:line="360" w:lineRule="auto"/>
              <w:rPr>
                <w:rFonts w:ascii="Arial" w:hAnsi="Arial" w:cs="Arial"/>
              </w:rPr>
            </w:pPr>
            <w:r w:rsidRPr="002C127A">
              <w:rPr>
                <w:rFonts w:ascii="Arial" w:hAnsi="Arial" w:cs="Arial"/>
                <w:lang w:val="en-US"/>
              </w:rPr>
              <w:t>Rapid activation by nurses, pharmacists or families.</w:t>
            </w:r>
            <w:r w:rsidRPr="002C127A">
              <w:rPr>
                <w:rFonts w:ascii="Arial" w:hAnsi="Arial" w:cs="Arial"/>
              </w:rPr>
              <w:t> </w:t>
            </w:r>
          </w:p>
        </w:tc>
        <w:tc>
          <w:tcPr>
            <w:tcW w:w="2254"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E259F0B" w14:textId="77777777" w:rsidR="00B23C66" w:rsidRPr="002C127A" w:rsidRDefault="00B23C66" w:rsidP="002C127A">
            <w:pPr>
              <w:spacing w:line="360" w:lineRule="auto"/>
              <w:rPr>
                <w:rFonts w:ascii="Arial" w:hAnsi="Arial" w:cs="Arial"/>
              </w:rPr>
            </w:pPr>
            <w:r w:rsidRPr="002C127A">
              <w:rPr>
                <w:rFonts w:ascii="Arial" w:hAnsi="Arial" w:cs="Arial"/>
                <w:lang w:val="en-US"/>
              </w:rPr>
              <w:t>Automatic escalation after a time limit or failed response.</w:t>
            </w:r>
            <w:r w:rsidRPr="002C127A">
              <w:rPr>
                <w:rFonts w:ascii="Arial" w:hAnsi="Arial" w:cs="Arial"/>
              </w:rPr>
              <w:t> </w:t>
            </w:r>
          </w:p>
        </w:tc>
      </w:tr>
      <w:tr w:rsidR="00B23C66" w:rsidRPr="002C127A" w14:paraId="2042F4D0" w14:textId="77777777" w:rsidTr="00546029">
        <w:trPr>
          <w:trHeight w:val="300"/>
        </w:trPr>
        <w:tc>
          <w:tcPr>
            <w:tcW w:w="2239"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77491B8" w14:textId="77777777" w:rsidR="00B23C66" w:rsidRPr="002C127A" w:rsidRDefault="00B23C66" w:rsidP="002C127A">
            <w:pPr>
              <w:spacing w:line="360" w:lineRule="auto"/>
              <w:rPr>
                <w:rFonts w:ascii="Arial" w:hAnsi="Arial" w:cs="Arial"/>
              </w:rPr>
            </w:pPr>
            <w:r w:rsidRPr="002C127A">
              <w:rPr>
                <w:rFonts w:ascii="Arial" w:hAnsi="Arial" w:cs="Arial"/>
                <w:lang w:val="en-US"/>
              </w:rPr>
              <w:lastRenderedPageBreak/>
              <w:t>Expertise</w:t>
            </w:r>
            <w:r w:rsidRPr="002C127A">
              <w:rPr>
                <w:rFonts w:ascii="Arial" w:hAnsi="Arial" w:cs="Arial"/>
              </w:rPr>
              <w:t> </w:t>
            </w:r>
          </w:p>
        </w:tc>
        <w:tc>
          <w:tcPr>
            <w:tcW w:w="2254"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E071410" w14:textId="77777777" w:rsidR="00B23C66" w:rsidRPr="002C127A" w:rsidRDefault="00B23C66" w:rsidP="002C127A">
            <w:pPr>
              <w:spacing w:line="360" w:lineRule="auto"/>
              <w:rPr>
                <w:rFonts w:ascii="Arial" w:hAnsi="Arial" w:cs="Arial"/>
              </w:rPr>
            </w:pPr>
            <w:r w:rsidRPr="002C127A">
              <w:rPr>
                <w:rFonts w:ascii="Arial" w:hAnsi="Arial" w:cs="Arial"/>
                <w:lang w:val="en-US"/>
              </w:rPr>
              <w:t>Concentrates specialist judgement and accountability.</w:t>
            </w:r>
            <w:r w:rsidRPr="002C127A">
              <w:rPr>
                <w:rFonts w:ascii="Arial" w:hAnsi="Arial" w:cs="Arial"/>
              </w:rPr>
              <w:t> </w:t>
            </w:r>
          </w:p>
        </w:tc>
        <w:tc>
          <w:tcPr>
            <w:tcW w:w="2263"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09989F2" w14:textId="77777777" w:rsidR="00B23C66" w:rsidRPr="002C127A" w:rsidRDefault="00B23C66" w:rsidP="002C127A">
            <w:pPr>
              <w:spacing w:line="360" w:lineRule="auto"/>
              <w:rPr>
                <w:rFonts w:ascii="Arial" w:hAnsi="Arial" w:cs="Arial"/>
              </w:rPr>
            </w:pPr>
            <w:r w:rsidRPr="002C127A">
              <w:rPr>
                <w:rFonts w:ascii="Arial" w:hAnsi="Arial" w:cs="Arial"/>
                <w:lang w:val="en-US"/>
              </w:rPr>
              <w:t>Uses multidisciplinary and experiential knowledge close to the patient.</w:t>
            </w:r>
            <w:r w:rsidRPr="002C127A">
              <w:rPr>
                <w:rFonts w:ascii="Arial" w:hAnsi="Arial" w:cs="Arial"/>
              </w:rPr>
              <w:t> </w:t>
            </w:r>
          </w:p>
        </w:tc>
        <w:tc>
          <w:tcPr>
            <w:tcW w:w="2254"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D4DE47A" w14:textId="77777777" w:rsidR="00B23C66" w:rsidRPr="002C127A" w:rsidRDefault="00B23C66" w:rsidP="002C127A">
            <w:pPr>
              <w:spacing w:line="360" w:lineRule="auto"/>
              <w:rPr>
                <w:rFonts w:ascii="Arial" w:hAnsi="Arial" w:cs="Arial"/>
              </w:rPr>
            </w:pPr>
            <w:r w:rsidRPr="002C127A">
              <w:rPr>
                <w:rFonts w:ascii="Arial" w:hAnsi="Arial" w:cs="Arial"/>
                <w:lang w:val="en-US"/>
              </w:rPr>
              <w:t>Senior clinician remains accountable while the trigger is distributed.</w:t>
            </w:r>
            <w:r w:rsidRPr="002C127A">
              <w:rPr>
                <w:rFonts w:ascii="Arial" w:hAnsi="Arial" w:cs="Arial"/>
              </w:rPr>
              <w:t> </w:t>
            </w:r>
          </w:p>
        </w:tc>
      </w:tr>
      <w:tr w:rsidR="00B23C66" w:rsidRPr="002C127A" w14:paraId="09CD40A6" w14:textId="77777777" w:rsidTr="00546029">
        <w:trPr>
          <w:trHeight w:val="300"/>
        </w:trPr>
        <w:tc>
          <w:tcPr>
            <w:tcW w:w="2239"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3B696E5" w14:textId="77777777" w:rsidR="00B23C66" w:rsidRPr="002C127A" w:rsidRDefault="00B23C66" w:rsidP="002C127A">
            <w:pPr>
              <w:spacing w:line="360" w:lineRule="auto"/>
              <w:rPr>
                <w:rFonts w:ascii="Arial" w:hAnsi="Arial" w:cs="Arial"/>
              </w:rPr>
            </w:pPr>
            <w:r w:rsidRPr="002C127A">
              <w:rPr>
                <w:rFonts w:ascii="Arial" w:hAnsi="Arial" w:cs="Arial"/>
                <w:lang w:val="en-US"/>
              </w:rPr>
              <w:t>Consistency</w:t>
            </w:r>
            <w:r w:rsidRPr="002C127A">
              <w:rPr>
                <w:rFonts w:ascii="Arial" w:hAnsi="Arial" w:cs="Arial"/>
              </w:rPr>
              <w:t> </w:t>
            </w:r>
          </w:p>
        </w:tc>
        <w:tc>
          <w:tcPr>
            <w:tcW w:w="2254"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EC7A608" w14:textId="77777777" w:rsidR="00B23C66" w:rsidRPr="002C127A" w:rsidRDefault="00B23C66" w:rsidP="002C127A">
            <w:pPr>
              <w:spacing w:line="360" w:lineRule="auto"/>
              <w:rPr>
                <w:rFonts w:ascii="Arial" w:hAnsi="Arial" w:cs="Arial"/>
              </w:rPr>
            </w:pPr>
            <w:r w:rsidRPr="002C127A">
              <w:rPr>
                <w:rFonts w:ascii="Arial" w:hAnsi="Arial" w:cs="Arial"/>
                <w:lang w:val="en-US"/>
              </w:rPr>
              <w:t>Reduces variation through common protocols.</w:t>
            </w:r>
            <w:r w:rsidRPr="002C127A">
              <w:rPr>
                <w:rFonts w:ascii="Arial" w:hAnsi="Arial" w:cs="Arial"/>
              </w:rPr>
              <w:t> </w:t>
            </w:r>
          </w:p>
        </w:tc>
        <w:tc>
          <w:tcPr>
            <w:tcW w:w="2263"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C396EC0" w14:textId="77777777" w:rsidR="00B23C66" w:rsidRPr="002C127A" w:rsidRDefault="00B23C66" w:rsidP="002C127A">
            <w:pPr>
              <w:spacing w:line="360" w:lineRule="auto"/>
              <w:rPr>
                <w:rFonts w:ascii="Arial" w:hAnsi="Arial" w:cs="Arial"/>
              </w:rPr>
            </w:pPr>
            <w:r w:rsidRPr="002C127A">
              <w:rPr>
                <w:rFonts w:ascii="Arial" w:hAnsi="Arial" w:cs="Arial"/>
                <w:lang w:val="en-US"/>
              </w:rPr>
              <w:t>May generate local variation and role ambiguity.</w:t>
            </w:r>
            <w:r w:rsidRPr="002C127A">
              <w:rPr>
                <w:rFonts w:ascii="Arial" w:hAnsi="Arial" w:cs="Arial"/>
              </w:rPr>
              <w:t> </w:t>
            </w:r>
          </w:p>
        </w:tc>
        <w:tc>
          <w:tcPr>
            <w:tcW w:w="2254"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25AA088" w14:textId="77777777" w:rsidR="00B23C66" w:rsidRPr="002C127A" w:rsidRDefault="00B23C66" w:rsidP="002C127A">
            <w:pPr>
              <w:spacing w:line="360" w:lineRule="auto"/>
              <w:rPr>
                <w:rFonts w:ascii="Arial" w:hAnsi="Arial" w:cs="Arial"/>
              </w:rPr>
            </w:pPr>
            <w:r w:rsidRPr="002C127A">
              <w:rPr>
                <w:rFonts w:ascii="Arial" w:hAnsi="Arial" w:cs="Arial"/>
                <w:lang w:val="en-US"/>
              </w:rPr>
              <w:t>Common criteria, shared documentation and routine audit.</w:t>
            </w:r>
            <w:r w:rsidRPr="002C127A">
              <w:rPr>
                <w:rFonts w:ascii="Arial" w:hAnsi="Arial" w:cs="Arial"/>
              </w:rPr>
              <w:t> </w:t>
            </w:r>
          </w:p>
        </w:tc>
      </w:tr>
      <w:tr w:rsidR="00B23C66" w:rsidRPr="002C127A" w14:paraId="5D7EEA8A" w14:textId="77777777" w:rsidTr="00546029">
        <w:trPr>
          <w:trHeight w:val="300"/>
        </w:trPr>
        <w:tc>
          <w:tcPr>
            <w:tcW w:w="2239"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235DF79" w14:textId="77777777" w:rsidR="00B23C66" w:rsidRPr="002C127A" w:rsidRDefault="00B23C66" w:rsidP="002C127A">
            <w:pPr>
              <w:spacing w:line="360" w:lineRule="auto"/>
              <w:rPr>
                <w:rFonts w:ascii="Arial" w:hAnsi="Arial" w:cs="Arial"/>
              </w:rPr>
            </w:pPr>
            <w:r w:rsidRPr="002C127A">
              <w:rPr>
                <w:rFonts w:ascii="Arial" w:hAnsi="Arial" w:cs="Arial"/>
                <w:lang w:val="en-US"/>
              </w:rPr>
              <w:t>Culture</w:t>
            </w:r>
            <w:r w:rsidRPr="002C127A">
              <w:rPr>
                <w:rFonts w:ascii="Arial" w:hAnsi="Arial" w:cs="Arial"/>
              </w:rPr>
              <w:t> </w:t>
            </w:r>
          </w:p>
        </w:tc>
        <w:tc>
          <w:tcPr>
            <w:tcW w:w="2254"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7CADD28" w14:textId="77777777" w:rsidR="00B23C66" w:rsidRPr="002C127A" w:rsidRDefault="00B23C66" w:rsidP="002C127A">
            <w:pPr>
              <w:spacing w:line="360" w:lineRule="auto"/>
              <w:rPr>
                <w:rFonts w:ascii="Arial" w:hAnsi="Arial" w:cs="Arial"/>
              </w:rPr>
            </w:pPr>
            <w:r w:rsidRPr="002C127A">
              <w:rPr>
                <w:rFonts w:ascii="Arial" w:hAnsi="Arial" w:cs="Arial"/>
                <w:lang w:val="en-US"/>
              </w:rPr>
              <w:t>Can reinforce hierarchy and silence challenge.</w:t>
            </w:r>
            <w:r w:rsidRPr="002C127A">
              <w:rPr>
                <w:rFonts w:ascii="Arial" w:hAnsi="Arial" w:cs="Arial"/>
              </w:rPr>
              <w:t> </w:t>
            </w:r>
          </w:p>
        </w:tc>
        <w:tc>
          <w:tcPr>
            <w:tcW w:w="2263"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C9303DA" w14:textId="77777777" w:rsidR="00B23C66" w:rsidRPr="002C127A" w:rsidRDefault="00B23C66" w:rsidP="002C127A">
            <w:pPr>
              <w:spacing w:line="360" w:lineRule="auto"/>
              <w:rPr>
                <w:rFonts w:ascii="Arial" w:hAnsi="Arial" w:cs="Arial"/>
              </w:rPr>
            </w:pPr>
            <w:r w:rsidRPr="002C127A">
              <w:rPr>
                <w:rFonts w:ascii="Arial" w:hAnsi="Arial" w:cs="Arial"/>
                <w:lang w:val="en-US"/>
              </w:rPr>
              <w:t>Can strengthen voice, psychological safety and shared responsibility.</w:t>
            </w:r>
            <w:r w:rsidRPr="002C127A">
              <w:rPr>
                <w:rFonts w:ascii="Arial" w:hAnsi="Arial" w:cs="Arial"/>
              </w:rPr>
              <w:t> </w:t>
            </w:r>
          </w:p>
        </w:tc>
        <w:tc>
          <w:tcPr>
            <w:tcW w:w="2254"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F077E22" w14:textId="77777777" w:rsidR="00B23C66" w:rsidRPr="002C127A" w:rsidRDefault="00B23C66" w:rsidP="002C127A">
            <w:pPr>
              <w:spacing w:line="360" w:lineRule="auto"/>
              <w:rPr>
                <w:rFonts w:ascii="Arial" w:hAnsi="Arial" w:cs="Arial"/>
              </w:rPr>
            </w:pPr>
            <w:r w:rsidRPr="002C127A">
              <w:rPr>
                <w:rFonts w:ascii="Arial" w:hAnsi="Arial" w:cs="Arial"/>
                <w:lang w:val="en-US"/>
              </w:rPr>
              <w:t>Leaders explicitly protect appropriate challenge and review misuse fairly.</w:t>
            </w:r>
            <w:r w:rsidRPr="002C127A">
              <w:rPr>
                <w:rFonts w:ascii="Arial" w:hAnsi="Arial" w:cs="Arial"/>
              </w:rPr>
              <w:t> </w:t>
            </w:r>
          </w:p>
        </w:tc>
      </w:tr>
    </w:tbl>
    <w:p w14:paraId="0ACAE8BC" w14:textId="77777777" w:rsidR="005279D5" w:rsidRDefault="005279D5" w:rsidP="002C127A">
      <w:pPr>
        <w:spacing w:line="360" w:lineRule="auto"/>
        <w:rPr>
          <w:rFonts w:ascii="Arial" w:hAnsi="Arial" w:cs="Arial"/>
          <w:lang w:val="en-US"/>
        </w:rPr>
      </w:pPr>
    </w:p>
    <w:p w14:paraId="68F8AAA3" w14:textId="5D10D31F" w:rsidR="00B23C66" w:rsidRDefault="00B23C66" w:rsidP="002C127A">
      <w:pPr>
        <w:spacing w:line="360" w:lineRule="auto"/>
        <w:rPr>
          <w:rFonts w:ascii="Arial" w:hAnsi="Arial" w:cs="Arial"/>
        </w:rPr>
      </w:pPr>
      <w:r w:rsidRPr="002C127A">
        <w:rPr>
          <w:rFonts w:ascii="Arial" w:hAnsi="Arial" w:cs="Arial"/>
          <w:lang w:val="en-US"/>
        </w:rPr>
        <w:t xml:space="preserve">A hybrid structure is therefore the most defensible design. Central leaders should define </w:t>
      </w:r>
      <w:r w:rsidR="005279D5" w:rsidRPr="002C127A">
        <w:rPr>
          <w:rFonts w:ascii="Arial" w:hAnsi="Arial" w:cs="Arial"/>
          <w:lang w:val="en-US"/>
        </w:rPr>
        <w:t>safety</w:t>
      </w:r>
      <w:r w:rsidRPr="002C127A">
        <w:rPr>
          <w:rFonts w:ascii="Arial" w:hAnsi="Arial" w:cs="Arial"/>
          <w:lang w:val="en-US"/>
        </w:rPr>
        <w:t xml:space="preserve"> architecture, guarantee resources, monitor performance and retain accountability. Decentralised clinical </w:t>
      </w:r>
      <w:r w:rsidR="005279D5" w:rsidRPr="002C127A">
        <w:rPr>
          <w:rFonts w:ascii="Arial" w:hAnsi="Arial" w:cs="Arial"/>
          <w:lang w:val="en-US"/>
        </w:rPr>
        <w:t>authorities</w:t>
      </w:r>
      <w:r w:rsidRPr="002C127A">
        <w:rPr>
          <w:rFonts w:ascii="Arial" w:hAnsi="Arial" w:cs="Arial"/>
          <w:lang w:val="en-US"/>
        </w:rPr>
        <w:t xml:space="preserve"> should allow bedside staff, pharmacists and families to activate an independent review when deterioration or unresolved concern occurs. The Lewis Blackman Act reflects this balance: the state centralised minimum patient rights while requiring hospitals to provide a local, continuously available assistance mechanism (South Carolina General Assembly, 2005). The key principle is </w:t>
      </w:r>
      <w:r w:rsidR="004724DF">
        <w:rPr>
          <w:rFonts w:ascii="Arial" w:hAnsi="Arial" w:cs="Arial"/>
          <w:lang w:val="en-US"/>
        </w:rPr>
        <w:t xml:space="preserve">to </w:t>
      </w:r>
      <w:r w:rsidRPr="002C127A">
        <w:rPr>
          <w:rFonts w:ascii="Arial" w:hAnsi="Arial" w:cs="Arial"/>
          <w:lang w:val="en-US"/>
        </w:rPr>
        <w:t xml:space="preserve">centralise standards and </w:t>
      </w:r>
      <w:r w:rsidR="005279D5" w:rsidRPr="002C127A">
        <w:rPr>
          <w:rFonts w:ascii="Arial" w:hAnsi="Arial" w:cs="Arial"/>
          <w:lang w:val="en-US"/>
        </w:rPr>
        <w:t>accountability but</w:t>
      </w:r>
      <w:r w:rsidRPr="002C127A">
        <w:rPr>
          <w:rFonts w:ascii="Arial" w:hAnsi="Arial" w:cs="Arial"/>
          <w:lang w:val="en-US"/>
        </w:rPr>
        <w:t xml:space="preserve"> decentralise the authority to raise risk and initiate timely action.</w:t>
      </w:r>
      <w:r w:rsidRPr="002C127A">
        <w:rPr>
          <w:rFonts w:ascii="Arial" w:hAnsi="Arial" w:cs="Arial"/>
        </w:rPr>
        <w:t> </w:t>
      </w:r>
    </w:p>
    <w:p w14:paraId="26B72EBF" w14:textId="3A51A847" w:rsidR="00B23C66" w:rsidRPr="002C127A" w:rsidRDefault="00B23C66" w:rsidP="005279D5">
      <w:pPr>
        <w:pStyle w:val="Heading1"/>
        <w:spacing w:after="240"/>
      </w:pPr>
      <w:bookmarkStart w:id="9" w:name="_Toc236148043"/>
      <w:r w:rsidRPr="002C127A">
        <w:rPr>
          <w:lang w:val="en-US"/>
        </w:rPr>
        <w:t>Leadership Theories and Quantitative Evidence</w:t>
      </w:r>
      <w:bookmarkEnd w:id="9"/>
      <w:r w:rsidRPr="002C127A">
        <w:t> </w:t>
      </w:r>
    </w:p>
    <w:p w14:paraId="6FB983FB" w14:textId="77777777" w:rsidR="005279D5" w:rsidRDefault="00B23C66" w:rsidP="002C127A">
      <w:pPr>
        <w:spacing w:line="360" w:lineRule="auto"/>
        <w:rPr>
          <w:rFonts w:ascii="Arial" w:hAnsi="Arial" w:cs="Arial"/>
          <w:lang w:val="en-US"/>
        </w:rPr>
      </w:pPr>
      <w:r w:rsidRPr="002C127A">
        <w:rPr>
          <w:rFonts w:ascii="Arial" w:hAnsi="Arial" w:cs="Arial"/>
          <w:lang w:val="en-US"/>
        </w:rPr>
        <w:t xml:space="preserve">Leadership evidence in healthcare is heterogeneous and often observational, so claims of causation require caution. Nevertheless, the available data </w:t>
      </w:r>
      <w:r w:rsidR="005279D5" w:rsidRPr="002C127A">
        <w:rPr>
          <w:rFonts w:ascii="Arial" w:hAnsi="Arial" w:cs="Arial"/>
          <w:lang w:val="en-US"/>
        </w:rPr>
        <w:t>shows</w:t>
      </w:r>
      <w:r w:rsidRPr="002C127A">
        <w:rPr>
          <w:rFonts w:ascii="Arial" w:hAnsi="Arial" w:cs="Arial"/>
          <w:lang w:val="en-US"/>
        </w:rPr>
        <w:t xml:space="preserve"> consistent relationships between relational leadership, staff outcomes, safety culture and patient outcomes. Cummings et al. (2018) screened 50,941 titles and abstracts and included 129 quantitative studies, concluding that relational styles were associated with better nursing workforce and organisational outcomes. Wong, Cummings and Ducharme (2013) similarly identified a trend towards improved patient satisfaction and lower adverse events where nursing leadership was relational and supportive. These findings support an integrated approach rather than reliance on one style.</w:t>
      </w:r>
    </w:p>
    <w:p w14:paraId="11060DDF" w14:textId="6744B70E" w:rsidR="00B23C66" w:rsidRDefault="00B23C66" w:rsidP="00546029">
      <w:pPr>
        <w:pStyle w:val="Heading2"/>
      </w:pPr>
      <w:bookmarkStart w:id="10" w:name="_Toc236148044"/>
      <w:r w:rsidRPr="002C127A">
        <w:rPr>
          <w:lang w:val="en-US"/>
        </w:rPr>
        <w:t>Transformational leadership</w:t>
      </w:r>
      <w:bookmarkEnd w:id="10"/>
      <w:r w:rsidRPr="002C127A">
        <w:t> </w:t>
      </w:r>
    </w:p>
    <w:p w14:paraId="297FFB6A" w14:textId="77777777" w:rsidR="004A3A67" w:rsidRPr="004A3A67" w:rsidRDefault="004A3A67" w:rsidP="004A3A67"/>
    <w:p w14:paraId="304EEEDE" w14:textId="77777777" w:rsidR="00B23C66" w:rsidRDefault="00B23C66" w:rsidP="002C127A">
      <w:pPr>
        <w:spacing w:line="360" w:lineRule="auto"/>
        <w:rPr>
          <w:rFonts w:ascii="Arial" w:hAnsi="Arial" w:cs="Arial"/>
        </w:rPr>
      </w:pPr>
      <w:r w:rsidRPr="002C127A">
        <w:rPr>
          <w:rFonts w:ascii="Arial" w:hAnsi="Arial" w:cs="Arial"/>
          <w:lang w:val="en-US"/>
        </w:rPr>
        <w:t xml:space="preserve">Transformational leadership develops a shared vision, motivates staff and encourages challenge and learning (Bass and Riggio, 2006). It was weak in Lewis's care because the team did not collectively reframe the problem when evidence contradicted constipation, and staff did not appear psychologically safe or empowered to secure a different response. </w:t>
      </w:r>
      <w:r w:rsidRPr="002C127A">
        <w:rPr>
          <w:rFonts w:ascii="Arial" w:hAnsi="Arial" w:cs="Arial"/>
          <w:lang w:val="en-US"/>
        </w:rPr>
        <w:lastRenderedPageBreak/>
        <w:t>Quantitative evidence supports the relevance of this style. In a survey of 378 acute-care nurses, Boamah et al. (2018) found that transformational leadership had a strong positive influence on structural empowerment, which increased job satisfaction and reduced reported adverse patient outcomes. The cross-sectional design and nurse-reported outcomes limit causal inference, but the proposed mechanism is directly relevant: leaders influence safety partly by creating access to information, support, resources and authority.</w:t>
      </w:r>
      <w:r w:rsidRPr="002C127A">
        <w:rPr>
          <w:rFonts w:ascii="Arial" w:hAnsi="Arial" w:cs="Arial"/>
        </w:rPr>
        <w:t> </w:t>
      </w:r>
    </w:p>
    <w:p w14:paraId="5F2E7FBB" w14:textId="522F7D22" w:rsidR="00B23C66" w:rsidRDefault="00B23C66" w:rsidP="00273C16">
      <w:pPr>
        <w:pStyle w:val="Heading2"/>
      </w:pPr>
      <w:bookmarkStart w:id="11" w:name="_Toc236148045"/>
      <w:r w:rsidRPr="002C127A">
        <w:rPr>
          <w:lang w:val="en-US"/>
        </w:rPr>
        <w:t>Transactional leadership</w:t>
      </w:r>
      <w:bookmarkEnd w:id="11"/>
      <w:r w:rsidRPr="002C127A">
        <w:t> </w:t>
      </w:r>
    </w:p>
    <w:p w14:paraId="23186C79" w14:textId="77777777" w:rsidR="00273C16" w:rsidRPr="00273C16" w:rsidRDefault="00273C16" w:rsidP="00273C16"/>
    <w:p w14:paraId="15E714E8" w14:textId="1FFB122A" w:rsidR="00B23C66" w:rsidRPr="002C127A" w:rsidRDefault="00B23C66" w:rsidP="002C127A">
      <w:pPr>
        <w:spacing w:line="360" w:lineRule="auto"/>
        <w:rPr>
          <w:rFonts w:ascii="Arial" w:hAnsi="Arial" w:cs="Arial"/>
        </w:rPr>
      </w:pPr>
      <w:r w:rsidRPr="002C127A">
        <w:rPr>
          <w:rFonts w:ascii="Arial" w:hAnsi="Arial" w:cs="Arial"/>
          <w:lang w:val="en-US"/>
        </w:rPr>
        <w:t xml:space="preserve">Transactional leadership establishes expectations, monitors compliance and applies corrective action (Northouse, 2022). It is essential for high-risk routines such as observation completion, medication checks, alarm management and escalation timeframes. In </w:t>
      </w:r>
      <w:r w:rsidR="00C0734F" w:rsidRPr="002C127A">
        <w:rPr>
          <w:rFonts w:ascii="Arial" w:hAnsi="Arial" w:cs="Arial"/>
          <w:lang w:val="en-US"/>
        </w:rPr>
        <w:t>this</w:t>
      </w:r>
      <w:r w:rsidRPr="002C127A">
        <w:rPr>
          <w:rFonts w:ascii="Arial" w:hAnsi="Arial" w:cs="Arial"/>
          <w:lang w:val="en-US"/>
        </w:rPr>
        <w:t xml:space="preserve"> case, hierarchy existed</w:t>
      </w:r>
      <w:r w:rsidR="002D75E6">
        <w:rPr>
          <w:rFonts w:ascii="Arial" w:hAnsi="Arial" w:cs="Arial"/>
          <w:lang w:val="en-US"/>
        </w:rPr>
        <w:t>,</w:t>
      </w:r>
      <w:r w:rsidRPr="002C127A">
        <w:rPr>
          <w:rFonts w:ascii="Arial" w:hAnsi="Arial" w:cs="Arial"/>
          <w:lang w:val="en-US"/>
        </w:rPr>
        <w:t xml:space="preserve"> but transactional controls failed: the monitoring threshold was reduced, no reliable senior-review trigger was enforced</w:t>
      </w:r>
      <w:r w:rsidR="002D75E6">
        <w:rPr>
          <w:rFonts w:ascii="Arial" w:hAnsi="Arial" w:cs="Arial"/>
          <w:lang w:val="en-US"/>
        </w:rPr>
        <w:t>,</w:t>
      </w:r>
      <w:r w:rsidRPr="002C127A">
        <w:rPr>
          <w:rFonts w:ascii="Arial" w:hAnsi="Arial" w:cs="Arial"/>
          <w:lang w:val="en-US"/>
        </w:rPr>
        <w:t xml:space="preserve"> and accountability was unclear (Blackman, 2008). A stronger transactional system would use auditable standards, named owners and exception reports. Its limitation is that compliance cannot replace clinical reasoning. Staff who follow an inadequate routine may still </w:t>
      </w:r>
      <w:r w:rsidR="002D75E6">
        <w:rPr>
          <w:rFonts w:ascii="Arial" w:hAnsi="Arial" w:cs="Arial"/>
          <w:lang w:val="en-US"/>
        </w:rPr>
        <w:t>miss</w:t>
      </w:r>
      <w:r w:rsidRPr="002C127A">
        <w:rPr>
          <w:rFonts w:ascii="Arial" w:hAnsi="Arial" w:cs="Arial"/>
          <w:lang w:val="en-US"/>
        </w:rPr>
        <w:t xml:space="preserve"> </w:t>
      </w:r>
      <w:r w:rsidR="00CD61B2">
        <w:rPr>
          <w:rFonts w:ascii="Arial" w:hAnsi="Arial" w:cs="Arial"/>
          <w:lang w:val="en-US"/>
        </w:rPr>
        <w:t xml:space="preserve">signs of deterioration, and the </w:t>
      </w:r>
      <w:r w:rsidRPr="002C127A">
        <w:rPr>
          <w:rFonts w:ascii="Arial" w:hAnsi="Arial" w:cs="Arial"/>
          <w:lang w:val="en-US"/>
        </w:rPr>
        <w:t xml:space="preserve">punitive use of performance data can suppress reporting. Transactional controls should therefore operate within a just culture that distinguishes human error, at-risk </w:t>
      </w:r>
      <w:r w:rsidR="002D75E6">
        <w:rPr>
          <w:rFonts w:ascii="Arial" w:hAnsi="Arial" w:cs="Arial"/>
          <w:lang w:val="en-US"/>
        </w:rPr>
        <w:t>behaviour</w:t>
      </w:r>
      <w:r w:rsidRPr="002C127A">
        <w:rPr>
          <w:rFonts w:ascii="Arial" w:hAnsi="Arial" w:cs="Arial"/>
          <w:lang w:val="en-US"/>
        </w:rPr>
        <w:t xml:space="preserve"> and reckless disregard (NHS Improvement, 2018).</w:t>
      </w:r>
      <w:r w:rsidRPr="002C127A">
        <w:rPr>
          <w:rFonts w:ascii="Arial" w:hAnsi="Arial" w:cs="Arial"/>
        </w:rPr>
        <w:t> </w:t>
      </w:r>
    </w:p>
    <w:p w14:paraId="5D19D84E" w14:textId="0BF71CDD" w:rsidR="00B23C66" w:rsidRDefault="00B23C66" w:rsidP="00273C16">
      <w:pPr>
        <w:pStyle w:val="Heading2"/>
      </w:pPr>
      <w:bookmarkStart w:id="12" w:name="_Toc236148046"/>
      <w:r w:rsidRPr="002C127A">
        <w:rPr>
          <w:lang w:val="en-US"/>
        </w:rPr>
        <w:t>Situational leadership</w:t>
      </w:r>
      <w:bookmarkEnd w:id="12"/>
      <w:r w:rsidRPr="002C127A">
        <w:t> </w:t>
      </w:r>
    </w:p>
    <w:p w14:paraId="50A2ADEC" w14:textId="77777777" w:rsidR="00546029" w:rsidRPr="00546029" w:rsidRDefault="00546029" w:rsidP="00546029"/>
    <w:p w14:paraId="438C01E0" w14:textId="77777777" w:rsidR="00B23C66" w:rsidRPr="002C127A" w:rsidRDefault="00B23C66" w:rsidP="002C127A">
      <w:pPr>
        <w:spacing w:line="360" w:lineRule="auto"/>
        <w:rPr>
          <w:rFonts w:ascii="Arial" w:hAnsi="Arial" w:cs="Arial"/>
        </w:rPr>
      </w:pPr>
      <w:r w:rsidRPr="002C127A">
        <w:rPr>
          <w:rFonts w:ascii="Arial" w:hAnsi="Arial" w:cs="Arial"/>
          <w:lang w:val="en-US"/>
        </w:rPr>
        <w:t>Situational leadership requires leaders to vary direction and support according to staff capability and clinical risk (Hersey, Blanchard and Johnson, 2013). Junior clinicians may manage stable postoperative care with indirect supervision, but a patient with persistent tachycardia, falling oxygen saturation and reduced urine output requires direct senior involvement. The leadership failure was therefore a mismatch between autonomy and complexity. The rapid-response evidence offers quantitative support for adaptive escalation: in the Maharaj et al. (2015) meta-analysis, systems designed to bring additional expertise to deteriorating patients were associated with a 13% relative reduction in adult hospital mortality and a 35% relative reduction in adult cardiopulmonary arrest. These outcomes cannot be attributed solely to situational leadership, but they show the value of changing the level and composition of support when clinical risk increases.</w:t>
      </w:r>
      <w:r w:rsidRPr="002C127A">
        <w:rPr>
          <w:rFonts w:ascii="Arial" w:hAnsi="Arial" w:cs="Arial"/>
        </w:rPr>
        <w:t> </w:t>
      </w:r>
    </w:p>
    <w:p w14:paraId="6D30CA89" w14:textId="221B13DE" w:rsidR="00B23C66" w:rsidRDefault="00B23C66" w:rsidP="00273C16">
      <w:pPr>
        <w:pStyle w:val="Heading2"/>
      </w:pPr>
      <w:bookmarkStart w:id="13" w:name="_Toc236148047"/>
      <w:r w:rsidRPr="002C127A">
        <w:rPr>
          <w:lang w:val="en-US"/>
        </w:rPr>
        <w:t>Distributed and servant leadership</w:t>
      </w:r>
      <w:bookmarkEnd w:id="13"/>
      <w:r w:rsidRPr="002C127A">
        <w:t> </w:t>
      </w:r>
    </w:p>
    <w:p w14:paraId="6AD03DAA" w14:textId="77777777" w:rsidR="00273C16" w:rsidRPr="00273C16" w:rsidRDefault="00273C16" w:rsidP="00273C16"/>
    <w:p w14:paraId="03D6D3A6" w14:textId="40FFC7BA" w:rsidR="00B23C66" w:rsidRDefault="00B23C66" w:rsidP="002C127A">
      <w:pPr>
        <w:spacing w:line="360" w:lineRule="auto"/>
        <w:rPr>
          <w:rFonts w:ascii="Arial" w:hAnsi="Arial" w:cs="Arial"/>
        </w:rPr>
      </w:pPr>
      <w:r w:rsidRPr="002C127A">
        <w:rPr>
          <w:rFonts w:ascii="Arial" w:hAnsi="Arial" w:cs="Arial"/>
          <w:lang w:val="en-US"/>
        </w:rPr>
        <w:t xml:space="preserve">Distributed leadership shares responsibility across professional and organisational boundaries (West et al., 2015). Nurses, pharmacists, junior doctors and families may each possess essential information; a safe system combines these perspectives rather than treating them as subordinate to one professional group. The Lewis case demonstrates the </w:t>
      </w:r>
      <w:r w:rsidRPr="002C127A">
        <w:rPr>
          <w:rFonts w:ascii="Arial" w:hAnsi="Arial" w:cs="Arial"/>
          <w:lang w:val="en-US"/>
        </w:rPr>
        <w:lastRenderedPageBreak/>
        <w:t xml:space="preserve">cost of not distributing voice: observations and parental knowledge did not alter the plan. </w:t>
      </w:r>
      <w:r w:rsidR="00546029" w:rsidRPr="002C127A">
        <w:rPr>
          <w:rFonts w:ascii="Arial" w:hAnsi="Arial" w:cs="Arial"/>
          <w:lang w:val="en-US"/>
        </w:rPr>
        <w:t>Rapid response</w:t>
      </w:r>
      <w:r w:rsidRPr="002C127A">
        <w:rPr>
          <w:rFonts w:ascii="Arial" w:hAnsi="Arial" w:cs="Arial"/>
          <w:lang w:val="en-US"/>
        </w:rPr>
        <w:t xml:space="preserve"> systems operationalise distributed leadership because activation can be separated from final clinical authority. However, distributed leadership requires explicit ownership after activation so that responsibility is not dispersed.</w:t>
      </w:r>
      <w:r w:rsidRPr="002C127A">
        <w:rPr>
          <w:rFonts w:ascii="Arial" w:hAnsi="Arial" w:cs="Arial"/>
        </w:rPr>
        <w:t> </w:t>
      </w:r>
    </w:p>
    <w:p w14:paraId="2C6DE43C" w14:textId="77777777" w:rsidR="00B1355B" w:rsidRPr="002C127A" w:rsidRDefault="00B1355B" w:rsidP="002C127A">
      <w:pPr>
        <w:spacing w:line="360" w:lineRule="auto"/>
        <w:rPr>
          <w:rFonts w:ascii="Arial" w:hAnsi="Arial" w:cs="Arial"/>
        </w:rPr>
      </w:pPr>
    </w:p>
    <w:p w14:paraId="40CE9A18" w14:textId="2F9DF43A" w:rsidR="00016B06" w:rsidRDefault="00B23C66" w:rsidP="002C127A">
      <w:pPr>
        <w:spacing w:line="360" w:lineRule="auto"/>
        <w:rPr>
          <w:rFonts w:ascii="Arial" w:hAnsi="Arial" w:cs="Arial"/>
          <w:lang w:val="en-US"/>
        </w:rPr>
      </w:pPr>
      <w:r w:rsidRPr="002C127A">
        <w:rPr>
          <w:rFonts w:ascii="Arial" w:hAnsi="Arial" w:cs="Arial"/>
          <w:lang w:val="en-US"/>
        </w:rPr>
        <w:t>Servant leadership emphasises listening, empathy, stewardship and the needs of patients, families and staff (Greenleaf, 1977). It is particularly relevant because Lewis's parents were not treated as partners in safety. Patient and family engagement can occur at the direct-care, organisational and policy levels, with influence ranging from consultation to partnership and shared leadership (Carman et al., 2013). The South Carolina Act converted part of this ethical principle into an enforceable right to request contact and access prompt assistance. Servant leadership alone is insufficient if it remains an interpersonal aspiration; it must be translated into formal escalation rights, feedback systems and governance representation.</w:t>
      </w:r>
    </w:p>
    <w:p w14:paraId="63822DBE" w14:textId="2F894952" w:rsidR="00B23C66" w:rsidRPr="002C127A" w:rsidRDefault="00B23C66" w:rsidP="002C127A">
      <w:pPr>
        <w:spacing w:line="360" w:lineRule="auto"/>
        <w:rPr>
          <w:rFonts w:ascii="Arial" w:hAnsi="Arial" w:cs="Arial"/>
        </w:rPr>
      </w:pPr>
      <w:r w:rsidRPr="002C127A">
        <w:rPr>
          <w:rFonts w:ascii="Arial" w:hAnsi="Arial" w:cs="Arial"/>
        </w:rPr>
        <w:t> </w:t>
      </w:r>
    </w:p>
    <w:p w14:paraId="1421B2D5" w14:textId="77777777" w:rsidR="00B23C66" w:rsidRDefault="00B23C66" w:rsidP="002C127A">
      <w:pPr>
        <w:spacing w:line="360" w:lineRule="auto"/>
        <w:rPr>
          <w:rFonts w:ascii="Arial" w:hAnsi="Arial" w:cs="Arial"/>
        </w:rPr>
      </w:pPr>
      <w:r w:rsidRPr="002C127A">
        <w:rPr>
          <w:rFonts w:ascii="Arial" w:hAnsi="Arial" w:cs="Arial"/>
          <w:b/>
          <w:bCs/>
          <w:lang w:val="en-US"/>
        </w:rPr>
        <w:t>Table 4. Quantitative evidence and implications for leadership effectiveness</w:t>
      </w:r>
      <w:r w:rsidRPr="002C127A">
        <w:rPr>
          <w:rFonts w:ascii="Arial" w:hAnsi="Arial" w:cs="Arial"/>
        </w:rPr>
        <w:t> </w:t>
      </w:r>
    </w:p>
    <w:p w14:paraId="3681E05E" w14:textId="77777777" w:rsidR="00016B06" w:rsidRPr="002C127A" w:rsidRDefault="00016B06" w:rsidP="002C127A">
      <w:pPr>
        <w:spacing w:line="360" w:lineRule="auto"/>
        <w:rPr>
          <w:rFonts w:ascii="Arial" w:hAnsi="Arial" w:cs="Arial"/>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66"/>
        <w:gridCol w:w="2112"/>
        <w:gridCol w:w="2188"/>
        <w:gridCol w:w="2644"/>
      </w:tblGrid>
      <w:tr w:rsidR="00B23C66" w:rsidRPr="002C127A" w14:paraId="51A77EAF" w14:textId="77777777">
        <w:trPr>
          <w:trHeight w:val="300"/>
        </w:trPr>
        <w:tc>
          <w:tcPr>
            <w:tcW w:w="2325"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6BD662ED" w14:textId="77777777" w:rsidR="00B23C66" w:rsidRPr="002C127A" w:rsidRDefault="00B23C66" w:rsidP="002C127A">
            <w:pPr>
              <w:spacing w:line="360" w:lineRule="auto"/>
              <w:rPr>
                <w:rFonts w:ascii="Arial" w:hAnsi="Arial" w:cs="Arial"/>
              </w:rPr>
            </w:pPr>
            <w:r w:rsidRPr="002C127A">
              <w:rPr>
                <w:rFonts w:ascii="Arial" w:hAnsi="Arial" w:cs="Arial"/>
                <w:b/>
                <w:bCs/>
                <w:lang w:val="en-US"/>
              </w:rPr>
              <w:t>Evidence</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1A9E1E3A" w14:textId="77777777" w:rsidR="00B23C66" w:rsidRPr="002C127A" w:rsidRDefault="00B23C66" w:rsidP="002C127A">
            <w:pPr>
              <w:spacing w:line="360" w:lineRule="auto"/>
              <w:rPr>
                <w:rFonts w:ascii="Arial" w:hAnsi="Arial" w:cs="Arial"/>
              </w:rPr>
            </w:pPr>
            <w:r w:rsidRPr="002C127A">
              <w:rPr>
                <w:rFonts w:ascii="Arial" w:hAnsi="Arial" w:cs="Arial"/>
                <w:b/>
                <w:bCs/>
                <w:lang w:val="en-US"/>
              </w:rPr>
              <w:t>Quantitative finding</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3EFA61ED" w14:textId="77777777" w:rsidR="00B23C66" w:rsidRPr="002C127A" w:rsidRDefault="00B23C66" w:rsidP="002C127A">
            <w:pPr>
              <w:spacing w:line="360" w:lineRule="auto"/>
              <w:rPr>
                <w:rFonts w:ascii="Arial" w:hAnsi="Arial" w:cs="Arial"/>
              </w:rPr>
            </w:pPr>
            <w:r w:rsidRPr="002C127A">
              <w:rPr>
                <w:rFonts w:ascii="Arial" w:hAnsi="Arial" w:cs="Arial"/>
                <w:b/>
                <w:bCs/>
                <w:lang w:val="en-US"/>
              </w:rPr>
              <w:t>Leadership implication</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268B862F" w14:textId="5FAFC7A4" w:rsidR="00B23C66" w:rsidRPr="002C127A" w:rsidRDefault="004724DF" w:rsidP="002C127A">
            <w:pPr>
              <w:spacing w:line="360" w:lineRule="auto"/>
              <w:rPr>
                <w:rFonts w:ascii="Arial" w:hAnsi="Arial" w:cs="Arial"/>
              </w:rPr>
            </w:pPr>
            <w:r>
              <w:rPr>
                <w:rFonts w:ascii="Arial" w:hAnsi="Arial" w:cs="Arial"/>
                <w:b/>
                <w:bCs/>
                <w:lang w:val="en-US"/>
              </w:rPr>
              <w:t>Limitation/transferability</w:t>
            </w:r>
            <w:r w:rsidR="00B23C66" w:rsidRPr="002C127A">
              <w:rPr>
                <w:rFonts w:ascii="Arial" w:hAnsi="Arial" w:cs="Arial"/>
              </w:rPr>
              <w:t> </w:t>
            </w:r>
          </w:p>
        </w:tc>
      </w:tr>
      <w:tr w:rsidR="00B23C66" w:rsidRPr="002C127A" w14:paraId="6E943EF9" w14:textId="77777777">
        <w:trPr>
          <w:trHeight w:val="300"/>
        </w:trPr>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1B3CF9A" w14:textId="77777777" w:rsidR="00B23C66" w:rsidRPr="002C127A" w:rsidRDefault="00B23C66" w:rsidP="002C127A">
            <w:pPr>
              <w:spacing w:line="360" w:lineRule="auto"/>
              <w:rPr>
                <w:rFonts w:ascii="Arial" w:hAnsi="Arial" w:cs="Arial"/>
              </w:rPr>
            </w:pPr>
            <w:r w:rsidRPr="002C127A">
              <w:rPr>
                <w:rFonts w:ascii="Arial" w:hAnsi="Arial" w:cs="Arial"/>
                <w:lang w:val="en-US"/>
              </w:rPr>
              <w:t>Cummings et al. (2018)</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A2FFA20" w14:textId="77777777" w:rsidR="00B23C66" w:rsidRPr="002C127A" w:rsidRDefault="00B23C66" w:rsidP="002C127A">
            <w:pPr>
              <w:spacing w:line="360" w:lineRule="auto"/>
              <w:rPr>
                <w:rFonts w:ascii="Arial" w:hAnsi="Arial" w:cs="Arial"/>
              </w:rPr>
            </w:pPr>
            <w:r w:rsidRPr="002C127A">
              <w:rPr>
                <w:rFonts w:ascii="Arial" w:hAnsi="Arial" w:cs="Arial"/>
                <w:lang w:val="en-US"/>
              </w:rPr>
              <w:t>129 studies included after 50,941 records were screened.</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6D9B536C" w14:textId="77777777" w:rsidR="00B23C66" w:rsidRPr="002C127A" w:rsidRDefault="00B23C66" w:rsidP="002C127A">
            <w:pPr>
              <w:spacing w:line="360" w:lineRule="auto"/>
              <w:rPr>
                <w:rFonts w:ascii="Arial" w:hAnsi="Arial" w:cs="Arial"/>
              </w:rPr>
            </w:pPr>
            <w:r w:rsidRPr="002C127A">
              <w:rPr>
                <w:rFonts w:ascii="Arial" w:hAnsi="Arial" w:cs="Arial"/>
                <w:lang w:val="en-US"/>
              </w:rPr>
              <w:t>Relational leadership is consistently associated with better workforce and organisational outcomes.</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ADC401B" w14:textId="6D1ECBDF" w:rsidR="00B23C66" w:rsidRPr="002C127A" w:rsidRDefault="00B23C66" w:rsidP="002C127A">
            <w:pPr>
              <w:spacing w:line="360" w:lineRule="auto"/>
              <w:rPr>
                <w:rFonts w:ascii="Arial" w:hAnsi="Arial" w:cs="Arial"/>
              </w:rPr>
            </w:pPr>
            <w:r w:rsidRPr="002C127A">
              <w:rPr>
                <w:rFonts w:ascii="Arial" w:hAnsi="Arial" w:cs="Arial"/>
                <w:lang w:val="en-US"/>
              </w:rPr>
              <w:t>Heterogeneous designs; much evidence is observational</w:t>
            </w:r>
            <w:r w:rsidR="001D2D1B">
              <w:rPr>
                <w:rFonts w:ascii="Arial" w:hAnsi="Arial" w:cs="Arial"/>
                <w:lang w:val="en-US"/>
              </w:rPr>
              <w:t>,</w:t>
            </w:r>
            <w:r w:rsidRPr="002C127A">
              <w:rPr>
                <w:rFonts w:ascii="Arial" w:hAnsi="Arial" w:cs="Arial"/>
                <w:lang w:val="en-US"/>
              </w:rPr>
              <w:t xml:space="preserve"> and </w:t>
            </w:r>
            <w:r w:rsidR="004D18E2" w:rsidRPr="002C127A">
              <w:rPr>
                <w:rFonts w:ascii="Arial" w:hAnsi="Arial" w:cs="Arial"/>
                <w:lang w:val="en-US"/>
              </w:rPr>
              <w:t>nursing focused</w:t>
            </w:r>
            <w:r w:rsidRPr="002C127A">
              <w:rPr>
                <w:rFonts w:ascii="Arial" w:hAnsi="Arial" w:cs="Arial"/>
                <w:lang w:val="en-US"/>
              </w:rPr>
              <w:t>.</w:t>
            </w:r>
            <w:r w:rsidRPr="002C127A">
              <w:rPr>
                <w:rFonts w:ascii="Arial" w:hAnsi="Arial" w:cs="Arial"/>
              </w:rPr>
              <w:t> </w:t>
            </w:r>
          </w:p>
        </w:tc>
      </w:tr>
      <w:tr w:rsidR="00B23C66" w:rsidRPr="002C127A" w14:paraId="65EE35A2" w14:textId="77777777">
        <w:trPr>
          <w:trHeight w:val="300"/>
        </w:trPr>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840B757" w14:textId="77777777" w:rsidR="00B23C66" w:rsidRPr="002C127A" w:rsidRDefault="00B23C66" w:rsidP="002C127A">
            <w:pPr>
              <w:spacing w:line="360" w:lineRule="auto"/>
              <w:rPr>
                <w:rFonts w:ascii="Arial" w:hAnsi="Arial" w:cs="Arial"/>
              </w:rPr>
            </w:pPr>
            <w:r w:rsidRPr="002C127A">
              <w:rPr>
                <w:rFonts w:ascii="Arial" w:hAnsi="Arial" w:cs="Arial"/>
                <w:lang w:val="en-US"/>
              </w:rPr>
              <w:t>Boamah et al. (2018)</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5C65932" w14:textId="77777777" w:rsidR="00B23C66" w:rsidRPr="002C127A" w:rsidRDefault="00B23C66" w:rsidP="002C127A">
            <w:pPr>
              <w:spacing w:line="360" w:lineRule="auto"/>
              <w:rPr>
                <w:rFonts w:ascii="Arial" w:hAnsi="Arial" w:cs="Arial"/>
              </w:rPr>
            </w:pPr>
            <w:r w:rsidRPr="002C127A">
              <w:rPr>
                <w:rFonts w:ascii="Arial" w:hAnsi="Arial" w:cs="Arial"/>
                <w:lang w:val="en-US"/>
              </w:rPr>
              <w:t>Random sample of 378 acute-care nurses.</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558D623" w14:textId="77777777" w:rsidR="00B23C66" w:rsidRPr="002C127A" w:rsidRDefault="00B23C66" w:rsidP="002C127A">
            <w:pPr>
              <w:spacing w:line="360" w:lineRule="auto"/>
              <w:rPr>
                <w:rFonts w:ascii="Arial" w:hAnsi="Arial" w:cs="Arial"/>
              </w:rPr>
            </w:pPr>
            <w:r w:rsidRPr="002C127A">
              <w:rPr>
                <w:rFonts w:ascii="Arial" w:hAnsi="Arial" w:cs="Arial"/>
                <w:lang w:val="en-US"/>
              </w:rPr>
              <w:t>Transformational leadership influences safety through empowerment and job satisfaction.</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C1BEA09" w14:textId="77777777" w:rsidR="00B23C66" w:rsidRPr="002C127A" w:rsidRDefault="00B23C66" w:rsidP="002C127A">
            <w:pPr>
              <w:spacing w:line="360" w:lineRule="auto"/>
              <w:rPr>
                <w:rFonts w:ascii="Arial" w:hAnsi="Arial" w:cs="Arial"/>
              </w:rPr>
            </w:pPr>
            <w:r w:rsidRPr="002C127A">
              <w:rPr>
                <w:rFonts w:ascii="Arial" w:hAnsi="Arial" w:cs="Arial"/>
                <w:lang w:val="en-US"/>
              </w:rPr>
              <w:t>Cross-sectional, Canadian and based partly on reported outcomes.</w:t>
            </w:r>
            <w:r w:rsidRPr="002C127A">
              <w:rPr>
                <w:rFonts w:ascii="Arial" w:hAnsi="Arial" w:cs="Arial"/>
              </w:rPr>
              <w:t> </w:t>
            </w:r>
          </w:p>
        </w:tc>
      </w:tr>
      <w:tr w:rsidR="00B23C66" w:rsidRPr="002C127A" w14:paraId="59BA6424" w14:textId="77777777">
        <w:trPr>
          <w:trHeight w:val="300"/>
        </w:trPr>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E8C63EF" w14:textId="77777777" w:rsidR="00B23C66" w:rsidRPr="002C127A" w:rsidRDefault="00B23C66" w:rsidP="002C127A">
            <w:pPr>
              <w:spacing w:line="360" w:lineRule="auto"/>
              <w:rPr>
                <w:rFonts w:ascii="Arial" w:hAnsi="Arial" w:cs="Arial"/>
              </w:rPr>
            </w:pPr>
            <w:r w:rsidRPr="002C127A">
              <w:rPr>
                <w:rFonts w:ascii="Arial" w:hAnsi="Arial" w:cs="Arial"/>
                <w:lang w:val="en-US"/>
              </w:rPr>
              <w:t>Maharaj et al. (2015)</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6AE2D117" w14:textId="77777777" w:rsidR="00B23C66" w:rsidRPr="002C127A" w:rsidRDefault="00B23C66" w:rsidP="002C127A">
            <w:pPr>
              <w:spacing w:line="360" w:lineRule="auto"/>
              <w:rPr>
                <w:rFonts w:ascii="Arial" w:hAnsi="Arial" w:cs="Arial"/>
              </w:rPr>
            </w:pPr>
            <w:r w:rsidRPr="002C127A">
              <w:rPr>
                <w:rFonts w:ascii="Arial" w:hAnsi="Arial" w:cs="Arial"/>
                <w:lang w:val="en-US"/>
              </w:rPr>
              <w:t>29 studies; effective sample over 2.16 million; adult mortality RR 0.87 and arrest RR 0.65.</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A7C5692" w14:textId="77777777" w:rsidR="00B23C66" w:rsidRPr="002C127A" w:rsidRDefault="00B23C66" w:rsidP="002C127A">
            <w:pPr>
              <w:spacing w:line="360" w:lineRule="auto"/>
              <w:rPr>
                <w:rFonts w:ascii="Arial" w:hAnsi="Arial" w:cs="Arial"/>
              </w:rPr>
            </w:pPr>
            <w:r w:rsidRPr="002C127A">
              <w:rPr>
                <w:rFonts w:ascii="Arial" w:hAnsi="Arial" w:cs="Arial"/>
                <w:lang w:val="en-US"/>
              </w:rPr>
              <w:t>Distributed, rapid and situational escalation can improve important outcomes.</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F11D237" w14:textId="77777777" w:rsidR="00B23C66" w:rsidRPr="002C127A" w:rsidRDefault="00B23C66" w:rsidP="002C127A">
            <w:pPr>
              <w:spacing w:line="360" w:lineRule="auto"/>
              <w:rPr>
                <w:rFonts w:ascii="Arial" w:hAnsi="Arial" w:cs="Arial"/>
              </w:rPr>
            </w:pPr>
            <w:r w:rsidRPr="002C127A">
              <w:rPr>
                <w:rFonts w:ascii="Arial" w:hAnsi="Arial" w:cs="Arial"/>
                <w:lang w:val="en-US"/>
              </w:rPr>
              <w:t>Substantial heterogeneity and mostly before-after designs.</w:t>
            </w:r>
            <w:r w:rsidRPr="002C127A">
              <w:rPr>
                <w:rFonts w:ascii="Arial" w:hAnsi="Arial" w:cs="Arial"/>
              </w:rPr>
              <w:t> </w:t>
            </w:r>
          </w:p>
        </w:tc>
      </w:tr>
      <w:tr w:rsidR="00B23C66" w:rsidRPr="002C127A" w14:paraId="61DCD684" w14:textId="77777777">
        <w:trPr>
          <w:trHeight w:val="300"/>
        </w:trPr>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EA0A2F3" w14:textId="77777777" w:rsidR="00B23C66" w:rsidRPr="002C127A" w:rsidRDefault="00B23C66" w:rsidP="002C127A">
            <w:pPr>
              <w:spacing w:line="360" w:lineRule="auto"/>
              <w:rPr>
                <w:rFonts w:ascii="Arial" w:hAnsi="Arial" w:cs="Arial"/>
              </w:rPr>
            </w:pPr>
            <w:r w:rsidRPr="002C127A">
              <w:rPr>
                <w:rFonts w:ascii="Arial" w:hAnsi="Arial" w:cs="Arial"/>
                <w:lang w:val="en-US"/>
              </w:rPr>
              <w:lastRenderedPageBreak/>
              <w:t>Bates et al. (2023)</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398375E" w14:textId="7DDCADDA" w:rsidR="00B23C66" w:rsidRPr="002C127A" w:rsidRDefault="00B23C66" w:rsidP="002C127A">
            <w:pPr>
              <w:spacing w:line="360" w:lineRule="auto"/>
              <w:rPr>
                <w:rFonts w:ascii="Arial" w:hAnsi="Arial" w:cs="Arial"/>
              </w:rPr>
            </w:pPr>
            <w:r w:rsidRPr="002C127A">
              <w:rPr>
                <w:rFonts w:ascii="Arial" w:hAnsi="Arial" w:cs="Arial"/>
                <w:lang w:val="en-US"/>
              </w:rPr>
              <w:t xml:space="preserve">23.6% of 2,809 US admissions had an adverse event; 22.7% of events </w:t>
            </w:r>
            <w:r w:rsidR="00546029">
              <w:rPr>
                <w:rFonts w:ascii="Arial" w:hAnsi="Arial" w:cs="Arial"/>
                <w:lang w:val="en-US"/>
              </w:rPr>
              <w:t xml:space="preserve">were </w:t>
            </w:r>
            <w:r w:rsidRPr="002C127A">
              <w:rPr>
                <w:rFonts w:ascii="Arial" w:hAnsi="Arial" w:cs="Arial"/>
                <w:lang w:val="en-US"/>
              </w:rPr>
              <w:t>preventable.</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190EAFE" w14:textId="77777777" w:rsidR="00B23C66" w:rsidRPr="002C127A" w:rsidRDefault="00B23C66" w:rsidP="002C127A">
            <w:pPr>
              <w:spacing w:line="360" w:lineRule="auto"/>
              <w:rPr>
                <w:rFonts w:ascii="Arial" w:hAnsi="Arial" w:cs="Arial"/>
              </w:rPr>
            </w:pPr>
            <w:r w:rsidRPr="002C127A">
              <w:rPr>
                <w:rFonts w:ascii="Arial" w:hAnsi="Arial" w:cs="Arial"/>
                <w:lang w:val="en-US"/>
              </w:rPr>
              <w:t>Leadership must maintain sustained attention to safety systems and learning.</w:t>
            </w:r>
            <w:r w:rsidRPr="002C127A">
              <w:rPr>
                <w:rFonts w:ascii="Arial" w:hAnsi="Arial" w:cs="Arial"/>
              </w:rPr>
              <w:t> </w:t>
            </w:r>
          </w:p>
        </w:tc>
        <w:tc>
          <w:tcPr>
            <w:tcW w:w="232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F93BD94" w14:textId="77777777" w:rsidR="00B23C66" w:rsidRPr="002C127A" w:rsidRDefault="00B23C66" w:rsidP="002C127A">
            <w:pPr>
              <w:spacing w:line="360" w:lineRule="auto"/>
              <w:rPr>
                <w:rFonts w:ascii="Arial" w:hAnsi="Arial" w:cs="Arial"/>
              </w:rPr>
            </w:pPr>
            <w:r w:rsidRPr="002C127A">
              <w:rPr>
                <w:rFonts w:ascii="Arial" w:hAnsi="Arial" w:cs="Arial"/>
                <w:lang w:val="en-US"/>
              </w:rPr>
              <w:t>Massachusetts hospitals; not a direct leadership-intervention study.</w:t>
            </w:r>
            <w:r w:rsidRPr="002C127A">
              <w:rPr>
                <w:rFonts w:ascii="Arial" w:hAnsi="Arial" w:cs="Arial"/>
              </w:rPr>
              <w:t> </w:t>
            </w:r>
          </w:p>
        </w:tc>
      </w:tr>
    </w:tbl>
    <w:p w14:paraId="2E152FEF" w14:textId="77777777" w:rsidR="00546029" w:rsidRDefault="00546029" w:rsidP="002C127A">
      <w:pPr>
        <w:spacing w:line="360" w:lineRule="auto"/>
        <w:rPr>
          <w:rFonts w:ascii="Arial" w:hAnsi="Arial" w:cs="Arial"/>
          <w:lang w:val="en-US"/>
        </w:rPr>
      </w:pPr>
    </w:p>
    <w:p w14:paraId="701E7A9D" w14:textId="0D1286B8" w:rsidR="00B23C66" w:rsidRPr="002C127A" w:rsidRDefault="00B23C66" w:rsidP="002C127A">
      <w:pPr>
        <w:spacing w:line="360" w:lineRule="auto"/>
        <w:rPr>
          <w:rFonts w:ascii="Arial" w:hAnsi="Arial" w:cs="Arial"/>
        </w:rPr>
      </w:pPr>
      <w:r w:rsidRPr="002C127A">
        <w:rPr>
          <w:rFonts w:ascii="Arial" w:hAnsi="Arial" w:cs="Arial"/>
          <w:lang w:val="en-US"/>
        </w:rPr>
        <w:t xml:space="preserve">The evidence therefore supports a blended leadership model. Transformational and servant leadership create purpose, trust and partnership; transactional leadership secures non-negotiable safeguards; situational leadership adjusts supervision to risk; and distributed leadership moves relevant knowledge and escalation authority closer to the patient. Effectiveness should not be inferred from leadership labels alone. It should be demonstrated through outcome measures such as time to senior review, observation completeness, family-escalation response, </w:t>
      </w:r>
      <w:r w:rsidR="00B1355B" w:rsidRPr="002C127A">
        <w:rPr>
          <w:rFonts w:ascii="Arial" w:hAnsi="Arial" w:cs="Arial"/>
          <w:lang w:val="en-US"/>
        </w:rPr>
        <w:t>rapid response</w:t>
      </w:r>
      <w:r w:rsidRPr="002C127A">
        <w:rPr>
          <w:rFonts w:ascii="Arial" w:hAnsi="Arial" w:cs="Arial"/>
          <w:lang w:val="en-US"/>
        </w:rPr>
        <w:t xml:space="preserve"> activation, unplanned intensive-care transfer, preventable harm and staff psychological safety</w:t>
      </w:r>
      <w:r w:rsidR="009B6DF3">
        <w:rPr>
          <w:rFonts w:ascii="Arial" w:hAnsi="Arial" w:cs="Arial"/>
          <w:lang w:val="en-US"/>
        </w:rPr>
        <w:t xml:space="preserve"> </w:t>
      </w:r>
      <w:r w:rsidR="009B6DF3" w:rsidRPr="009B6DF3">
        <w:rPr>
          <w:rFonts w:ascii="Arial" w:hAnsi="Arial" w:cs="Arial"/>
        </w:rPr>
        <w:t xml:space="preserve">(Singh, </w:t>
      </w:r>
      <w:proofErr w:type="spellStart"/>
      <w:r w:rsidR="009B6DF3" w:rsidRPr="009B6DF3">
        <w:rPr>
          <w:rFonts w:ascii="Arial" w:hAnsi="Arial" w:cs="Arial"/>
        </w:rPr>
        <w:t>Yeravdekar</w:t>
      </w:r>
      <w:proofErr w:type="spellEnd"/>
      <w:r w:rsidR="009B6DF3" w:rsidRPr="009B6DF3">
        <w:rPr>
          <w:rFonts w:ascii="Arial" w:hAnsi="Arial" w:cs="Arial"/>
        </w:rPr>
        <w:t xml:space="preserve"> and Jadhav, 2024</w:t>
      </w:r>
      <w:r w:rsidR="009B6DF3">
        <w:rPr>
          <w:rFonts w:ascii="Arial" w:hAnsi="Arial" w:cs="Arial"/>
        </w:rPr>
        <w:t>).</w:t>
      </w:r>
    </w:p>
    <w:p w14:paraId="5C52D21E" w14:textId="4F467623" w:rsidR="00B23C66" w:rsidRDefault="00B23C66" w:rsidP="009612D3">
      <w:pPr>
        <w:pStyle w:val="Heading1"/>
      </w:pPr>
      <w:bookmarkStart w:id="14" w:name="_Toc236148048"/>
      <w:r w:rsidRPr="002C127A">
        <w:rPr>
          <w:lang w:val="en-US"/>
        </w:rPr>
        <w:t>Organisational Transformation and Change Management</w:t>
      </w:r>
      <w:bookmarkEnd w:id="14"/>
      <w:r w:rsidRPr="002C127A">
        <w:t> </w:t>
      </w:r>
    </w:p>
    <w:p w14:paraId="66B55370" w14:textId="77777777" w:rsidR="009612D3" w:rsidRPr="009612D3" w:rsidRDefault="009612D3" w:rsidP="009612D3"/>
    <w:p w14:paraId="7053B71E" w14:textId="77777777" w:rsidR="00B23C66" w:rsidRDefault="00B23C66" w:rsidP="002C127A">
      <w:pPr>
        <w:spacing w:line="360" w:lineRule="auto"/>
        <w:rPr>
          <w:rFonts w:ascii="Arial" w:hAnsi="Arial" w:cs="Arial"/>
        </w:rPr>
      </w:pPr>
      <w:r w:rsidRPr="002C127A">
        <w:rPr>
          <w:rFonts w:ascii="Arial" w:hAnsi="Arial" w:cs="Arial"/>
          <w:lang w:val="en-US"/>
        </w:rPr>
        <w:t>The most concrete transformation linked to the case was the Lewis Blackman Hospital Patient Safety Act. The legislation did not attempt to prescribe every clinical decision. Instead, it addressed structural weaknesses exposed by the case: confusion about professional roles, difficulty reaching the attending physician and the absence of an independent route for urgent patient concerns (South Carolina General Assembly, 2005). This demonstrates how a local adverse event can generate state-level learning, but the effectiveness of the law still depends on organisational implementation.</w:t>
      </w:r>
      <w:r w:rsidRPr="002C127A">
        <w:rPr>
          <w:rFonts w:ascii="Arial" w:hAnsi="Arial" w:cs="Arial"/>
        </w:rPr>
        <w:t> </w:t>
      </w:r>
    </w:p>
    <w:p w14:paraId="6FCC1F33" w14:textId="77777777" w:rsidR="00B1355B" w:rsidRPr="002C127A" w:rsidRDefault="00B1355B" w:rsidP="002C127A">
      <w:pPr>
        <w:spacing w:line="360" w:lineRule="auto"/>
        <w:rPr>
          <w:rFonts w:ascii="Arial" w:hAnsi="Arial" w:cs="Arial"/>
        </w:rPr>
      </w:pPr>
    </w:p>
    <w:p w14:paraId="24D0F501" w14:textId="77777777" w:rsidR="00B1355B" w:rsidRDefault="00B23C66" w:rsidP="002C127A">
      <w:pPr>
        <w:spacing w:line="360" w:lineRule="auto"/>
        <w:rPr>
          <w:rFonts w:ascii="Arial" w:hAnsi="Arial" w:cs="Arial"/>
          <w:lang w:val="en-US"/>
        </w:rPr>
      </w:pPr>
      <w:r w:rsidRPr="002C127A">
        <w:rPr>
          <w:rFonts w:ascii="Arial" w:hAnsi="Arial" w:cs="Arial"/>
          <w:lang w:val="en-US"/>
        </w:rPr>
        <w:t>Kotter's (1996) model helps explain the leadership work required. Lewis's death creates urgency; a guiding coalition should include executive, medical, nursing, pharmacy, patient-safety and family representatives; the vision should be that no deterioration or serious concern remains without accountable review; and barriers should be removed through objective triggers and protected escalation. Short-term wins can include improved completion of observations and faster response times, while longer-term anchoring requires recruitment, induction, appraisal and governance processes to reinforce the new culture.</w:t>
      </w:r>
    </w:p>
    <w:p w14:paraId="56A4DB28" w14:textId="7F53F968" w:rsidR="00B23C66" w:rsidRDefault="00B23C66" w:rsidP="002C127A">
      <w:pPr>
        <w:spacing w:line="360" w:lineRule="auto"/>
        <w:rPr>
          <w:rFonts w:ascii="Arial" w:hAnsi="Arial" w:cs="Arial"/>
        </w:rPr>
      </w:pPr>
      <w:r w:rsidRPr="002C127A">
        <w:rPr>
          <w:rFonts w:ascii="Arial" w:hAnsi="Arial" w:cs="Arial"/>
          <w:lang w:val="en-US"/>
        </w:rPr>
        <w:t>The model is useful because it emphasises leadership and communication, but its sequence may appear overly linear in a continuously changing hospital environment (Burnes, 2020).</w:t>
      </w:r>
      <w:r w:rsidRPr="002C127A">
        <w:rPr>
          <w:rFonts w:ascii="Arial" w:hAnsi="Arial" w:cs="Arial"/>
        </w:rPr>
        <w:t> </w:t>
      </w:r>
    </w:p>
    <w:p w14:paraId="70DDDE38" w14:textId="77777777" w:rsidR="00B1355B" w:rsidRPr="00B1355B" w:rsidRDefault="00B1355B" w:rsidP="002C127A">
      <w:pPr>
        <w:spacing w:line="360" w:lineRule="auto"/>
        <w:rPr>
          <w:rFonts w:ascii="Arial" w:hAnsi="Arial" w:cs="Arial"/>
          <w:lang w:val="en-US"/>
        </w:rPr>
      </w:pPr>
    </w:p>
    <w:p w14:paraId="0D785EAF" w14:textId="127BF179" w:rsidR="00B23C66" w:rsidRDefault="00B23C66" w:rsidP="002C127A">
      <w:pPr>
        <w:spacing w:line="360" w:lineRule="auto"/>
        <w:rPr>
          <w:rFonts w:ascii="Arial" w:hAnsi="Arial" w:cs="Arial"/>
        </w:rPr>
      </w:pPr>
      <w:r w:rsidRPr="002C127A">
        <w:rPr>
          <w:rFonts w:ascii="Arial" w:hAnsi="Arial" w:cs="Arial"/>
          <w:lang w:val="en-US"/>
        </w:rPr>
        <w:t xml:space="preserve">Lewin's (1951) stages provide a simpler interpretation. Unfreezing occurs when evidence demonstrates that existing practice is unsafe; changing involves testing </w:t>
      </w:r>
      <w:r w:rsidR="00B1355B">
        <w:rPr>
          <w:rFonts w:ascii="Arial" w:hAnsi="Arial" w:cs="Arial"/>
          <w:lang w:val="en-US"/>
        </w:rPr>
        <w:t>standardised</w:t>
      </w:r>
      <w:r w:rsidRPr="002C127A">
        <w:rPr>
          <w:rFonts w:ascii="Arial" w:hAnsi="Arial" w:cs="Arial"/>
          <w:lang w:val="en-US"/>
        </w:rPr>
        <w:t xml:space="preserve"> </w:t>
      </w:r>
      <w:r w:rsidRPr="002C127A">
        <w:rPr>
          <w:rFonts w:ascii="Arial" w:hAnsi="Arial" w:cs="Arial"/>
          <w:lang w:val="en-US"/>
        </w:rPr>
        <w:lastRenderedPageBreak/>
        <w:t xml:space="preserve">observations, rapid response, family escalation and senior-supervision arrangements; and refreezing embeds safer routines through policy, training and audit. In healthcare, refreezing should mean </w:t>
      </w:r>
      <w:r w:rsidR="00B1355B">
        <w:rPr>
          <w:rFonts w:ascii="Arial" w:hAnsi="Arial" w:cs="Arial"/>
          <w:lang w:val="en-US"/>
        </w:rPr>
        <w:t>stabilising</w:t>
      </w:r>
      <w:r w:rsidRPr="002C127A">
        <w:rPr>
          <w:rFonts w:ascii="Arial" w:hAnsi="Arial" w:cs="Arial"/>
          <w:lang w:val="en-US"/>
        </w:rPr>
        <w:t xml:space="preserve"> minimum standards without preventing further learning. Nilsen (2015) distinguishes process models, determinant frameworks and evaluation frameworks, highlighting that implementation succeeds only when leaders address context, capability, adoption and sustainability as well as the design of the intervention itself.</w:t>
      </w:r>
      <w:r w:rsidRPr="002C127A">
        <w:rPr>
          <w:rFonts w:ascii="Arial" w:hAnsi="Arial" w:cs="Arial"/>
        </w:rPr>
        <w:t> </w:t>
      </w:r>
    </w:p>
    <w:p w14:paraId="093A06BF" w14:textId="77777777" w:rsidR="00B1355B" w:rsidRPr="002C127A" w:rsidRDefault="00B1355B" w:rsidP="002C127A">
      <w:pPr>
        <w:spacing w:line="360" w:lineRule="auto"/>
        <w:rPr>
          <w:rFonts w:ascii="Arial" w:hAnsi="Arial" w:cs="Arial"/>
        </w:rPr>
      </w:pPr>
    </w:p>
    <w:p w14:paraId="5DD5082F" w14:textId="2D13F088" w:rsidR="00B23C66" w:rsidRPr="002C127A" w:rsidRDefault="00B23C66" w:rsidP="002C127A">
      <w:pPr>
        <w:spacing w:line="360" w:lineRule="auto"/>
        <w:rPr>
          <w:rFonts w:ascii="Arial" w:hAnsi="Arial" w:cs="Arial"/>
        </w:rPr>
      </w:pPr>
      <w:r w:rsidRPr="002C127A">
        <w:rPr>
          <w:rFonts w:ascii="Arial" w:hAnsi="Arial" w:cs="Arial"/>
          <w:lang w:val="en-US"/>
        </w:rPr>
        <w:t xml:space="preserve">A just-culture approach is essential during transformation. Reason (2000) warns against treating complex harm as a simple product of individual error, while NHS Improvement (2018) </w:t>
      </w:r>
      <w:r w:rsidR="00B1355B">
        <w:rPr>
          <w:rFonts w:ascii="Arial" w:hAnsi="Arial" w:cs="Arial"/>
          <w:lang w:val="en-US"/>
        </w:rPr>
        <w:t>emphasises</w:t>
      </w:r>
      <w:r w:rsidRPr="002C127A">
        <w:rPr>
          <w:rFonts w:ascii="Arial" w:hAnsi="Arial" w:cs="Arial"/>
          <w:lang w:val="en-US"/>
        </w:rPr>
        <w:t xml:space="preserve"> proportionate accountability. Leaders should investigate workload, supervision, technology and communication while still responding to deliberate disregard of safety. This balance encourages reporting and learning without implying that professional responsibility is irrelevant.</w:t>
      </w:r>
      <w:r w:rsidRPr="002C127A">
        <w:rPr>
          <w:rFonts w:ascii="Arial" w:hAnsi="Arial" w:cs="Arial"/>
        </w:rPr>
        <w:t> </w:t>
      </w:r>
    </w:p>
    <w:p w14:paraId="50A7DE25" w14:textId="0ED99BC1" w:rsidR="00B23C66" w:rsidRDefault="00B23C66" w:rsidP="009612D3">
      <w:pPr>
        <w:pStyle w:val="Heading1"/>
      </w:pPr>
      <w:bookmarkStart w:id="15" w:name="_Toc236148049"/>
      <w:r w:rsidRPr="002C127A">
        <w:rPr>
          <w:lang w:val="en-US"/>
        </w:rPr>
        <w:t>Recommendations, Efficiency, Co-production and Risk Mitigation</w:t>
      </w:r>
      <w:bookmarkEnd w:id="15"/>
      <w:r w:rsidRPr="002C127A">
        <w:t> </w:t>
      </w:r>
    </w:p>
    <w:p w14:paraId="530220EF" w14:textId="2AB9FC03" w:rsidR="00B23C66" w:rsidRDefault="00B23C66" w:rsidP="009E2254">
      <w:pPr>
        <w:pStyle w:val="Heading2"/>
        <w:spacing w:after="240"/>
      </w:pPr>
      <w:bookmarkStart w:id="16" w:name="_Toc236148050"/>
      <w:r w:rsidRPr="002C127A">
        <w:rPr>
          <w:lang w:val="en-US"/>
        </w:rPr>
        <w:t>Integrated patient-safety recommendations</w:t>
      </w:r>
      <w:bookmarkEnd w:id="16"/>
      <w:r w:rsidRPr="002C127A">
        <w:t> </w:t>
      </w:r>
    </w:p>
    <w:p w14:paraId="13B65575" w14:textId="4F8CD3D0" w:rsidR="00B23C66" w:rsidRDefault="00B23C66" w:rsidP="002C127A">
      <w:pPr>
        <w:spacing w:line="360" w:lineRule="auto"/>
        <w:rPr>
          <w:rFonts w:ascii="Arial" w:hAnsi="Arial" w:cs="Arial"/>
        </w:rPr>
      </w:pPr>
      <w:r w:rsidRPr="002C127A">
        <w:rPr>
          <w:rFonts w:ascii="Arial" w:hAnsi="Arial" w:cs="Arial"/>
          <w:lang w:val="en-US"/>
        </w:rPr>
        <w:t xml:space="preserve">First, the hospital should establish a mandatory deterioration and escalation standard. Objective observation criteria should trigger a documented response, with a maximum time to senior review and automatic escalation when the first clinician does not respond. NEWS2 is an NHS tool and was not designed for the United States context, but its principle of standardised assessment and graded response is transferable (Royal College of Physicians, 2017). Local criteria should be validated for adult and </w:t>
      </w:r>
      <w:r w:rsidR="009E2254">
        <w:rPr>
          <w:rFonts w:ascii="Arial" w:hAnsi="Arial" w:cs="Arial"/>
          <w:lang w:val="en-US"/>
        </w:rPr>
        <w:t>paediatric</w:t>
      </w:r>
      <w:r w:rsidRPr="002C127A">
        <w:rPr>
          <w:rFonts w:ascii="Arial" w:hAnsi="Arial" w:cs="Arial"/>
          <w:lang w:val="en-US"/>
        </w:rPr>
        <w:t xml:space="preserve"> populations and should include a 'staff or family worried' trigger.</w:t>
      </w:r>
      <w:r w:rsidRPr="002C127A">
        <w:rPr>
          <w:rFonts w:ascii="Arial" w:hAnsi="Arial" w:cs="Arial"/>
        </w:rPr>
        <w:t> </w:t>
      </w:r>
    </w:p>
    <w:p w14:paraId="517563C2" w14:textId="77777777" w:rsidR="009E2254" w:rsidRPr="002C127A" w:rsidRDefault="009E2254" w:rsidP="002C127A">
      <w:pPr>
        <w:spacing w:line="360" w:lineRule="auto"/>
        <w:rPr>
          <w:rFonts w:ascii="Arial" w:hAnsi="Arial" w:cs="Arial"/>
        </w:rPr>
      </w:pPr>
    </w:p>
    <w:p w14:paraId="54F91ACE" w14:textId="77777777" w:rsidR="00B23C66" w:rsidRDefault="00B23C66" w:rsidP="002C127A">
      <w:pPr>
        <w:spacing w:line="360" w:lineRule="auto"/>
        <w:rPr>
          <w:rFonts w:ascii="Arial" w:hAnsi="Arial" w:cs="Arial"/>
        </w:rPr>
      </w:pPr>
      <w:r w:rsidRPr="002C127A">
        <w:rPr>
          <w:rFonts w:ascii="Arial" w:hAnsi="Arial" w:cs="Arial"/>
          <w:lang w:val="en-US"/>
        </w:rPr>
        <w:t>Second, a multidisciplinary rapid-response system should be available continuously and activated by nurses, doctors, pharmacists or families without punitive gatekeeping. The attending physician should remain informed and accountable, but activation should not depend on that physician's permission. Each response should document the trigger, arrival time, clinical decision, disposition and follow-up. The evidence suggests potential reductions in mortality and cardiopulmonary arrest, while also warning that activation criteria and local implementation affect outcomes (Maharaj, Raffaele and Wendon, 2015).</w:t>
      </w:r>
      <w:r w:rsidRPr="002C127A">
        <w:rPr>
          <w:rFonts w:ascii="Arial" w:hAnsi="Arial" w:cs="Arial"/>
        </w:rPr>
        <w:t> </w:t>
      </w:r>
    </w:p>
    <w:p w14:paraId="554083AB" w14:textId="77777777" w:rsidR="009E2254" w:rsidRPr="002C127A" w:rsidRDefault="009E2254" w:rsidP="002C127A">
      <w:pPr>
        <w:spacing w:line="360" w:lineRule="auto"/>
        <w:rPr>
          <w:rFonts w:ascii="Arial" w:hAnsi="Arial" w:cs="Arial"/>
        </w:rPr>
      </w:pPr>
    </w:p>
    <w:p w14:paraId="73863E9A" w14:textId="43C6066D" w:rsidR="00B23C66" w:rsidRDefault="00B23C66" w:rsidP="002C127A">
      <w:pPr>
        <w:spacing w:line="360" w:lineRule="auto"/>
        <w:rPr>
          <w:rFonts w:ascii="Arial" w:hAnsi="Arial" w:cs="Arial"/>
        </w:rPr>
      </w:pPr>
      <w:r w:rsidRPr="002C127A">
        <w:rPr>
          <w:rFonts w:ascii="Arial" w:hAnsi="Arial" w:cs="Arial"/>
          <w:lang w:val="en-US"/>
        </w:rPr>
        <w:t xml:space="preserve">Third, medication and monitoring governance should be strengthened. High-risk medicines should have clear indication, dose, duration and monitoring requirements, with pharmacy review where risk or deterioration is identified. Alarm parameters should not be altered without a documented clinical rationale and </w:t>
      </w:r>
      <w:r w:rsidR="009E2254">
        <w:rPr>
          <w:rFonts w:ascii="Arial" w:hAnsi="Arial" w:cs="Arial"/>
          <w:lang w:val="en-US"/>
        </w:rPr>
        <w:t>authorised</w:t>
      </w:r>
      <w:r w:rsidRPr="002C127A">
        <w:rPr>
          <w:rFonts w:ascii="Arial" w:hAnsi="Arial" w:cs="Arial"/>
          <w:lang w:val="en-US"/>
        </w:rPr>
        <w:t xml:space="preserve"> review. Electronic systems should </w:t>
      </w:r>
      <w:r w:rsidRPr="002C127A">
        <w:rPr>
          <w:rFonts w:ascii="Arial" w:hAnsi="Arial" w:cs="Arial"/>
          <w:lang w:val="en-US"/>
        </w:rPr>
        <w:lastRenderedPageBreak/>
        <w:t xml:space="preserve">produce exception reports for missed observations, altered alarms and unresolved escalation. These controls combine transactional accountability with professional judgement rather than </w:t>
      </w:r>
      <w:r w:rsidR="009E2254" w:rsidRPr="002C127A">
        <w:rPr>
          <w:rFonts w:ascii="Arial" w:hAnsi="Arial" w:cs="Arial"/>
          <w:lang w:val="en-US"/>
        </w:rPr>
        <w:t>if</w:t>
      </w:r>
      <w:r w:rsidRPr="002C127A">
        <w:rPr>
          <w:rFonts w:ascii="Arial" w:hAnsi="Arial" w:cs="Arial"/>
          <w:lang w:val="en-US"/>
        </w:rPr>
        <w:t xml:space="preserve"> technology alone creates safety.</w:t>
      </w:r>
      <w:r w:rsidRPr="002C127A">
        <w:rPr>
          <w:rFonts w:ascii="Arial" w:hAnsi="Arial" w:cs="Arial"/>
        </w:rPr>
        <w:t> </w:t>
      </w:r>
    </w:p>
    <w:p w14:paraId="497440A4" w14:textId="77777777" w:rsidR="009E2254" w:rsidRPr="002C127A" w:rsidRDefault="009E2254" w:rsidP="002C127A">
      <w:pPr>
        <w:spacing w:line="360" w:lineRule="auto"/>
        <w:rPr>
          <w:rFonts w:ascii="Arial" w:hAnsi="Arial" w:cs="Arial"/>
        </w:rPr>
      </w:pPr>
    </w:p>
    <w:p w14:paraId="001C9E1F" w14:textId="723005B2" w:rsidR="00B23C66" w:rsidRPr="002C127A" w:rsidRDefault="00B23C66" w:rsidP="002C127A">
      <w:pPr>
        <w:spacing w:line="360" w:lineRule="auto"/>
        <w:rPr>
          <w:rFonts w:ascii="Arial" w:hAnsi="Arial" w:cs="Arial"/>
        </w:rPr>
      </w:pPr>
      <w:r w:rsidRPr="002C127A">
        <w:rPr>
          <w:rFonts w:ascii="Arial" w:hAnsi="Arial" w:cs="Arial"/>
          <w:lang w:val="en-US"/>
        </w:rPr>
        <w:t>Fourth, senior supervision should be matched to patient risk and staff competence. Consultant or attending cover must be explicit, reachable and audited. Junior staff should receive simulation-based training in postoperative deterioration, diagnostic bias, SBAR and escalation, followed by workplace supervision rather than one-off education (Institute for Healthcare Improvement; General Medical Council, 2024). Leadership walk-rounds and multidisciplinary case reviews should test whether staff feel able to challenge decisions and whether escalation produces a constructive response.</w:t>
      </w:r>
      <w:r w:rsidRPr="002C127A">
        <w:rPr>
          <w:rFonts w:ascii="Arial" w:hAnsi="Arial" w:cs="Arial"/>
        </w:rPr>
        <w:t> </w:t>
      </w:r>
    </w:p>
    <w:p w14:paraId="64EACE9F" w14:textId="3757758D" w:rsidR="00B23C66" w:rsidRDefault="00B23C66" w:rsidP="009612D3">
      <w:pPr>
        <w:pStyle w:val="Heading2"/>
      </w:pPr>
      <w:bookmarkStart w:id="17" w:name="_Toc236148051"/>
      <w:r w:rsidRPr="002C127A">
        <w:rPr>
          <w:lang w:val="en-US"/>
        </w:rPr>
        <w:t>Technical efficiency and allocative efficiency</w:t>
      </w:r>
      <w:bookmarkEnd w:id="17"/>
      <w:r w:rsidRPr="002C127A">
        <w:t> </w:t>
      </w:r>
    </w:p>
    <w:p w14:paraId="01495D2B" w14:textId="77777777" w:rsidR="009612D3" w:rsidRPr="009612D3" w:rsidRDefault="009612D3" w:rsidP="009612D3"/>
    <w:p w14:paraId="1F058EEB" w14:textId="4F8D5C50" w:rsidR="00B23C66" w:rsidRDefault="00B23C66" w:rsidP="002C127A">
      <w:pPr>
        <w:spacing w:line="360" w:lineRule="auto"/>
        <w:rPr>
          <w:rFonts w:ascii="Arial" w:hAnsi="Arial" w:cs="Arial"/>
        </w:rPr>
      </w:pPr>
      <w:r w:rsidRPr="002C127A">
        <w:rPr>
          <w:rFonts w:ascii="Arial" w:hAnsi="Arial" w:cs="Arial"/>
          <w:lang w:val="en-US"/>
        </w:rPr>
        <w:t xml:space="preserve">Technical efficiency means obtaining better safety outcomes from the resources already available. In this case, monitors, nurses, junior doctors and senior expertise existed, but the workflow did not convert their </w:t>
      </w:r>
      <w:r w:rsidR="00590304" w:rsidRPr="002C127A">
        <w:rPr>
          <w:rFonts w:ascii="Arial" w:hAnsi="Arial" w:cs="Arial"/>
          <w:lang w:val="en-US"/>
        </w:rPr>
        <w:t>input</w:t>
      </w:r>
      <w:r w:rsidRPr="002C127A">
        <w:rPr>
          <w:rFonts w:ascii="Arial" w:hAnsi="Arial" w:cs="Arial"/>
          <w:lang w:val="en-US"/>
        </w:rPr>
        <w:t xml:space="preserve"> into timely action. Technical efficiency would be improved by one standard observation record, one escalation route, explicit handover responsibility and automatic reminders, reducing duplicate assessment, information loss and delay. Measures should include the percentage of complete observations, median time from trigger to review, repeated calls before response, avoidable emergency transfers, length of stay and staff time spent locating decision-makers. Prevention may also reduce the intensive treatment and litigation associated with avoidable deterioration.</w:t>
      </w:r>
      <w:r w:rsidRPr="002C127A">
        <w:rPr>
          <w:rFonts w:ascii="Arial" w:hAnsi="Arial" w:cs="Arial"/>
        </w:rPr>
        <w:t> </w:t>
      </w:r>
    </w:p>
    <w:p w14:paraId="1D6900FC" w14:textId="77777777" w:rsidR="00590304" w:rsidRPr="002C127A" w:rsidRDefault="00590304" w:rsidP="002C127A">
      <w:pPr>
        <w:spacing w:line="360" w:lineRule="auto"/>
        <w:rPr>
          <w:rFonts w:ascii="Arial" w:hAnsi="Arial" w:cs="Arial"/>
        </w:rPr>
      </w:pPr>
    </w:p>
    <w:p w14:paraId="3348977A" w14:textId="50E9B6A3" w:rsidR="00B23C66" w:rsidRPr="002C127A" w:rsidRDefault="00B23C66" w:rsidP="002C127A">
      <w:pPr>
        <w:spacing w:line="360" w:lineRule="auto"/>
        <w:rPr>
          <w:rFonts w:ascii="Arial" w:hAnsi="Arial" w:cs="Arial"/>
        </w:rPr>
      </w:pPr>
      <w:r w:rsidRPr="002C127A">
        <w:rPr>
          <w:rFonts w:ascii="Arial" w:hAnsi="Arial" w:cs="Arial"/>
          <w:lang w:val="en-US"/>
        </w:rPr>
        <w:t xml:space="preserve">Allocative efficiency concerns directing limited resources to activities that produce the greatest benefit. Senior clinical availability, pharmacy input, rapid-response capacity, training and digital alerts all require investment. Allocation should be risk-based: the most intensive supervision and monitoring should be directed to patients with high-risk medicines, abnormal trends, diagnostic uncertainty or serious family </w:t>
      </w:r>
      <w:r w:rsidR="00590304" w:rsidRPr="002C127A">
        <w:rPr>
          <w:rFonts w:ascii="Arial" w:hAnsi="Arial" w:cs="Arial"/>
          <w:lang w:val="en-US"/>
        </w:rPr>
        <w:t>concerns</w:t>
      </w:r>
      <w:r w:rsidRPr="002C127A">
        <w:rPr>
          <w:rFonts w:ascii="Arial" w:hAnsi="Arial" w:cs="Arial"/>
          <w:lang w:val="en-US"/>
        </w:rPr>
        <w:t xml:space="preserve">. The OECD </w:t>
      </w:r>
      <w:r w:rsidR="00590304" w:rsidRPr="002C127A">
        <w:rPr>
          <w:rFonts w:ascii="Arial" w:hAnsi="Arial" w:cs="Arial"/>
          <w:lang w:val="en-US"/>
        </w:rPr>
        <w:t>estimates</w:t>
      </w:r>
      <w:r w:rsidRPr="002C127A">
        <w:rPr>
          <w:rFonts w:ascii="Arial" w:hAnsi="Arial" w:cs="Arial"/>
          <w:lang w:val="en-US"/>
        </w:rPr>
        <w:t xml:space="preserve"> that unsafe care approaches 13% of health spending in developed systems</w:t>
      </w:r>
      <w:r w:rsidR="000B35E9">
        <w:rPr>
          <w:rFonts w:ascii="Arial" w:hAnsi="Arial" w:cs="Arial"/>
          <w:lang w:val="en-US"/>
        </w:rPr>
        <w:t>, indicating</w:t>
      </w:r>
      <w:r w:rsidRPr="002C127A">
        <w:rPr>
          <w:rFonts w:ascii="Arial" w:hAnsi="Arial" w:cs="Arial"/>
          <w:lang w:val="en-US"/>
        </w:rPr>
        <w:t xml:space="preserve"> that prevention can protect resources as well as patients (Slawomirski and Klazinga, 2022). However, the </w:t>
      </w:r>
      <w:r w:rsidR="00590304">
        <w:rPr>
          <w:rFonts w:ascii="Arial" w:hAnsi="Arial" w:cs="Arial"/>
          <w:lang w:val="en-US"/>
        </w:rPr>
        <w:t>organisation</w:t>
      </w:r>
      <w:r w:rsidRPr="002C127A">
        <w:rPr>
          <w:rFonts w:ascii="Arial" w:hAnsi="Arial" w:cs="Arial"/>
          <w:lang w:val="en-US"/>
        </w:rPr>
        <w:t xml:space="preserve"> should not assume that every technology or training programme is cost-effective. Business cases should compare implementation cost with changes in harm, bed-days, emergency transfers, staff workload and patient experience.</w:t>
      </w:r>
      <w:r w:rsidRPr="002C127A">
        <w:rPr>
          <w:rFonts w:ascii="Arial" w:hAnsi="Arial" w:cs="Arial"/>
        </w:rPr>
        <w:t> </w:t>
      </w:r>
    </w:p>
    <w:p w14:paraId="02E7EF74" w14:textId="17D003C7" w:rsidR="00B23C66" w:rsidRDefault="00B23C66" w:rsidP="009612D3">
      <w:pPr>
        <w:pStyle w:val="Heading2"/>
      </w:pPr>
      <w:bookmarkStart w:id="18" w:name="_Toc236148052"/>
      <w:r w:rsidRPr="002C127A">
        <w:rPr>
          <w:lang w:val="en-US"/>
        </w:rPr>
        <w:t>Co-production and stakeholder engagement</w:t>
      </w:r>
      <w:bookmarkEnd w:id="18"/>
      <w:r w:rsidRPr="002C127A">
        <w:t> </w:t>
      </w:r>
    </w:p>
    <w:p w14:paraId="7D123C28" w14:textId="77777777" w:rsidR="009612D3" w:rsidRPr="009612D3" w:rsidRDefault="009612D3" w:rsidP="009612D3"/>
    <w:p w14:paraId="16D9D73C" w14:textId="77777777" w:rsidR="00B23C66" w:rsidRDefault="00B23C66" w:rsidP="002C127A">
      <w:pPr>
        <w:spacing w:line="360" w:lineRule="auto"/>
        <w:rPr>
          <w:rFonts w:ascii="Arial" w:hAnsi="Arial" w:cs="Arial"/>
        </w:rPr>
      </w:pPr>
      <w:r w:rsidRPr="002C127A">
        <w:rPr>
          <w:rFonts w:ascii="Arial" w:hAnsi="Arial" w:cs="Arial"/>
          <w:lang w:val="en-US"/>
        </w:rPr>
        <w:t xml:space="preserve">Co-production means designing and delivering healthcare with patients, families and frontline professionals rather than for them. Healthcare is inherently co-produced because </w:t>
      </w:r>
      <w:r w:rsidRPr="002C127A">
        <w:rPr>
          <w:rFonts w:ascii="Arial" w:hAnsi="Arial" w:cs="Arial"/>
          <w:lang w:val="en-US"/>
        </w:rPr>
        <w:lastRenderedPageBreak/>
        <w:t>outcomes depend on the interaction of professional expertise, patient knowledge and service conditions (Batalden et al., 2016). A redesigned family-escalation route should therefore be co-designed with former patients, parents, nurses, junior doctors, consultants, pharmacists and patient-experience staff. Listening sessions should identify barriers; participants should jointly define activation criteria and communication materials; a pilot ward should test the process; and outcome and experience data should be reviewed before wider implementation.</w:t>
      </w:r>
      <w:r w:rsidRPr="002C127A">
        <w:rPr>
          <w:rFonts w:ascii="Arial" w:hAnsi="Arial" w:cs="Arial"/>
        </w:rPr>
        <w:t> </w:t>
      </w:r>
    </w:p>
    <w:p w14:paraId="24A03A5E" w14:textId="77777777" w:rsidR="00950C1D" w:rsidRPr="002C127A" w:rsidRDefault="00950C1D" w:rsidP="002C127A">
      <w:pPr>
        <w:spacing w:line="360" w:lineRule="auto"/>
        <w:rPr>
          <w:rFonts w:ascii="Arial" w:hAnsi="Arial" w:cs="Arial"/>
        </w:rPr>
      </w:pPr>
    </w:p>
    <w:p w14:paraId="3E22E514" w14:textId="77777777" w:rsidR="00B23C66" w:rsidRPr="002C127A" w:rsidRDefault="00B23C66" w:rsidP="002C127A">
      <w:pPr>
        <w:spacing w:line="360" w:lineRule="auto"/>
        <w:rPr>
          <w:rFonts w:ascii="Arial" w:hAnsi="Arial" w:cs="Arial"/>
        </w:rPr>
      </w:pPr>
      <w:r w:rsidRPr="002C127A">
        <w:rPr>
          <w:rFonts w:ascii="Arial" w:hAnsi="Arial" w:cs="Arial"/>
          <w:lang w:val="en-US"/>
        </w:rPr>
        <w:t>Co-production should continue after launch. Patient and family representatives should join the governance group, contribute to incident-learning reviews and receive feedback showing how their input changed practice. Frontline staff should report unintended consequences, such as duplicate calls or unclear ownership. This approach strengthens legitimacy and may identify practical problems that senior leaders cannot see. It also carries risks: professional and patient perspectives may conflict, participation may be tokenistic and confident voices may dominate. Leaders should provide accessible information, reimburse participation where appropriate, include diverse representatives and publish a transparent response to feedback (Carman et al., 2013).</w:t>
      </w:r>
      <w:r w:rsidRPr="002C127A">
        <w:rPr>
          <w:rFonts w:ascii="Arial" w:hAnsi="Arial" w:cs="Arial"/>
        </w:rPr>
        <w:t> </w:t>
      </w:r>
    </w:p>
    <w:p w14:paraId="5BBAF74C" w14:textId="487FD54A" w:rsidR="00B23C66" w:rsidRDefault="00B23C66" w:rsidP="00F039E0">
      <w:pPr>
        <w:pStyle w:val="Heading2"/>
      </w:pPr>
      <w:bookmarkStart w:id="19" w:name="_Toc236148053"/>
      <w:r w:rsidRPr="002C127A">
        <w:rPr>
          <w:lang w:val="en-US"/>
        </w:rPr>
        <w:t>Implementation risk-mitigation strategy</w:t>
      </w:r>
      <w:bookmarkEnd w:id="19"/>
      <w:r w:rsidRPr="002C127A">
        <w:t> </w:t>
      </w:r>
    </w:p>
    <w:p w14:paraId="57E2E487" w14:textId="77777777" w:rsidR="00F039E0" w:rsidRPr="00F039E0" w:rsidRDefault="00F039E0" w:rsidP="00F039E0"/>
    <w:p w14:paraId="2EADFFF1" w14:textId="433AF96E" w:rsidR="00B23C66" w:rsidRDefault="00B23C66" w:rsidP="002C127A">
      <w:pPr>
        <w:spacing w:line="360" w:lineRule="auto"/>
        <w:rPr>
          <w:rFonts w:ascii="Arial" w:hAnsi="Arial" w:cs="Arial"/>
        </w:rPr>
      </w:pPr>
      <w:r w:rsidRPr="002C127A">
        <w:rPr>
          <w:rFonts w:ascii="Arial" w:hAnsi="Arial" w:cs="Arial"/>
          <w:lang w:val="en-US"/>
        </w:rPr>
        <w:t xml:space="preserve">Implementation should be managed prospectively rather than waiting for another incident. Healthcare Failure Mode and Effect Analysis </w:t>
      </w:r>
      <w:r w:rsidR="00950C1D" w:rsidRPr="002C127A">
        <w:rPr>
          <w:rFonts w:ascii="Arial" w:hAnsi="Arial" w:cs="Arial"/>
          <w:lang w:val="en-US"/>
        </w:rPr>
        <w:t>offer</w:t>
      </w:r>
      <w:r w:rsidRPr="002C127A">
        <w:rPr>
          <w:rFonts w:ascii="Arial" w:hAnsi="Arial" w:cs="Arial"/>
          <w:lang w:val="en-US"/>
        </w:rPr>
        <w:t xml:space="preserve"> a structured method for identifying how a new process might fail before harm occurs (DeRosier et al., 2002). Table 5 sets out the principal risks, controls, ownership and indicators for the proposed programme.</w:t>
      </w:r>
      <w:r w:rsidRPr="002C127A">
        <w:rPr>
          <w:rFonts w:ascii="Arial" w:hAnsi="Arial" w:cs="Arial"/>
        </w:rPr>
        <w:t> </w:t>
      </w:r>
    </w:p>
    <w:p w14:paraId="7EA84EFC" w14:textId="77777777" w:rsidR="00DB0234" w:rsidRPr="002C127A" w:rsidRDefault="00DB0234" w:rsidP="002C127A">
      <w:pPr>
        <w:spacing w:line="360" w:lineRule="auto"/>
        <w:rPr>
          <w:rFonts w:ascii="Arial" w:hAnsi="Arial" w:cs="Arial"/>
        </w:rPr>
      </w:pPr>
    </w:p>
    <w:p w14:paraId="64409884" w14:textId="77777777" w:rsidR="00B23C66" w:rsidRDefault="00B23C66" w:rsidP="002C127A">
      <w:pPr>
        <w:spacing w:line="360" w:lineRule="auto"/>
        <w:rPr>
          <w:rFonts w:ascii="Arial" w:hAnsi="Arial" w:cs="Arial"/>
        </w:rPr>
      </w:pPr>
      <w:r w:rsidRPr="002C127A">
        <w:rPr>
          <w:rFonts w:ascii="Arial" w:hAnsi="Arial" w:cs="Arial"/>
          <w:b/>
          <w:bCs/>
          <w:lang w:val="en-US"/>
        </w:rPr>
        <w:t>Table 5. Implementation risks, mitigation and monitoring</w:t>
      </w:r>
      <w:r w:rsidRPr="002C127A">
        <w:rPr>
          <w:rFonts w:ascii="Arial" w:hAnsi="Arial" w:cs="Arial"/>
        </w:rPr>
        <w:t> </w:t>
      </w:r>
    </w:p>
    <w:p w14:paraId="6D5E5471" w14:textId="77777777" w:rsidR="00DB0234" w:rsidRPr="002C127A" w:rsidRDefault="00DB0234" w:rsidP="002C127A">
      <w:pPr>
        <w:spacing w:line="360" w:lineRule="auto"/>
        <w:rPr>
          <w:rFonts w:ascii="Arial" w:hAnsi="Arial" w:cs="Arial"/>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79"/>
        <w:gridCol w:w="1385"/>
        <w:gridCol w:w="1947"/>
        <w:gridCol w:w="1462"/>
        <w:gridCol w:w="1394"/>
        <w:gridCol w:w="1443"/>
      </w:tblGrid>
      <w:tr w:rsidR="00B23C66" w:rsidRPr="002C127A" w14:paraId="6459D088" w14:textId="77777777">
        <w:trPr>
          <w:trHeight w:val="300"/>
        </w:trPr>
        <w:tc>
          <w:tcPr>
            <w:tcW w:w="1545"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1D27E33C" w14:textId="77777777" w:rsidR="00B23C66" w:rsidRPr="002C127A" w:rsidRDefault="00B23C66" w:rsidP="002C127A">
            <w:pPr>
              <w:spacing w:line="360" w:lineRule="auto"/>
              <w:rPr>
                <w:rFonts w:ascii="Arial" w:hAnsi="Arial" w:cs="Arial"/>
              </w:rPr>
            </w:pPr>
            <w:r w:rsidRPr="002C127A">
              <w:rPr>
                <w:rFonts w:ascii="Arial" w:hAnsi="Arial" w:cs="Arial"/>
                <w:b/>
                <w:bCs/>
                <w:lang w:val="en-US"/>
              </w:rPr>
              <w:t>Proposed change</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1E454220" w14:textId="77777777" w:rsidR="00B23C66" w:rsidRPr="002C127A" w:rsidRDefault="00B23C66" w:rsidP="002C127A">
            <w:pPr>
              <w:spacing w:line="360" w:lineRule="auto"/>
              <w:rPr>
                <w:rFonts w:ascii="Arial" w:hAnsi="Arial" w:cs="Arial"/>
              </w:rPr>
            </w:pPr>
            <w:r w:rsidRPr="002C127A">
              <w:rPr>
                <w:rFonts w:ascii="Arial" w:hAnsi="Arial" w:cs="Arial"/>
                <w:b/>
                <w:bCs/>
                <w:lang w:val="en-US"/>
              </w:rPr>
              <w:t>Principal risk</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62068A7B" w14:textId="7ED689B2" w:rsidR="00B23C66" w:rsidRPr="002C127A" w:rsidRDefault="000B35E9" w:rsidP="002C127A">
            <w:pPr>
              <w:spacing w:line="360" w:lineRule="auto"/>
              <w:rPr>
                <w:rFonts w:ascii="Arial" w:hAnsi="Arial" w:cs="Arial"/>
              </w:rPr>
            </w:pPr>
            <w:r>
              <w:rPr>
                <w:rFonts w:ascii="Arial" w:hAnsi="Arial" w:cs="Arial"/>
                <w:b/>
                <w:bCs/>
                <w:lang w:val="en-US"/>
              </w:rPr>
              <w:t>Likelihood/impact</w:t>
            </w:r>
            <w:r w:rsidR="00B23C66"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2FFB8E1D" w14:textId="77777777" w:rsidR="00B23C66" w:rsidRPr="002C127A" w:rsidRDefault="00B23C66" w:rsidP="002C127A">
            <w:pPr>
              <w:spacing w:line="360" w:lineRule="auto"/>
              <w:rPr>
                <w:rFonts w:ascii="Arial" w:hAnsi="Arial" w:cs="Arial"/>
              </w:rPr>
            </w:pPr>
            <w:r w:rsidRPr="002C127A">
              <w:rPr>
                <w:rFonts w:ascii="Arial" w:hAnsi="Arial" w:cs="Arial"/>
                <w:b/>
                <w:bCs/>
                <w:lang w:val="en-US"/>
              </w:rPr>
              <w:t>Mitigation</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6087CAEC" w14:textId="77777777" w:rsidR="00B23C66" w:rsidRPr="002C127A" w:rsidRDefault="00B23C66" w:rsidP="002C127A">
            <w:pPr>
              <w:spacing w:line="360" w:lineRule="auto"/>
              <w:rPr>
                <w:rFonts w:ascii="Arial" w:hAnsi="Arial" w:cs="Arial"/>
              </w:rPr>
            </w:pPr>
            <w:r w:rsidRPr="002C127A">
              <w:rPr>
                <w:rFonts w:ascii="Arial" w:hAnsi="Arial" w:cs="Arial"/>
                <w:b/>
                <w:bCs/>
                <w:lang w:val="en-US"/>
              </w:rPr>
              <w:t>Owner</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54809826" w14:textId="77777777" w:rsidR="00B23C66" w:rsidRPr="002C127A" w:rsidRDefault="00B23C66" w:rsidP="002C127A">
            <w:pPr>
              <w:spacing w:line="360" w:lineRule="auto"/>
              <w:rPr>
                <w:rFonts w:ascii="Arial" w:hAnsi="Arial" w:cs="Arial"/>
              </w:rPr>
            </w:pPr>
            <w:r w:rsidRPr="002C127A">
              <w:rPr>
                <w:rFonts w:ascii="Arial" w:hAnsi="Arial" w:cs="Arial"/>
                <w:b/>
                <w:bCs/>
                <w:lang w:val="en-US"/>
              </w:rPr>
              <w:t>Indicator</w:t>
            </w:r>
            <w:r w:rsidRPr="002C127A">
              <w:rPr>
                <w:rFonts w:ascii="Arial" w:hAnsi="Arial" w:cs="Arial"/>
              </w:rPr>
              <w:t> </w:t>
            </w:r>
          </w:p>
        </w:tc>
      </w:tr>
      <w:tr w:rsidR="00B23C66" w:rsidRPr="002C127A" w14:paraId="76B553B6" w14:textId="77777777">
        <w:trPr>
          <w:trHeight w:val="300"/>
        </w:trPr>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64A1CC5E" w14:textId="77777777" w:rsidR="00B23C66" w:rsidRPr="002C127A" w:rsidRDefault="00B23C66" w:rsidP="002C127A">
            <w:pPr>
              <w:spacing w:line="360" w:lineRule="auto"/>
              <w:rPr>
                <w:rFonts w:ascii="Arial" w:hAnsi="Arial" w:cs="Arial"/>
              </w:rPr>
            </w:pPr>
            <w:r w:rsidRPr="002C127A">
              <w:rPr>
                <w:rFonts w:ascii="Arial" w:hAnsi="Arial" w:cs="Arial"/>
                <w:lang w:val="en-US"/>
              </w:rPr>
              <w:t>Mandatory escalation protocol</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E2A1F9F" w14:textId="77777777" w:rsidR="00B23C66" w:rsidRPr="002C127A" w:rsidRDefault="00B23C66" w:rsidP="002C127A">
            <w:pPr>
              <w:spacing w:line="360" w:lineRule="auto"/>
              <w:rPr>
                <w:rFonts w:ascii="Arial" w:hAnsi="Arial" w:cs="Arial"/>
              </w:rPr>
            </w:pPr>
            <w:r w:rsidRPr="002C127A">
              <w:rPr>
                <w:rFonts w:ascii="Arial" w:hAnsi="Arial" w:cs="Arial"/>
                <w:lang w:val="en-US"/>
              </w:rPr>
              <w:t>Staff bypass the process or record compliance without action.</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10BD8B3" w14:textId="77777777" w:rsidR="00B23C66" w:rsidRPr="002C127A" w:rsidRDefault="00B23C66" w:rsidP="002C127A">
            <w:pPr>
              <w:spacing w:line="360" w:lineRule="auto"/>
              <w:rPr>
                <w:rFonts w:ascii="Arial" w:hAnsi="Arial" w:cs="Arial"/>
              </w:rPr>
            </w:pPr>
            <w:r w:rsidRPr="002C127A">
              <w:rPr>
                <w:rFonts w:ascii="Arial" w:hAnsi="Arial" w:cs="Arial"/>
                <w:lang w:val="en-US"/>
              </w:rPr>
              <w:t>Medium / High</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E851EDF" w14:textId="77777777" w:rsidR="00B23C66" w:rsidRPr="002C127A" w:rsidRDefault="00B23C66" w:rsidP="002C127A">
            <w:pPr>
              <w:spacing w:line="360" w:lineRule="auto"/>
              <w:rPr>
                <w:rFonts w:ascii="Arial" w:hAnsi="Arial" w:cs="Arial"/>
              </w:rPr>
            </w:pPr>
            <w:r w:rsidRPr="002C127A">
              <w:rPr>
                <w:rFonts w:ascii="Arial" w:hAnsi="Arial" w:cs="Arial"/>
                <w:lang w:val="en-US"/>
              </w:rPr>
              <w:t>Simulation, electronic prompts, case review and monthly audit of timeliness and outcome.</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3FE34AB" w14:textId="77777777" w:rsidR="00B23C66" w:rsidRPr="002C127A" w:rsidRDefault="00B23C66" w:rsidP="002C127A">
            <w:pPr>
              <w:spacing w:line="360" w:lineRule="auto"/>
              <w:rPr>
                <w:rFonts w:ascii="Arial" w:hAnsi="Arial" w:cs="Arial"/>
              </w:rPr>
            </w:pPr>
            <w:r w:rsidRPr="002C127A">
              <w:rPr>
                <w:rFonts w:ascii="Arial" w:hAnsi="Arial" w:cs="Arial"/>
                <w:lang w:val="en-US"/>
              </w:rPr>
              <w:t>Clinical governance lead</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A374DED" w14:textId="77777777" w:rsidR="00B23C66" w:rsidRPr="002C127A" w:rsidRDefault="00B23C66" w:rsidP="002C127A">
            <w:pPr>
              <w:spacing w:line="360" w:lineRule="auto"/>
              <w:rPr>
                <w:rFonts w:ascii="Arial" w:hAnsi="Arial" w:cs="Arial"/>
              </w:rPr>
            </w:pPr>
            <w:r w:rsidRPr="002C127A">
              <w:rPr>
                <w:rFonts w:ascii="Arial" w:hAnsi="Arial" w:cs="Arial"/>
                <w:lang w:val="en-US"/>
              </w:rPr>
              <w:t>% triggers reviewed within target; unresolved escalations.</w:t>
            </w:r>
            <w:r w:rsidRPr="002C127A">
              <w:rPr>
                <w:rFonts w:ascii="Arial" w:hAnsi="Arial" w:cs="Arial"/>
              </w:rPr>
              <w:t> </w:t>
            </w:r>
          </w:p>
        </w:tc>
      </w:tr>
      <w:tr w:rsidR="00B23C66" w:rsidRPr="002C127A" w14:paraId="280136B7" w14:textId="77777777">
        <w:trPr>
          <w:trHeight w:val="300"/>
        </w:trPr>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5596C6C" w14:textId="77777777" w:rsidR="00B23C66" w:rsidRPr="002C127A" w:rsidRDefault="00B23C66" w:rsidP="002C127A">
            <w:pPr>
              <w:spacing w:line="360" w:lineRule="auto"/>
              <w:rPr>
                <w:rFonts w:ascii="Arial" w:hAnsi="Arial" w:cs="Arial"/>
              </w:rPr>
            </w:pPr>
            <w:r w:rsidRPr="002C127A">
              <w:rPr>
                <w:rFonts w:ascii="Arial" w:hAnsi="Arial" w:cs="Arial"/>
                <w:lang w:val="en-US"/>
              </w:rPr>
              <w:lastRenderedPageBreak/>
              <w:t>Rapid-response system</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2A13616" w14:textId="77777777" w:rsidR="00B23C66" w:rsidRPr="002C127A" w:rsidRDefault="00B23C66" w:rsidP="002C127A">
            <w:pPr>
              <w:spacing w:line="360" w:lineRule="auto"/>
              <w:rPr>
                <w:rFonts w:ascii="Arial" w:hAnsi="Arial" w:cs="Arial"/>
              </w:rPr>
            </w:pPr>
            <w:r w:rsidRPr="002C127A">
              <w:rPr>
                <w:rFonts w:ascii="Arial" w:hAnsi="Arial" w:cs="Arial"/>
                <w:lang w:val="en-US"/>
              </w:rPr>
              <w:t>Over-activation, under-activation or escalation fatigue.</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DA4D571" w14:textId="77777777" w:rsidR="00B23C66" w:rsidRPr="002C127A" w:rsidRDefault="00B23C66" w:rsidP="002C127A">
            <w:pPr>
              <w:spacing w:line="360" w:lineRule="auto"/>
              <w:rPr>
                <w:rFonts w:ascii="Arial" w:hAnsi="Arial" w:cs="Arial"/>
              </w:rPr>
            </w:pPr>
            <w:r w:rsidRPr="002C127A">
              <w:rPr>
                <w:rFonts w:ascii="Arial" w:hAnsi="Arial" w:cs="Arial"/>
                <w:lang w:val="en-US"/>
              </w:rPr>
              <w:t>Medium / High</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79D15D0" w14:textId="77777777" w:rsidR="00B23C66" w:rsidRPr="002C127A" w:rsidRDefault="00B23C66" w:rsidP="002C127A">
            <w:pPr>
              <w:spacing w:line="360" w:lineRule="auto"/>
              <w:rPr>
                <w:rFonts w:ascii="Arial" w:hAnsi="Arial" w:cs="Arial"/>
              </w:rPr>
            </w:pPr>
            <w:r w:rsidRPr="002C127A">
              <w:rPr>
                <w:rFonts w:ascii="Arial" w:hAnsi="Arial" w:cs="Arial"/>
                <w:lang w:val="en-US"/>
              </w:rPr>
              <w:t>Clear criteria including “worried” trigger; feedback to callers; quarterly threshold review.</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05A8429" w14:textId="77777777" w:rsidR="00B23C66" w:rsidRPr="002C127A" w:rsidRDefault="00B23C66" w:rsidP="002C127A">
            <w:pPr>
              <w:spacing w:line="360" w:lineRule="auto"/>
              <w:rPr>
                <w:rFonts w:ascii="Arial" w:hAnsi="Arial" w:cs="Arial"/>
              </w:rPr>
            </w:pPr>
            <w:r w:rsidRPr="002C127A">
              <w:rPr>
                <w:rFonts w:ascii="Arial" w:hAnsi="Arial" w:cs="Arial"/>
                <w:lang w:val="en-US"/>
              </w:rPr>
              <w:t>Medical director</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B8CEA31" w14:textId="77777777" w:rsidR="00B23C66" w:rsidRPr="002C127A" w:rsidRDefault="00B23C66" w:rsidP="002C127A">
            <w:pPr>
              <w:spacing w:line="360" w:lineRule="auto"/>
              <w:rPr>
                <w:rFonts w:ascii="Arial" w:hAnsi="Arial" w:cs="Arial"/>
              </w:rPr>
            </w:pPr>
            <w:r w:rsidRPr="002C127A">
              <w:rPr>
                <w:rFonts w:ascii="Arial" w:hAnsi="Arial" w:cs="Arial"/>
                <w:lang w:val="en-US"/>
              </w:rPr>
              <w:t>Activations per 1,000 admissions; mortality and arrest trends.</w:t>
            </w:r>
            <w:r w:rsidRPr="002C127A">
              <w:rPr>
                <w:rFonts w:ascii="Arial" w:hAnsi="Arial" w:cs="Arial"/>
              </w:rPr>
              <w:t> </w:t>
            </w:r>
          </w:p>
        </w:tc>
      </w:tr>
      <w:tr w:rsidR="00B23C66" w:rsidRPr="002C127A" w14:paraId="1C7E9794" w14:textId="77777777">
        <w:trPr>
          <w:trHeight w:val="300"/>
        </w:trPr>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19CC6F2" w14:textId="77777777" w:rsidR="00B23C66" w:rsidRPr="002C127A" w:rsidRDefault="00B23C66" w:rsidP="002C127A">
            <w:pPr>
              <w:spacing w:line="360" w:lineRule="auto"/>
              <w:rPr>
                <w:rFonts w:ascii="Arial" w:hAnsi="Arial" w:cs="Arial"/>
              </w:rPr>
            </w:pPr>
            <w:r w:rsidRPr="002C127A">
              <w:rPr>
                <w:rFonts w:ascii="Arial" w:hAnsi="Arial" w:cs="Arial"/>
                <w:lang w:val="en-US"/>
              </w:rPr>
              <w:t>Family escalation route</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6892229" w14:textId="77777777" w:rsidR="00B23C66" w:rsidRPr="002C127A" w:rsidRDefault="00B23C66" w:rsidP="002C127A">
            <w:pPr>
              <w:spacing w:line="360" w:lineRule="auto"/>
              <w:rPr>
                <w:rFonts w:ascii="Arial" w:hAnsi="Arial" w:cs="Arial"/>
              </w:rPr>
            </w:pPr>
            <w:r w:rsidRPr="002C127A">
              <w:rPr>
                <w:rFonts w:ascii="Arial" w:hAnsi="Arial" w:cs="Arial"/>
                <w:lang w:val="en-US"/>
              </w:rPr>
              <w:t>Low awareness, staff resistance or adversarial use.</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5F0361E" w14:textId="77777777" w:rsidR="00B23C66" w:rsidRPr="002C127A" w:rsidRDefault="00B23C66" w:rsidP="002C127A">
            <w:pPr>
              <w:spacing w:line="360" w:lineRule="auto"/>
              <w:rPr>
                <w:rFonts w:ascii="Arial" w:hAnsi="Arial" w:cs="Arial"/>
              </w:rPr>
            </w:pPr>
            <w:r w:rsidRPr="002C127A">
              <w:rPr>
                <w:rFonts w:ascii="Arial" w:hAnsi="Arial" w:cs="Arial"/>
                <w:lang w:val="en-US"/>
              </w:rPr>
              <w:t>Medium / High</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B58F1B7" w14:textId="77777777" w:rsidR="00B23C66" w:rsidRPr="002C127A" w:rsidRDefault="00B23C66" w:rsidP="002C127A">
            <w:pPr>
              <w:spacing w:line="360" w:lineRule="auto"/>
              <w:rPr>
                <w:rFonts w:ascii="Arial" w:hAnsi="Arial" w:cs="Arial"/>
              </w:rPr>
            </w:pPr>
            <w:r w:rsidRPr="002C127A">
              <w:rPr>
                <w:rFonts w:ascii="Arial" w:hAnsi="Arial" w:cs="Arial"/>
                <w:lang w:val="en-US"/>
              </w:rPr>
              <w:t>Co-designed materials, admission briefing, non-punitive response and independent patient-experience review.</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E3DEB00" w14:textId="77777777" w:rsidR="00B23C66" w:rsidRPr="002C127A" w:rsidRDefault="00B23C66" w:rsidP="002C127A">
            <w:pPr>
              <w:spacing w:line="360" w:lineRule="auto"/>
              <w:rPr>
                <w:rFonts w:ascii="Arial" w:hAnsi="Arial" w:cs="Arial"/>
              </w:rPr>
            </w:pPr>
            <w:r w:rsidRPr="002C127A">
              <w:rPr>
                <w:rFonts w:ascii="Arial" w:hAnsi="Arial" w:cs="Arial"/>
                <w:lang w:val="en-US"/>
              </w:rPr>
              <w:t>Patient-experience lead</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86D19AB" w14:textId="77777777" w:rsidR="00B23C66" w:rsidRPr="002C127A" w:rsidRDefault="00B23C66" w:rsidP="002C127A">
            <w:pPr>
              <w:spacing w:line="360" w:lineRule="auto"/>
              <w:rPr>
                <w:rFonts w:ascii="Arial" w:hAnsi="Arial" w:cs="Arial"/>
              </w:rPr>
            </w:pPr>
            <w:r w:rsidRPr="002C127A">
              <w:rPr>
                <w:rFonts w:ascii="Arial" w:hAnsi="Arial" w:cs="Arial"/>
                <w:lang w:val="en-US"/>
              </w:rPr>
              <w:t>Use, response time, outcome and family satisfaction.</w:t>
            </w:r>
            <w:r w:rsidRPr="002C127A">
              <w:rPr>
                <w:rFonts w:ascii="Arial" w:hAnsi="Arial" w:cs="Arial"/>
              </w:rPr>
              <w:t> </w:t>
            </w:r>
          </w:p>
        </w:tc>
      </w:tr>
      <w:tr w:rsidR="00B23C66" w:rsidRPr="002C127A" w14:paraId="577A7FBE" w14:textId="77777777">
        <w:trPr>
          <w:trHeight w:val="300"/>
        </w:trPr>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F89D62B" w14:textId="77777777" w:rsidR="00B23C66" w:rsidRPr="002C127A" w:rsidRDefault="00B23C66" w:rsidP="002C127A">
            <w:pPr>
              <w:spacing w:line="360" w:lineRule="auto"/>
              <w:rPr>
                <w:rFonts w:ascii="Arial" w:hAnsi="Arial" w:cs="Arial"/>
              </w:rPr>
            </w:pPr>
            <w:r w:rsidRPr="002C127A">
              <w:rPr>
                <w:rFonts w:ascii="Arial" w:hAnsi="Arial" w:cs="Arial"/>
                <w:lang w:val="en-US"/>
              </w:rPr>
              <w:t>Digital monitoring and alarms</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5E9FB73" w14:textId="77777777" w:rsidR="00B23C66" w:rsidRPr="002C127A" w:rsidRDefault="00B23C66" w:rsidP="002C127A">
            <w:pPr>
              <w:spacing w:line="360" w:lineRule="auto"/>
              <w:rPr>
                <w:rFonts w:ascii="Arial" w:hAnsi="Arial" w:cs="Arial"/>
              </w:rPr>
            </w:pPr>
            <w:r w:rsidRPr="002C127A">
              <w:rPr>
                <w:rFonts w:ascii="Arial" w:hAnsi="Arial" w:cs="Arial"/>
                <w:lang w:val="en-US"/>
              </w:rPr>
              <w:t>Alarm fatigue, unsafe parameter changes or technical failure.</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C603DBA" w14:textId="77777777" w:rsidR="00B23C66" w:rsidRPr="002C127A" w:rsidRDefault="00B23C66" w:rsidP="002C127A">
            <w:pPr>
              <w:spacing w:line="360" w:lineRule="auto"/>
              <w:rPr>
                <w:rFonts w:ascii="Arial" w:hAnsi="Arial" w:cs="Arial"/>
              </w:rPr>
            </w:pPr>
            <w:r w:rsidRPr="002C127A">
              <w:rPr>
                <w:rFonts w:ascii="Arial" w:hAnsi="Arial" w:cs="Arial"/>
                <w:lang w:val="en-US"/>
              </w:rPr>
              <w:t>High / High</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32CBEF8" w14:textId="6977C069" w:rsidR="00B23C66" w:rsidRPr="002C127A" w:rsidRDefault="004D18E2" w:rsidP="002C127A">
            <w:pPr>
              <w:spacing w:line="360" w:lineRule="auto"/>
              <w:rPr>
                <w:rFonts w:ascii="Arial" w:hAnsi="Arial" w:cs="Arial"/>
              </w:rPr>
            </w:pPr>
            <w:r w:rsidRPr="002C127A">
              <w:rPr>
                <w:rFonts w:ascii="Arial" w:hAnsi="Arial" w:cs="Arial"/>
                <w:lang w:val="en-US"/>
              </w:rPr>
              <w:t>Tiered alerts</w:t>
            </w:r>
            <w:r w:rsidR="00B23C66" w:rsidRPr="002C127A">
              <w:rPr>
                <w:rFonts w:ascii="Arial" w:hAnsi="Arial" w:cs="Arial"/>
                <w:lang w:val="en-US"/>
              </w:rPr>
              <w:t xml:space="preserve"> locked high-risk settings, maintenance, downtime process and exception reporting.</w:t>
            </w:r>
            <w:r w:rsidR="00B23C66"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6A704FD" w14:textId="77777777" w:rsidR="00B23C66" w:rsidRPr="002C127A" w:rsidRDefault="00B23C66" w:rsidP="002C127A">
            <w:pPr>
              <w:spacing w:line="360" w:lineRule="auto"/>
              <w:rPr>
                <w:rFonts w:ascii="Arial" w:hAnsi="Arial" w:cs="Arial"/>
              </w:rPr>
            </w:pPr>
            <w:r w:rsidRPr="002C127A">
              <w:rPr>
                <w:rFonts w:ascii="Arial" w:hAnsi="Arial" w:cs="Arial"/>
                <w:lang w:val="en-US"/>
              </w:rPr>
              <w:t>Clinical engineering / digital lead</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60773008" w14:textId="77777777" w:rsidR="00B23C66" w:rsidRPr="002C127A" w:rsidRDefault="00B23C66" w:rsidP="002C127A">
            <w:pPr>
              <w:spacing w:line="360" w:lineRule="auto"/>
              <w:rPr>
                <w:rFonts w:ascii="Arial" w:hAnsi="Arial" w:cs="Arial"/>
              </w:rPr>
            </w:pPr>
            <w:r w:rsidRPr="002C127A">
              <w:rPr>
                <w:rFonts w:ascii="Arial" w:hAnsi="Arial" w:cs="Arial"/>
                <w:lang w:val="en-US"/>
              </w:rPr>
              <w:t>Alarm-response compliance; unauthorised changes; downtime incidents.</w:t>
            </w:r>
            <w:r w:rsidRPr="002C127A">
              <w:rPr>
                <w:rFonts w:ascii="Arial" w:hAnsi="Arial" w:cs="Arial"/>
              </w:rPr>
              <w:t> </w:t>
            </w:r>
          </w:p>
        </w:tc>
      </w:tr>
      <w:tr w:rsidR="00B23C66" w:rsidRPr="002C127A" w14:paraId="046E5F00" w14:textId="77777777">
        <w:trPr>
          <w:trHeight w:val="300"/>
        </w:trPr>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18377E4" w14:textId="77777777" w:rsidR="00B23C66" w:rsidRPr="002C127A" w:rsidRDefault="00B23C66" w:rsidP="002C127A">
            <w:pPr>
              <w:spacing w:line="360" w:lineRule="auto"/>
              <w:rPr>
                <w:rFonts w:ascii="Arial" w:hAnsi="Arial" w:cs="Arial"/>
              </w:rPr>
            </w:pPr>
            <w:r w:rsidRPr="002C127A">
              <w:rPr>
                <w:rFonts w:ascii="Arial" w:hAnsi="Arial" w:cs="Arial"/>
                <w:lang w:val="en-US"/>
              </w:rPr>
              <w:t>Senior supervision standard</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B9B0D76" w14:textId="77777777" w:rsidR="00B23C66" w:rsidRPr="002C127A" w:rsidRDefault="00B23C66" w:rsidP="002C127A">
            <w:pPr>
              <w:spacing w:line="360" w:lineRule="auto"/>
              <w:rPr>
                <w:rFonts w:ascii="Arial" w:hAnsi="Arial" w:cs="Arial"/>
              </w:rPr>
            </w:pPr>
            <w:r w:rsidRPr="002C127A">
              <w:rPr>
                <w:rFonts w:ascii="Arial" w:hAnsi="Arial" w:cs="Arial"/>
                <w:lang w:val="en-US"/>
              </w:rPr>
              <w:t>Insufficient cover or nominal availability without response.</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6606B72" w14:textId="77777777" w:rsidR="00B23C66" w:rsidRPr="002C127A" w:rsidRDefault="00B23C66" w:rsidP="002C127A">
            <w:pPr>
              <w:spacing w:line="360" w:lineRule="auto"/>
              <w:rPr>
                <w:rFonts w:ascii="Arial" w:hAnsi="Arial" w:cs="Arial"/>
              </w:rPr>
            </w:pPr>
            <w:r w:rsidRPr="002C127A">
              <w:rPr>
                <w:rFonts w:ascii="Arial" w:hAnsi="Arial" w:cs="Arial"/>
                <w:lang w:val="en-US"/>
              </w:rPr>
              <w:t>Medium / High</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C06A664" w14:textId="77777777" w:rsidR="00B23C66" w:rsidRPr="002C127A" w:rsidRDefault="00B23C66" w:rsidP="002C127A">
            <w:pPr>
              <w:spacing w:line="360" w:lineRule="auto"/>
              <w:rPr>
                <w:rFonts w:ascii="Arial" w:hAnsi="Arial" w:cs="Arial"/>
              </w:rPr>
            </w:pPr>
            <w:r w:rsidRPr="002C127A">
              <w:rPr>
                <w:rFonts w:ascii="Arial" w:hAnsi="Arial" w:cs="Arial"/>
                <w:lang w:val="en-US"/>
              </w:rPr>
              <w:t>Published rota, named deputy, automatic escalation after time limit and executive exception review.</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662A2A16" w14:textId="77777777" w:rsidR="00B23C66" w:rsidRPr="002C127A" w:rsidRDefault="00B23C66" w:rsidP="002C127A">
            <w:pPr>
              <w:spacing w:line="360" w:lineRule="auto"/>
              <w:rPr>
                <w:rFonts w:ascii="Arial" w:hAnsi="Arial" w:cs="Arial"/>
              </w:rPr>
            </w:pPr>
            <w:r w:rsidRPr="002C127A">
              <w:rPr>
                <w:rFonts w:ascii="Arial" w:hAnsi="Arial" w:cs="Arial"/>
                <w:lang w:val="en-US"/>
              </w:rPr>
              <w:t>Chief medical officer</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A9D6D13" w14:textId="77777777" w:rsidR="00B23C66" w:rsidRPr="002C127A" w:rsidRDefault="00B23C66" w:rsidP="002C127A">
            <w:pPr>
              <w:spacing w:line="360" w:lineRule="auto"/>
              <w:rPr>
                <w:rFonts w:ascii="Arial" w:hAnsi="Arial" w:cs="Arial"/>
              </w:rPr>
            </w:pPr>
            <w:r w:rsidRPr="002C127A">
              <w:rPr>
                <w:rFonts w:ascii="Arial" w:hAnsi="Arial" w:cs="Arial"/>
                <w:lang w:val="en-US"/>
              </w:rPr>
              <w:t>Median time to senior review; failed contacts.</w:t>
            </w:r>
            <w:r w:rsidRPr="002C127A">
              <w:rPr>
                <w:rFonts w:ascii="Arial" w:hAnsi="Arial" w:cs="Arial"/>
              </w:rPr>
              <w:t> </w:t>
            </w:r>
          </w:p>
        </w:tc>
      </w:tr>
      <w:tr w:rsidR="00B23C66" w:rsidRPr="002C127A" w14:paraId="681B7F19" w14:textId="77777777">
        <w:trPr>
          <w:trHeight w:val="300"/>
        </w:trPr>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93F4876" w14:textId="77777777" w:rsidR="00B23C66" w:rsidRPr="002C127A" w:rsidRDefault="00B23C66" w:rsidP="002C127A">
            <w:pPr>
              <w:spacing w:line="360" w:lineRule="auto"/>
              <w:rPr>
                <w:rFonts w:ascii="Arial" w:hAnsi="Arial" w:cs="Arial"/>
              </w:rPr>
            </w:pPr>
            <w:r w:rsidRPr="002C127A">
              <w:rPr>
                <w:rFonts w:ascii="Arial" w:hAnsi="Arial" w:cs="Arial"/>
                <w:lang w:val="en-US"/>
              </w:rPr>
              <w:lastRenderedPageBreak/>
              <w:t>Leadership and safety training</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BCB98F5" w14:textId="77777777" w:rsidR="00B23C66" w:rsidRPr="002C127A" w:rsidRDefault="00B23C66" w:rsidP="002C127A">
            <w:pPr>
              <w:spacing w:line="360" w:lineRule="auto"/>
              <w:rPr>
                <w:rFonts w:ascii="Arial" w:hAnsi="Arial" w:cs="Arial"/>
              </w:rPr>
            </w:pPr>
            <w:r w:rsidRPr="002C127A">
              <w:rPr>
                <w:rFonts w:ascii="Arial" w:hAnsi="Arial" w:cs="Arial"/>
                <w:lang w:val="en-US"/>
              </w:rPr>
              <w:t>Poor attendance or limited transfer into practice.</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CB7AA6C" w14:textId="77777777" w:rsidR="00B23C66" w:rsidRPr="002C127A" w:rsidRDefault="00B23C66" w:rsidP="002C127A">
            <w:pPr>
              <w:spacing w:line="360" w:lineRule="auto"/>
              <w:rPr>
                <w:rFonts w:ascii="Arial" w:hAnsi="Arial" w:cs="Arial"/>
              </w:rPr>
            </w:pPr>
            <w:r w:rsidRPr="002C127A">
              <w:rPr>
                <w:rFonts w:ascii="Arial" w:hAnsi="Arial" w:cs="Arial"/>
                <w:lang w:val="en-US"/>
              </w:rPr>
              <w:t>Medium / Medium</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6D11CCA5" w14:textId="77777777" w:rsidR="00B23C66" w:rsidRPr="002C127A" w:rsidRDefault="00B23C66" w:rsidP="002C127A">
            <w:pPr>
              <w:spacing w:line="360" w:lineRule="auto"/>
              <w:rPr>
                <w:rFonts w:ascii="Arial" w:hAnsi="Arial" w:cs="Arial"/>
              </w:rPr>
            </w:pPr>
            <w:r w:rsidRPr="002C127A">
              <w:rPr>
                <w:rFonts w:ascii="Arial" w:hAnsi="Arial" w:cs="Arial"/>
                <w:lang w:val="en-US"/>
              </w:rPr>
              <w:t>Protected time, simulation, observed competency and supervision follow-up.</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EE4C6DB" w14:textId="77777777" w:rsidR="00B23C66" w:rsidRPr="002C127A" w:rsidRDefault="00B23C66" w:rsidP="002C127A">
            <w:pPr>
              <w:spacing w:line="360" w:lineRule="auto"/>
              <w:rPr>
                <w:rFonts w:ascii="Arial" w:hAnsi="Arial" w:cs="Arial"/>
              </w:rPr>
            </w:pPr>
            <w:r w:rsidRPr="002C127A">
              <w:rPr>
                <w:rFonts w:ascii="Arial" w:hAnsi="Arial" w:cs="Arial"/>
                <w:lang w:val="en-US"/>
              </w:rPr>
              <w:t>Workforce lead</w:t>
            </w:r>
            <w:r w:rsidRPr="002C127A">
              <w:rPr>
                <w:rFonts w:ascii="Arial" w:hAnsi="Arial" w:cs="Arial"/>
              </w:rPr>
              <w:t> </w:t>
            </w:r>
          </w:p>
        </w:tc>
        <w:tc>
          <w:tcPr>
            <w:tcW w:w="154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9ADB593" w14:textId="77777777" w:rsidR="00B23C66" w:rsidRPr="002C127A" w:rsidRDefault="00B23C66" w:rsidP="002C127A">
            <w:pPr>
              <w:spacing w:line="360" w:lineRule="auto"/>
              <w:rPr>
                <w:rFonts w:ascii="Arial" w:hAnsi="Arial" w:cs="Arial"/>
              </w:rPr>
            </w:pPr>
            <w:r w:rsidRPr="002C127A">
              <w:rPr>
                <w:rFonts w:ascii="Arial" w:hAnsi="Arial" w:cs="Arial"/>
                <w:lang w:val="en-US"/>
              </w:rPr>
              <w:t>Completion, competency and 3-month practice audit.</w:t>
            </w:r>
            <w:r w:rsidRPr="002C127A">
              <w:rPr>
                <w:rFonts w:ascii="Arial" w:hAnsi="Arial" w:cs="Arial"/>
              </w:rPr>
              <w:t> </w:t>
            </w:r>
          </w:p>
        </w:tc>
      </w:tr>
    </w:tbl>
    <w:p w14:paraId="39590986" w14:textId="77777777" w:rsidR="00950C1D" w:rsidRDefault="00950C1D" w:rsidP="002C127A">
      <w:pPr>
        <w:spacing w:line="360" w:lineRule="auto"/>
        <w:rPr>
          <w:rFonts w:ascii="Arial" w:hAnsi="Arial" w:cs="Arial"/>
          <w:lang w:val="en-US"/>
        </w:rPr>
      </w:pPr>
    </w:p>
    <w:p w14:paraId="01E7D2DA" w14:textId="5AA847A7" w:rsidR="00B23C66" w:rsidRPr="002C127A" w:rsidRDefault="00B23C66" w:rsidP="002C127A">
      <w:pPr>
        <w:spacing w:line="360" w:lineRule="auto"/>
        <w:rPr>
          <w:rFonts w:ascii="Arial" w:hAnsi="Arial" w:cs="Arial"/>
        </w:rPr>
      </w:pPr>
      <w:r w:rsidRPr="002C127A">
        <w:rPr>
          <w:rFonts w:ascii="Arial" w:hAnsi="Arial" w:cs="Arial"/>
          <w:lang w:val="en-US"/>
        </w:rPr>
        <w:t>Implementation should begin with a baseline audit, followed by a 12-week pilot on one surgical ward. The governance group should review process measures weekly</w:t>
      </w:r>
      <w:r w:rsidR="00950C1D">
        <w:rPr>
          <w:rFonts w:ascii="Arial" w:hAnsi="Arial" w:cs="Arial"/>
          <w:lang w:val="en-US"/>
        </w:rPr>
        <w:t>,</w:t>
      </w:r>
      <w:r w:rsidRPr="002C127A">
        <w:rPr>
          <w:rFonts w:ascii="Arial" w:hAnsi="Arial" w:cs="Arial"/>
          <w:lang w:val="en-US"/>
        </w:rPr>
        <w:t xml:space="preserve"> and outcome measures monthly. A change should be scaled only where staff can use it reliably</w:t>
      </w:r>
      <w:r w:rsidR="00950C1D">
        <w:rPr>
          <w:rFonts w:ascii="Arial" w:hAnsi="Arial" w:cs="Arial"/>
          <w:lang w:val="en-US"/>
        </w:rPr>
        <w:t>,</w:t>
      </w:r>
      <w:r w:rsidRPr="002C127A">
        <w:rPr>
          <w:rFonts w:ascii="Arial" w:hAnsi="Arial" w:cs="Arial"/>
          <w:lang w:val="en-US"/>
        </w:rPr>
        <w:t xml:space="preserve"> and no serious unintended risk remains. At six and twelve months, the board should receive an integrated dashboard covering response times, preventable harm, medication events, unplanned intensive-care transfer, family escalation, staff speaking-up scores and resource use. This creates a closed learning loop: data informs leadership action, action is evaluated</w:t>
      </w:r>
      <w:r w:rsidR="00950C1D">
        <w:rPr>
          <w:rFonts w:ascii="Arial" w:hAnsi="Arial" w:cs="Arial"/>
          <w:lang w:val="en-US"/>
        </w:rPr>
        <w:t>,</w:t>
      </w:r>
      <w:r w:rsidRPr="002C127A">
        <w:rPr>
          <w:rFonts w:ascii="Arial" w:hAnsi="Arial" w:cs="Arial"/>
          <w:lang w:val="en-US"/>
        </w:rPr>
        <w:t xml:space="preserve"> and the system is adjusted.</w:t>
      </w:r>
      <w:r w:rsidRPr="002C127A">
        <w:rPr>
          <w:rFonts w:ascii="Arial" w:hAnsi="Arial" w:cs="Arial"/>
        </w:rPr>
        <w:t> </w:t>
      </w:r>
    </w:p>
    <w:p w14:paraId="3590B6D5" w14:textId="779AC8E6" w:rsidR="00B23C66" w:rsidRDefault="00B23C66" w:rsidP="00F039E0">
      <w:pPr>
        <w:pStyle w:val="Heading1"/>
      </w:pPr>
      <w:bookmarkStart w:id="20" w:name="_Toc236148054"/>
      <w:r w:rsidRPr="002C127A">
        <w:rPr>
          <w:lang w:val="en-US"/>
        </w:rPr>
        <w:t>Conclusion</w:t>
      </w:r>
      <w:bookmarkEnd w:id="20"/>
      <w:r w:rsidRPr="002C127A">
        <w:t> </w:t>
      </w:r>
    </w:p>
    <w:p w14:paraId="5538B37E" w14:textId="77777777" w:rsidR="00F039E0" w:rsidRPr="00F039E0" w:rsidRDefault="00F039E0" w:rsidP="00F039E0"/>
    <w:p w14:paraId="0BC2E7B8" w14:textId="77777777" w:rsidR="00B23C66" w:rsidRDefault="00B23C66" w:rsidP="002C127A">
      <w:pPr>
        <w:spacing w:line="360" w:lineRule="auto"/>
        <w:rPr>
          <w:rFonts w:ascii="Arial" w:hAnsi="Arial" w:cs="Arial"/>
        </w:rPr>
      </w:pPr>
      <w:r w:rsidRPr="002C127A">
        <w:rPr>
          <w:rFonts w:ascii="Arial" w:hAnsi="Arial" w:cs="Arial"/>
          <w:lang w:val="en-US"/>
        </w:rPr>
        <w:t>The Lewis Blackman case demonstrates that preventable death can arise when individually small weaknesses align across diagnosis, communication, monitoring, supervision, hierarchy and family involvement. Global and United States evidence confirms that unsafe care remains common and costly, while the case-level evidence shows how a 15-year-old patient's deterioration over fewer than four days was not converted into senior review and effective rescue. The later South Carolina legislation addressed important structural rights, but organisational leadership remains responsible for translating those rights into reliable clinical practice.</w:t>
      </w:r>
      <w:r w:rsidRPr="002C127A">
        <w:rPr>
          <w:rFonts w:ascii="Arial" w:hAnsi="Arial" w:cs="Arial"/>
        </w:rPr>
        <w:t> </w:t>
      </w:r>
    </w:p>
    <w:p w14:paraId="6B3BBE80" w14:textId="77777777" w:rsidR="00950C1D" w:rsidRPr="002C127A" w:rsidRDefault="00950C1D" w:rsidP="002C127A">
      <w:pPr>
        <w:spacing w:line="360" w:lineRule="auto"/>
        <w:rPr>
          <w:rFonts w:ascii="Arial" w:hAnsi="Arial" w:cs="Arial"/>
        </w:rPr>
      </w:pPr>
    </w:p>
    <w:p w14:paraId="4F403C42" w14:textId="31B754CF" w:rsidR="00B23C66" w:rsidRDefault="00B23C66" w:rsidP="002C127A">
      <w:pPr>
        <w:spacing w:line="360" w:lineRule="auto"/>
        <w:rPr>
          <w:rFonts w:ascii="Arial" w:hAnsi="Arial" w:cs="Arial"/>
        </w:rPr>
      </w:pPr>
      <w:r w:rsidRPr="002C127A">
        <w:rPr>
          <w:rFonts w:ascii="Arial" w:hAnsi="Arial" w:cs="Arial"/>
          <w:lang w:val="en-US"/>
        </w:rPr>
        <w:t xml:space="preserve">Systems thinking shows that the solution is not simply to identify one person to blame or add another policy. Safe care requires functioning feedback loops: abnormal observations and serious concern must trigger independent assessment, the outcome must be recorded, and learning must influence standards, training and resource allocation. CATWOE clarifies the roles of patients, families, professionals, owners and regulators, while the </w:t>
      </w:r>
      <w:r w:rsidR="006B3358">
        <w:rPr>
          <w:rFonts w:ascii="Arial" w:hAnsi="Arial" w:cs="Arial"/>
          <w:lang w:val="en-US"/>
        </w:rPr>
        <w:t>centralisation</w:t>
      </w:r>
      <w:r w:rsidRPr="002C127A">
        <w:rPr>
          <w:rFonts w:ascii="Arial" w:hAnsi="Arial" w:cs="Arial"/>
          <w:lang w:val="en-US"/>
        </w:rPr>
        <w:t xml:space="preserve"> analysis supports a hybrid model that </w:t>
      </w:r>
      <w:r w:rsidR="00950C1D">
        <w:rPr>
          <w:rFonts w:ascii="Arial" w:hAnsi="Arial" w:cs="Arial"/>
          <w:lang w:val="en-US"/>
        </w:rPr>
        <w:t>centralises</w:t>
      </w:r>
      <w:r w:rsidRPr="002C127A">
        <w:rPr>
          <w:rFonts w:ascii="Arial" w:hAnsi="Arial" w:cs="Arial"/>
          <w:lang w:val="en-US"/>
        </w:rPr>
        <w:t xml:space="preserve"> non-negotiable standards and accountability but </w:t>
      </w:r>
      <w:r w:rsidR="006B3358">
        <w:rPr>
          <w:rFonts w:ascii="Arial" w:hAnsi="Arial" w:cs="Arial"/>
          <w:lang w:val="en-US"/>
        </w:rPr>
        <w:t>decentralises</w:t>
      </w:r>
      <w:r w:rsidRPr="002C127A">
        <w:rPr>
          <w:rFonts w:ascii="Arial" w:hAnsi="Arial" w:cs="Arial"/>
          <w:lang w:val="en-US"/>
        </w:rPr>
        <w:t xml:space="preserve"> the authority to escalate risk.</w:t>
      </w:r>
      <w:r w:rsidRPr="002C127A">
        <w:rPr>
          <w:rFonts w:ascii="Arial" w:hAnsi="Arial" w:cs="Arial"/>
        </w:rPr>
        <w:t> </w:t>
      </w:r>
    </w:p>
    <w:p w14:paraId="0643C0D8" w14:textId="77777777" w:rsidR="00950C1D" w:rsidRPr="002C127A" w:rsidRDefault="00950C1D" w:rsidP="002C127A">
      <w:pPr>
        <w:spacing w:line="360" w:lineRule="auto"/>
        <w:rPr>
          <w:rFonts w:ascii="Arial" w:hAnsi="Arial" w:cs="Arial"/>
        </w:rPr>
      </w:pPr>
    </w:p>
    <w:p w14:paraId="7C9839D4" w14:textId="5C3E749E" w:rsidR="00C87EED" w:rsidRDefault="00B23C66" w:rsidP="002C127A">
      <w:pPr>
        <w:spacing w:line="360" w:lineRule="auto"/>
        <w:rPr>
          <w:rFonts w:ascii="Arial" w:hAnsi="Arial" w:cs="Arial"/>
        </w:rPr>
      </w:pPr>
      <w:r w:rsidRPr="002C127A">
        <w:rPr>
          <w:rFonts w:ascii="Arial" w:hAnsi="Arial" w:cs="Arial"/>
          <w:lang w:val="en-US"/>
        </w:rPr>
        <w:lastRenderedPageBreak/>
        <w:t xml:space="preserve">Leadership should similarly be integrated. Transformational and servant leadership create purpose, trust and partnership; transactional leadership secures essential controls; situational leadership adapts supervision to risk; and distributed leadership uses multidisciplinary and family knowledge. The proposed programme combines these approaches with measurable implementation, technical and allocative efficiency, co-production and prospective risk management. Its success should be judged not by the existence of policies but by faster senior review, reliable monitoring, fewer preventable adverse events, stronger family voice and sustained </w:t>
      </w:r>
      <w:r w:rsidR="00950C1D">
        <w:rPr>
          <w:rFonts w:ascii="Arial" w:hAnsi="Arial" w:cs="Arial"/>
          <w:lang w:val="en-US"/>
        </w:rPr>
        <w:t>organisational</w:t>
      </w:r>
      <w:r w:rsidRPr="002C127A">
        <w:rPr>
          <w:rFonts w:ascii="Arial" w:hAnsi="Arial" w:cs="Arial"/>
          <w:lang w:val="en-US"/>
        </w:rPr>
        <w:t xml:space="preserve"> learning.</w:t>
      </w:r>
      <w:r w:rsidRPr="002C127A">
        <w:rPr>
          <w:rFonts w:ascii="Arial" w:hAnsi="Arial" w:cs="Arial"/>
        </w:rPr>
        <w:t> </w:t>
      </w:r>
    </w:p>
    <w:p w14:paraId="0B2A1DFB" w14:textId="77777777" w:rsidR="00732E55" w:rsidRDefault="00732E55" w:rsidP="002C127A">
      <w:pPr>
        <w:spacing w:line="360" w:lineRule="auto"/>
        <w:rPr>
          <w:rFonts w:ascii="Arial" w:hAnsi="Arial" w:cs="Arial"/>
        </w:rPr>
      </w:pPr>
    </w:p>
    <w:p w14:paraId="72FD979B" w14:textId="77777777" w:rsidR="00732E55" w:rsidRDefault="00732E55" w:rsidP="002C127A">
      <w:pPr>
        <w:spacing w:line="360" w:lineRule="auto"/>
        <w:rPr>
          <w:rFonts w:ascii="Arial" w:hAnsi="Arial" w:cs="Arial"/>
        </w:rPr>
      </w:pPr>
    </w:p>
    <w:p w14:paraId="1BDD0053" w14:textId="77777777" w:rsidR="00732E55" w:rsidRDefault="00732E55" w:rsidP="002C127A">
      <w:pPr>
        <w:spacing w:line="360" w:lineRule="auto"/>
        <w:rPr>
          <w:rFonts w:ascii="Arial" w:hAnsi="Arial" w:cs="Arial"/>
        </w:rPr>
      </w:pPr>
    </w:p>
    <w:p w14:paraId="14DA7E81" w14:textId="77777777" w:rsidR="00732E55" w:rsidRDefault="00732E55" w:rsidP="002C127A">
      <w:pPr>
        <w:spacing w:line="360" w:lineRule="auto"/>
        <w:rPr>
          <w:rFonts w:ascii="Arial" w:hAnsi="Arial" w:cs="Arial"/>
        </w:rPr>
      </w:pPr>
    </w:p>
    <w:p w14:paraId="725F43D8" w14:textId="77777777" w:rsidR="00732E55" w:rsidRDefault="00732E55" w:rsidP="002C127A">
      <w:pPr>
        <w:spacing w:line="360" w:lineRule="auto"/>
        <w:rPr>
          <w:rFonts w:ascii="Arial" w:hAnsi="Arial" w:cs="Arial"/>
        </w:rPr>
      </w:pPr>
    </w:p>
    <w:p w14:paraId="55D46D76" w14:textId="77777777" w:rsidR="00732E55" w:rsidRDefault="00732E55" w:rsidP="002C127A">
      <w:pPr>
        <w:spacing w:line="360" w:lineRule="auto"/>
        <w:rPr>
          <w:rFonts w:ascii="Arial" w:hAnsi="Arial" w:cs="Arial"/>
        </w:rPr>
      </w:pPr>
    </w:p>
    <w:p w14:paraId="39FDE538" w14:textId="77777777" w:rsidR="00732E55" w:rsidRDefault="00732E55" w:rsidP="002C127A">
      <w:pPr>
        <w:spacing w:line="360" w:lineRule="auto"/>
        <w:rPr>
          <w:rFonts w:ascii="Arial" w:hAnsi="Arial" w:cs="Arial"/>
        </w:rPr>
      </w:pPr>
    </w:p>
    <w:p w14:paraId="7C1CC724" w14:textId="77777777" w:rsidR="00732E55" w:rsidRDefault="00732E55" w:rsidP="002C127A">
      <w:pPr>
        <w:spacing w:line="360" w:lineRule="auto"/>
        <w:rPr>
          <w:rFonts w:ascii="Arial" w:hAnsi="Arial" w:cs="Arial"/>
        </w:rPr>
      </w:pPr>
    </w:p>
    <w:p w14:paraId="532DD7C4" w14:textId="77777777" w:rsidR="00732E55" w:rsidRDefault="00732E55" w:rsidP="002C127A">
      <w:pPr>
        <w:spacing w:line="360" w:lineRule="auto"/>
        <w:rPr>
          <w:rFonts w:ascii="Arial" w:hAnsi="Arial" w:cs="Arial"/>
        </w:rPr>
      </w:pPr>
    </w:p>
    <w:p w14:paraId="79DC518D" w14:textId="77777777" w:rsidR="00732E55" w:rsidRDefault="00732E55" w:rsidP="002C127A">
      <w:pPr>
        <w:spacing w:line="360" w:lineRule="auto"/>
        <w:rPr>
          <w:rFonts w:ascii="Arial" w:hAnsi="Arial" w:cs="Arial"/>
        </w:rPr>
      </w:pPr>
    </w:p>
    <w:p w14:paraId="33FA5BC0" w14:textId="77777777" w:rsidR="00732E55" w:rsidRDefault="00732E55" w:rsidP="002C127A">
      <w:pPr>
        <w:spacing w:line="360" w:lineRule="auto"/>
        <w:rPr>
          <w:rFonts w:ascii="Arial" w:hAnsi="Arial" w:cs="Arial"/>
        </w:rPr>
      </w:pPr>
    </w:p>
    <w:p w14:paraId="492B0CE7" w14:textId="77777777" w:rsidR="00732E55" w:rsidRDefault="00732E55" w:rsidP="002C127A">
      <w:pPr>
        <w:spacing w:line="360" w:lineRule="auto"/>
        <w:rPr>
          <w:rFonts w:ascii="Arial" w:hAnsi="Arial" w:cs="Arial"/>
        </w:rPr>
      </w:pPr>
    </w:p>
    <w:p w14:paraId="3B37D2D4" w14:textId="77777777" w:rsidR="00732E55" w:rsidRDefault="00732E55" w:rsidP="002C127A">
      <w:pPr>
        <w:spacing w:line="360" w:lineRule="auto"/>
        <w:rPr>
          <w:rFonts w:ascii="Arial" w:hAnsi="Arial" w:cs="Arial"/>
        </w:rPr>
      </w:pPr>
    </w:p>
    <w:p w14:paraId="371F53E7" w14:textId="77777777" w:rsidR="00732E55" w:rsidRDefault="00732E55" w:rsidP="002C127A">
      <w:pPr>
        <w:spacing w:line="360" w:lineRule="auto"/>
        <w:rPr>
          <w:rFonts w:ascii="Arial" w:hAnsi="Arial" w:cs="Arial"/>
        </w:rPr>
      </w:pPr>
    </w:p>
    <w:p w14:paraId="59E061F1" w14:textId="77777777" w:rsidR="00732E55" w:rsidRDefault="00732E55" w:rsidP="002C127A">
      <w:pPr>
        <w:spacing w:line="360" w:lineRule="auto"/>
        <w:rPr>
          <w:rFonts w:ascii="Arial" w:hAnsi="Arial" w:cs="Arial"/>
        </w:rPr>
      </w:pPr>
    </w:p>
    <w:p w14:paraId="5CAE4014" w14:textId="77777777" w:rsidR="00732E55" w:rsidRDefault="00732E55" w:rsidP="002C127A">
      <w:pPr>
        <w:spacing w:line="360" w:lineRule="auto"/>
        <w:rPr>
          <w:rFonts w:ascii="Arial" w:hAnsi="Arial" w:cs="Arial"/>
        </w:rPr>
      </w:pPr>
    </w:p>
    <w:p w14:paraId="771B4FD1" w14:textId="77777777" w:rsidR="00732E55" w:rsidRDefault="00732E55" w:rsidP="002C127A">
      <w:pPr>
        <w:spacing w:line="360" w:lineRule="auto"/>
        <w:rPr>
          <w:rFonts w:ascii="Arial" w:hAnsi="Arial" w:cs="Arial"/>
        </w:rPr>
      </w:pPr>
    </w:p>
    <w:p w14:paraId="2E40C78C" w14:textId="77777777" w:rsidR="00732E55" w:rsidRDefault="00732E55" w:rsidP="002C127A">
      <w:pPr>
        <w:spacing w:line="360" w:lineRule="auto"/>
        <w:rPr>
          <w:rFonts w:ascii="Arial" w:hAnsi="Arial" w:cs="Arial"/>
        </w:rPr>
      </w:pPr>
    </w:p>
    <w:p w14:paraId="142D5BB1" w14:textId="77777777" w:rsidR="00732E55" w:rsidRDefault="00732E55" w:rsidP="002C127A">
      <w:pPr>
        <w:spacing w:line="360" w:lineRule="auto"/>
        <w:rPr>
          <w:rFonts w:ascii="Arial" w:hAnsi="Arial" w:cs="Arial"/>
        </w:rPr>
      </w:pPr>
    </w:p>
    <w:p w14:paraId="04A8C097" w14:textId="77777777" w:rsidR="00732E55" w:rsidRDefault="00732E55" w:rsidP="002C127A">
      <w:pPr>
        <w:spacing w:line="360" w:lineRule="auto"/>
        <w:rPr>
          <w:rFonts w:ascii="Arial" w:hAnsi="Arial" w:cs="Arial"/>
        </w:rPr>
      </w:pPr>
    </w:p>
    <w:p w14:paraId="30F9B155" w14:textId="77777777" w:rsidR="00732E55" w:rsidRDefault="00732E55" w:rsidP="002C127A">
      <w:pPr>
        <w:spacing w:line="360" w:lineRule="auto"/>
        <w:rPr>
          <w:rFonts w:ascii="Arial" w:hAnsi="Arial" w:cs="Arial"/>
        </w:rPr>
      </w:pPr>
    </w:p>
    <w:p w14:paraId="17E17901" w14:textId="77777777" w:rsidR="00732E55" w:rsidRDefault="00732E55" w:rsidP="002C127A">
      <w:pPr>
        <w:spacing w:line="360" w:lineRule="auto"/>
        <w:rPr>
          <w:rFonts w:ascii="Arial" w:hAnsi="Arial" w:cs="Arial"/>
        </w:rPr>
      </w:pPr>
    </w:p>
    <w:p w14:paraId="1082F017" w14:textId="77777777" w:rsidR="00732E55" w:rsidRDefault="00732E55" w:rsidP="002C127A">
      <w:pPr>
        <w:spacing w:line="360" w:lineRule="auto"/>
        <w:rPr>
          <w:rFonts w:ascii="Arial" w:hAnsi="Arial" w:cs="Arial"/>
        </w:rPr>
      </w:pPr>
    </w:p>
    <w:p w14:paraId="06C326D9" w14:textId="77777777" w:rsidR="00732E55" w:rsidRDefault="00732E55" w:rsidP="002C127A">
      <w:pPr>
        <w:spacing w:line="360" w:lineRule="auto"/>
        <w:rPr>
          <w:rFonts w:ascii="Arial" w:hAnsi="Arial" w:cs="Arial"/>
        </w:rPr>
      </w:pPr>
    </w:p>
    <w:p w14:paraId="5733BFB4" w14:textId="77777777" w:rsidR="00732E55" w:rsidRDefault="00732E55" w:rsidP="002C127A">
      <w:pPr>
        <w:spacing w:line="360" w:lineRule="auto"/>
        <w:rPr>
          <w:rFonts w:ascii="Arial" w:hAnsi="Arial" w:cs="Arial"/>
        </w:rPr>
      </w:pPr>
    </w:p>
    <w:p w14:paraId="611A6CA1" w14:textId="77777777" w:rsidR="00732E55" w:rsidRDefault="00732E55" w:rsidP="002C127A">
      <w:pPr>
        <w:spacing w:line="360" w:lineRule="auto"/>
        <w:rPr>
          <w:rFonts w:ascii="Arial" w:hAnsi="Arial" w:cs="Arial"/>
        </w:rPr>
      </w:pPr>
    </w:p>
    <w:p w14:paraId="4A4995EF" w14:textId="77777777" w:rsidR="00732E55" w:rsidRPr="002C127A" w:rsidRDefault="00732E55" w:rsidP="002C127A">
      <w:pPr>
        <w:spacing w:line="360" w:lineRule="auto"/>
        <w:rPr>
          <w:rFonts w:ascii="Arial" w:hAnsi="Arial" w:cs="Arial"/>
        </w:rPr>
      </w:pPr>
    </w:p>
    <w:p w14:paraId="3DFB344B" w14:textId="77777777" w:rsidR="00B23C66" w:rsidRDefault="00B23C66" w:rsidP="00B24844">
      <w:pPr>
        <w:pStyle w:val="Heading1"/>
      </w:pPr>
      <w:bookmarkStart w:id="21" w:name="_Toc236148055"/>
      <w:r w:rsidRPr="00B23C66">
        <w:rPr>
          <w:lang w:val="en-US"/>
        </w:rPr>
        <w:lastRenderedPageBreak/>
        <w:t>References</w:t>
      </w:r>
      <w:bookmarkEnd w:id="21"/>
      <w:r w:rsidRPr="00B23C66">
        <w:t> </w:t>
      </w:r>
    </w:p>
    <w:p w14:paraId="16BE8DFE" w14:textId="77777777" w:rsidR="00B24844" w:rsidRPr="00B24844" w:rsidRDefault="00B24844" w:rsidP="00B24844"/>
    <w:p w14:paraId="556888FB" w14:textId="7E7980DC" w:rsidR="00EB70FA" w:rsidRDefault="00EB70FA" w:rsidP="006A7565">
      <w:pPr>
        <w:spacing w:line="360" w:lineRule="auto"/>
        <w:rPr>
          <w:rFonts w:ascii="Arial" w:hAnsi="Arial" w:cs="Arial"/>
          <w:lang w:val="en-US"/>
        </w:rPr>
      </w:pPr>
      <w:r w:rsidRPr="00EB70FA">
        <w:rPr>
          <w:rFonts w:ascii="Arial" w:hAnsi="Arial" w:cs="Arial"/>
          <w:lang w:val="en-US"/>
        </w:rPr>
        <w:t xml:space="preserve">Acquaviva, K., Haskell, H. and Johnson, J. (2013) ‘Human cognition and the dynamics of failure to rescue: the Lewis Blackman case’, Journal of Professional Nursing, 29(2), pp. 95-101. </w:t>
      </w:r>
      <w:hyperlink r:id="rId7" w:history="1">
        <w:r w:rsidRPr="005B2C70">
          <w:rPr>
            <w:rStyle w:val="Hyperlink"/>
            <w:rFonts w:ascii="Arial" w:hAnsi="Arial" w:cs="Arial"/>
            <w:lang w:val="en-US"/>
          </w:rPr>
          <w:t>https://doi.org/10.1016/j.profnurs.2012.12.009</w:t>
        </w:r>
      </w:hyperlink>
    </w:p>
    <w:p w14:paraId="6911FFE1" w14:textId="408BFCA8" w:rsidR="00B23C66" w:rsidRPr="006A7565" w:rsidRDefault="00B23C66" w:rsidP="006A7565">
      <w:pPr>
        <w:spacing w:line="360" w:lineRule="auto"/>
        <w:rPr>
          <w:rFonts w:ascii="Arial" w:hAnsi="Arial" w:cs="Arial"/>
        </w:rPr>
      </w:pPr>
      <w:r w:rsidRPr="006A7565">
        <w:rPr>
          <w:rFonts w:ascii="Arial" w:hAnsi="Arial" w:cs="Arial"/>
          <w:lang w:val="en-US"/>
        </w:rPr>
        <w:t>Bass, B.M. and Riggio, R.E. (2006) Transformational Leadership. 2nd edn. Mahwah, NJ: Lawrence Erlbaum Associates.</w:t>
      </w:r>
      <w:r w:rsidRPr="006A7565">
        <w:rPr>
          <w:rFonts w:ascii="Arial" w:hAnsi="Arial" w:cs="Arial"/>
        </w:rPr>
        <w:t> </w:t>
      </w:r>
    </w:p>
    <w:p w14:paraId="72924462" w14:textId="77777777" w:rsidR="00B23C66" w:rsidRPr="006A7565" w:rsidRDefault="00B23C66" w:rsidP="006A7565">
      <w:pPr>
        <w:spacing w:line="360" w:lineRule="auto"/>
        <w:rPr>
          <w:rFonts w:ascii="Arial" w:hAnsi="Arial" w:cs="Arial"/>
        </w:rPr>
      </w:pPr>
      <w:r w:rsidRPr="006A7565">
        <w:rPr>
          <w:rFonts w:ascii="Arial" w:hAnsi="Arial" w:cs="Arial"/>
          <w:lang w:val="en-US"/>
        </w:rPr>
        <w:t>Batalden, M., Batalden, P., Margolis, P., Seid, M., Armstrong, G., Opipari-Arrigan, L. and Hartung, H. (2016) ‘Coproduction of healthcare service’, BMJ Quality &amp; Safety, 25(7), pp. 509–517. doi: 10.1136/bmjqs-2015-004315.</w:t>
      </w:r>
      <w:r w:rsidRPr="006A7565">
        <w:rPr>
          <w:rFonts w:ascii="Arial" w:hAnsi="Arial" w:cs="Arial"/>
        </w:rPr>
        <w:t> </w:t>
      </w:r>
    </w:p>
    <w:p w14:paraId="70566826" w14:textId="77777777" w:rsidR="00B23C66" w:rsidRPr="006A7565" w:rsidRDefault="00B23C66" w:rsidP="006A7565">
      <w:pPr>
        <w:spacing w:line="360" w:lineRule="auto"/>
        <w:rPr>
          <w:rFonts w:ascii="Arial" w:hAnsi="Arial" w:cs="Arial"/>
        </w:rPr>
      </w:pPr>
      <w:r w:rsidRPr="006A7565">
        <w:rPr>
          <w:rFonts w:ascii="Arial" w:hAnsi="Arial" w:cs="Arial"/>
          <w:lang w:val="en-US"/>
        </w:rPr>
        <w:t>Bates, D.W., Levine, D.M., Salmasian, H., Syrowatka, A., Shahian, D.M., Lipsitz, S., Zebrowski, J.P., Myers, L.C., Logan, M.S., Roy, C.G., Iannaccone, C., Frits, M.L., Volk, L.A., Dulgarian, S., Amato, M.G., Edrees, H.H., Sato, L., Folcarelli, P., Einbinder, J.S., Reynolds, M.E. and Mort, E. (2023) ‘The safety of inpatient health care’, New England Journal of Medicine, 388(2), pp. 142–153. doi: 10.1056/NEJMsa2206117.</w:t>
      </w:r>
      <w:r w:rsidRPr="006A7565">
        <w:rPr>
          <w:rFonts w:ascii="Arial" w:hAnsi="Arial" w:cs="Arial"/>
        </w:rPr>
        <w:t> </w:t>
      </w:r>
    </w:p>
    <w:p w14:paraId="3DE66015" w14:textId="77777777" w:rsidR="00B23C66" w:rsidRPr="006A7565" w:rsidRDefault="00B23C66" w:rsidP="006A7565">
      <w:pPr>
        <w:spacing w:line="360" w:lineRule="auto"/>
        <w:rPr>
          <w:rFonts w:ascii="Arial" w:hAnsi="Arial" w:cs="Arial"/>
        </w:rPr>
      </w:pPr>
      <w:r w:rsidRPr="006A7565">
        <w:rPr>
          <w:rFonts w:ascii="Arial" w:hAnsi="Arial" w:cs="Arial"/>
          <w:lang w:val="en-US"/>
        </w:rPr>
        <w:t>Blackman, H. (2008) The Lewis Blackman Story. Available at: https://lewisblackman.net (Accessed: 3 July 2026).</w:t>
      </w:r>
      <w:r w:rsidRPr="006A7565">
        <w:rPr>
          <w:rFonts w:ascii="Arial" w:hAnsi="Arial" w:cs="Arial"/>
        </w:rPr>
        <w:t> </w:t>
      </w:r>
    </w:p>
    <w:p w14:paraId="4A00DD38" w14:textId="77777777" w:rsidR="00B23C66" w:rsidRDefault="00B23C66" w:rsidP="006A7565">
      <w:pPr>
        <w:spacing w:line="360" w:lineRule="auto"/>
        <w:rPr>
          <w:rFonts w:ascii="Arial" w:hAnsi="Arial" w:cs="Arial"/>
        </w:rPr>
      </w:pPr>
      <w:r w:rsidRPr="006A7565">
        <w:rPr>
          <w:rFonts w:ascii="Arial" w:hAnsi="Arial" w:cs="Arial"/>
          <w:lang w:val="en-US"/>
        </w:rPr>
        <w:t>Boamah, S.A., Laschinger, H.K.S., Wong, C. and Clarke, S. (2018) ‘Effect of transformational leadership on job satisfaction and patient safety outcomes’, Nursing Outlook, 66(2), pp. 180–189. doi: 10.1016/j.outlook.2017.10.004.</w:t>
      </w:r>
      <w:r w:rsidRPr="006A7565">
        <w:rPr>
          <w:rFonts w:ascii="Arial" w:hAnsi="Arial" w:cs="Arial"/>
        </w:rPr>
        <w:t> </w:t>
      </w:r>
    </w:p>
    <w:p w14:paraId="36F9ED6E" w14:textId="5FC7F0CB" w:rsidR="00C51DF3" w:rsidRPr="006A7565" w:rsidRDefault="00C51DF3" w:rsidP="006A7565">
      <w:pPr>
        <w:spacing w:line="360" w:lineRule="auto"/>
        <w:rPr>
          <w:rFonts w:ascii="Arial" w:hAnsi="Arial" w:cs="Arial"/>
        </w:rPr>
      </w:pPr>
      <w:r w:rsidRPr="00C51DF3">
        <w:rPr>
          <w:rFonts w:ascii="Arial" w:hAnsi="Arial" w:cs="Arial"/>
        </w:rPr>
        <w:t xml:space="preserve">Braithwaite, J., </w:t>
      </w:r>
      <w:proofErr w:type="spellStart"/>
      <w:r w:rsidRPr="00C51DF3">
        <w:rPr>
          <w:rFonts w:ascii="Arial" w:hAnsi="Arial" w:cs="Arial"/>
        </w:rPr>
        <w:t>Churruca</w:t>
      </w:r>
      <w:proofErr w:type="spellEnd"/>
      <w:r w:rsidRPr="00C51DF3">
        <w:rPr>
          <w:rFonts w:ascii="Arial" w:hAnsi="Arial" w:cs="Arial"/>
        </w:rPr>
        <w:t>, K., Ellis, L.A. and Long, J.C. (2017) ‘Complexity science in healthcare: aspirations, approaches, applications and accomplishments’, BMJ Quality &amp; Safety, 26(11), pp. 927-930.</w:t>
      </w:r>
    </w:p>
    <w:p w14:paraId="1E339426" w14:textId="77777777" w:rsidR="00B23C66" w:rsidRPr="006A7565" w:rsidRDefault="00B23C66" w:rsidP="006A7565">
      <w:pPr>
        <w:spacing w:line="360" w:lineRule="auto"/>
        <w:rPr>
          <w:rFonts w:ascii="Arial" w:hAnsi="Arial" w:cs="Arial"/>
        </w:rPr>
      </w:pPr>
      <w:r w:rsidRPr="006A7565">
        <w:rPr>
          <w:rFonts w:ascii="Arial" w:hAnsi="Arial" w:cs="Arial"/>
          <w:lang w:val="en-US"/>
        </w:rPr>
        <w:t>Burnes, B. (2020) Managing Change. 8th edn. Harlow: Pearson.</w:t>
      </w:r>
      <w:r w:rsidRPr="006A7565">
        <w:rPr>
          <w:rFonts w:ascii="Arial" w:hAnsi="Arial" w:cs="Arial"/>
        </w:rPr>
        <w:t> </w:t>
      </w:r>
    </w:p>
    <w:p w14:paraId="3BC73160" w14:textId="77777777" w:rsidR="00B23C66" w:rsidRDefault="00B23C66" w:rsidP="006A7565">
      <w:pPr>
        <w:spacing w:line="360" w:lineRule="auto"/>
        <w:rPr>
          <w:rFonts w:ascii="Arial" w:hAnsi="Arial" w:cs="Arial"/>
        </w:rPr>
      </w:pPr>
      <w:r w:rsidRPr="006A7565">
        <w:rPr>
          <w:rFonts w:ascii="Arial" w:hAnsi="Arial" w:cs="Arial"/>
          <w:lang w:val="en-US"/>
        </w:rPr>
        <w:t>Carman, K.L., Dardess, P., Maurer, M., Sofaer, S., Adams, K., Bechtel, C. and Sweeney, J. (2013) ‘Patient and family engagement: A framework for understanding the elements and developing interventions and policies’, Health Affairs, 32(2), pp. 223–231. doi: 10.1377/hlthaff.2012.1133.</w:t>
      </w:r>
      <w:r w:rsidRPr="006A7565">
        <w:rPr>
          <w:rFonts w:ascii="Arial" w:hAnsi="Arial" w:cs="Arial"/>
        </w:rPr>
        <w:t> </w:t>
      </w:r>
    </w:p>
    <w:p w14:paraId="761C5AC8" w14:textId="74B6D037" w:rsidR="003878BE" w:rsidRPr="006A7565" w:rsidRDefault="003878BE" w:rsidP="006A7565">
      <w:pPr>
        <w:spacing w:line="360" w:lineRule="auto"/>
        <w:rPr>
          <w:rFonts w:ascii="Arial" w:hAnsi="Arial" w:cs="Arial"/>
        </w:rPr>
      </w:pPr>
      <w:proofErr w:type="spellStart"/>
      <w:r w:rsidRPr="003878BE">
        <w:rPr>
          <w:rFonts w:ascii="Arial" w:hAnsi="Arial" w:cs="Arial"/>
        </w:rPr>
        <w:t>Checkland</w:t>
      </w:r>
      <w:proofErr w:type="spellEnd"/>
      <w:r w:rsidRPr="003878BE">
        <w:rPr>
          <w:rFonts w:ascii="Arial" w:hAnsi="Arial" w:cs="Arial"/>
        </w:rPr>
        <w:t>, P. and Scholes, J. (1990) Soft Systems Methodology in Action. Chichester: John Wiley &amp; Sons.</w:t>
      </w:r>
      <w:r>
        <w:rPr>
          <w:rFonts w:ascii="Arial" w:hAnsi="Arial" w:cs="Arial"/>
        </w:rPr>
        <w:t xml:space="preserve"> </w:t>
      </w:r>
      <w:r>
        <w:rPr>
          <w:rFonts w:ascii="Arial" w:hAnsi="Arial" w:cs="Arial"/>
        </w:rPr>
        <w:tab/>
      </w:r>
    </w:p>
    <w:p w14:paraId="63BDF2DC" w14:textId="77777777" w:rsidR="00B23C66" w:rsidRPr="006A7565" w:rsidRDefault="00B23C66" w:rsidP="006A7565">
      <w:pPr>
        <w:spacing w:line="360" w:lineRule="auto"/>
        <w:rPr>
          <w:rFonts w:ascii="Arial" w:hAnsi="Arial" w:cs="Arial"/>
        </w:rPr>
      </w:pPr>
      <w:r w:rsidRPr="006A7565">
        <w:rPr>
          <w:rFonts w:ascii="Arial" w:hAnsi="Arial" w:cs="Arial"/>
          <w:lang w:val="en-US"/>
        </w:rPr>
        <w:t>Checkland, P. and Poulter, J. (2006) Learning for Action: A Short Definitive Account of Soft Systems Methodology and its Use for Practitioners, Teachers and Students. Chichester: John Wiley &amp; Sons.</w:t>
      </w:r>
      <w:r w:rsidRPr="006A7565">
        <w:rPr>
          <w:rFonts w:ascii="Arial" w:hAnsi="Arial" w:cs="Arial"/>
        </w:rPr>
        <w:t> </w:t>
      </w:r>
    </w:p>
    <w:p w14:paraId="091ACA9A" w14:textId="77777777" w:rsidR="00B23C66" w:rsidRPr="006A7565" w:rsidRDefault="00B23C66" w:rsidP="006A7565">
      <w:pPr>
        <w:spacing w:line="360" w:lineRule="auto"/>
        <w:rPr>
          <w:rFonts w:ascii="Arial" w:hAnsi="Arial" w:cs="Arial"/>
        </w:rPr>
      </w:pPr>
      <w:r w:rsidRPr="006A7565">
        <w:rPr>
          <w:rFonts w:ascii="Arial" w:hAnsi="Arial" w:cs="Arial"/>
          <w:lang w:val="en-US"/>
        </w:rPr>
        <w:t>Croskerry, P. (2003) ‘The importance of cognitive errors in diagnosis and strategies to minimise them’, Academic Medicine, 78(8), pp. 775–780.</w:t>
      </w:r>
      <w:r w:rsidRPr="006A7565">
        <w:rPr>
          <w:rFonts w:ascii="Arial" w:hAnsi="Arial" w:cs="Arial"/>
        </w:rPr>
        <w:t> </w:t>
      </w:r>
    </w:p>
    <w:p w14:paraId="63DB1FE7" w14:textId="77777777" w:rsidR="00B23C66" w:rsidRPr="006A7565" w:rsidRDefault="00B23C66" w:rsidP="006A7565">
      <w:pPr>
        <w:spacing w:line="360" w:lineRule="auto"/>
        <w:rPr>
          <w:rFonts w:ascii="Arial" w:hAnsi="Arial" w:cs="Arial"/>
        </w:rPr>
      </w:pPr>
      <w:r w:rsidRPr="006A7565">
        <w:rPr>
          <w:rFonts w:ascii="Arial" w:hAnsi="Arial" w:cs="Arial"/>
          <w:lang w:val="en-US"/>
        </w:rPr>
        <w:t xml:space="preserve">Cummings, G.G., Tate, K., Lee, S., Wong, C.A., Paananen, T., Micaroni, S.P.M. and Chatterjee, G.E. (2018) ‘Leadership styles and outcome patterns for the nursing workforce </w:t>
      </w:r>
      <w:r w:rsidRPr="006A7565">
        <w:rPr>
          <w:rFonts w:ascii="Arial" w:hAnsi="Arial" w:cs="Arial"/>
          <w:lang w:val="en-US"/>
        </w:rPr>
        <w:lastRenderedPageBreak/>
        <w:t>and work environment: A systematic review’, International Journal of Nursing Studies, 85, pp. 19–60. doi: 10.1016/j.ijnurstu.2018.04.016.</w:t>
      </w:r>
      <w:r w:rsidRPr="006A7565">
        <w:rPr>
          <w:rFonts w:ascii="Arial" w:hAnsi="Arial" w:cs="Arial"/>
        </w:rPr>
        <w:t> </w:t>
      </w:r>
    </w:p>
    <w:p w14:paraId="6863D654" w14:textId="77777777" w:rsidR="00B23C66" w:rsidRPr="006A7565" w:rsidRDefault="00B23C66" w:rsidP="006A7565">
      <w:pPr>
        <w:spacing w:line="360" w:lineRule="auto"/>
        <w:rPr>
          <w:rFonts w:ascii="Arial" w:hAnsi="Arial" w:cs="Arial"/>
        </w:rPr>
      </w:pPr>
      <w:r w:rsidRPr="006A7565">
        <w:rPr>
          <w:rFonts w:ascii="Arial" w:hAnsi="Arial" w:cs="Arial"/>
          <w:lang w:val="en-US"/>
        </w:rPr>
        <w:t>Daft, R.L. (2021) Management. 14th edn. Boston, MA: Cengage Learning.</w:t>
      </w:r>
      <w:r w:rsidRPr="006A7565">
        <w:rPr>
          <w:rFonts w:ascii="Arial" w:hAnsi="Arial" w:cs="Arial"/>
        </w:rPr>
        <w:t> </w:t>
      </w:r>
    </w:p>
    <w:p w14:paraId="5922468E" w14:textId="77777777" w:rsidR="00B23C66" w:rsidRPr="006A7565" w:rsidRDefault="00B23C66" w:rsidP="006A7565">
      <w:pPr>
        <w:spacing w:line="360" w:lineRule="auto"/>
        <w:rPr>
          <w:rFonts w:ascii="Arial" w:hAnsi="Arial" w:cs="Arial"/>
        </w:rPr>
      </w:pPr>
      <w:r w:rsidRPr="006A7565">
        <w:rPr>
          <w:rFonts w:ascii="Arial" w:hAnsi="Arial" w:cs="Arial"/>
          <w:lang w:val="en-US"/>
        </w:rPr>
        <w:t>DeRosier, J., Stalhandske, E., Bagian, J.P. and Nudell, T. (2002) ‘Using Health Care Failure Mode and Effect Analysis: The VA National Center for Patient Safety’s prospective risk analysis system’, Joint Commission Journal on Quality Improvement, 28(5), pp. 248–267.</w:t>
      </w:r>
      <w:r w:rsidRPr="006A7565">
        <w:rPr>
          <w:rFonts w:ascii="Arial" w:hAnsi="Arial" w:cs="Arial"/>
        </w:rPr>
        <w:t> </w:t>
      </w:r>
    </w:p>
    <w:p w14:paraId="12F9A0F6" w14:textId="77777777" w:rsidR="00B23C66" w:rsidRPr="006A7565" w:rsidRDefault="00B23C66" w:rsidP="006A7565">
      <w:pPr>
        <w:spacing w:line="360" w:lineRule="auto"/>
        <w:rPr>
          <w:rFonts w:ascii="Arial" w:hAnsi="Arial" w:cs="Arial"/>
        </w:rPr>
      </w:pPr>
      <w:r w:rsidRPr="006A7565">
        <w:rPr>
          <w:rFonts w:ascii="Arial" w:hAnsi="Arial" w:cs="Arial"/>
          <w:lang w:val="en-US"/>
        </w:rPr>
        <w:t>General Medical Council (2024) Good medical practice. London: General Medical Council. Available at: https://www.gmc-uk.org/professional-standards/good-medical-practice-2024 (Accessed: 28 July 2026).</w:t>
      </w:r>
      <w:r w:rsidRPr="006A7565">
        <w:rPr>
          <w:rFonts w:ascii="Arial" w:hAnsi="Arial" w:cs="Arial"/>
        </w:rPr>
        <w:t> </w:t>
      </w:r>
    </w:p>
    <w:p w14:paraId="0DA0BC03" w14:textId="77777777" w:rsidR="00B23C66" w:rsidRPr="006A7565" w:rsidRDefault="00B23C66" w:rsidP="006A7565">
      <w:pPr>
        <w:spacing w:line="360" w:lineRule="auto"/>
        <w:rPr>
          <w:rFonts w:ascii="Arial" w:hAnsi="Arial" w:cs="Arial"/>
        </w:rPr>
      </w:pPr>
      <w:r w:rsidRPr="006A7565">
        <w:rPr>
          <w:rFonts w:ascii="Arial" w:hAnsi="Arial" w:cs="Arial"/>
          <w:lang w:val="en-US"/>
        </w:rPr>
        <w:t>Greenleaf, R.K. (1977) Servant Leadership: A Journey into the Nature of Legitimate Power and Greatness. Mahwah, NJ: Paulist Press.</w:t>
      </w:r>
      <w:r w:rsidRPr="006A7565">
        <w:rPr>
          <w:rFonts w:ascii="Arial" w:hAnsi="Arial" w:cs="Arial"/>
        </w:rPr>
        <w:t> </w:t>
      </w:r>
    </w:p>
    <w:p w14:paraId="6A596CDE" w14:textId="7B583103" w:rsidR="00B23C66" w:rsidRPr="006A7565" w:rsidRDefault="00B23C66" w:rsidP="006A7565">
      <w:pPr>
        <w:spacing w:line="360" w:lineRule="auto"/>
        <w:rPr>
          <w:rFonts w:ascii="Arial" w:hAnsi="Arial" w:cs="Arial"/>
        </w:rPr>
      </w:pPr>
      <w:r w:rsidRPr="006A7565">
        <w:rPr>
          <w:rFonts w:ascii="Arial" w:hAnsi="Arial" w:cs="Arial"/>
          <w:lang w:val="en-US"/>
        </w:rPr>
        <w:t xml:space="preserve">Hersey, P., Blanchard, K.H. and Johnson, D.E. (2013) Management of </w:t>
      </w:r>
      <w:r w:rsidR="000B35E9" w:rsidRPr="006A7565">
        <w:rPr>
          <w:rFonts w:ascii="Arial" w:hAnsi="Arial" w:cs="Arial"/>
          <w:lang w:val="en-US"/>
        </w:rPr>
        <w:t>Organisational</w:t>
      </w:r>
      <w:r w:rsidRPr="006A7565">
        <w:rPr>
          <w:rFonts w:ascii="Arial" w:hAnsi="Arial" w:cs="Arial"/>
          <w:lang w:val="en-US"/>
        </w:rPr>
        <w:t xml:space="preserve"> </w:t>
      </w:r>
      <w:r w:rsidR="001D2D1B" w:rsidRPr="006A7565">
        <w:rPr>
          <w:rFonts w:ascii="Arial" w:hAnsi="Arial" w:cs="Arial"/>
          <w:lang w:val="en-US"/>
        </w:rPr>
        <w:t>Behaviour</w:t>
      </w:r>
      <w:r w:rsidRPr="006A7565">
        <w:rPr>
          <w:rFonts w:ascii="Arial" w:hAnsi="Arial" w:cs="Arial"/>
          <w:lang w:val="en-US"/>
        </w:rPr>
        <w:t>: Leading Human Resources. 10th edn. Harlow: Pearson.</w:t>
      </w:r>
      <w:r w:rsidRPr="006A7565">
        <w:rPr>
          <w:rFonts w:ascii="Arial" w:hAnsi="Arial" w:cs="Arial"/>
        </w:rPr>
        <w:t> </w:t>
      </w:r>
    </w:p>
    <w:p w14:paraId="03B2802E" w14:textId="77777777" w:rsidR="00B23C66" w:rsidRPr="006A7565" w:rsidRDefault="00B23C66" w:rsidP="006A7565">
      <w:pPr>
        <w:spacing w:line="360" w:lineRule="auto"/>
        <w:rPr>
          <w:rFonts w:ascii="Arial" w:hAnsi="Arial" w:cs="Arial"/>
        </w:rPr>
      </w:pPr>
      <w:r w:rsidRPr="006A7565">
        <w:rPr>
          <w:rFonts w:ascii="Arial" w:hAnsi="Arial" w:cs="Arial"/>
          <w:lang w:val="en-US"/>
        </w:rPr>
        <w:t>Institute for Healthcare Improvement (</w:t>
      </w:r>
      <w:proofErr w:type="gramStart"/>
      <w:r w:rsidRPr="006A7565">
        <w:rPr>
          <w:rFonts w:ascii="Arial" w:hAnsi="Arial" w:cs="Arial"/>
          <w:lang w:val="en-US"/>
        </w:rPr>
        <w:t>n.d</w:t>
      </w:r>
      <w:proofErr w:type="gramEnd"/>
      <w:r w:rsidRPr="006A7565">
        <w:rPr>
          <w:rFonts w:ascii="Arial" w:hAnsi="Arial" w:cs="Arial"/>
          <w:lang w:val="en-US"/>
        </w:rPr>
        <w:t>.a) Patient Safety Essentials Toolkit. Available at: https://www.ihi.org/library/tools/patient-safety-essentials-toolkit (Accessed: 28 July 2026).</w:t>
      </w:r>
      <w:r w:rsidRPr="006A7565">
        <w:rPr>
          <w:rFonts w:ascii="Arial" w:hAnsi="Arial" w:cs="Arial"/>
        </w:rPr>
        <w:t> </w:t>
      </w:r>
    </w:p>
    <w:p w14:paraId="71EC1E07" w14:textId="77777777" w:rsidR="00B23C66" w:rsidRPr="006A7565" w:rsidRDefault="00B23C66" w:rsidP="006A7565">
      <w:pPr>
        <w:spacing w:line="360" w:lineRule="auto"/>
        <w:rPr>
          <w:rFonts w:ascii="Arial" w:hAnsi="Arial" w:cs="Arial"/>
        </w:rPr>
      </w:pPr>
      <w:r w:rsidRPr="006A7565">
        <w:rPr>
          <w:rFonts w:ascii="Arial" w:hAnsi="Arial" w:cs="Arial"/>
          <w:lang w:val="en-US"/>
        </w:rPr>
        <w:t>Institute for Healthcare Improvement (n.d.b) SBAR Tool: Situation-Background-Assessment-Recommendation. Available at: https://www.ihi.org/library/tools/sbar-tool-situation-background-assessment-recommendation (Accessed: 28 July 2026).</w:t>
      </w:r>
      <w:r w:rsidRPr="006A7565">
        <w:rPr>
          <w:rFonts w:ascii="Arial" w:hAnsi="Arial" w:cs="Arial"/>
        </w:rPr>
        <w:t> </w:t>
      </w:r>
    </w:p>
    <w:p w14:paraId="0A48F107" w14:textId="77777777" w:rsidR="00B23C66" w:rsidRPr="006A7565" w:rsidRDefault="00B23C66" w:rsidP="006A7565">
      <w:pPr>
        <w:spacing w:line="360" w:lineRule="auto"/>
        <w:rPr>
          <w:rFonts w:ascii="Arial" w:hAnsi="Arial" w:cs="Arial"/>
        </w:rPr>
      </w:pPr>
      <w:r w:rsidRPr="006A7565">
        <w:rPr>
          <w:rFonts w:ascii="Arial" w:hAnsi="Arial" w:cs="Arial"/>
          <w:lang w:val="en-US"/>
        </w:rPr>
        <w:t>Kotter, J.P. (1996) Leading Change. Boston, MA: Harvard Business School Press.</w:t>
      </w:r>
      <w:r w:rsidRPr="006A7565">
        <w:rPr>
          <w:rFonts w:ascii="Arial" w:hAnsi="Arial" w:cs="Arial"/>
        </w:rPr>
        <w:t> </w:t>
      </w:r>
    </w:p>
    <w:p w14:paraId="2B533E09" w14:textId="77777777" w:rsidR="00B23C66" w:rsidRPr="006A7565" w:rsidRDefault="00B23C66" w:rsidP="006A7565">
      <w:pPr>
        <w:spacing w:line="360" w:lineRule="auto"/>
        <w:rPr>
          <w:rFonts w:ascii="Arial" w:hAnsi="Arial" w:cs="Arial"/>
        </w:rPr>
      </w:pPr>
      <w:r w:rsidRPr="006A7565">
        <w:rPr>
          <w:rFonts w:ascii="Arial" w:hAnsi="Arial" w:cs="Arial"/>
          <w:lang w:val="en-US"/>
        </w:rPr>
        <w:t>Lewin, K. (1951) Field Theory in Social Science: Selected Theoretical Papers. New York: Harper &amp; Row.</w:t>
      </w:r>
      <w:r w:rsidRPr="006A7565">
        <w:rPr>
          <w:rFonts w:ascii="Arial" w:hAnsi="Arial" w:cs="Arial"/>
        </w:rPr>
        <w:t> </w:t>
      </w:r>
    </w:p>
    <w:p w14:paraId="337FA45B" w14:textId="77777777" w:rsidR="00B23C66" w:rsidRPr="006A7565" w:rsidRDefault="00B23C66" w:rsidP="006A7565">
      <w:pPr>
        <w:spacing w:line="360" w:lineRule="auto"/>
        <w:rPr>
          <w:rFonts w:ascii="Arial" w:hAnsi="Arial" w:cs="Arial"/>
        </w:rPr>
      </w:pPr>
      <w:r w:rsidRPr="006A7565">
        <w:rPr>
          <w:rFonts w:ascii="Arial" w:hAnsi="Arial" w:cs="Arial"/>
          <w:lang w:val="en-US"/>
        </w:rPr>
        <w:t>Maharaj, R., Raffaele, I. and Wendon, J. (</w:t>
      </w:r>
      <w:proofErr w:type="gramStart"/>
      <w:r w:rsidRPr="006A7565">
        <w:rPr>
          <w:rFonts w:ascii="Arial" w:hAnsi="Arial" w:cs="Arial"/>
          <w:lang w:val="en-US"/>
        </w:rPr>
        <w:t>2015) ‘</w:t>
      </w:r>
      <w:proofErr w:type="gramEnd"/>
      <w:r w:rsidRPr="006A7565">
        <w:rPr>
          <w:rFonts w:ascii="Arial" w:hAnsi="Arial" w:cs="Arial"/>
          <w:lang w:val="en-US"/>
        </w:rPr>
        <w:t>Rapid response systems: A systematic review and meta-analysis’, Critical Care, 19, article 254. doi: 10.1186/s13054-015-0973-y.</w:t>
      </w:r>
      <w:r w:rsidRPr="006A7565">
        <w:rPr>
          <w:rFonts w:ascii="Arial" w:hAnsi="Arial" w:cs="Arial"/>
        </w:rPr>
        <w:t> </w:t>
      </w:r>
    </w:p>
    <w:p w14:paraId="42D0FCAB" w14:textId="77777777" w:rsidR="00B23C66" w:rsidRPr="006A7565" w:rsidRDefault="00B23C66" w:rsidP="006A7565">
      <w:pPr>
        <w:spacing w:line="360" w:lineRule="auto"/>
        <w:rPr>
          <w:rFonts w:ascii="Arial" w:hAnsi="Arial" w:cs="Arial"/>
        </w:rPr>
      </w:pPr>
      <w:r w:rsidRPr="006A7565">
        <w:rPr>
          <w:rFonts w:ascii="Arial" w:hAnsi="Arial" w:cs="Arial"/>
          <w:lang w:val="en-US"/>
        </w:rPr>
        <w:t>Marquis, B.L. and Huston, C.J. (2021) Leadership Roles and Management Functions in Nursing. 10th edn. Philadelphia, PA: Wolters Kluwer.</w:t>
      </w:r>
      <w:r w:rsidRPr="006A7565">
        <w:rPr>
          <w:rFonts w:ascii="Arial" w:hAnsi="Arial" w:cs="Arial"/>
        </w:rPr>
        <w:t> </w:t>
      </w:r>
    </w:p>
    <w:p w14:paraId="6679FC24" w14:textId="77EFDB33" w:rsidR="00B23C66" w:rsidRPr="006A7565" w:rsidRDefault="00B23C66" w:rsidP="006A7565">
      <w:pPr>
        <w:spacing w:line="360" w:lineRule="auto"/>
        <w:rPr>
          <w:rFonts w:ascii="Arial" w:hAnsi="Arial" w:cs="Arial"/>
        </w:rPr>
      </w:pPr>
      <w:r w:rsidRPr="006A7565">
        <w:rPr>
          <w:rFonts w:ascii="Arial" w:hAnsi="Arial" w:cs="Arial"/>
          <w:lang w:val="en-US"/>
        </w:rPr>
        <w:t xml:space="preserve">Mintzberg, H. (1983) Structure in Fives: Designing Effective </w:t>
      </w:r>
      <w:r w:rsidR="000B35E9" w:rsidRPr="006A7565">
        <w:rPr>
          <w:rFonts w:ascii="Arial" w:hAnsi="Arial" w:cs="Arial"/>
          <w:lang w:val="en-US"/>
        </w:rPr>
        <w:t>Organisation</w:t>
      </w:r>
      <w:r w:rsidRPr="006A7565">
        <w:rPr>
          <w:rFonts w:ascii="Arial" w:hAnsi="Arial" w:cs="Arial"/>
          <w:lang w:val="en-US"/>
        </w:rPr>
        <w:t>s. Englewood Cliffs, NJ: Prentice Hall.</w:t>
      </w:r>
      <w:r w:rsidRPr="006A7565">
        <w:rPr>
          <w:rFonts w:ascii="Arial" w:hAnsi="Arial" w:cs="Arial"/>
        </w:rPr>
        <w:t> </w:t>
      </w:r>
    </w:p>
    <w:p w14:paraId="70CAF0FA" w14:textId="77777777" w:rsidR="00B23C66" w:rsidRPr="006A7565" w:rsidRDefault="00B23C66" w:rsidP="006A7565">
      <w:pPr>
        <w:spacing w:line="360" w:lineRule="auto"/>
        <w:rPr>
          <w:rFonts w:ascii="Arial" w:hAnsi="Arial" w:cs="Arial"/>
        </w:rPr>
      </w:pPr>
      <w:r w:rsidRPr="006A7565">
        <w:rPr>
          <w:rFonts w:ascii="Arial" w:hAnsi="Arial" w:cs="Arial"/>
          <w:lang w:val="en-US"/>
        </w:rPr>
        <w:t>National Academies of Sciences, Engineering, and Medicine (2015) Improving Diagnosis in Health Care. Washington, DC: National Academies Press. doi: 10.17226/21794.</w:t>
      </w:r>
      <w:r w:rsidRPr="006A7565">
        <w:rPr>
          <w:rFonts w:ascii="Arial" w:hAnsi="Arial" w:cs="Arial"/>
        </w:rPr>
        <w:t> </w:t>
      </w:r>
    </w:p>
    <w:p w14:paraId="348BA959" w14:textId="77777777" w:rsidR="00B23C66" w:rsidRPr="006A7565" w:rsidRDefault="00B23C66" w:rsidP="006A7565">
      <w:pPr>
        <w:spacing w:line="360" w:lineRule="auto"/>
        <w:rPr>
          <w:rFonts w:ascii="Arial" w:hAnsi="Arial" w:cs="Arial"/>
        </w:rPr>
      </w:pPr>
      <w:r w:rsidRPr="006A7565">
        <w:rPr>
          <w:rFonts w:ascii="Arial" w:hAnsi="Arial" w:cs="Arial"/>
          <w:lang w:val="en-US"/>
        </w:rPr>
        <w:t>NHS Improvement (2018</w:t>
      </w:r>
      <w:proofErr w:type="gramStart"/>
      <w:r w:rsidRPr="006A7565">
        <w:rPr>
          <w:rFonts w:ascii="Arial" w:hAnsi="Arial" w:cs="Arial"/>
          <w:lang w:val="en-US"/>
        </w:rPr>
        <w:t>) A</w:t>
      </w:r>
      <w:proofErr w:type="gramEnd"/>
      <w:r w:rsidRPr="006A7565">
        <w:rPr>
          <w:rFonts w:ascii="Arial" w:hAnsi="Arial" w:cs="Arial"/>
          <w:lang w:val="en-US"/>
        </w:rPr>
        <w:t xml:space="preserve"> Just Culture Guide. London: NHS Improvement. Available at: https://www.england.nhs.uk/patient-safety/patient-safety-culture/ (Accessed: 28 July 2026).</w:t>
      </w:r>
      <w:r w:rsidRPr="006A7565">
        <w:rPr>
          <w:rFonts w:ascii="Arial" w:hAnsi="Arial" w:cs="Arial"/>
        </w:rPr>
        <w:t> </w:t>
      </w:r>
    </w:p>
    <w:p w14:paraId="6CEC7EFD" w14:textId="77777777" w:rsidR="00B23C66" w:rsidRPr="006A7565" w:rsidRDefault="00B23C66" w:rsidP="006A7565">
      <w:pPr>
        <w:spacing w:line="360" w:lineRule="auto"/>
        <w:rPr>
          <w:rFonts w:ascii="Arial" w:hAnsi="Arial" w:cs="Arial"/>
        </w:rPr>
      </w:pPr>
      <w:r w:rsidRPr="006A7565">
        <w:rPr>
          <w:rFonts w:ascii="Arial" w:hAnsi="Arial" w:cs="Arial"/>
          <w:lang w:val="en-US"/>
        </w:rPr>
        <w:t>NHS Leadership Academy (2021) Our Leadership Way. Available at: https://www.leadershipacademy.nhs.uk/organisational-resources/our-leadership-way/ (Accessed: 28 July 2026).</w:t>
      </w:r>
      <w:r w:rsidRPr="006A7565">
        <w:rPr>
          <w:rFonts w:ascii="Arial" w:hAnsi="Arial" w:cs="Arial"/>
        </w:rPr>
        <w:t> </w:t>
      </w:r>
    </w:p>
    <w:p w14:paraId="47D0B0F0" w14:textId="77777777" w:rsidR="00B23C66" w:rsidRPr="006A7565" w:rsidRDefault="00B23C66" w:rsidP="006A7565">
      <w:pPr>
        <w:spacing w:line="360" w:lineRule="auto"/>
        <w:rPr>
          <w:rFonts w:ascii="Arial" w:hAnsi="Arial" w:cs="Arial"/>
        </w:rPr>
      </w:pPr>
      <w:r w:rsidRPr="006A7565">
        <w:rPr>
          <w:rFonts w:ascii="Arial" w:hAnsi="Arial" w:cs="Arial"/>
          <w:lang w:val="en-US"/>
        </w:rPr>
        <w:t>Nilsen, P. (</w:t>
      </w:r>
      <w:proofErr w:type="gramStart"/>
      <w:r w:rsidRPr="006A7565">
        <w:rPr>
          <w:rFonts w:ascii="Arial" w:hAnsi="Arial" w:cs="Arial"/>
          <w:lang w:val="en-US"/>
        </w:rPr>
        <w:t>2015) ‘</w:t>
      </w:r>
      <w:proofErr w:type="gramEnd"/>
      <w:r w:rsidRPr="006A7565">
        <w:rPr>
          <w:rFonts w:ascii="Arial" w:hAnsi="Arial" w:cs="Arial"/>
          <w:lang w:val="en-US"/>
        </w:rPr>
        <w:t>Making sense of implementation theories, models and frameworks’, Implementation Science, 10, article 53. doi: 10.1186/s13012-015-0242-0.</w:t>
      </w:r>
      <w:r w:rsidRPr="006A7565">
        <w:rPr>
          <w:rFonts w:ascii="Arial" w:hAnsi="Arial" w:cs="Arial"/>
        </w:rPr>
        <w:t> </w:t>
      </w:r>
    </w:p>
    <w:p w14:paraId="2C20B8F0" w14:textId="77777777" w:rsidR="00B23C66" w:rsidRPr="006A7565" w:rsidRDefault="00B23C66" w:rsidP="006A7565">
      <w:pPr>
        <w:spacing w:line="360" w:lineRule="auto"/>
        <w:rPr>
          <w:rFonts w:ascii="Arial" w:hAnsi="Arial" w:cs="Arial"/>
        </w:rPr>
      </w:pPr>
      <w:r w:rsidRPr="006A7565">
        <w:rPr>
          <w:rFonts w:ascii="Arial" w:hAnsi="Arial" w:cs="Arial"/>
          <w:lang w:val="en-US"/>
        </w:rPr>
        <w:lastRenderedPageBreak/>
        <w:t>Northouse, P.G. (2022) Leadership: Theory and Practice. 9th edn. Thousand Oaks, CA: Sage.</w:t>
      </w:r>
      <w:r w:rsidRPr="006A7565">
        <w:rPr>
          <w:rFonts w:ascii="Arial" w:hAnsi="Arial" w:cs="Arial"/>
        </w:rPr>
        <w:t> </w:t>
      </w:r>
    </w:p>
    <w:p w14:paraId="7E63892E" w14:textId="77777777" w:rsidR="00B23C66" w:rsidRPr="006A7565" w:rsidRDefault="00B23C66" w:rsidP="006A7565">
      <w:pPr>
        <w:spacing w:line="360" w:lineRule="auto"/>
        <w:rPr>
          <w:rFonts w:ascii="Arial" w:hAnsi="Arial" w:cs="Arial"/>
        </w:rPr>
      </w:pPr>
      <w:r w:rsidRPr="006A7565">
        <w:rPr>
          <w:rFonts w:ascii="Arial" w:hAnsi="Arial" w:cs="Arial"/>
          <w:lang w:val="en-US"/>
        </w:rPr>
        <w:t>Reason, J. (2000) ‘Human error: Models and management’, BMJ, 320(7237), pp. 768–770.</w:t>
      </w:r>
      <w:r w:rsidRPr="006A7565">
        <w:rPr>
          <w:rFonts w:ascii="Arial" w:hAnsi="Arial" w:cs="Arial"/>
        </w:rPr>
        <w:t> </w:t>
      </w:r>
    </w:p>
    <w:p w14:paraId="4B929A2E" w14:textId="77777777" w:rsidR="00B23C66" w:rsidRPr="006A7565" w:rsidRDefault="00B23C66" w:rsidP="006A7565">
      <w:pPr>
        <w:spacing w:line="360" w:lineRule="auto"/>
        <w:rPr>
          <w:rFonts w:ascii="Arial" w:hAnsi="Arial" w:cs="Arial"/>
        </w:rPr>
      </w:pPr>
      <w:r w:rsidRPr="006A7565">
        <w:rPr>
          <w:rFonts w:ascii="Arial" w:hAnsi="Arial" w:cs="Arial"/>
          <w:lang w:val="en-US"/>
        </w:rPr>
        <w:t>Royal College of Physicians (2017) National Early Warning Score (NEWS) 2: Standardising the Assessment of Acute-Illness Severity in the NHS. Updated report of a working party. London: Royal College of Physicians.</w:t>
      </w:r>
      <w:r w:rsidRPr="006A7565">
        <w:rPr>
          <w:rFonts w:ascii="Arial" w:hAnsi="Arial" w:cs="Arial"/>
        </w:rPr>
        <w:t> </w:t>
      </w:r>
    </w:p>
    <w:p w14:paraId="5231A2EA" w14:textId="77777777" w:rsidR="00B23C66" w:rsidRDefault="00B23C66" w:rsidP="006A7565">
      <w:pPr>
        <w:spacing w:line="360" w:lineRule="auto"/>
        <w:rPr>
          <w:rFonts w:ascii="Arial" w:hAnsi="Arial" w:cs="Arial"/>
        </w:rPr>
      </w:pPr>
      <w:r w:rsidRPr="006A7565">
        <w:rPr>
          <w:rFonts w:ascii="Arial" w:hAnsi="Arial" w:cs="Arial"/>
          <w:lang w:val="en-US"/>
        </w:rPr>
        <w:t>Scally, G. and Donaldson, L.J. (1998) ‘Clinical governance and the drive for quality improvement in the new NHS in England’, BMJ, 317(7150), pp. 61–65.</w:t>
      </w:r>
      <w:r w:rsidRPr="006A7565">
        <w:rPr>
          <w:rFonts w:ascii="Arial" w:hAnsi="Arial" w:cs="Arial"/>
        </w:rPr>
        <w:t> </w:t>
      </w:r>
    </w:p>
    <w:p w14:paraId="2B59EEEF" w14:textId="647846B4" w:rsidR="001D2C37" w:rsidRPr="006A7565" w:rsidRDefault="001D2C37" w:rsidP="006A7565">
      <w:pPr>
        <w:spacing w:line="360" w:lineRule="auto"/>
        <w:rPr>
          <w:rFonts w:ascii="Arial" w:hAnsi="Arial" w:cs="Arial"/>
        </w:rPr>
      </w:pPr>
      <w:r w:rsidRPr="001D2C37">
        <w:rPr>
          <w:rFonts w:ascii="Arial" w:hAnsi="Arial" w:cs="Arial"/>
        </w:rPr>
        <w:t xml:space="preserve">Singh, A., </w:t>
      </w:r>
      <w:proofErr w:type="spellStart"/>
      <w:r w:rsidRPr="001D2C37">
        <w:rPr>
          <w:rFonts w:ascii="Arial" w:hAnsi="Arial" w:cs="Arial"/>
        </w:rPr>
        <w:t>Yeravdekar</w:t>
      </w:r>
      <w:proofErr w:type="spellEnd"/>
      <w:r w:rsidRPr="001D2C37">
        <w:rPr>
          <w:rFonts w:ascii="Arial" w:hAnsi="Arial" w:cs="Arial"/>
        </w:rPr>
        <w:t>, R. and Jadhav, S. (2024) ‘Investigating the influence of selected leadership styles on patient safety and quality of care: a systematic review and meta-analysis’, BMJ Leader, 8(3), pp. 208-216. Available at: https://doi.org/10.1136/leader-2023-000846.</w:t>
      </w:r>
    </w:p>
    <w:p w14:paraId="5543BA6E" w14:textId="77777777" w:rsidR="00B23C66" w:rsidRPr="006A7565" w:rsidRDefault="00B23C66" w:rsidP="006A7565">
      <w:pPr>
        <w:spacing w:line="360" w:lineRule="auto"/>
        <w:rPr>
          <w:rFonts w:ascii="Arial" w:hAnsi="Arial" w:cs="Arial"/>
        </w:rPr>
      </w:pPr>
      <w:r w:rsidRPr="006A7565">
        <w:rPr>
          <w:rFonts w:ascii="Arial" w:hAnsi="Arial" w:cs="Arial"/>
          <w:lang w:val="en-US"/>
        </w:rPr>
        <w:t>Slawomirski, L. and Klazinga, N. (</w:t>
      </w:r>
      <w:proofErr w:type="gramStart"/>
      <w:r w:rsidRPr="006A7565">
        <w:rPr>
          <w:rFonts w:ascii="Arial" w:hAnsi="Arial" w:cs="Arial"/>
          <w:lang w:val="en-US"/>
        </w:rPr>
        <w:t>2022) ‘</w:t>
      </w:r>
      <w:proofErr w:type="gramEnd"/>
      <w:r w:rsidRPr="006A7565">
        <w:rPr>
          <w:rFonts w:ascii="Arial" w:hAnsi="Arial" w:cs="Arial"/>
          <w:lang w:val="en-US"/>
        </w:rPr>
        <w:t>The economics of patient safety: From analysis to action’, OECD Health Working Papers, No. 145. Paris: OECD Publishing. doi: 10.1787/761f2da8-en.</w:t>
      </w:r>
      <w:r w:rsidRPr="006A7565">
        <w:rPr>
          <w:rFonts w:ascii="Arial" w:hAnsi="Arial" w:cs="Arial"/>
        </w:rPr>
        <w:t> </w:t>
      </w:r>
    </w:p>
    <w:p w14:paraId="2253FC7B" w14:textId="77777777" w:rsidR="00B23C66" w:rsidRPr="006A7565" w:rsidRDefault="00B23C66" w:rsidP="006A7565">
      <w:pPr>
        <w:spacing w:line="360" w:lineRule="auto"/>
        <w:rPr>
          <w:rFonts w:ascii="Arial" w:hAnsi="Arial" w:cs="Arial"/>
        </w:rPr>
      </w:pPr>
      <w:r w:rsidRPr="006A7565">
        <w:rPr>
          <w:rFonts w:ascii="Arial" w:hAnsi="Arial" w:cs="Arial"/>
          <w:lang w:val="en-US"/>
        </w:rPr>
        <w:t>South Carolina General Assembly (2005) Lewis Blackman Hospital Patient Safety Act, Act No. 146, H.3832. Available at: https://www.scstatehouse.gov/sess116_2005-2006/bills/3832.htm (Accessed: 28 July 2026).</w:t>
      </w:r>
      <w:r w:rsidRPr="006A7565">
        <w:rPr>
          <w:rFonts w:ascii="Arial" w:hAnsi="Arial" w:cs="Arial"/>
        </w:rPr>
        <w:t> </w:t>
      </w:r>
    </w:p>
    <w:p w14:paraId="0B09D174" w14:textId="77777777" w:rsidR="00B23C66" w:rsidRPr="006A7565" w:rsidRDefault="00B23C66" w:rsidP="006A7565">
      <w:pPr>
        <w:spacing w:line="360" w:lineRule="auto"/>
        <w:rPr>
          <w:rFonts w:ascii="Arial" w:hAnsi="Arial" w:cs="Arial"/>
        </w:rPr>
      </w:pPr>
      <w:r w:rsidRPr="006A7565">
        <w:rPr>
          <w:rFonts w:ascii="Arial" w:hAnsi="Arial" w:cs="Arial"/>
          <w:lang w:val="en-US"/>
        </w:rPr>
        <w:t>West, M., Eckert, R., Collins, B. and Chowla, R. (2015) Caring to Change: How Compassionate Leadership Can Stimulate Innovation in Health Care. London: The King’s Fund.</w:t>
      </w:r>
      <w:r w:rsidRPr="006A7565">
        <w:rPr>
          <w:rFonts w:ascii="Arial" w:hAnsi="Arial" w:cs="Arial"/>
        </w:rPr>
        <w:t> </w:t>
      </w:r>
    </w:p>
    <w:p w14:paraId="12B50FA8" w14:textId="77777777" w:rsidR="00B23C66" w:rsidRPr="006A7565" w:rsidRDefault="00B23C66" w:rsidP="006A7565">
      <w:pPr>
        <w:spacing w:line="360" w:lineRule="auto"/>
        <w:rPr>
          <w:rFonts w:ascii="Arial" w:hAnsi="Arial" w:cs="Arial"/>
        </w:rPr>
      </w:pPr>
      <w:r w:rsidRPr="006A7565">
        <w:rPr>
          <w:rFonts w:ascii="Arial" w:hAnsi="Arial" w:cs="Arial"/>
          <w:lang w:val="en-US"/>
        </w:rPr>
        <w:t>Wong, C.A., Cummings, G.G. and Ducharme, L. (2013) ‘The relationship between nursing leadership and patient outcomes: A systematic review update’, Journal of Nursing Management, 21(5), pp. 709–724. doi: 10.1111/jonm.12116.</w:t>
      </w:r>
      <w:r w:rsidRPr="006A7565">
        <w:rPr>
          <w:rFonts w:ascii="Arial" w:hAnsi="Arial" w:cs="Arial"/>
        </w:rPr>
        <w:t> </w:t>
      </w:r>
    </w:p>
    <w:p w14:paraId="47266291" w14:textId="5BEE7555" w:rsidR="00B23C66" w:rsidRPr="006A7565" w:rsidRDefault="00B23C66" w:rsidP="006A7565">
      <w:pPr>
        <w:spacing w:line="360" w:lineRule="auto"/>
        <w:rPr>
          <w:rFonts w:ascii="Arial" w:hAnsi="Arial" w:cs="Arial"/>
        </w:rPr>
      </w:pPr>
      <w:r w:rsidRPr="006A7565">
        <w:rPr>
          <w:rFonts w:ascii="Arial" w:hAnsi="Arial" w:cs="Arial"/>
          <w:lang w:val="en-US"/>
        </w:rPr>
        <w:t xml:space="preserve">World Health </w:t>
      </w:r>
      <w:r w:rsidR="000B35E9" w:rsidRPr="006A7565">
        <w:rPr>
          <w:rFonts w:ascii="Arial" w:hAnsi="Arial" w:cs="Arial"/>
          <w:lang w:val="en-US"/>
        </w:rPr>
        <w:t>Organisation</w:t>
      </w:r>
      <w:r w:rsidRPr="006A7565">
        <w:rPr>
          <w:rFonts w:ascii="Arial" w:hAnsi="Arial" w:cs="Arial"/>
          <w:lang w:val="en-US"/>
        </w:rPr>
        <w:t xml:space="preserve"> (2021) Global Patient Safety Action Plan 2021–2030. Geneva: World Health </w:t>
      </w:r>
      <w:r w:rsidR="000B35E9" w:rsidRPr="006A7565">
        <w:rPr>
          <w:rFonts w:ascii="Arial" w:hAnsi="Arial" w:cs="Arial"/>
          <w:lang w:val="en-US"/>
        </w:rPr>
        <w:t>Organisation</w:t>
      </w:r>
      <w:r w:rsidRPr="006A7565">
        <w:rPr>
          <w:rFonts w:ascii="Arial" w:hAnsi="Arial" w:cs="Arial"/>
          <w:lang w:val="en-US"/>
        </w:rPr>
        <w:t>.</w:t>
      </w:r>
      <w:r w:rsidRPr="006A7565">
        <w:rPr>
          <w:rFonts w:ascii="Arial" w:hAnsi="Arial" w:cs="Arial"/>
        </w:rPr>
        <w:t> </w:t>
      </w:r>
    </w:p>
    <w:p w14:paraId="63205F59" w14:textId="1D83B3A8" w:rsidR="002B03FF" w:rsidRPr="00A56F07" w:rsidRDefault="00B23C66" w:rsidP="00A56F07">
      <w:pPr>
        <w:spacing w:line="360" w:lineRule="auto"/>
        <w:rPr>
          <w:rFonts w:ascii="Arial" w:hAnsi="Arial" w:cs="Arial"/>
        </w:rPr>
      </w:pPr>
      <w:r w:rsidRPr="006A7565">
        <w:rPr>
          <w:rFonts w:ascii="Arial" w:hAnsi="Arial" w:cs="Arial"/>
          <w:lang w:val="en-US"/>
        </w:rPr>
        <w:t xml:space="preserve">World Health </w:t>
      </w:r>
      <w:r w:rsidR="000B35E9" w:rsidRPr="006A7565">
        <w:rPr>
          <w:rFonts w:ascii="Arial" w:hAnsi="Arial" w:cs="Arial"/>
          <w:lang w:val="en-US"/>
        </w:rPr>
        <w:t>Organisation</w:t>
      </w:r>
      <w:r w:rsidRPr="006A7565">
        <w:rPr>
          <w:rFonts w:ascii="Arial" w:hAnsi="Arial" w:cs="Arial"/>
          <w:lang w:val="en-US"/>
        </w:rPr>
        <w:t xml:space="preserve"> (2023) Patient safety. 11 September. Available at: https://www.who.int/news-room/fact-sheets/detail/patient-safety (Accessed: 28 July 2026).</w:t>
      </w:r>
      <w:r w:rsidRPr="006A7565">
        <w:rPr>
          <w:rFonts w:ascii="Arial" w:hAnsi="Arial" w:cs="Arial"/>
        </w:rPr>
        <w:t> </w:t>
      </w:r>
    </w:p>
    <w:sectPr w:rsidR="002B03FF" w:rsidRPr="00A56F07" w:rsidSect="00B8384B">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76609F" w14:textId="77777777" w:rsidR="00B560BB" w:rsidRDefault="00B560BB" w:rsidP="009A0F56">
      <w:r>
        <w:separator/>
      </w:r>
    </w:p>
  </w:endnote>
  <w:endnote w:type="continuationSeparator" w:id="0">
    <w:p w14:paraId="3F191F98" w14:textId="77777777" w:rsidR="00B560BB" w:rsidRDefault="00B560BB" w:rsidP="009A0F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D1A612" w14:textId="77777777" w:rsidR="00B560BB" w:rsidRDefault="00B560BB" w:rsidP="009A0F56">
      <w:r>
        <w:separator/>
      </w:r>
    </w:p>
  </w:footnote>
  <w:footnote w:type="continuationSeparator" w:id="0">
    <w:p w14:paraId="1033E718" w14:textId="77777777" w:rsidR="00B560BB" w:rsidRDefault="00B560BB" w:rsidP="009A0F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034994"/>
      <w:docPartObj>
        <w:docPartGallery w:val="Page Numbers (Margins)"/>
        <w:docPartUnique/>
      </w:docPartObj>
    </w:sdtPr>
    <w:sdtContent>
      <w:p w14:paraId="621371B2" w14:textId="09CC3AC0" w:rsidR="009A0F56" w:rsidRDefault="009A0F56">
        <w:pPr>
          <w:pStyle w:val="Header"/>
        </w:pPr>
        <w:r>
          <w:rPr>
            <w:noProof/>
          </w:rPr>
          <mc:AlternateContent>
            <mc:Choice Requires="wps">
              <w:drawing>
                <wp:anchor distT="0" distB="0" distL="114300" distR="114300" simplePos="0" relativeHeight="251659264" behindDoc="0" locked="0" layoutInCell="0" allowOverlap="1" wp14:anchorId="7FAA3ED0" wp14:editId="351E851F">
                  <wp:simplePos x="0" y="0"/>
                  <wp:positionH relativeFrom="rightMargin">
                    <wp:align>center</wp:align>
                  </wp:positionH>
                  <wp:positionV relativeFrom="margin">
                    <wp:align>bottom</wp:align>
                  </wp:positionV>
                  <wp:extent cx="510540" cy="2183130"/>
                  <wp:effectExtent l="0" t="0" r="3810" b="0"/>
                  <wp:wrapNone/>
                  <wp:docPr id="994061337"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38BD4E" w14:textId="77777777" w:rsidR="009A0F56" w:rsidRDefault="009A0F56">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cs="Times New Roman"/>
                                </w:rPr>
                                <w:fldChar w:fldCharType="begin"/>
                              </w:r>
                              <w:r>
                                <w:instrText xml:space="preserve"> PAGE    \* MERGEFORMAT </w:instrText>
                              </w:r>
                              <w:r>
                                <w:rPr>
                                  <w:rFonts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7FAA3ED0" id="Rectangle 5" o:spid="_x0000_s1031"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4138BD4E" w14:textId="77777777" w:rsidR="009A0F56" w:rsidRDefault="009A0F56">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cs="Times New Roman"/>
                          </w:rPr>
                          <w:fldChar w:fldCharType="begin"/>
                        </w:r>
                        <w:r>
                          <w:instrText xml:space="preserve"> PAGE    \* MERGEFORMAT </w:instrText>
                        </w:r>
                        <w:r>
                          <w:rPr>
                            <w:rFonts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4086B"/>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148F6174"/>
    <w:multiLevelType w:val="hybridMultilevel"/>
    <w:tmpl w:val="EB54BB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FD12EC"/>
    <w:multiLevelType w:val="hybridMultilevel"/>
    <w:tmpl w:val="78E2E5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5172C7"/>
    <w:multiLevelType w:val="hybridMultilevel"/>
    <w:tmpl w:val="F63ACB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277749"/>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4E7A61DB"/>
    <w:multiLevelType w:val="hybridMultilevel"/>
    <w:tmpl w:val="5000777A"/>
    <w:lvl w:ilvl="0" w:tplc="EC8ECABE">
      <w:start w:val="202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3A6216"/>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53F76315"/>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659E18D0"/>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515342190">
    <w:abstractNumId w:val="5"/>
  </w:num>
  <w:num w:numId="2" w16cid:durableId="259530185">
    <w:abstractNumId w:val="4"/>
  </w:num>
  <w:num w:numId="3" w16cid:durableId="1960837645">
    <w:abstractNumId w:val="7"/>
  </w:num>
  <w:num w:numId="4" w16cid:durableId="1724327821">
    <w:abstractNumId w:val="3"/>
  </w:num>
  <w:num w:numId="5" w16cid:durableId="896548208">
    <w:abstractNumId w:val="2"/>
  </w:num>
  <w:num w:numId="6" w16cid:durableId="641349858">
    <w:abstractNumId w:val="6"/>
  </w:num>
  <w:num w:numId="7" w16cid:durableId="129177664">
    <w:abstractNumId w:val="8"/>
  </w:num>
  <w:num w:numId="8" w16cid:durableId="658078304">
    <w:abstractNumId w:val="0"/>
  </w:num>
  <w:num w:numId="9" w16cid:durableId="2319363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C54"/>
    <w:rsid w:val="00002C54"/>
    <w:rsid w:val="00003A00"/>
    <w:rsid w:val="00006276"/>
    <w:rsid w:val="0001180B"/>
    <w:rsid w:val="0001535F"/>
    <w:rsid w:val="00016B06"/>
    <w:rsid w:val="00017DDF"/>
    <w:rsid w:val="00031D0D"/>
    <w:rsid w:val="0003786E"/>
    <w:rsid w:val="000467A6"/>
    <w:rsid w:val="00060A9D"/>
    <w:rsid w:val="00065BE4"/>
    <w:rsid w:val="000824DA"/>
    <w:rsid w:val="00084441"/>
    <w:rsid w:val="00087923"/>
    <w:rsid w:val="00091B83"/>
    <w:rsid w:val="000976AB"/>
    <w:rsid w:val="000A10C0"/>
    <w:rsid w:val="000A6E01"/>
    <w:rsid w:val="000B35E9"/>
    <w:rsid w:val="000B72EF"/>
    <w:rsid w:val="000C10D5"/>
    <w:rsid w:val="000D6434"/>
    <w:rsid w:val="000E2A01"/>
    <w:rsid w:val="000E47E2"/>
    <w:rsid w:val="000F61F7"/>
    <w:rsid w:val="00115067"/>
    <w:rsid w:val="001207AA"/>
    <w:rsid w:val="00141D1D"/>
    <w:rsid w:val="00145EFC"/>
    <w:rsid w:val="00154CCE"/>
    <w:rsid w:val="00156F65"/>
    <w:rsid w:val="00160453"/>
    <w:rsid w:val="00163412"/>
    <w:rsid w:val="00174467"/>
    <w:rsid w:val="00174779"/>
    <w:rsid w:val="001748AA"/>
    <w:rsid w:val="00177285"/>
    <w:rsid w:val="0017787B"/>
    <w:rsid w:val="00182E48"/>
    <w:rsid w:val="0019055C"/>
    <w:rsid w:val="00192682"/>
    <w:rsid w:val="00196B18"/>
    <w:rsid w:val="001979BE"/>
    <w:rsid w:val="001A454E"/>
    <w:rsid w:val="001A5930"/>
    <w:rsid w:val="001A7442"/>
    <w:rsid w:val="001A78DE"/>
    <w:rsid w:val="001B4254"/>
    <w:rsid w:val="001C623D"/>
    <w:rsid w:val="001D2C37"/>
    <w:rsid w:val="001D2D1B"/>
    <w:rsid w:val="001D5F25"/>
    <w:rsid w:val="001D6FA0"/>
    <w:rsid w:val="001E57BD"/>
    <w:rsid w:val="001F3C8F"/>
    <w:rsid w:val="001F4F92"/>
    <w:rsid w:val="001F72A3"/>
    <w:rsid w:val="00202B94"/>
    <w:rsid w:val="00203374"/>
    <w:rsid w:val="0021300F"/>
    <w:rsid w:val="0021785D"/>
    <w:rsid w:val="002214E0"/>
    <w:rsid w:val="0023124C"/>
    <w:rsid w:val="00237503"/>
    <w:rsid w:val="00237871"/>
    <w:rsid w:val="00270805"/>
    <w:rsid w:val="00273C16"/>
    <w:rsid w:val="00274871"/>
    <w:rsid w:val="00275C99"/>
    <w:rsid w:val="00280C82"/>
    <w:rsid w:val="00281FFF"/>
    <w:rsid w:val="00292883"/>
    <w:rsid w:val="00294E34"/>
    <w:rsid w:val="002A08E3"/>
    <w:rsid w:val="002A0F0A"/>
    <w:rsid w:val="002A2B8C"/>
    <w:rsid w:val="002B03FF"/>
    <w:rsid w:val="002B5BFE"/>
    <w:rsid w:val="002B6544"/>
    <w:rsid w:val="002C127A"/>
    <w:rsid w:val="002C1DC2"/>
    <w:rsid w:val="002C2AAC"/>
    <w:rsid w:val="002D1777"/>
    <w:rsid w:val="002D75E6"/>
    <w:rsid w:val="002E15DE"/>
    <w:rsid w:val="002E60B8"/>
    <w:rsid w:val="002F08B9"/>
    <w:rsid w:val="002F2DB1"/>
    <w:rsid w:val="00302B6A"/>
    <w:rsid w:val="003037E8"/>
    <w:rsid w:val="00323745"/>
    <w:rsid w:val="00326202"/>
    <w:rsid w:val="00326D6E"/>
    <w:rsid w:val="003271B2"/>
    <w:rsid w:val="0033688E"/>
    <w:rsid w:val="00337985"/>
    <w:rsid w:val="00345278"/>
    <w:rsid w:val="0035595E"/>
    <w:rsid w:val="003724EF"/>
    <w:rsid w:val="00373057"/>
    <w:rsid w:val="003740F3"/>
    <w:rsid w:val="00376126"/>
    <w:rsid w:val="003801E0"/>
    <w:rsid w:val="00382726"/>
    <w:rsid w:val="00386E78"/>
    <w:rsid w:val="003878BE"/>
    <w:rsid w:val="0039171F"/>
    <w:rsid w:val="00392C42"/>
    <w:rsid w:val="00394BFF"/>
    <w:rsid w:val="003B7908"/>
    <w:rsid w:val="003C4484"/>
    <w:rsid w:val="003D0932"/>
    <w:rsid w:val="003D1B67"/>
    <w:rsid w:val="003D1CD6"/>
    <w:rsid w:val="003D2CF7"/>
    <w:rsid w:val="003D7CE6"/>
    <w:rsid w:val="003E190A"/>
    <w:rsid w:val="003E1B35"/>
    <w:rsid w:val="00401BE1"/>
    <w:rsid w:val="00406041"/>
    <w:rsid w:val="00406484"/>
    <w:rsid w:val="00407D0F"/>
    <w:rsid w:val="00410C8E"/>
    <w:rsid w:val="00420911"/>
    <w:rsid w:val="004270E7"/>
    <w:rsid w:val="00427E2A"/>
    <w:rsid w:val="00434122"/>
    <w:rsid w:val="00450463"/>
    <w:rsid w:val="004525B9"/>
    <w:rsid w:val="00462FF2"/>
    <w:rsid w:val="004655B2"/>
    <w:rsid w:val="004663F9"/>
    <w:rsid w:val="0047131D"/>
    <w:rsid w:val="004724DF"/>
    <w:rsid w:val="00480145"/>
    <w:rsid w:val="00483615"/>
    <w:rsid w:val="0048362F"/>
    <w:rsid w:val="00484E6D"/>
    <w:rsid w:val="004924DC"/>
    <w:rsid w:val="00494760"/>
    <w:rsid w:val="004959DA"/>
    <w:rsid w:val="004A156D"/>
    <w:rsid w:val="004A3A67"/>
    <w:rsid w:val="004A6EAB"/>
    <w:rsid w:val="004B2A8E"/>
    <w:rsid w:val="004B374C"/>
    <w:rsid w:val="004B79A4"/>
    <w:rsid w:val="004C15CC"/>
    <w:rsid w:val="004C3A62"/>
    <w:rsid w:val="004D18E2"/>
    <w:rsid w:val="004E47D0"/>
    <w:rsid w:val="004E4A0E"/>
    <w:rsid w:val="004E5449"/>
    <w:rsid w:val="004E7F04"/>
    <w:rsid w:val="004F0DBF"/>
    <w:rsid w:val="004F227E"/>
    <w:rsid w:val="004F51C8"/>
    <w:rsid w:val="004F7928"/>
    <w:rsid w:val="005138BC"/>
    <w:rsid w:val="00515C24"/>
    <w:rsid w:val="00522E71"/>
    <w:rsid w:val="005279D5"/>
    <w:rsid w:val="00531BDF"/>
    <w:rsid w:val="00533D5F"/>
    <w:rsid w:val="00534A64"/>
    <w:rsid w:val="00535BE3"/>
    <w:rsid w:val="00540B0C"/>
    <w:rsid w:val="005435E0"/>
    <w:rsid w:val="00543DCA"/>
    <w:rsid w:val="00544FE0"/>
    <w:rsid w:val="00546029"/>
    <w:rsid w:val="00547E32"/>
    <w:rsid w:val="00553E61"/>
    <w:rsid w:val="00563B46"/>
    <w:rsid w:val="0058005A"/>
    <w:rsid w:val="00590304"/>
    <w:rsid w:val="005915F3"/>
    <w:rsid w:val="00592E6D"/>
    <w:rsid w:val="00596A7D"/>
    <w:rsid w:val="005A5011"/>
    <w:rsid w:val="005B14F5"/>
    <w:rsid w:val="005C5F42"/>
    <w:rsid w:val="005C679A"/>
    <w:rsid w:val="005D3374"/>
    <w:rsid w:val="005E00F4"/>
    <w:rsid w:val="005E2656"/>
    <w:rsid w:val="005E2790"/>
    <w:rsid w:val="005F0008"/>
    <w:rsid w:val="00612EBE"/>
    <w:rsid w:val="00616C26"/>
    <w:rsid w:val="00627620"/>
    <w:rsid w:val="00627C6D"/>
    <w:rsid w:val="00637B20"/>
    <w:rsid w:val="00645B39"/>
    <w:rsid w:val="00651BC8"/>
    <w:rsid w:val="006538F6"/>
    <w:rsid w:val="00661F40"/>
    <w:rsid w:val="006651B7"/>
    <w:rsid w:val="00666FB4"/>
    <w:rsid w:val="006679EC"/>
    <w:rsid w:val="006740A8"/>
    <w:rsid w:val="00676115"/>
    <w:rsid w:val="00684C69"/>
    <w:rsid w:val="0068793D"/>
    <w:rsid w:val="006A3A6E"/>
    <w:rsid w:val="006A6D81"/>
    <w:rsid w:val="006A7565"/>
    <w:rsid w:val="006B3358"/>
    <w:rsid w:val="006B5028"/>
    <w:rsid w:val="006B55C3"/>
    <w:rsid w:val="006C1BC9"/>
    <w:rsid w:val="006C41DE"/>
    <w:rsid w:val="006C4818"/>
    <w:rsid w:val="006C6C8A"/>
    <w:rsid w:val="006E626A"/>
    <w:rsid w:val="006F52EF"/>
    <w:rsid w:val="006F64D0"/>
    <w:rsid w:val="006F7549"/>
    <w:rsid w:val="007076C9"/>
    <w:rsid w:val="007133F7"/>
    <w:rsid w:val="007136C9"/>
    <w:rsid w:val="0071557A"/>
    <w:rsid w:val="00716D77"/>
    <w:rsid w:val="00732E55"/>
    <w:rsid w:val="007337F2"/>
    <w:rsid w:val="007353D5"/>
    <w:rsid w:val="007420B2"/>
    <w:rsid w:val="00742F9D"/>
    <w:rsid w:val="007514F5"/>
    <w:rsid w:val="007866EF"/>
    <w:rsid w:val="00797286"/>
    <w:rsid w:val="007A23F1"/>
    <w:rsid w:val="007B3C83"/>
    <w:rsid w:val="007D0381"/>
    <w:rsid w:val="007D0870"/>
    <w:rsid w:val="007D4381"/>
    <w:rsid w:val="007D4BFF"/>
    <w:rsid w:val="007E26FD"/>
    <w:rsid w:val="007E6C20"/>
    <w:rsid w:val="007E7147"/>
    <w:rsid w:val="007F347A"/>
    <w:rsid w:val="008049FC"/>
    <w:rsid w:val="00805EC4"/>
    <w:rsid w:val="00810F54"/>
    <w:rsid w:val="00824BD8"/>
    <w:rsid w:val="00841BDA"/>
    <w:rsid w:val="00844ED6"/>
    <w:rsid w:val="00850ABE"/>
    <w:rsid w:val="00852BC5"/>
    <w:rsid w:val="00854935"/>
    <w:rsid w:val="008653D9"/>
    <w:rsid w:val="00866DF0"/>
    <w:rsid w:val="00882042"/>
    <w:rsid w:val="00882250"/>
    <w:rsid w:val="008832C3"/>
    <w:rsid w:val="00883875"/>
    <w:rsid w:val="00891E6C"/>
    <w:rsid w:val="00893228"/>
    <w:rsid w:val="008B06BD"/>
    <w:rsid w:val="008B1163"/>
    <w:rsid w:val="008B13DD"/>
    <w:rsid w:val="008B6BDD"/>
    <w:rsid w:val="008C2CFF"/>
    <w:rsid w:val="008D3389"/>
    <w:rsid w:val="008E7117"/>
    <w:rsid w:val="008F4B03"/>
    <w:rsid w:val="008F4CB5"/>
    <w:rsid w:val="0090118A"/>
    <w:rsid w:val="00901390"/>
    <w:rsid w:val="00903777"/>
    <w:rsid w:val="00906C5F"/>
    <w:rsid w:val="00915256"/>
    <w:rsid w:val="0091569B"/>
    <w:rsid w:val="009159F2"/>
    <w:rsid w:val="00922E3D"/>
    <w:rsid w:val="00927A01"/>
    <w:rsid w:val="00932E44"/>
    <w:rsid w:val="00936967"/>
    <w:rsid w:val="00941FD4"/>
    <w:rsid w:val="00950C1D"/>
    <w:rsid w:val="00955895"/>
    <w:rsid w:val="0095614C"/>
    <w:rsid w:val="009612D3"/>
    <w:rsid w:val="00973F88"/>
    <w:rsid w:val="009920C7"/>
    <w:rsid w:val="009924CD"/>
    <w:rsid w:val="00994002"/>
    <w:rsid w:val="009A0F56"/>
    <w:rsid w:val="009A416A"/>
    <w:rsid w:val="009A5DDB"/>
    <w:rsid w:val="009B1130"/>
    <w:rsid w:val="009B2AF9"/>
    <w:rsid w:val="009B4127"/>
    <w:rsid w:val="009B4366"/>
    <w:rsid w:val="009B5290"/>
    <w:rsid w:val="009B6DF3"/>
    <w:rsid w:val="009C36A1"/>
    <w:rsid w:val="009E071C"/>
    <w:rsid w:val="009E2254"/>
    <w:rsid w:val="009E32B6"/>
    <w:rsid w:val="009E4BBA"/>
    <w:rsid w:val="009E5B9C"/>
    <w:rsid w:val="009E7CB3"/>
    <w:rsid w:val="009F3704"/>
    <w:rsid w:val="00A02288"/>
    <w:rsid w:val="00A06965"/>
    <w:rsid w:val="00A162DF"/>
    <w:rsid w:val="00A30EDD"/>
    <w:rsid w:val="00A42F0D"/>
    <w:rsid w:val="00A5147D"/>
    <w:rsid w:val="00A56F07"/>
    <w:rsid w:val="00A62C52"/>
    <w:rsid w:val="00A6667C"/>
    <w:rsid w:val="00A718D9"/>
    <w:rsid w:val="00A71C15"/>
    <w:rsid w:val="00A72B22"/>
    <w:rsid w:val="00A81996"/>
    <w:rsid w:val="00A87B12"/>
    <w:rsid w:val="00A93112"/>
    <w:rsid w:val="00AA08AF"/>
    <w:rsid w:val="00AD0EFE"/>
    <w:rsid w:val="00AD4DB4"/>
    <w:rsid w:val="00AE1FCF"/>
    <w:rsid w:val="00AE52C6"/>
    <w:rsid w:val="00AE5A0A"/>
    <w:rsid w:val="00AF2E1F"/>
    <w:rsid w:val="00AF546A"/>
    <w:rsid w:val="00AF588E"/>
    <w:rsid w:val="00B026E2"/>
    <w:rsid w:val="00B056B7"/>
    <w:rsid w:val="00B1355B"/>
    <w:rsid w:val="00B165BD"/>
    <w:rsid w:val="00B1672C"/>
    <w:rsid w:val="00B17F3B"/>
    <w:rsid w:val="00B23C66"/>
    <w:rsid w:val="00B24844"/>
    <w:rsid w:val="00B26E68"/>
    <w:rsid w:val="00B34488"/>
    <w:rsid w:val="00B36DFF"/>
    <w:rsid w:val="00B40811"/>
    <w:rsid w:val="00B41FE1"/>
    <w:rsid w:val="00B4742F"/>
    <w:rsid w:val="00B55100"/>
    <w:rsid w:val="00B560BB"/>
    <w:rsid w:val="00B56510"/>
    <w:rsid w:val="00B70CE6"/>
    <w:rsid w:val="00B71B77"/>
    <w:rsid w:val="00B814FD"/>
    <w:rsid w:val="00B8384B"/>
    <w:rsid w:val="00B83904"/>
    <w:rsid w:val="00BB7E51"/>
    <w:rsid w:val="00BC70FB"/>
    <w:rsid w:val="00BD3EC3"/>
    <w:rsid w:val="00BD5DDE"/>
    <w:rsid w:val="00BD76F2"/>
    <w:rsid w:val="00BE7AAF"/>
    <w:rsid w:val="00BF03EF"/>
    <w:rsid w:val="00BF0575"/>
    <w:rsid w:val="00BF090E"/>
    <w:rsid w:val="00BF22A2"/>
    <w:rsid w:val="00BF5A4F"/>
    <w:rsid w:val="00C055D5"/>
    <w:rsid w:val="00C0734F"/>
    <w:rsid w:val="00C207F5"/>
    <w:rsid w:val="00C30A3C"/>
    <w:rsid w:val="00C33A61"/>
    <w:rsid w:val="00C447D0"/>
    <w:rsid w:val="00C45738"/>
    <w:rsid w:val="00C51DF3"/>
    <w:rsid w:val="00C54636"/>
    <w:rsid w:val="00C56F7A"/>
    <w:rsid w:val="00C60938"/>
    <w:rsid w:val="00C71866"/>
    <w:rsid w:val="00C76185"/>
    <w:rsid w:val="00C8091B"/>
    <w:rsid w:val="00C83041"/>
    <w:rsid w:val="00C85B98"/>
    <w:rsid w:val="00C87EED"/>
    <w:rsid w:val="00CB5BA0"/>
    <w:rsid w:val="00CB6AAB"/>
    <w:rsid w:val="00CB7F05"/>
    <w:rsid w:val="00CD4117"/>
    <w:rsid w:val="00CD61B2"/>
    <w:rsid w:val="00CE4A35"/>
    <w:rsid w:val="00CF26FC"/>
    <w:rsid w:val="00CF33C8"/>
    <w:rsid w:val="00CF3780"/>
    <w:rsid w:val="00D04CE7"/>
    <w:rsid w:val="00D371A1"/>
    <w:rsid w:val="00D56F4E"/>
    <w:rsid w:val="00D74833"/>
    <w:rsid w:val="00D838BE"/>
    <w:rsid w:val="00D83EDB"/>
    <w:rsid w:val="00D92A75"/>
    <w:rsid w:val="00D92AEF"/>
    <w:rsid w:val="00D97F56"/>
    <w:rsid w:val="00DA4890"/>
    <w:rsid w:val="00DA4F8C"/>
    <w:rsid w:val="00DA6169"/>
    <w:rsid w:val="00DB0234"/>
    <w:rsid w:val="00DB0943"/>
    <w:rsid w:val="00DB0E85"/>
    <w:rsid w:val="00DB464A"/>
    <w:rsid w:val="00DB7E07"/>
    <w:rsid w:val="00DD13FE"/>
    <w:rsid w:val="00DD32CF"/>
    <w:rsid w:val="00DD496D"/>
    <w:rsid w:val="00DF193F"/>
    <w:rsid w:val="00DF2152"/>
    <w:rsid w:val="00DF6BE5"/>
    <w:rsid w:val="00DF6D73"/>
    <w:rsid w:val="00E05CB4"/>
    <w:rsid w:val="00E06A5B"/>
    <w:rsid w:val="00E134D9"/>
    <w:rsid w:val="00E146E2"/>
    <w:rsid w:val="00E202A0"/>
    <w:rsid w:val="00E34A27"/>
    <w:rsid w:val="00E43098"/>
    <w:rsid w:val="00E47104"/>
    <w:rsid w:val="00E52CC5"/>
    <w:rsid w:val="00E54958"/>
    <w:rsid w:val="00E5682E"/>
    <w:rsid w:val="00E56DB8"/>
    <w:rsid w:val="00E61B80"/>
    <w:rsid w:val="00E623D5"/>
    <w:rsid w:val="00E63DA7"/>
    <w:rsid w:val="00E74A7C"/>
    <w:rsid w:val="00E7786F"/>
    <w:rsid w:val="00E82FE4"/>
    <w:rsid w:val="00E84AA4"/>
    <w:rsid w:val="00E97327"/>
    <w:rsid w:val="00EB643B"/>
    <w:rsid w:val="00EB70FA"/>
    <w:rsid w:val="00EC0F49"/>
    <w:rsid w:val="00EC2892"/>
    <w:rsid w:val="00ED6AF7"/>
    <w:rsid w:val="00EF3EC8"/>
    <w:rsid w:val="00F038AF"/>
    <w:rsid w:val="00F039E0"/>
    <w:rsid w:val="00F0565B"/>
    <w:rsid w:val="00F12492"/>
    <w:rsid w:val="00F175DA"/>
    <w:rsid w:val="00F368B5"/>
    <w:rsid w:val="00F4643E"/>
    <w:rsid w:val="00F53BB9"/>
    <w:rsid w:val="00F634E4"/>
    <w:rsid w:val="00F63A4E"/>
    <w:rsid w:val="00F93D62"/>
    <w:rsid w:val="00FB10BC"/>
    <w:rsid w:val="00FB15FE"/>
    <w:rsid w:val="00FB32E5"/>
    <w:rsid w:val="00FC0CBB"/>
    <w:rsid w:val="00FD6640"/>
    <w:rsid w:val="00FF0252"/>
    <w:rsid w:val="00FF2BA6"/>
    <w:rsid w:val="00FF41A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75E5AC"/>
  <w15:chartTrackingRefBased/>
  <w15:docId w15:val="{1486270A-4B7B-4CBC-9611-6CB5B2EF2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00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510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002C54"/>
    <w:rPr>
      <w:rFonts w:ascii="Helvetica" w:hAnsi="Helvetica" w:cs="Times New Roman"/>
      <w:kern w:val="0"/>
      <w:sz w:val="18"/>
      <w:szCs w:val="18"/>
      <w14:ligatures w14:val="none"/>
    </w:rPr>
  </w:style>
  <w:style w:type="character" w:customStyle="1" w:styleId="s1">
    <w:name w:val="s1"/>
    <w:basedOn w:val="DefaultParagraphFont"/>
    <w:rsid w:val="00002C54"/>
    <w:rPr>
      <w:rFonts w:ascii="Helvetica" w:hAnsi="Helvetica" w:hint="default"/>
      <w:b w:val="0"/>
      <w:bCs w:val="0"/>
      <w:i w:val="0"/>
      <w:iCs w:val="0"/>
      <w:sz w:val="18"/>
      <w:szCs w:val="18"/>
    </w:rPr>
  </w:style>
  <w:style w:type="paragraph" w:customStyle="1" w:styleId="li1">
    <w:name w:val="li1"/>
    <w:basedOn w:val="Normal"/>
    <w:rsid w:val="00C54636"/>
    <w:rPr>
      <w:rFonts w:ascii="Helvetica" w:hAnsi="Helvetica" w:cs="Times New Roman"/>
      <w:kern w:val="0"/>
      <w:sz w:val="18"/>
      <w:szCs w:val="18"/>
      <w14:ligatures w14:val="none"/>
    </w:rPr>
  </w:style>
  <w:style w:type="paragraph" w:styleId="NoSpacing">
    <w:name w:val="No Spacing"/>
    <w:link w:val="NoSpacingChar"/>
    <w:uiPriority w:val="1"/>
    <w:qFormat/>
    <w:rsid w:val="00B8384B"/>
    <w:rPr>
      <w:kern w:val="0"/>
      <w:lang w:val="en-US" w:eastAsia="en-US"/>
      <w14:ligatures w14:val="none"/>
    </w:rPr>
  </w:style>
  <w:style w:type="character" w:customStyle="1" w:styleId="NoSpacingChar">
    <w:name w:val="No Spacing Char"/>
    <w:basedOn w:val="DefaultParagraphFont"/>
    <w:link w:val="NoSpacing"/>
    <w:uiPriority w:val="1"/>
    <w:rsid w:val="00B8384B"/>
    <w:rPr>
      <w:kern w:val="0"/>
      <w:lang w:val="en-US" w:eastAsia="en-US"/>
      <w14:ligatures w14:val="none"/>
    </w:rPr>
  </w:style>
  <w:style w:type="character" w:customStyle="1" w:styleId="Heading1Char">
    <w:name w:val="Heading 1 Char"/>
    <w:basedOn w:val="DefaultParagraphFont"/>
    <w:link w:val="Heading1"/>
    <w:uiPriority w:val="9"/>
    <w:rsid w:val="009940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4002"/>
    <w:pPr>
      <w:spacing w:line="259" w:lineRule="auto"/>
      <w:outlineLvl w:val="9"/>
    </w:pPr>
    <w:rPr>
      <w:kern w:val="0"/>
      <w:lang w:val="en-US" w:eastAsia="en-US"/>
      <w14:ligatures w14:val="none"/>
    </w:rPr>
  </w:style>
  <w:style w:type="character" w:customStyle="1" w:styleId="Heading2Char">
    <w:name w:val="Heading 2 Char"/>
    <w:basedOn w:val="DefaultParagraphFont"/>
    <w:link w:val="Heading2"/>
    <w:uiPriority w:val="9"/>
    <w:rsid w:val="00B5510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24844"/>
    <w:pPr>
      <w:ind w:left="720"/>
      <w:contextualSpacing/>
    </w:pPr>
  </w:style>
  <w:style w:type="paragraph" w:styleId="TOC1">
    <w:name w:val="toc 1"/>
    <w:basedOn w:val="Normal"/>
    <w:next w:val="Normal"/>
    <w:autoRedefine/>
    <w:uiPriority w:val="39"/>
    <w:unhideWhenUsed/>
    <w:rsid w:val="004663F9"/>
    <w:pPr>
      <w:spacing w:after="100"/>
    </w:pPr>
  </w:style>
  <w:style w:type="paragraph" w:styleId="TOC2">
    <w:name w:val="toc 2"/>
    <w:basedOn w:val="Normal"/>
    <w:next w:val="Normal"/>
    <w:autoRedefine/>
    <w:uiPriority w:val="39"/>
    <w:unhideWhenUsed/>
    <w:rsid w:val="004663F9"/>
    <w:pPr>
      <w:spacing w:after="100"/>
      <w:ind w:left="220"/>
    </w:pPr>
  </w:style>
  <w:style w:type="character" w:styleId="Hyperlink">
    <w:name w:val="Hyperlink"/>
    <w:basedOn w:val="DefaultParagraphFont"/>
    <w:uiPriority w:val="99"/>
    <w:unhideWhenUsed/>
    <w:rsid w:val="004663F9"/>
    <w:rPr>
      <w:color w:val="0563C1" w:themeColor="hyperlink"/>
      <w:u w:val="single"/>
    </w:rPr>
  </w:style>
  <w:style w:type="character" w:styleId="UnresolvedMention">
    <w:name w:val="Unresolved Mention"/>
    <w:basedOn w:val="DefaultParagraphFont"/>
    <w:uiPriority w:val="99"/>
    <w:semiHidden/>
    <w:unhideWhenUsed/>
    <w:rsid w:val="00EB70FA"/>
    <w:rPr>
      <w:color w:val="605E5C"/>
      <w:shd w:val="clear" w:color="auto" w:fill="E1DFDD"/>
    </w:rPr>
  </w:style>
  <w:style w:type="paragraph" w:styleId="Header">
    <w:name w:val="header"/>
    <w:basedOn w:val="Normal"/>
    <w:link w:val="HeaderChar"/>
    <w:uiPriority w:val="99"/>
    <w:unhideWhenUsed/>
    <w:rsid w:val="009A0F56"/>
    <w:pPr>
      <w:tabs>
        <w:tab w:val="center" w:pos="4513"/>
        <w:tab w:val="right" w:pos="9026"/>
      </w:tabs>
    </w:pPr>
  </w:style>
  <w:style w:type="character" w:customStyle="1" w:styleId="HeaderChar">
    <w:name w:val="Header Char"/>
    <w:basedOn w:val="DefaultParagraphFont"/>
    <w:link w:val="Header"/>
    <w:uiPriority w:val="99"/>
    <w:rsid w:val="009A0F56"/>
  </w:style>
  <w:style w:type="paragraph" w:styleId="Footer">
    <w:name w:val="footer"/>
    <w:basedOn w:val="Normal"/>
    <w:link w:val="FooterChar"/>
    <w:uiPriority w:val="99"/>
    <w:unhideWhenUsed/>
    <w:rsid w:val="009A0F56"/>
    <w:pPr>
      <w:tabs>
        <w:tab w:val="center" w:pos="4513"/>
        <w:tab w:val="right" w:pos="9026"/>
      </w:tabs>
    </w:pPr>
  </w:style>
  <w:style w:type="character" w:customStyle="1" w:styleId="FooterChar">
    <w:name w:val="Footer Char"/>
    <w:basedOn w:val="DefaultParagraphFont"/>
    <w:link w:val="Footer"/>
    <w:uiPriority w:val="99"/>
    <w:rsid w:val="009A0F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07378">
      <w:bodyDiv w:val="1"/>
      <w:marLeft w:val="0"/>
      <w:marRight w:val="0"/>
      <w:marTop w:val="0"/>
      <w:marBottom w:val="0"/>
      <w:divBdr>
        <w:top w:val="none" w:sz="0" w:space="0" w:color="auto"/>
        <w:left w:val="none" w:sz="0" w:space="0" w:color="auto"/>
        <w:bottom w:val="none" w:sz="0" w:space="0" w:color="auto"/>
        <w:right w:val="none" w:sz="0" w:space="0" w:color="auto"/>
      </w:divBdr>
    </w:div>
    <w:div w:id="102305067">
      <w:bodyDiv w:val="1"/>
      <w:marLeft w:val="0"/>
      <w:marRight w:val="0"/>
      <w:marTop w:val="0"/>
      <w:marBottom w:val="0"/>
      <w:divBdr>
        <w:top w:val="none" w:sz="0" w:space="0" w:color="auto"/>
        <w:left w:val="none" w:sz="0" w:space="0" w:color="auto"/>
        <w:bottom w:val="none" w:sz="0" w:space="0" w:color="auto"/>
        <w:right w:val="none" w:sz="0" w:space="0" w:color="auto"/>
      </w:divBdr>
      <w:divsChild>
        <w:div w:id="264391094">
          <w:marLeft w:val="0"/>
          <w:marRight w:val="0"/>
          <w:marTop w:val="0"/>
          <w:marBottom w:val="0"/>
          <w:divBdr>
            <w:top w:val="none" w:sz="0" w:space="0" w:color="auto"/>
            <w:left w:val="none" w:sz="0" w:space="0" w:color="auto"/>
            <w:bottom w:val="none" w:sz="0" w:space="0" w:color="auto"/>
            <w:right w:val="none" w:sz="0" w:space="0" w:color="auto"/>
          </w:divBdr>
          <w:divsChild>
            <w:div w:id="1273438586">
              <w:marLeft w:val="0"/>
              <w:marRight w:val="0"/>
              <w:marTop w:val="0"/>
              <w:marBottom w:val="0"/>
              <w:divBdr>
                <w:top w:val="none" w:sz="0" w:space="0" w:color="auto"/>
                <w:left w:val="none" w:sz="0" w:space="0" w:color="auto"/>
                <w:bottom w:val="none" w:sz="0" w:space="0" w:color="auto"/>
                <w:right w:val="none" w:sz="0" w:space="0" w:color="auto"/>
              </w:divBdr>
              <w:divsChild>
                <w:div w:id="1311403687">
                  <w:marLeft w:val="0"/>
                  <w:marRight w:val="0"/>
                  <w:marTop w:val="0"/>
                  <w:marBottom w:val="0"/>
                  <w:divBdr>
                    <w:top w:val="none" w:sz="0" w:space="0" w:color="auto"/>
                    <w:left w:val="none" w:sz="0" w:space="0" w:color="auto"/>
                    <w:bottom w:val="none" w:sz="0" w:space="0" w:color="auto"/>
                    <w:right w:val="none" w:sz="0" w:space="0" w:color="auto"/>
                  </w:divBdr>
                </w:div>
                <w:div w:id="1387333851">
                  <w:marLeft w:val="0"/>
                  <w:marRight w:val="0"/>
                  <w:marTop w:val="0"/>
                  <w:marBottom w:val="0"/>
                  <w:divBdr>
                    <w:top w:val="none" w:sz="0" w:space="0" w:color="auto"/>
                    <w:left w:val="none" w:sz="0" w:space="0" w:color="auto"/>
                    <w:bottom w:val="none" w:sz="0" w:space="0" w:color="auto"/>
                    <w:right w:val="none" w:sz="0" w:space="0" w:color="auto"/>
                  </w:divBdr>
                </w:div>
                <w:div w:id="1599605958">
                  <w:marLeft w:val="0"/>
                  <w:marRight w:val="0"/>
                  <w:marTop w:val="0"/>
                  <w:marBottom w:val="0"/>
                  <w:divBdr>
                    <w:top w:val="none" w:sz="0" w:space="0" w:color="auto"/>
                    <w:left w:val="none" w:sz="0" w:space="0" w:color="auto"/>
                    <w:bottom w:val="none" w:sz="0" w:space="0" w:color="auto"/>
                    <w:right w:val="none" w:sz="0" w:space="0" w:color="auto"/>
                  </w:divBdr>
                  <w:divsChild>
                    <w:div w:id="228880883">
                      <w:marLeft w:val="0"/>
                      <w:marRight w:val="0"/>
                      <w:marTop w:val="0"/>
                      <w:marBottom w:val="0"/>
                      <w:divBdr>
                        <w:top w:val="none" w:sz="0" w:space="0" w:color="auto"/>
                        <w:left w:val="none" w:sz="0" w:space="0" w:color="auto"/>
                        <w:bottom w:val="none" w:sz="0" w:space="0" w:color="auto"/>
                        <w:right w:val="none" w:sz="0" w:space="0" w:color="auto"/>
                      </w:divBdr>
                      <w:divsChild>
                        <w:div w:id="684788530">
                          <w:marLeft w:val="0"/>
                          <w:marRight w:val="0"/>
                          <w:marTop w:val="0"/>
                          <w:marBottom w:val="0"/>
                          <w:divBdr>
                            <w:top w:val="none" w:sz="0" w:space="0" w:color="auto"/>
                            <w:left w:val="none" w:sz="0" w:space="0" w:color="auto"/>
                            <w:bottom w:val="none" w:sz="0" w:space="0" w:color="auto"/>
                            <w:right w:val="none" w:sz="0" w:space="0" w:color="auto"/>
                          </w:divBdr>
                          <w:divsChild>
                            <w:div w:id="1447237002">
                              <w:marLeft w:val="0"/>
                              <w:marRight w:val="0"/>
                              <w:marTop w:val="0"/>
                              <w:marBottom w:val="0"/>
                              <w:divBdr>
                                <w:top w:val="none" w:sz="0" w:space="0" w:color="auto"/>
                                <w:left w:val="none" w:sz="0" w:space="0" w:color="auto"/>
                                <w:bottom w:val="none" w:sz="0" w:space="0" w:color="auto"/>
                                <w:right w:val="none" w:sz="0" w:space="0" w:color="auto"/>
                              </w:divBdr>
                              <w:divsChild>
                                <w:div w:id="42679669">
                                  <w:marLeft w:val="0"/>
                                  <w:marRight w:val="0"/>
                                  <w:marTop w:val="0"/>
                                  <w:marBottom w:val="0"/>
                                  <w:divBdr>
                                    <w:top w:val="none" w:sz="0" w:space="0" w:color="auto"/>
                                    <w:left w:val="none" w:sz="0" w:space="0" w:color="auto"/>
                                    <w:bottom w:val="none" w:sz="0" w:space="0" w:color="auto"/>
                                    <w:right w:val="none" w:sz="0" w:space="0" w:color="auto"/>
                                  </w:divBdr>
                                  <w:divsChild>
                                    <w:div w:id="341858512">
                                      <w:marLeft w:val="0"/>
                                      <w:marRight w:val="0"/>
                                      <w:marTop w:val="0"/>
                                      <w:marBottom w:val="0"/>
                                      <w:divBdr>
                                        <w:top w:val="none" w:sz="0" w:space="0" w:color="auto"/>
                                        <w:left w:val="none" w:sz="0" w:space="0" w:color="auto"/>
                                        <w:bottom w:val="none" w:sz="0" w:space="0" w:color="auto"/>
                                        <w:right w:val="none" w:sz="0" w:space="0" w:color="auto"/>
                                      </w:divBdr>
                                      <w:divsChild>
                                        <w:div w:id="446697624">
                                          <w:marLeft w:val="0"/>
                                          <w:marRight w:val="0"/>
                                          <w:marTop w:val="0"/>
                                          <w:marBottom w:val="0"/>
                                          <w:divBdr>
                                            <w:top w:val="none" w:sz="0" w:space="0" w:color="auto"/>
                                            <w:left w:val="none" w:sz="0" w:space="0" w:color="auto"/>
                                            <w:bottom w:val="none" w:sz="0" w:space="0" w:color="auto"/>
                                            <w:right w:val="none" w:sz="0" w:space="0" w:color="auto"/>
                                          </w:divBdr>
                                        </w:div>
                                      </w:divsChild>
                                    </w:div>
                                    <w:div w:id="368071982">
                                      <w:marLeft w:val="0"/>
                                      <w:marRight w:val="0"/>
                                      <w:marTop w:val="0"/>
                                      <w:marBottom w:val="0"/>
                                      <w:divBdr>
                                        <w:top w:val="none" w:sz="0" w:space="0" w:color="auto"/>
                                        <w:left w:val="none" w:sz="0" w:space="0" w:color="auto"/>
                                        <w:bottom w:val="none" w:sz="0" w:space="0" w:color="auto"/>
                                        <w:right w:val="none" w:sz="0" w:space="0" w:color="auto"/>
                                      </w:divBdr>
                                      <w:divsChild>
                                        <w:div w:id="365326944">
                                          <w:marLeft w:val="0"/>
                                          <w:marRight w:val="0"/>
                                          <w:marTop w:val="0"/>
                                          <w:marBottom w:val="0"/>
                                          <w:divBdr>
                                            <w:top w:val="none" w:sz="0" w:space="0" w:color="auto"/>
                                            <w:left w:val="none" w:sz="0" w:space="0" w:color="auto"/>
                                            <w:bottom w:val="none" w:sz="0" w:space="0" w:color="auto"/>
                                            <w:right w:val="none" w:sz="0" w:space="0" w:color="auto"/>
                                          </w:divBdr>
                                        </w:div>
                                      </w:divsChild>
                                    </w:div>
                                    <w:div w:id="512457228">
                                      <w:marLeft w:val="0"/>
                                      <w:marRight w:val="0"/>
                                      <w:marTop w:val="0"/>
                                      <w:marBottom w:val="0"/>
                                      <w:divBdr>
                                        <w:top w:val="none" w:sz="0" w:space="0" w:color="auto"/>
                                        <w:left w:val="none" w:sz="0" w:space="0" w:color="auto"/>
                                        <w:bottom w:val="none" w:sz="0" w:space="0" w:color="auto"/>
                                        <w:right w:val="none" w:sz="0" w:space="0" w:color="auto"/>
                                      </w:divBdr>
                                    </w:div>
                                    <w:div w:id="517504282">
                                      <w:marLeft w:val="0"/>
                                      <w:marRight w:val="0"/>
                                      <w:marTop w:val="0"/>
                                      <w:marBottom w:val="0"/>
                                      <w:divBdr>
                                        <w:top w:val="none" w:sz="0" w:space="0" w:color="auto"/>
                                        <w:left w:val="none" w:sz="0" w:space="0" w:color="auto"/>
                                        <w:bottom w:val="none" w:sz="0" w:space="0" w:color="auto"/>
                                        <w:right w:val="none" w:sz="0" w:space="0" w:color="auto"/>
                                      </w:divBdr>
                                      <w:divsChild>
                                        <w:div w:id="1973049339">
                                          <w:marLeft w:val="0"/>
                                          <w:marRight w:val="0"/>
                                          <w:marTop w:val="0"/>
                                          <w:marBottom w:val="0"/>
                                          <w:divBdr>
                                            <w:top w:val="none" w:sz="0" w:space="0" w:color="auto"/>
                                            <w:left w:val="none" w:sz="0" w:space="0" w:color="auto"/>
                                            <w:bottom w:val="none" w:sz="0" w:space="0" w:color="auto"/>
                                            <w:right w:val="none" w:sz="0" w:space="0" w:color="auto"/>
                                          </w:divBdr>
                                        </w:div>
                                      </w:divsChild>
                                    </w:div>
                                    <w:div w:id="1473256562">
                                      <w:marLeft w:val="0"/>
                                      <w:marRight w:val="0"/>
                                      <w:marTop w:val="0"/>
                                      <w:marBottom w:val="0"/>
                                      <w:divBdr>
                                        <w:top w:val="none" w:sz="0" w:space="0" w:color="auto"/>
                                        <w:left w:val="none" w:sz="0" w:space="0" w:color="auto"/>
                                        <w:bottom w:val="none" w:sz="0" w:space="0" w:color="auto"/>
                                        <w:right w:val="none" w:sz="0" w:space="0" w:color="auto"/>
                                      </w:divBdr>
                                      <w:divsChild>
                                        <w:div w:id="151221575">
                                          <w:marLeft w:val="0"/>
                                          <w:marRight w:val="0"/>
                                          <w:marTop w:val="0"/>
                                          <w:marBottom w:val="0"/>
                                          <w:divBdr>
                                            <w:top w:val="none" w:sz="0" w:space="0" w:color="auto"/>
                                            <w:left w:val="none" w:sz="0" w:space="0" w:color="auto"/>
                                            <w:bottom w:val="none" w:sz="0" w:space="0" w:color="auto"/>
                                            <w:right w:val="none" w:sz="0" w:space="0" w:color="auto"/>
                                          </w:divBdr>
                                          <w:divsChild>
                                            <w:div w:id="826091062">
                                              <w:marLeft w:val="0"/>
                                              <w:marRight w:val="0"/>
                                              <w:marTop w:val="0"/>
                                              <w:marBottom w:val="0"/>
                                              <w:divBdr>
                                                <w:top w:val="none" w:sz="0" w:space="0" w:color="auto"/>
                                                <w:left w:val="none" w:sz="0" w:space="0" w:color="auto"/>
                                                <w:bottom w:val="none" w:sz="0" w:space="0" w:color="auto"/>
                                                <w:right w:val="none" w:sz="0" w:space="0" w:color="auto"/>
                                              </w:divBdr>
                                            </w:div>
                                            <w:div w:id="1301228253">
                                              <w:marLeft w:val="0"/>
                                              <w:marRight w:val="0"/>
                                              <w:marTop w:val="0"/>
                                              <w:marBottom w:val="0"/>
                                              <w:divBdr>
                                                <w:top w:val="none" w:sz="0" w:space="0" w:color="auto"/>
                                                <w:left w:val="none" w:sz="0" w:space="0" w:color="auto"/>
                                                <w:bottom w:val="none" w:sz="0" w:space="0" w:color="auto"/>
                                                <w:right w:val="none" w:sz="0" w:space="0" w:color="auto"/>
                                              </w:divBdr>
                                            </w:div>
                                            <w:div w:id="1495074495">
                                              <w:marLeft w:val="0"/>
                                              <w:marRight w:val="0"/>
                                              <w:marTop w:val="0"/>
                                              <w:marBottom w:val="0"/>
                                              <w:divBdr>
                                                <w:top w:val="none" w:sz="0" w:space="0" w:color="auto"/>
                                                <w:left w:val="none" w:sz="0" w:space="0" w:color="auto"/>
                                                <w:bottom w:val="none" w:sz="0" w:space="0" w:color="auto"/>
                                                <w:right w:val="none" w:sz="0" w:space="0" w:color="auto"/>
                                              </w:divBdr>
                                              <w:divsChild>
                                                <w:div w:id="2116291518">
                                                  <w:marLeft w:val="0"/>
                                                  <w:marRight w:val="0"/>
                                                  <w:marTop w:val="0"/>
                                                  <w:marBottom w:val="0"/>
                                                  <w:divBdr>
                                                    <w:top w:val="none" w:sz="0" w:space="0" w:color="auto"/>
                                                    <w:left w:val="none" w:sz="0" w:space="0" w:color="auto"/>
                                                    <w:bottom w:val="none" w:sz="0" w:space="0" w:color="auto"/>
                                                    <w:right w:val="none" w:sz="0" w:space="0" w:color="auto"/>
                                                  </w:divBdr>
                                                  <w:divsChild>
                                                    <w:div w:id="1402865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7198280">
                                  <w:marLeft w:val="0"/>
                                  <w:marRight w:val="0"/>
                                  <w:marTop w:val="0"/>
                                  <w:marBottom w:val="0"/>
                                  <w:divBdr>
                                    <w:top w:val="none" w:sz="0" w:space="0" w:color="auto"/>
                                    <w:left w:val="none" w:sz="0" w:space="0" w:color="auto"/>
                                    <w:bottom w:val="none" w:sz="0" w:space="0" w:color="auto"/>
                                    <w:right w:val="none" w:sz="0" w:space="0" w:color="auto"/>
                                  </w:divBdr>
                                  <w:divsChild>
                                    <w:div w:id="1853760981">
                                      <w:marLeft w:val="0"/>
                                      <w:marRight w:val="0"/>
                                      <w:marTop w:val="0"/>
                                      <w:marBottom w:val="0"/>
                                      <w:divBdr>
                                        <w:top w:val="none" w:sz="0" w:space="0" w:color="auto"/>
                                        <w:left w:val="none" w:sz="0" w:space="0" w:color="auto"/>
                                        <w:bottom w:val="none" w:sz="0" w:space="0" w:color="auto"/>
                                        <w:right w:val="none" w:sz="0" w:space="0" w:color="auto"/>
                                      </w:divBdr>
                                    </w:div>
                                  </w:divsChild>
                                </w:div>
                                <w:div w:id="179066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154267">
                      <w:marLeft w:val="0"/>
                      <w:marRight w:val="0"/>
                      <w:marTop w:val="0"/>
                      <w:marBottom w:val="0"/>
                      <w:divBdr>
                        <w:top w:val="none" w:sz="0" w:space="0" w:color="auto"/>
                        <w:left w:val="none" w:sz="0" w:space="0" w:color="auto"/>
                        <w:bottom w:val="none" w:sz="0" w:space="0" w:color="auto"/>
                        <w:right w:val="none" w:sz="0" w:space="0" w:color="auto"/>
                      </w:divBdr>
                    </w:div>
                  </w:divsChild>
                </w:div>
                <w:div w:id="1644584425">
                  <w:marLeft w:val="0"/>
                  <w:marRight w:val="0"/>
                  <w:marTop w:val="0"/>
                  <w:marBottom w:val="0"/>
                  <w:divBdr>
                    <w:top w:val="none" w:sz="0" w:space="0" w:color="auto"/>
                    <w:left w:val="none" w:sz="0" w:space="0" w:color="auto"/>
                    <w:bottom w:val="none" w:sz="0" w:space="0" w:color="auto"/>
                    <w:right w:val="none" w:sz="0" w:space="0" w:color="auto"/>
                  </w:divBdr>
                  <w:divsChild>
                    <w:div w:id="1237516636">
                      <w:marLeft w:val="0"/>
                      <w:marRight w:val="0"/>
                      <w:marTop w:val="0"/>
                      <w:marBottom w:val="0"/>
                      <w:divBdr>
                        <w:top w:val="none" w:sz="0" w:space="0" w:color="auto"/>
                        <w:left w:val="none" w:sz="0" w:space="0" w:color="auto"/>
                        <w:bottom w:val="none" w:sz="0" w:space="0" w:color="auto"/>
                        <w:right w:val="none" w:sz="0" w:space="0" w:color="auto"/>
                      </w:divBdr>
                    </w:div>
                    <w:div w:id="1324818364">
                      <w:marLeft w:val="0"/>
                      <w:marRight w:val="0"/>
                      <w:marTop w:val="0"/>
                      <w:marBottom w:val="0"/>
                      <w:divBdr>
                        <w:top w:val="none" w:sz="0" w:space="0" w:color="auto"/>
                        <w:left w:val="none" w:sz="0" w:space="0" w:color="auto"/>
                        <w:bottom w:val="none" w:sz="0" w:space="0" w:color="auto"/>
                        <w:right w:val="none" w:sz="0" w:space="0" w:color="auto"/>
                      </w:divBdr>
                    </w:div>
                    <w:div w:id="1480268355">
                      <w:marLeft w:val="0"/>
                      <w:marRight w:val="0"/>
                      <w:marTop w:val="0"/>
                      <w:marBottom w:val="0"/>
                      <w:divBdr>
                        <w:top w:val="none" w:sz="0" w:space="0" w:color="auto"/>
                        <w:left w:val="none" w:sz="0" w:space="0" w:color="auto"/>
                        <w:bottom w:val="none" w:sz="0" w:space="0" w:color="auto"/>
                        <w:right w:val="none" w:sz="0" w:space="0" w:color="auto"/>
                      </w:divBdr>
                    </w:div>
                  </w:divsChild>
                </w:div>
                <w:div w:id="177740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406493">
      <w:bodyDiv w:val="1"/>
      <w:marLeft w:val="0"/>
      <w:marRight w:val="0"/>
      <w:marTop w:val="0"/>
      <w:marBottom w:val="0"/>
      <w:divBdr>
        <w:top w:val="none" w:sz="0" w:space="0" w:color="auto"/>
        <w:left w:val="none" w:sz="0" w:space="0" w:color="auto"/>
        <w:bottom w:val="none" w:sz="0" w:space="0" w:color="auto"/>
        <w:right w:val="none" w:sz="0" w:space="0" w:color="auto"/>
      </w:divBdr>
    </w:div>
    <w:div w:id="476382622">
      <w:bodyDiv w:val="1"/>
      <w:marLeft w:val="0"/>
      <w:marRight w:val="0"/>
      <w:marTop w:val="0"/>
      <w:marBottom w:val="0"/>
      <w:divBdr>
        <w:top w:val="none" w:sz="0" w:space="0" w:color="auto"/>
        <w:left w:val="none" w:sz="0" w:space="0" w:color="auto"/>
        <w:bottom w:val="none" w:sz="0" w:space="0" w:color="auto"/>
        <w:right w:val="none" w:sz="0" w:space="0" w:color="auto"/>
      </w:divBdr>
    </w:div>
    <w:div w:id="693770898">
      <w:bodyDiv w:val="1"/>
      <w:marLeft w:val="0"/>
      <w:marRight w:val="0"/>
      <w:marTop w:val="0"/>
      <w:marBottom w:val="0"/>
      <w:divBdr>
        <w:top w:val="none" w:sz="0" w:space="0" w:color="auto"/>
        <w:left w:val="none" w:sz="0" w:space="0" w:color="auto"/>
        <w:bottom w:val="none" w:sz="0" w:space="0" w:color="auto"/>
        <w:right w:val="none" w:sz="0" w:space="0" w:color="auto"/>
      </w:divBdr>
    </w:div>
    <w:div w:id="786462062">
      <w:bodyDiv w:val="1"/>
      <w:marLeft w:val="0"/>
      <w:marRight w:val="0"/>
      <w:marTop w:val="0"/>
      <w:marBottom w:val="0"/>
      <w:divBdr>
        <w:top w:val="none" w:sz="0" w:space="0" w:color="auto"/>
        <w:left w:val="none" w:sz="0" w:space="0" w:color="auto"/>
        <w:bottom w:val="none" w:sz="0" w:space="0" w:color="auto"/>
        <w:right w:val="none" w:sz="0" w:space="0" w:color="auto"/>
      </w:divBdr>
    </w:div>
    <w:div w:id="908537533">
      <w:bodyDiv w:val="1"/>
      <w:marLeft w:val="0"/>
      <w:marRight w:val="0"/>
      <w:marTop w:val="0"/>
      <w:marBottom w:val="0"/>
      <w:divBdr>
        <w:top w:val="none" w:sz="0" w:space="0" w:color="auto"/>
        <w:left w:val="none" w:sz="0" w:space="0" w:color="auto"/>
        <w:bottom w:val="none" w:sz="0" w:space="0" w:color="auto"/>
        <w:right w:val="none" w:sz="0" w:space="0" w:color="auto"/>
      </w:divBdr>
      <w:divsChild>
        <w:div w:id="1943563341">
          <w:marLeft w:val="0"/>
          <w:marRight w:val="0"/>
          <w:marTop w:val="0"/>
          <w:marBottom w:val="0"/>
          <w:divBdr>
            <w:top w:val="none" w:sz="0" w:space="0" w:color="auto"/>
            <w:left w:val="none" w:sz="0" w:space="0" w:color="auto"/>
            <w:bottom w:val="none" w:sz="0" w:space="0" w:color="auto"/>
            <w:right w:val="none" w:sz="0" w:space="0" w:color="auto"/>
          </w:divBdr>
        </w:div>
      </w:divsChild>
    </w:div>
    <w:div w:id="1376807139">
      <w:bodyDiv w:val="1"/>
      <w:marLeft w:val="0"/>
      <w:marRight w:val="0"/>
      <w:marTop w:val="0"/>
      <w:marBottom w:val="0"/>
      <w:divBdr>
        <w:top w:val="none" w:sz="0" w:space="0" w:color="auto"/>
        <w:left w:val="none" w:sz="0" w:space="0" w:color="auto"/>
        <w:bottom w:val="none" w:sz="0" w:space="0" w:color="auto"/>
        <w:right w:val="none" w:sz="0" w:space="0" w:color="auto"/>
      </w:divBdr>
      <w:divsChild>
        <w:div w:id="414279257">
          <w:marLeft w:val="0"/>
          <w:marRight w:val="0"/>
          <w:marTop w:val="0"/>
          <w:marBottom w:val="0"/>
          <w:divBdr>
            <w:top w:val="none" w:sz="0" w:space="0" w:color="auto"/>
            <w:left w:val="none" w:sz="0" w:space="0" w:color="auto"/>
            <w:bottom w:val="none" w:sz="0" w:space="0" w:color="auto"/>
            <w:right w:val="none" w:sz="0" w:space="0" w:color="auto"/>
          </w:divBdr>
        </w:div>
      </w:divsChild>
    </w:div>
    <w:div w:id="1394549195">
      <w:bodyDiv w:val="1"/>
      <w:marLeft w:val="0"/>
      <w:marRight w:val="0"/>
      <w:marTop w:val="0"/>
      <w:marBottom w:val="0"/>
      <w:divBdr>
        <w:top w:val="none" w:sz="0" w:space="0" w:color="auto"/>
        <w:left w:val="none" w:sz="0" w:space="0" w:color="auto"/>
        <w:bottom w:val="none" w:sz="0" w:space="0" w:color="auto"/>
        <w:right w:val="none" w:sz="0" w:space="0" w:color="auto"/>
      </w:divBdr>
      <w:divsChild>
        <w:div w:id="632564681">
          <w:marLeft w:val="0"/>
          <w:marRight w:val="0"/>
          <w:marTop w:val="0"/>
          <w:marBottom w:val="0"/>
          <w:divBdr>
            <w:top w:val="none" w:sz="0" w:space="0" w:color="auto"/>
            <w:left w:val="none" w:sz="0" w:space="0" w:color="auto"/>
            <w:bottom w:val="none" w:sz="0" w:space="0" w:color="auto"/>
            <w:right w:val="none" w:sz="0" w:space="0" w:color="auto"/>
          </w:divBdr>
        </w:div>
      </w:divsChild>
    </w:div>
    <w:div w:id="1467625334">
      <w:bodyDiv w:val="1"/>
      <w:marLeft w:val="0"/>
      <w:marRight w:val="0"/>
      <w:marTop w:val="0"/>
      <w:marBottom w:val="0"/>
      <w:divBdr>
        <w:top w:val="none" w:sz="0" w:space="0" w:color="auto"/>
        <w:left w:val="none" w:sz="0" w:space="0" w:color="auto"/>
        <w:bottom w:val="none" w:sz="0" w:space="0" w:color="auto"/>
        <w:right w:val="none" w:sz="0" w:space="0" w:color="auto"/>
      </w:divBdr>
    </w:div>
    <w:div w:id="1744721636">
      <w:bodyDiv w:val="1"/>
      <w:marLeft w:val="0"/>
      <w:marRight w:val="0"/>
      <w:marTop w:val="0"/>
      <w:marBottom w:val="0"/>
      <w:divBdr>
        <w:top w:val="none" w:sz="0" w:space="0" w:color="auto"/>
        <w:left w:val="none" w:sz="0" w:space="0" w:color="auto"/>
        <w:bottom w:val="none" w:sz="0" w:space="0" w:color="auto"/>
        <w:right w:val="none" w:sz="0" w:space="0" w:color="auto"/>
      </w:divBdr>
    </w:div>
    <w:div w:id="1970551561">
      <w:bodyDiv w:val="1"/>
      <w:marLeft w:val="0"/>
      <w:marRight w:val="0"/>
      <w:marTop w:val="0"/>
      <w:marBottom w:val="0"/>
      <w:divBdr>
        <w:top w:val="none" w:sz="0" w:space="0" w:color="auto"/>
        <w:left w:val="none" w:sz="0" w:space="0" w:color="auto"/>
        <w:bottom w:val="none" w:sz="0" w:space="0" w:color="auto"/>
        <w:right w:val="none" w:sz="0" w:space="0" w:color="auto"/>
      </w:divBdr>
    </w:div>
    <w:div w:id="1999073014">
      <w:bodyDiv w:val="1"/>
      <w:marLeft w:val="0"/>
      <w:marRight w:val="0"/>
      <w:marTop w:val="0"/>
      <w:marBottom w:val="0"/>
      <w:divBdr>
        <w:top w:val="none" w:sz="0" w:space="0" w:color="auto"/>
        <w:left w:val="none" w:sz="0" w:space="0" w:color="auto"/>
        <w:bottom w:val="none" w:sz="0" w:space="0" w:color="auto"/>
        <w:right w:val="none" w:sz="0" w:space="0" w:color="auto"/>
      </w:divBdr>
      <w:divsChild>
        <w:div w:id="1009067555">
          <w:marLeft w:val="0"/>
          <w:marRight w:val="0"/>
          <w:marTop w:val="0"/>
          <w:marBottom w:val="0"/>
          <w:divBdr>
            <w:top w:val="none" w:sz="0" w:space="0" w:color="auto"/>
            <w:left w:val="none" w:sz="0" w:space="0" w:color="auto"/>
            <w:bottom w:val="none" w:sz="0" w:space="0" w:color="auto"/>
            <w:right w:val="none" w:sz="0" w:space="0" w:color="auto"/>
          </w:divBdr>
          <w:divsChild>
            <w:div w:id="2106881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016/j.profnurs.2012.12.00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23</Pages>
  <Words>7422</Words>
  <Characters>42310</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Lecturer: Dr Pascal Neville</Company>
  <LinksUpToDate>false</LinksUpToDate>
  <CharactersWithSpaces>49633</CharactersWithSpaces>
  <SharedDoc>false</SharedDoc>
  <HLinks>
    <vt:vector size="138" baseType="variant">
      <vt:variant>
        <vt:i4>3670070</vt:i4>
      </vt:variant>
      <vt:variant>
        <vt:i4>135</vt:i4>
      </vt:variant>
      <vt:variant>
        <vt:i4>0</vt:i4>
      </vt:variant>
      <vt:variant>
        <vt:i4>5</vt:i4>
      </vt:variant>
      <vt:variant>
        <vt:lpwstr>https://doi.org/10.1016/j.profnurs.2012.12.009</vt:lpwstr>
      </vt:variant>
      <vt:variant>
        <vt:lpwstr/>
      </vt:variant>
      <vt:variant>
        <vt:i4>1572912</vt:i4>
      </vt:variant>
      <vt:variant>
        <vt:i4>128</vt:i4>
      </vt:variant>
      <vt:variant>
        <vt:i4>0</vt:i4>
      </vt:variant>
      <vt:variant>
        <vt:i4>5</vt:i4>
      </vt:variant>
      <vt:variant>
        <vt:lpwstr/>
      </vt:variant>
      <vt:variant>
        <vt:lpwstr>_Toc236148055</vt:lpwstr>
      </vt:variant>
      <vt:variant>
        <vt:i4>1572912</vt:i4>
      </vt:variant>
      <vt:variant>
        <vt:i4>122</vt:i4>
      </vt:variant>
      <vt:variant>
        <vt:i4>0</vt:i4>
      </vt:variant>
      <vt:variant>
        <vt:i4>5</vt:i4>
      </vt:variant>
      <vt:variant>
        <vt:lpwstr/>
      </vt:variant>
      <vt:variant>
        <vt:lpwstr>_Toc236148054</vt:lpwstr>
      </vt:variant>
      <vt:variant>
        <vt:i4>1572912</vt:i4>
      </vt:variant>
      <vt:variant>
        <vt:i4>116</vt:i4>
      </vt:variant>
      <vt:variant>
        <vt:i4>0</vt:i4>
      </vt:variant>
      <vt:variant>
        <vt:i4>5</vt:i4>
      </vt:variant>
      <vt:variant>
        <vt:lpwstr/>
      </vt:variant>
      <vt:variant>
        <vt:lpwstr>_Toc236148053</vt:lpwstr>
      </vt:variant>
      <vt:variant>
        <vt:i4>1572912</vt:i4>
      </vt:variant>
      <vt:variant>
        <vt:i4>110</vt:i4>
      </vt:variant>
      <vt:variant>
        <vt:i4>0</vt:i4>
      </vt:variant>
      <vt:variant>
        <vt:i4>5</vt:i4>
      </vt:variant>
      <vt:variant>
        <vt:lpwstr/>
      </vt:variant>
      <vt:variant>
        <vt:lpwstr>_Toc236148052</vt:lpwstr>
      </vt:variant>
      <vt:variant>
        <vt:i4>1572912</vt:i4>
      </vt:variant>
      <vt:variant>
        <vt:i4>104</vt:i4>
      </vt:variant>
      <vt:variant>
        <vt:i4>0</vt:i4>
      </vt:variant>
      <vt:variant>
        <vt:i4>5</vt:i4>
      </vt:variant>
      <vt:variant>
        <vt:lpwstr/>
      </vt:variant>
      <vt:variant>
        <vt:lpwstr>_Toc236148051</vt:lpwstr>
      </vt:variant>
      <vt:variant>
        <vt:i4>1572912</vt:i4>
      </vt:variant>
      <vt:variant>
        <vt:i4>98</vt:i4>
      </vt:variant>
      <vt:variant>
        <vt:i4>0</vt:i4>
      </vt:variant>
      <vt:variant>
        <vt:i4>5</vt:i4>
      </vt:variant>
      <vt:variant>
        <vt:lpwstr/>
      </vt:variant>
      <vt:variant>
        <vt:lpwstr>_Toc236148050</vt:lpwstr>
      </vt:variant>
      <vt:variant>
        <vt:i4>1638448</vt:i4>
      </vt:variant>
      <vt:variant>
        <vt:i4>92</vt:i4>
      </vt:variant>
      <vt:variant>
        <vt:i4>0</vt:i4>
      </vt:variant>
      <vt:variant>
        <vt:i4>5</vt:i4>
      </vt:variant>
      <vt:variant>
        <vt:lpwstr/>
      </vt:variant>
      <vt:variant>
        <vt:lpwstr>_Toc236148049</vt:lpwstr>
      </vt:variant>
      <vt:variant>
        <vt:i4>1638448</vt:i4>
      </vt:variant>
      <vt:variant>
        <vt:i4>86</vt:i4>
      </vt:variant>
      <vt:variant>
        <vt:i4>0</vt:i4>
      </vt:variant>
      <vt:variant>
        <vt:i4>5</vt:i4>
      </vt:variant>
      <vt:variant>
        <vt:lpwstr/>
      </vt:variant>
      <vt:variant>
        <vt:lpwstr>_Toc236148048</vt:lpwstr>
      </vt:variant>
      <vt:variant>
        <vt:i4>1638448</vt:i4>
      </vt:variant>
      <vt:variant>
        <vt:i4>80</vt:i4>
      </vt:variant>
      <vt:variant>
        <vt:i4>0</vt:i4>
      </vt:variant>
      <vt:variant>
        <vt:i4>5</vt:i4>
      </vt:variant>
      <vt:variant>
        <vt:lpwstr/>
      </vt:variant>
      <vt:variant>
        <vt:lpwstr>_Toc236148047</vt:lpwstr>
      </vt:variant>
      <vt:variant>
        <vt:i4>1638448</vt:i4>
      </vt:variant>
      <vt:variant>
        <vt:i4>74</vt:i4>
      </vt:variant>
      <vt:variant>
        <vt:i4>0</vt:i4>
      </vt:variant>
      <vt:variant>
        <vt:i4>5</vt:i4>
      </vt:variant>
      <vt:variant>
        <vt:lpwstr/>
      </vt:variant>
      <vt:variant>
        <vt:lpwstr>_Toc236148046</vt:lpwstr>
      </vt:variant>
      <vt:variant>
        <vt:i4>1638448</vt:i4>
      </vt:variant>
      <vt:variant>
        <vt:i4>68</vt:i4>
      </vt:variant>
      <vt:variant>
        <vt:i4>0</vt:i4>
      </vt:variant>
      <vt:variant>
        <vt:i4>5</vt:i4>
      </vt:variant>
      <vt:variant>
        <vt:lpwstr/>
      </vt:variant>
      <vt:variant>
        <vt:lpwstr>_Toc236148045</vt:lpwstr>
      </vt:variant>
      <vt:variant>
        <vt:i4>1638448</vt:i4>
      </vt:variant>
      <vt:variant>
        <vt:i4>62</vt:i4>
      </vt:variant>
      <vt:variant>
        <vt:i4>0</vt:i4>
      </vt:variant>
      <vt:variant>
        <vt:i4>5</vt:i4>
      </vt:variant>
      <vt:variant>
        <vt:lpwstr/>
      </vt:variant>
      <vt:variant>
        <vt:lpwstr>_Toc236148044</vt:lpwstr>
      </vt:variant>
      <vt:variant>
        <vt:i4>1638448</vt:i4>
      </vt:variant>
      <vt:variant>
        <vt:i4>56</vt:i4>
      </vt:variant>
      <vt:variant>
        <vt:i4>0</vt:i4>
      </vt:variant>
      <vt:variant>
        <vt:i4>5</vt:i4>
      </vt:variant>
      <vt:variant>
        <vt:lpwstr/>
      </vt:variant>
      <vt:variant>
        <vt:lpwstr>_Toc236148043</vt:lpwstr>
      </vt:variant>
      <vt:variant>
        <vt:i4>1638448</vt:i4>
      </vt:variant>
      <vt:variant>
        <vt:i4>50</vt:i4>
      </vt:variant>
      <vt:variant>
        <vt:i4>0</vt:i4>
      </vt:variant>
      <vt:variant>
        <vt:i4>5</vt:i4>
      </vt:variant>
      <vt:variant>
        <vt:lpwstr/>
      </vt:variant>
      <vt:variant>
        <vt:lpwstr>_Toc236148042</vt:lpwstr>
      </vt:variant>
      <vt:variant>
        <vt:i4>1638448</vt:i4>
      </vt:variant>
      <vt:variant>
        <vt:i4>44</vt:i4>
      </vt:variant>
      <vt:variant>
        <vt:i4>0</vt:i4>
      </vt:variant>
      <vt:variant>
        <vt:i4>5</vt:i4>
      </vt:variant>
      <vt:variant>
        <vt:lpwstr/>
      </vt:variant>
      <vt:variant>
        <vt:lpwstr>_Toc236148041</vt:lpwstr>
      </vt:variant>
      <vt:variant>
        <vt:i4>1638448</vt:i4>
      </vt:variant>
      <vt:variant>
        <vt:i4>38</vt:i4>
      </vt:variant>
      <vt:variant>
        <vt:i4>0</vt:i4>
      </vt:variant>
      <vt:variant>
        <vt:i4>5</vt:i4>
      </vt:variant>
      <vt:variant>
        <vt:lpwstr/>
      </vt:variant>
      <vt:variant>
        <vt:lpwstr>_Toc236148040</vt:lpwstr>
      </vt:variant>
      <vt:variant>
        <vt:i4>1966128</vt:i4>
      </vt:variant>
      <vt:variant>
        <vt:i4>32</vt:i4>
      </vt:variant>
      <vt:variant>
        <vt:i4>0</vt:i4>
      </vt:variant>
      <vt:variant>
        <vt:i4>5</vt:i4>
      </vt:variant>
      <vt:variant>
        <vt:lpwstr/>
      </vt:variant>
      <vt:variant>
        <vt:lpwstr>_Toc236148039</vt:lpwstr>
      </vt:variant>
      <vt:variant>
        <vt:i4>1966128</vt:i4>
      </vt:variant>
      <vt:variant>
        <vt:i4>26</vt:i4>
      </vt:variant>
      <vt:variant>
        <vt:i4>0</vt:i4>
      </vt:variant>
      <vt:variant>
        <vt:i4>5</vt:i4>
      </vt:variant>
      <vt:variant>
        <vt:lpwstr/>
      </vt:variant>
      <vt:variant>
        <vt:lpwstr>_Toc236148038</vt:lpwstr>
      </vt:variant>
      <vt:variant>
        <vt:i4>1966128</vt:i4>
      </vt:variant>
      <vt:variant>
        <vt:i4>20</vt:i4>
      </vt:variant>
      <vt:variant>
        <vt:i4>0</vt:i4>
      </vt:variant>
      <vt:variant>
        <vt:i4>5</vt:i4>
      </vt:variant>
      <vt:variant>
        <vt:lpwstr/>
      </vt:variant>
      <vt:variant>
        <vt:lpwstr>_Toc236148037</vt:lpwstr>
      </vt:variant>
      <vt:variant>
        <vt:i4>1966128</vt:i4>
      </vt:variant>
      <vt:variant>
        <vt:i4>14</vt:i4>
      </vt:variant>
      <vt:variant>
        <vt:i4>0</vt:i4>
      </vt:variant>
      <vt:variant>
        <vt:i4>5</vt:i4>
      </vt:variant>
      <vt:variant>
        <vt:lpwstr/>
      </vt:variant>
      <vt:variant>
        <vt:lpwstr>_Toc236148036</vt:lpwstr>
      </vt:variant>
      <vt:variant>
        <vt:i4>1966128</vt:i4>
      </vt:variant>
      <vt:variant>
        <vt:i4>8</vt:i4>
      </vt:variant>
      <vt:variant>
        <vt:i4>0</vt:i4>
      </vt:variant>
      <vt:variant>
        <vt:i4>5</vt:i4>
      </vt:variant>
      <vt:variant>
        <vt:lpwstr/>
      </vt:variant>
      <vt:variant>
        <vt:lpwstr>_Toc236148035</vt:lpwstr>
      </vt:variant>
      <vt:variant>
        <vt:i4>1966128</vt:i4>
      </vt:variant>
      <vt:variant>
        <vt:i4>2</vt:i4>
      </vt:variant>
      <vt:variant>
        <vt:i4>0</vt:i4>
      </vt:variant>
      <vt:variant>
        <vt:i4>5</vt:i4>
      </vt:variant>
      <vt:variant>
        <vt:lpwstr/>
      </vt:variant>
      <vt:variant>
        <vt:lpwstr>_Toc236148034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Care System Organisation and Leadership Case Study Analysis Report: The Lewis Blackman Case 1</dc:title>
  <dc:subject/>
  <dc:creator>Emilia Milewska (2245525)</dc:creator>
  <cp:keywords/>
  <dc:description/>
  <cp:lastModifiedBy>Emilia Milewska (2245525)</cp:lastModifiedBy>
  <cp:revision>2</cp:revision>
  <dcterms:created xsi:type="dcterms:W3CDTF">2026-08-18T09:22:00Z</dcterms:created>
  <dcterms:modified xsi:type="dcterms:W3CDTF">2026-08-18T09:22:00Z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a6d9277a-4ab7-435f-a64e-59ab4638aa52</vt:lpwstr>
  </property>
</Properties>
</file>