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736AF" w14:textId="77777777" w:rsidR="00A3574B" w:rsidRDefault="00A3574B" w:rsidP="00EE50A8">
      <w:pPr>
        <w:jc w:val="center"/>
        <w:rPr>
          <w:rStyle w:val="Strong"/>
          <w:sz w:val="32"/>
          <w:szCs w:val="32"/>
        </w:rPr>
      </w:pPr>
    </w:p>
    <w:p w14:paraId="518824A9" w14:textId="77777777" w:rsidR="00A3574B" w:rsidRDefault="00A3574B" w:rsidP="00EE50A8">
      <w:pPr>
        <w:jc w:val="center"/>
        <w:rPr>
          <w:rStyle w:val="Strong"/>
          <w:sz w:val="32"/>
          <w:szCs w:val="32"/>
        </w:rPr>
      </w:pPr>
    </w:p>
    <w:p w14:paraId="388AC79B" w14:textId="475CE348" w:rsidR="00433677" w:rsidRPr="00B93F19" w:rsidRDefault="00CA5AF2" w:rsidP="00EE50A8">
      <w:pPr>
        <w:jc w:val="center"/>
        <w:rPr>
          <w:rStyle w:val="Strong"/>
          <w:sz w:val="32"/>
          <w:szCs w:val="32"/>
        </w:rPr>
      </w:pPr>
      <w:r w:rsidRPr="00B93F19">
        <w:rPr>
          <w:rStyle w:val="Strong"/>
          <w:sz w:val="32"/>
          <w:szCs w:val="32"/>
        </w:rPr>
        <w:t>University of Wales Trinity Saint David</w:t>
      </w:r>
    </w:p>
    <w:p w14:paraId="5E74888C" w14:textId="6E807E01" w:rsidR="00213196" w:rsidRPr="00B93F19" w:rsidRDefault="00213196" w:rsidP="00EE50A8">
      <w:pPr>
        <w:jc w:val="center"/>
        <w:rPr>
          <w:rStyle w:val="Strong"/>
          <w:sz w:val="32"/>
          <w:szCs w:val="32"/>
        </w:rPr>
      </w:pPr>
      <w:r w:rsidRPr="00B93F19">
        <w:rPr>
          <w:rStyle w:val="Strong"/>
          <w:sz w:val="32"/>
          <w:szCs w:val="32"/>
        </w:rPr>
        <w:t>School of Engineering</w:t>
      </w:r>
    </w:p>
    <w:p w14:paraId="27EAF94C" w14:textId="7C6A960C" w:rsidR="00213196" w:rsidRPr="00B93F19" w:rsidRDefault="00213196" w:rsidP="00EE50A8">
      <w:pPr>
        <w:jc w:val="center"/>
        <w:rPr>
          <w:rStyle w:val="Strong"/>
          <w:sz w:val="32"/>
          <w:szCs w:val="32"/>
        </w:rPr>
      </w:pPr>
    </w:p>
    <w:p w14:paraId="2A936BE5" w14:textId="12DFFEA5" w:rsidR="00597617" w:rsidRDefault="00D077AD" w:rsidP="00EE50A8">
      <w:pPr>
        <w:jc w:val="center"/>
        <w:rPr>
          <w:rStyle w:val="Strong"/>
          <w:sz w:val="32"/>
          <w:szCs w:val="32"/>
        </w:rPr>
      </w:pPr>
      <w:r>
        <w:rPr>
          <w:noProof/>
        </w:rPr>
        <w:drawing>
          <wp:inline distT="0" distB="0" distL="0" distR="0" wp14:anchorId="390DF3D7" wp14:editId="7134D518">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5595" cy="1125220"/>
                    </a:xfrm>
                    <a:prstGeom prst="rect">
                      <a:avLst/>
                    </a:prstGeom>
                    <a:noFill/>
                    <a:ln>
                      <a:noFill/>
                    </a:ln>
                  </pic:spPr>
                </pic:pic>
              </a:graphicData>
            </a:graphic>
          </wp:inline>
        </w:drawing>
      </w:r>
    </w:p>
    <w:p w14:paraId="711A1474" w14:textId="77777777" w:rsidR="00597617" w:rsidRDefault="00597617" w:rsidP="00EE50A8">
      <w:pPr>
        <w:jc w:val="center"/>
        <w:rPr>
          <w:rStyle w:val="Strong"/>
          <w:sz w:val="32"/>
          <w:szCs w:val="32"/>
        </w:rPr>
      </w:pPr>
    </w:p>
    <w:p w14:paraId="6D7D71DF" w14:textId="77777777" w:rsidR="00D02241" w:rsidRDefault="00D02241" w:rsidP="00EE50A8">
      <w:pPr>
        <w:jc w:val="center"/>
        <w:rPr>
          <w:rStyle w:val="Strong"/>
          <w:bCs w:val="0"/>
          <w:sz w:val="32"/>
          <w:szCs w:val="32"/>
        </w:rPr>
      </w:pPr>
      <w:r>
        <w:rPr>
          <w:rStyle w:val="Strong"/>
          <w:bCs w:val="0"/>
          <w:sz w:val="32"/>
          <w:szCs w:val="32"/>
        </w:rPr>
        <w:t xml:space="preserve">Plant &amp; Asset Engineering </w:t>
      </w:r>
    </w:p>
    <w:p w14:paraId="4DAE42D5" w14:textId="0A2FDDC1" w:rsidR="00466EC6" w:rsidRPr="00F84B9B" w:rsidRDefault="00466EC6" w:rsidP="00EE50A8">
      <w:pPr>
        <w:jc w:val="center"/>
        <w:rPr>
          <w:rStyle w:val="Strong"/>
          <w:sz w:val="32"/>
          <w:szCs w:val="32"/>
        </w:rPr>
      </w:pPr>
      <w:r w:rsidRPr="00F84B9B">
        <w:rPr>
          <w:rStyle w:val="Strong"/>
          <w:sz w:val="32"/>
          <w:szCs w:val="32"/>
        </w:rPr>
        <w:t>ACMA</w:t>
      </w:r>
      <w:r w:rsidR="001F617C">
        <w:rPr>
          <w:rStyle w:val="Strong"/>
          <w:sz w:val="32"/>
          <w:szCs w:val="32"/>
        </w:rPr>
        <w:t xml:space="preserve"> </w:t>
      </w:r>
      <w:r w:rsidR="0081547F">
        <w:rPr>
          <w:rStyle w:val="Strong"/>
          <w:sz w:val="32"/>
          <w:szCs w:val="32"/>
        </w:rPr>
        <w:t>60</w:t>
      </w:r>
      <w:r w:rsidR="0073210C">
        <w:rPr>
          <w:rStyle w:val="Strong"/>
          <w:sz w:val="32"/>
          <w:szCs w:val="32"/>
        </w:rPr>
        <w:t>0</w:t>
      </w:r>
      <w:r w:rsidR="00D02241">
        <w:rPr>
          <w:rStyle w:val="Strong"/>
          <w:sz w:val="32"/>
          <w:szCs w:val="32"/>
        </w:rPr>
        <w:t>7</w:t>
      </w:r>
    </w:p>
    <w:p w14:paraId="53240BF5" w14:textId="69E11BD2" w:rsidR="00532EB0" w:rsidRDefault="00532EB0" w:rsidP="00EE50A8">
      <w:pPr>
        <w:jc w:val="center"/>
        <w:rPr>
          <w:rStyle w:val="Strong"/>
          <w:sz w:val="32"/>
          <w:szCs w:val="32"/>
        </w:rPr>
      </w:pPr>
    </w:p>
    <w:p w14:paraId="183C7E78" w14:textId="6AAFD7CA" w:rsidR="00597617" w:rsidRPr="00F84B9B" w:rsidRDefault="00AE4D5C" w:rsidP="00EE50A8">
      <w:pPr>
        <w:jc w:val="center"/>
        <w:rPr>
          <w:rStyle w:val="Strong"/>
          <w:sz w:val="32"/>
          <w:szCs w:val="32"/>
        </w:rPr>
      </w:pPr>
      <w:r w:rsidRPr="00AE4D5C">
        <w:rPr>
          <w:b/>
          <w:bCs/>
          <w:sz w:val="32"/>
          <w:szCs w:val="32"/>
        </w:rPr>
        <w:t xml:space="preserve">Evaluating the Effectiveness of Chosen Maintenance Strategies for Dedicated Equipment </w:t>
      </w:r>
    </w:p>
    <w:p w14:paraId="713C14A7" w14:textId="22D5B7AD" w:rsidR="00532EB0" w:rsidRDefault="00532EB0" w:rsidP="00EE50A8">
      <w:pPr>
        <w:jc w:val="center"/>
        <w:rPr>
          <w:rStyle w:val="Strong"/>
          <w:sz w:val="32"/>
          <w:szCs w:val="32"/>
        </w:rPr>
      </w:pPr>
      <w:r w:rsidRPr="00814E66">
        <w:rPr>
          <w:rStyle w:val="Strong"/>
          <w:sz w:val="32"/>
          <w:szCs w:val="32"/>
        </w:rPr>
        <w:t>Cori-James Davies</w:t>
      </w:r>
      <w:r w:rsidR="00DF13D5" w:rsidRPr="00814E66">
        <w:rPr>
          <w:rStyle w:val="Strong"/>
          <w:sz w:val="32"/>
          <w:szCs w:val="32"/>
        </w:rPr>
        <w:t xml:space="preserve"> (1303441)</w:t>
      </w:r>
    </w:p>
    <w:p w14:paraId="67106114" w14:textId="04BE0E1B" w:rsidR="00016E8C" w:rsidRPr="00814E66" w:rsidRDefault="001F617C" w:rsidP="00EE50A8">
      <w:pPr>
        <w:jc w:val="center"/>
        <w:rPr>
          <w:rStyle w:val="Strong"/>
          <w:sz w:val="32"/>
          <w:szCs w:val="32"/>
        </w:rPr>
      </w:pPr>
      <w:r w:rsidRPr="001F617C">
        <w:rPr>
          <w:rStyle w:val="Strong"/>
          <w:sz w:val="32"/>
          <w:szCs w:val="32"/>
        </w:rPr>
        <w:t xml:space="preserve">20/04/26 </w:t>
      </w:r>
    </w:p>
    <w:p w14:paraId="7FDF0A4F" w14:textId="77777777" w:rsidR="00433677" w:rsidRDefault="00433677" w:rsidP="00016E8C">
      <w:pPr>
        <w:spacing w:line="259" w:lineRule="auto"/>
        <w:jc w:val="center"/>
        <w:rPr>
          <w:rStyle w:val="Strong"/>
        </w:rPr>
      </w:pPr>
      <w:r>
        <w:rPr>
          <w:rStyle w:val="Strong"/>
        </w:rPr>
        <w:br w:type="page"/>
      </w:r>
    </w:p>
    <w:sdt>
      <w:sdtPr>
        <w:rPr>
          <w:rFonts w:eastAsiaTheme="minorHAnsi" w:cstheme="minorBidi"/>
          <w:sz w:val="22"/>
          <w:szCs w:val="22"/>
        </w:rPr>
        <w:id w:val="-1415772843"/>
        <w:docPartObj>
          <w:docPartGallery w:val="Table of Contents"/>
          <w:docPartUnique/>
        </w:docPartObj>
      </w:sdtPr>
      <w:sdtEndPr>
        <w:rPr>
          <w:rFonts w:cs="Arial"/>
          <w:b/>
          <w:bCs/>
          <w:noProof/>
        </w:rPr>
      </w:sdtEndPr>
      <w:sdtContent>
        <w:p w14:paraId="687D59E1" w14:textId="00303E34" w:rsidR="003A7E50" w:rsidRPr="00B3091F" w:rsidRDefault="003A7E50" w:rsidP="003A7E50">
          <w:pPr>
            <w:pStyle w:val="TOCHeading"/>
            <w:numPr>
              <w:ilvl w:val="0"/>
              <w:numId w:val="0"/>
            </w:numPr>
            <w:ind w:left="432" w:hanging="432"/>
            <w:rPr>
              <w:rFonts w:cs="Arial"/>
            </w:rPr>
          </w:pPr>
          <w:r w:rsidRPr="00B3091F">
            <w:rPr>
              <w:rFonts w:cs="Arial"/>
            </w:rPr>
            <w:t>Table of Contents</w:t>
          </w:r>
        </w:p>
        <w:p w14:paraId="79D3DDAF" w14:textId="167D8CF3" w:rsidR="00B3091F" w:rsidRPr="00B3091F" w:rsidRDefault="003A7E50">
          <w:pPr>
            <w:pStyle w:val="TOC1"/>
            <w:tabs>
              <w:tab w:val="left" w:pos="440"/>
              <w:tab w:val="right" w:leader="dot" w:pos="9016"/>
            </w:tabs>
            <w:rPr>
              <w:rFonts w:ascii="Arial" w:hAnsi="Arial" w:cs="Arial"/>
              <w:noProof/>
              <w:kern w:val="2"/>
              <w:sz w:val="24"/>
              <w:szCs w:val="24"/>
              <w:lang w:val="en-GB" w:eastAsia="en-GB"/>
              <w14:ligatures w14:val="standardContextual"/>
            </w:rPr>
          </w:pPr>
          <w:r w:rsidRPr="00B3091F">
            <w:rPr>
              <w:rFonts w:ascii="Arial" w:hAnsi="Arial" w:cs="Arial"/>
            </w:rPr>
            <w:fldChar w:fldCharType="begin"/>
          </w:r>
          <w:r w:rsidRPr="00B3091F">
            <w:rPr>
              <w:rFonts w:ascii="Arial" w:hAnsi="Arial" w:cs="Arial"/>
            </w:rPr>
            <w:instrText xml:space="preserve"> TOC \o "1-3" \h \z \u </w:instrText>
          </w:r>
          <w:r w:rsidRPr="00B3091F">
            <w:rPr>
              <w:rFonts w:ascii="Arial" w:hAnsi="Arial" w:cs="Arial"/>
            </w:rPr>
            <w:fldChar w:fldCharType="separate"/>
          </w:r>
          <w:hyperlink w:anchor="_Toc227525245" w:history="1">
            <w:r w:rsidR="00B3091F" w:rsidRPr="00B3091F">
              <w:rPr>
                <w:rStyle w:val="Hyperlink"/>
                <w:rFonts w:ascii="Arial" w:hAnsi="Arial" w:cs="Arial"/>
                <w:noProof/>
              </w:rPr>
              <w:t>1</w:t>
            </w:r>
            <w:r w:rsidR="00B3091F" w:rsidRPr="00B3091F">
              <w:rPr>
                <w:rFonts w:ascii="Arial" w:hAnsi="Arial" w:cs="Arial"/>
                <w:noProof/>
                <w:kern w:val="2"/>
                <w:sz w:val="24"/>
                <w:szCs w:val="24"/>
                <w:lang w:val="en-GB" w:eastAsia="en-GB"/>
                <w14:ligatures w14:val="standardContextual"/>
              </w:rPr>
              <w:tab/>
            </w:r>
            <w:r w:rsidR="00B3091F" w:rsidRPr="00B3091F">
              <w:rPr>
                <w:rStyle w:val="Hyperlink"/>
                <w:rFonts w:ascii="Arial" w:hAnsi="Arial" w:cs="Arial"/>
                <w:noProof/>
              </w:rPr>
              <w:t>Introduction</w:t>
            </w:r>
            <w:r w:rsidR="00B3091F" w:rsidRPr="00B3091F">
              <w:rPr>
                <w:rFonts w:ascii="Arial" w:hAnsi="Arial" w:cs="Arial"/>
                <w:noProof/>
                <w:webHidden/>
              </w:rPr>
              <w:tab/>
            </w:r>
            <w:r w:rsidR="00B3091F" w:rsidRPr="00B3091F">
              <w:rPr>
                <w:rFonts w:ascii="Arial" w:hAnsi="Arial" w:cs="Arial"/>
                <w:noProof/>
                <w:webHidden/>
              </w:rPr>
              <w:fldChar w:fldCharType="begin"/>
            </w:r>
            <w:r w:rsidR="00B3091F" w:rsidRPr="00B3091F">
              <w:rPr>
                <w:rFonts w:ascii="Arial" w:hAnsi="Arial" w:cs="Arial"/>
                <w:noProof/>
                <w:webHidden/>
              </w:rPr>
              <w:instrText xml:space="preserve"> PAGEREF _Toc227525245 \h </w:instrText>
            </w:r>
            <w:r w:rsidR="00B3091F" w:rsidRPr="00B3091F">
              <w:rPr>
                <w:rFonts w:ascii="Arial" w:hAnsi="Arial" w:cs="Arial"/>
                <w:noProof/>
                <w:webHidden/>
              </w:rPr>
            </w:r>
            <w:r w:rsidR="00B3091F" w:rsidRPr="00B3091F">
              <w:rPr>
                <w:rFonts w:ascii="Arial" w:hAnsi="Arial" w:cs="Arial"/>
                <w:noProof/>
                <w:webHidden/>
              </w:rPr>
              <w:fldChar w:fldCharType="separate"/>
            </w:r>
            <w:r w:rsidR="00B3091F" w:rsidRPr="00B3091F">
              <w:rPr>
                <w:rFonts w:ascii="Arial" w:hAnsi="Arial" w:cs="Arial"/>
                <w:noProof/>
                <w:webHidden/>
              </w:rPr>
              <w:t>1</w:t>
            </w:r>
            <w:r w:rsidR="00B3091F" w:rsidRPr="00B3091F">
              <w:rPr>
                <w:rFonts w:ascii="Arial" w:hAnsi="Arial" w:cs="Arial"/>
                <w:noProof/>
                <w:webHidden/>
              </w:rPr>
              <w:fldChar w:fldCharType="end"/>
            </w:r>
          </w:hyperlink>
        </w:p>
        <w:p w14:paraId="4FEC779D" w14:textId="16FB67B9"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46" w:history="1">
            <w:r w:rsidRPr="00B3091F">
              <w:rPr>
                <w:rStyle w:val="Hyperlink"/>
                <w:rFonts w:ascii="Arial" w:hAnsi="Arial" w:cs="Arial"/>
                <w:noProof/>
              </w:rPr>
              <w:t>2</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System Overview and Operational Context</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_Toc227525246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2</w:t>
            </w:r>
            <w:r w:rsidRPr="00B3091F">
              <w:rPr>
                <w:rFonts w:ascii="Arial" w:hAnsi="Arial" w:cs="Arial"/>
                <w:noProof/>
                <w:webHidden/>
              </w:rPr>
              <w:fldChar w:fldCharType="end"/>
            </w:r>
          </w:hyperlink>
        </w:p>
        <w:p w14:paraId="3DB59162" w14:textId="798C37E3"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47" w:history="1">
            <w:r w:rsidRPr="00B3091F">
              <w:rPr>
                <w:rStyle w:val="Hyperlink"/>
                <w:rFonts w:ascii="Arial" w:eastAsia="Times New Roman" w:hAnsi="Arial" w:cs="Arial"/>
                <w:noProof/>
                <w:lang w:eastAsia="en-GB"/>
              </w:rPr>
              <w:t>3</w:t>
            </w:r>
            <w:r w:rsidRPr="00B3091F">
              <w:rPr>
                <w:rFonts w:ascii="Arial" w:hAnsi="Arial" w:cs="Arial"/>
                <w:noProof/>
                <w:kern w:val="2"/>
                <w:sz w:val="24"/>
                <w:szCs w:val="24"/>
                <w:lang w:val="en-GB" w:eastAsia="en-GB"/>
                <w14:ligatures w14:val="standardContextual"/>
              </w:rPr>
              <w:tab/>
            </w:r>
            <w:r w:rsidRPr="00B3091F">
              <w:rPr>
                <w:rStyle w:val="Hyperlink"/>
                <w:rFonts w:ascii="Arial" w:eastAsia="Times New Roman" w:hAnsi="Arial" w:cs="Arial"/>
                <w:noProof/>
                <w:lang w:eastAsia="en-GB"/>
              </w:rPr>
              <w:t>Maintenance Effectiveness – Reduction in Oil Loss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_Toc227525247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3</w:t>
            </w:r>
            <w:r w:rsidRPr="00B3091F">
              <w:rPr>
                <w:rFonts w:ascii="Arial" w:hAnsi="Arial" w:cs="Arial"/>
                <w:noProof/>
                <w:webHidden/>
              </w:rPr>
              <w:fldChar w:fldCharType="end"/>
            </w:r>
          </w:hyperlink>
        </w:p>
        <w:p w14:paraId="79974426" w14:textId="72E3F086"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48" w:history="1">
            <w:r w:rsidRPr="00B3091F">
              <w:rPr>
                <w:rStyle w:val="Hyperlink"/>
                <w:rFonts w:ascii="Arial" w:eastAsia="Times New Roman" w:hAnsi="Arial" w:cs="Arial"/>
                <w:noProof/>
                <w:lang w:eastAsia="en-GB"/>
              </w:rPr>
              <w:t>4</w:t>
            </w:r>
            <w:r w:rsidRPr="00B3091F">
              <w:rPr>
                <w:rFonts w:ascii="Arial" w:hAnsi="Arial" w:cs="Arial"/>
                <w:noProof/>
                <w:kern w:val="2"/>
                <w:sz w:val="24"/>
                <w:szCs w:val="24"/>
                <w:lang w:val="en-GB" w:eastAsia="en-GB"/>
                <w14:ligatures w14:val="standardContextual"/>
              </w:rPr>
              <w:tab/>
            </w:r>
            <w:r w:rsidRPr="00B3091F">
              <w:rPr>
                <w:rStyle w:val="Hyperlink"/>
                <w:rFonts w:ascii="Arial" w:eastAsia="Times New Roman" w:hAnsi="Arial" w:cs="Arial"/>
                <w:noProof/>
                <w:lang w:eastAsia="en-GB"/>
              </w:rPr>
              <w:t>Critical Review of Current Maintenance Practices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_Toc227525248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4</w:t>
            </w:r>
            <w:r w:rsidRPr="00B3091F">
              <w:rPr>
                <w:rFonts w:ascii="Arial" w:hAnsi="Arial" w:cs="Arial"/>
                <w:noProof/>
                <w:webHidden/>
              </w:rPr>
              <w:fldChar w:fldCharType="end"/>
            </w:r>
          </w:hyperlink>
        </w:p>
        <w:p w14:paraId="3B1E670E" w14:textId="691F28C7"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49" w:history="1">
            <w:r w:rsidRPr="00B3091F">
              <w:rPr>
                <w:rStyle w:val="Hyperlink"/>
                <w:rFonts w:ascii="Arial" w:hAnsi="Arial" w:cs="Arial"/>
                <w:noProof/>
                <w:lang w:eastAsia="en-GB"/>
              </w:rPr>
              <w:t>5</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lang w:eastAsia="en-GB"/>
              </w:rPr>
              <w:t>Maintenance Execution Process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_Toc227525249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6</w:t>
            </w:r>
            <w:r w:rsidRPr="00B3091F">
              <w:rPr>
                <w:rFonts w:ascii="Arial" w:hAnsi="Arial" w:cs="Arial"/>
                <w:noProof/>
                <w:webHidden/>
              </w:rPr>
              <w:fldChar w:fldCharType="end"/>
            </w:r>
          </w:hyperlink>
        </w:p>
        <w:p w14:paraId="18646AAA" w14:textId="36A7AE02"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50" w:history="1">
            <w:r w:rsidRPr="00B3091F">
              <w:rPr>
                <w:rStyle w:val="Hyperlink"/>
                <w:rFonts w:ascii="Arial" w:hAnsi="Arial" w:cs="Arial"/>
                <w:noProof/>
                <w:lang w:eastAsia="en-GB"/>
              </w:rPr>
              <w:t>6</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lang w:eastAsia="en-GB"/>
              </w:rPr>
              <w:t>Failure Mode and Root Cause Analysis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_Toc227525250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9</w:t>
            </w:r>
            <w:r w:rsidRPr="00B3091F">
              <w:rPr>
                <w:rFonts w:ascii="Arial" w:hAnsi="Arial" w:cs="Arial"/>
                <w:noProof/>
                <w:webHidden/>
              </w:rPr>
              <w:fldChar w:fldCharType="end"/>
            </w:r>
          </w:hyperlink>
        </w:p>
        <w:p w14:paraId="5F5CC8C8" w14:textId="689CC481"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51" w:history="1">
            <w:r w:rsidRPr="00B3091F">
              <w:rPr>
                <w:rStyle w:val="Hyperlink"/>
                <w:rFonts w:ascii="Arial" w:hAnsi="Arial" w:cs="Arial"/>
                <w:noProof/>
                <w:lang w:eastAsia="en-GB"/>
              </w:rPr>
              <w:t>7</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lang w:eastAsia="en-GB"/>
              </w:rPr>
              <w:t>Application of the P-F Curve to Hydraulic Oil Loss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_Toc227525251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10</w:t>
            </w:r>
            <w:r w:rsidRPr="00B3091F">
              <w:rPr>
                <w:rFonts w:ascii="Arial" w:hAnsi="Arial" w:cs="Arial"/>
                <w:noProof/>
                <w:webHidden/>
              </w:rPr>
              <w:fldChar w:fldCharType="end"/>
            </w:r>
          </w:hyperlink>
        </w:p>
        <w:p w14:paraId="058F965F" w14:textId="58F4DF5F"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52" w:history="1">
            <w:r w:rsidRPr="00B3091F">
              <w:rPr>
                <w:rStyle w:val="Hyperlink"/>
                <w:rFonts w:ascii="Arial" w:eastAsia="Times New Roman" w:hAnsi="Arial" w:cs="Arial"/>
                <w:noProof/>
                <w:lang w:eastAsia="en-GB"/>
              </w:rPr>
              <w:t>8</w:t>
            </w:r>
            <w:r w:rsidRPr="00B3091F">
              <w:rPr>
                <w:rFonts w:ascii="Arial" w:hAnsi="Arial" w:cs="Arial"/>
                <w:noProof/>
                <w:kern w:val="2"/>
                <w:sz w:val="24"/>
                <w:szCs w:val="24"/>
                <w:lang w:val="en-GB" w:eastAsia="en-GB"/>
                <w14:ligatures w14:val="standardContextual"/>
              </w:rPr>
              <w:tab/>
            </w:r>
            <w:r w:rsidRPr="00B3091F">
              <w:rPr>
                <w:rStyle w:val="Hyperlink"/>
                <w:rFonts w:ascii="Arial" w:eastAsia="Times New Roman" w:hAnsi="Arial" w:cs="Arial"/>
                <w:noProof/>
                <w:lang w:eastAsia="en-GB"/>
              </w:rPr>
              <w:t>Evaluation of Improved Maintenance Strategies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_Toc227525252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12</w:t>
            </w:r>
            <w:r w:rsidRPr="00B3091F">
              <w:rPr>
                <w:rFonts w:ascii="Arial" w:hAnsi="Arial" w:cs="Arial"/>
                <w:noProof/>
                <w:webHidden/>
              </w:rPr>
              <w:fldChar w:fldCharType="end"/>
            </w:r>
          </w:hyperlink>
        </w:p>
        <w:p w14:paraId="70887BB2" w14:textId="7C9C9209"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53" w:history="1">
            <w:r w:rsidRPr="00B3091F">
              <w:rPr>
                <w:rStyle w:val="Hyperlink"/>
                <w:rFonts w:ascii="Arial" w:hAnsi="Arial" w:cs="Arial"/>
                <w:noProof/>
                <w:lang w:eastAsia="en-GB"/>
              </w:rPr>
              <w:t>8.1</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lang w:eastAsia="en-GB"/>
              </w:rPr>
              <w:t>Predictive Maintenance</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_Toc227525253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12</w:t>
            </w:r>
            <w:r w:rsidRPr="00B3091F">
              <w:rPr>
                <w:rFonts w:ascii="Arial" w:hAnsi="Arial" w:cs="Arial"/>
                <w:noProof/>
                <w:webHidden/>
              </w:rPr>
              <w:fldChar w:fldCharType="end"/>
            </w:r>
          </w:hyperlink>
        </w:p>
        <w:p w14:paraId="3EFE5CEA" w14:textId="6AEE059A"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54" w:history="1">
            <w:r w:rsidRPr="00B3091F">
              <w:rPr>
                <w:rStyle w:val="Hyperlink"/>
                <w:rFonts w:ascii="Arial" w:hAnsi="Arial" w:cs="Arial"/>
                <w:noProof/>
                <w:lang w:eastAsia="en-GB"/>
              </w:rPr>
              <w:t>8.2</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lang w:eastAsia="en-GB"/>
              </w:rPr>
              <w:t>Reliability-Centred Maintenance (RCM)</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_Toc227525254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12</w:t>
            </w:r>
            <w:r w:rsidRPr="00B3091F">
              <w:rPr>
                <w:rFonts w:ascii="Arial" w:hAnsi="Arial" w:cs="Arial"/>
                <w:noProof/>
                <w:webHidden/>
              </w:rPr>
              <w:fldChar w:fldCharType="end"/>
            </w:r>
          </w:hyperlink>
        </w:p>
        <w:p w14:paraId="3F3F6396" w14:textId="38ECF4D4"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55" w:history="1">
            <w:r w:rsidRPr="00B3091F">
              <w:rPr>
                <w:rStyle w:val="Hyperlink"/>
                <w:rFonts w:ascii="Arial" w:hAnsi="Arial" w:cs="Arial"/>
                <w:noProof/>
                <w:lang w:eastAsia="en-GB"/>
              </w:rPr>
              <w:t>8.3</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lang w:eastAsia="en-GB"/>
              </w:rPr>
              <w:t>Digital Integration</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_Toc227525255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12</w:t>
            </w:r>
            <w:r w:rsidRPr="00B3091F">
              <w:rPr>
                <w:rFonts w:ascii="Arial" w:hAnsi="Arial" w:cs="Arial"/>
                <w:noProof/>
                <w:webHidden/>
              </w:rPr>
              <w:fldChar w:fldCharType="end"/>
            </w:r>
          </w:hyperlink>
        </w:p>
        <w:p w14:paraId="7DDC3E84" w14:textId="489936A2" w:rsidR="00B3091F" w:rsidRPr="00B3091F" w:rsidRDefault="00B3091F">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7525256" w:history="1">
            <w:r w:rsidRPr="00B3091F">
              <w:rPr>
                <w:rStyle w:val="Hyperlink"/>
                <w:rFonts w:ascii="Arial" w:eastAsia="Times New Roman" w:hAnsi="Arial" w:cs="Arial"/>
                <w:noProof/>
                <w:lang w:eastAsia="en-GB"/>
              </w:rPr>
              <w:t>9</w:t>
            </w:r>
            <w:r w:rsidRPr="00B3091F">
              <w:rPr>
                <w:rFonts w:ascii="Arial" w:hAnsi="Arial" w:cs="Arial"/>
                <w:noProof/>
                <w:kern w:val="2"/>
                <w:sz w:val="24"/>
                <w:szCs w:val="24"/>
                <w:lang w:val="en-GB" w:eastAsia="en-GB"/>
                <w14:ligatures w14:val="standardContextual"/>
              </w:rPr>
              <w:tab/>
            </w:r>
            <w:r w:rsidRPr="00B3091F">
              <w:rPr>
                <w:rStyle w:val="Hyperlink"/>
                <w:rFonts w:ascii="Arial" w:eastAsia="Times New Roman" w:hAnsi="Arial" w:cs="Arial"/>
                <w:noProof/>
                <w:lang w:eastAsia="en-GB"/>
              </w:rPr>
              <w:t>Cost and Resource Implications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_Toc227525256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13</w:t>
            </w:r>
            <w:r w:rsidRPr="00B3091F">
              <w:rPr>
                <w:rFonts w:ascii="Arial" w:hAnsi="Arial" w:cs="Arial"/>
                <w:noProof/>
                <w:webHidden/>
              </w:rPr>
              <w:fldChar w:fldCharType="end"/>
            </w:r>
          </w:hyperlink>
        </w:p>
        <w:p w14:paraId="055743AB" w14:textId="647E7C16" w:rsidR="00B3091F" w:rsidRPr="00B3091F" w:rsidRDefault="00B3091F">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27525257" w:history="1">
            <w:r w:rsidRPr="00B3091F">
              <w:rPr>
                <w:rStyle w:val="Hyperlink"/>
                <w:rFonts w:ascii="Arial" w:hAnsi="Arial" w:cs="Arial"/>
                <w:noProof/>
              </w:rPr>
              <w:t>10</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Conclusion</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_Toc227525257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14</w:t>
            </w:r>
            <w:r w:rsidRPr="00B3091F">
              <w:rPr>
                <w:rFonts w:ascii="Arial" w:hAnsi="Arial" w:cs="Arial"/>
                <w:noProof/>
                <w:webHidden/>
              </w:rPr>
              <w:fldChar w:fldCharType="end"/>
            </w:r>
          </w:hyperlink>
        </w:p>
        <w:p w14:paraId="7FCBB861" w14:textId="273D522F" w:rsidR="00B3091F" w:rsidRPr="00B3091F" w:rsidRDefault="00B3091F">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27525258" w:history="1">
            <w:r w:rsidRPr="00B3091F">
              <w:rPr>
                <w:rStyle w:val="Hyperlink"/>
                <w:rFonts w:ascii="Arial" w:hAnsi="Arial" w:cs="Arial"/>
                <w:noProof/>
              </w:rPr>
              <w:t>11</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Recommendations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_Toc227525258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15</w:t>
            </w:r>
            <w:r w:rsidRPr="00B3091F">
              <w:rPr>
                <w:rFonts w:ascii="Arial" w:hAnsi="Arial" w:cs="Arial"/>
                <w:noProof/>
                <w:webHidden/>
              </w:rPr>
              <w:fldChar w:fldCharType="end"/>
            </w:r>
          </w:hyperlink>
        </w:p>
        <w:p w14:paraId="456D6975" w14:textId="2589F45B" w:rsidR="00B3091F" w:rsidRPr="00B3091F" w:rsidRDefault="00B3091F">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27525259" w:history="1">
            <w:r w:rsidRPr="00B3091F">
              <w:rPr>
                <w:rStyle w:val="Hyperlink"/>
                <w:rFonts w:ascii="Arial" w:eastAsia="Times New Roman" w:hAnsi="Arial" w:cs="Arial"/>
                <w:noProof/>
                <w:lang w:eastAsia="en-GB"/>
              </w:rPr>
              <w:t>12</w:t>
            </w:r>
            <w:r w:rsidRPr="00B3091F">
              <w:rPr>
                <w:rFonts w:ascii="Arial" w:hAnsi="Arial" w:cs="Arial"/>
                <w:noProof/>
                <w:kern w:val="2"/>
                <w:sz w:val="24"/>
                <w:szCs w:val="24"/>
                <w:lang w:val="en-GB" w:eastAsia="en-GB"/>
                <w14:ligatures w14:val="standardContextual"/>
              </w:rPr>
              <w:tab/>
            </w:r>
            <w:r w:rsidRPr="00B3091F">
              <w:rPr>
                <w:rStyle w:val="Hyperlink"/>
                <w:rFonts w:ascii="Arial" w:eastAsia="Times New Roman" w:hAnsi="Arial" w:cs="Arial"/>
                <w:noProof/>
                <w:lang w:eastAsia="en-GB"/>
              </w:rPr>
              <w:t>References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_Toc227525259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16</w:t>
            </w:r>
            <w:r w:rsidRPr="00B3091F">
              <w:rPr>
                <w:rFonts w:ascii="Arial" w:hAnsi="Arial" w:cs="Arial"/>
                <w:noProof/>
                <w:webHidden/>
              </w:rPr>
              <w:fldChar w:fldCharType="end"/>
            </w:r>
          </w:hyperlink>
        </w:p>
        <w:p w14:paraId="1173900A" w14:textId="40886AC7" w:rsidR="00B3091F" w:rsidRPr="00B3091F" w:rsidRDefault="00B3091F">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27525260" w:history="1">
            <w:r w:rsidRPr="00B3091F">
              <w:rPr>
                <w:rStyle w:val="Hyperlink"/>
                <w:rFonts w:ascii="Arial" w:hAnsi="Arial" w:cs="Arial"/>
                <w:noProof/>
              </w:rPr>
              <w:t>13</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Appendices</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_Toc227525260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18</w:t>
            </w:r>
            <w:r w:rsidRPr="00B3091F">
              <w:rPr>
                <w:rFonts w:ascii="Arial" w:hAnsi="Arial" w:cs="Arial"/>
                <w:noProof/>
                <w:webHidden/>
              </w:rPr>
              <w:fldChar w:fldCharType="end"/>
            </w:r>
          </w:hyperlink>
        </w:p>
        <w:p w14:paraId="19697DA4" w14:textId="480FCDA9"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61" w:history="1">
            <w:r w:rsidRPr="00B3091F">
              <w:rPr>
                <w:rStyle w:val="Hyperlink"/>
                <w:rFonts w:ascii="Arial" w:hAnsi="Arial" w:cs="Arial"/>
                <w:noProof/>
              </w:rPr>
              <w:t>13.1</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Oil Loss Form – example</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_Toc227525261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18</w:t>
            </w:r>
            <w:r w:rsidRPr="00B3091F">
              <w:rPr>
                <w:rFonts w:ascii="Arial" w:hAnsi="Arial" w:cs="Arial"/>
                <w:noProof/>
                <w:webHidden/>
              </w:rPr>
              <w:fldChar w:fldCharType="end"/>
            </w:r>
          </w:hyperlink>
        </w:p>
        <w:p w14:paraId="7F05C448" w14:textId="52DC2F0E"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62" w:history="1">
            <w:r w:rsidRPr="00B3091F">
              <w:rPr>
                <w:rStyle w:val="Hyperlink"/>
                <w:rFonts w:ascii="Arial" w:hAnsi="Arial" w:cs="Arial"/>
                <w:noProof/>
              </w:rPr>
              <w:t>13.2</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Weekly Oil Loss Report - Example</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_Toc227525262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20</w:t>
            </w:r>
            <w:r w:rsidRPr="00B3091F">
              <w:rPr>
                <w:rFonts w:ascii="Arial" w:hAnsi="Arial" w:cs="Arial"/>
                <w:noProof/>
                <w:webHidden/>
              </w:rPr>
              <w:fldChar w:fldCharType="end"/>
            </w:r>
          </w:hyperlink>
        </w:p>
        <w:p w14:paraId="1B47F7D8" w14:textId="598DBF32"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63" w:history="1">
            <w:r w:rsidRPr="00B3091F">
              <w:rPr>
                <w:rStyle w:val="Hyperlink"/>
                <w:rFonts w:ascii="Arial" w:hAnsi="Arial" w:cs="Arial"/>
                <w:noProof/>
              </w:rPr>
              <w:t>13.3</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Oil Report Graphs – FY 2023/24</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_Toc227525263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22</w:t>
            </w:r>
            <w:r w:rsidRPr="00B3091F">
              <w:rPr>
                <w:rFonts w:ascii="Arial" w:hAnsi="Arial" w:cs="Arial"/>
                <w:noProof/>
                <w:webHidden/>
              </w:rPr>
              <w:fldChar w:fldCharType="end"/>
            </w:r>
          </w:hyperlink>
        </w:p>
        <w:p w14:paraId="32FBCC59" w14:textId="6E7B5F46"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64" w:history="1">
            <w:r w:rsidRPr="00B3091F">
              <w:rPr>
                <w:rStyle w:val="Hyperlink"/>
                <w:rFonts w:ascii="Arial" w:hAnsi="Arial" w:cs="Arial"/>
                <w:noProof/>
              </w:rPr>
              <w:t>13.4</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Oil Report Graph – FY 2024/25</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_Toc227525264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22</w:t>
            </w:r>
            <w:r w:rsidRPr="00B3091F">
              <w:rPr>
                <w:rFonts w:ascii="Arial" w:hAnsi="Arial" w:cs="Arial"/>
                <w:noProof/>
                <w:webHidden/>
              </w:rPr>
              <w:fldChar w:fldCharType="end"/>
            </w:r>
          </w:hyperlink>
        </w:p>
        <w:p w14:paraId="00DB32A0" w14:textId="219B76DD" w:rsidR="00B3091F" w:rsidRPr="00B3091F" w:rsidRDefault="00B3091F">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7525265" w:history="1">
            <w:r w:rsidRPr="00B3091F">
              <w:rPr>
                <w:rStyle w:val="Hyperlink"/>
                <w:rFonts w:ascii="Arial" w:hAnsi="Arial" w:cs="Arial"/>
                <w:noProof/>
              </w:rPr>
              <w:t>13.5</w:t>
            </w:r>
            <w:r w:rsidRPr="00B3091F">
              <w:rPr>
                <w:rFonts w:ascii="Arial" w:hAnsi="Arial" w:cs="Arial"/>
                <w:noProof/>
                <w:kern w:val="2"/>
                <w:sz w:val="24"/>
                <w:szCs w:val="24"/>
                <w:lang w:val="en-GB" w:eastAsia="en-GB"/>
                <w14:ligatures w14:val="standardContextual"/>
              </w:rPr>
              <w:tab/>
            </w:r>
            <w:r w:rsidRPr="00B3091F">
              <w:rPr>
                <w:rStyle w:val="Hyperlink"/>
                <w:rFonts w:ascii="Arial" w:hAnsi="Arial" w:cs="Arial"/>
                <w:noProof/>
              </w:rPr>
              <w:t>Oil Report Graph – FY 2025/26</w:t>
            </w:r>
            <w:r w:rsidRPr="00B3091F">
              <w:rPr>
                <w:rFonts w:ascii="Arial" w:hAnsi="Arial" w:cs="Arial"/>
                <w:noProof/>
                <w:webHidden/>
              </w:rPr>
              <w:tab/>
            </w:r>
            <w:r w:rsidRPr="00B3091F">
              <w:rPr>
                <w:rFonts w:ascii="Arial" w:hAnsi="Arial" w:cs="Arial"/>
                <w:noProof/>
                <w:webHidden/>
              </w:rPr>
              <w:fldChar w:fldCharType="begin"/>
            </w:r>
            <w:r w:rsidRPr="00B3091F">
              <w:rPr>
                <w:rFonts w:ascii="Arial" w:hAnsi="Arial" w:cs="Arial"/>
                <w:noProof/>
                <w:webHidden/>
              </w:rPr>
              <w:instrText xml:space="preserve"> PAGEREF _Toc227525265 \h </w:instrText>
            </w:r>
            <w:r w:rsidRPr="00B3091F">
              <w:rPr>
                <w:rFonts w:ascii="Arial" w:hAnsi="Arial" w:cs="Arial"/>
                <w:noProof/>
                <w:webHidden/>
              </w:rPr>
            </w:r>
            <w:r w:rsidRPr="00B3091F">
              <w:rPr>
                <w:rFonts w:ascii="Arial" w:hAnsi="Arial" w:cs="Arial"/>
                <w:noProof/>
                <w:webHidden/>
              </w:rPr>
              <w:fldChar w:fldCharType="separate"/>
            </w:r>
            <w:r w:rsidRPr="00B3091F">
              <w:rPr>
                <w:rFonts w:ascii="Arial" w:hAnsi="Arial" w:cs="Arial"/>
                <w:noProof/>
                <w:webHidden/>
              </w:rPr>
              <w:t>23</w:t>
            </w:r>
            <w:r w:rsidRPr="00B3091F">
              <w:rPr>
                <w:rFonts w:ascii="Arial" w:hAnsi="Arial" w:cs="Arial"/>
                <w:noProof/>
                <w:webHidden/>
              </w:rPr>
              <w:fldChar w:fldCharType="end"/>
            </w:r>
          </w:hyperlink>
        </w:p>
        <w:p w14:paraId="2BEE0A9F" w14:textId="7431D1C1" w:rsidR="003A7E50" w:rsidRPr="00EB4BA3" w:rsidRDefault="003A7E50">
          <w:pPr>
            <w:rPr>
              <w:rFonts w:cs="Arial"/>
            </w:rPr>
          </w:pPr>
          <w:r w:rsidRPr="00B3091F">
            <w:rPr>
              <w:rFonts w:cs="Arial"/>
              <w:b/>
              <w:bCs/>
              <w:noProof/>
            </w:rPr>
            <w:fldChar w:fldCharType="end"/>
          </w:r>
        </w:p>
      </w:sdtContent>
    </w:sdt>
    <w:p w14:paraId="30F8B9C4" w14:textId="27A92295" w:rsidR="00B3091F" w:rsidRDefault="00B5516E">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27525266" w:history="1">
        <w:r w:rsidR="00B3091F" w:rsidRPr="009B362F">
          <w:rPr>
            <w:rStyle w:val="Hyperlink"/>
            <w:noProof/>
          </w:rPr>
          <w:t>Figure 1: SAP Preventive Maintenance Inspection – Pickle Line Hydraulics</w:t>
        </w:r>
        <w:r w:rsidR="00B3091F">
          <w:rPr>
            <w:noProof/>
            <w:webHidden/>
          </w:rPr>
          <w:tab/>
        </w:r>
        <w:r w:rsidR="00B3091F">
          <w:rPr>
            <w:noProof/>
            <w:webHidden/>
          </w:rPr>
          <w:fldChar w:fldCharType="begin"/>
        </w:r>
        <w:r w:rsidR="00B3091F">
          <w:rPr>
            <w:noProof/>
            <w:webHidden/>
          </w:rPr>
          <w:instrText xml:space="preserve"> PAGEREF _Toc227525266 \h </w:instrText>
        </w:r>
        <w:r w:rsidR="00B3091F">
          <w:rPr>
            <w:noProof/>
            <w:webHidden/>
          </w:rPr>
        </w:r>
        <w:r w:rsidR="00B3091F">
          <w:rPr>
            <w:noProof/>
            <w:webHidden/>
          </w:rPr>
          <w:fldChar w:fldCharType="separate"/>
        </w:r>
        <w:r w:rsidR="00B3091F">
          <w:rPr>
            <w:noProof/>
            <w:webHidden/>
          </w:rPr>
          <w:t>6</w:t>
        </w:r>
        <w:r w:rsidR="00B3091F">
          <w:rPr>
            <w:noProof/>
            <w:webHidden/>
          </w:rPr>
          <w:fldChar w:fldCharType="end"/>
        </w:r>
      </w:hyperlink>
    </w:p>
    <w:p w14:paraId="50FB7456" w14:textId="0F116C54" w:rsidR="00B3091F" w:rsidRDefault="00B3091F">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7525267" w:history="1">
        <w:r w:rsidRPr="009B362F">
          <w:rPr>
            <w:rStyle w:val="Hyperlink"/>
            <w:noProof/>
          </w:rPr>
          <w:t>Figure 2: SAP Preventive Maintenance Inspection – Mill Hydraulics</w:t>
        </w:r>
        <w:r>
          <w:rPr>
            <w:noProof/>
            <w:webHidden/>
          </w:rPr>
          <w:tab/>
        </w:r>
        <w:r>
          <w:rPr>
            <w:noProof/>
            <w:webHidden/>
          </w:rPr>
          <w:fldChar w:fldCharType="begin"/>
        </w:r>
        <w:r>
          <w:rPr>
            <w:noProof/>
            <w:webHidden/>
          </w:rPr>
          <w:instrText xml:space="preserve"> PAGEREF _Toc227525267 \h </w:instrText>
        </w:r>
        <w:r>
          <w:rPr>
            <w:noProof/>
            <w:webHidden/>
          </w:rPr>
        </w:r>
        <w:r>
          <w:rPr>
            <w:noProof/>
            <w:webHidden/>
          </w:rPr>
          <w:fldChar w:fldCharType="separate"/>
        </w:r>
        <w:r>
          <w:rPr>
            <w:noProof/>
            <w:webHidden/>
          </w:rPr>
          <w:t>6</w:t>
        </w:r>
        <w:r>
          <w:rPr>
            <w:noProof/>
            <w:webHidden/>
          </w:rPr>
          <w:fldChar w:fldCharType="end"/>
        </w:r>
      </w:hyperlink>
    </w:p>
    <w:p w14:paraId="59AAE2CE" w14:textId="7D202AB9" w:rsidR="00B3091F" w:rsidRDefault="00B3091F">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7525268" w:history="1">
        <w:r w:rsidRPr="009B362F">
          <w:rPr>
            <w:rStyle w:val="Hyperlink"/>
            <w:noProof/>
          </w:rPr>
          <w:t>Figure 3: SAP Notification – Multiple Leaks on AGC Manifolds</w:t>
        </w:r>
        <w:r>
          <w:rPr>
            <w:noProof/>
            <w:webHidden/>
          </w:rPr>
          <w:tab/>
        </w:r>
        <w:r>
          <w:rPr>
            <w:noProof/>
            <w:webHidden/>
          </w:rPr>
          <w:fldChar w:fldCharType="begin"/>
        </w:r>
        <w:r>
          <w:rPr>
            <w:noProof/>
            <w:webHidden/>
          </w:rPr>
          <w:instrText xml:space="preserve"> PAGEREF _Toc227525268 \h </w:instrText>
        </w:r>
        <w:r>
          <w:rPr>
            <w:noProof/>
            <w:webHidden/>
          </w:rPr>
        </w:r>
        <w:r>
          <w:rPr>
            <w:noProof/>
            <w:webHidden/>
          </w:rPr>
          <w:fldChar w:fldCharType="separate"/>
        </w:r>
        <w:r>
          <w:rPr>
            <w:noProof/>
            <w:webHidden/>
          </w:rPr>
          <w:t>7</w:t>
        </w:r>
        <w:r>
          <w:rPr>
            <w:noProof/>
            <w:webHidden/>
          </w:rPr>
          <w:fldChar w:fldCharType="end"/>
        </w:r>
      </w:hyperlink>
    </w:p>
    <w:p w14:paraId="0BCBD154" w14:textId="5536B89F" w:rsidR="00B3091F" w:rsidRDefault="00B3091F">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7525269" w:history="1">
        <w:r w:rsidRPr="009B362F">
          <w:rPr>
            <w:rStyle w:val="Hyperlink"/>
            <w:noProof/>
          </w:rPr>
          <w:t>Figure 4: SAP Notification – Pipework Connection Leak</w:t>
        </w:r>
        <w:r>
          <w:rPr>
            <w:noProof/>
            <w:webHidden/>
          </w:rPr>
          <w:tab/>
        </w:r>
        <w:r>
          <w:rPr>
            <w:noProof/>
            <w:webHidden/>
          </w:rPr>
          <w:fldChar w:fldCharType="begin"/>
        </w:r>
        <w:r>
          <w:rPr>
            <w:noProof/>
            <w:webHidden/>
          </w:rPr>
          <w:instrText xml:space="preserve"> PAGEREF _Toc227525269 \h </w:instrText>
        </w:r>
        <w:r>
          <w:rPr>
            <w:noProof/>
            <w:webHidden/>
          </w:rPr>
        </w:r>
        <w:r>
          <w:rPr>
            <w:noProof/>
            <w:webHidden/>
          </w:rPr>
          <w:fldChar w:fldCharType="separate"/>
        </w:r>
        <w:r>
          <w:rPr>
            <w:noProof/>
            <w:webHidden/>
          </w:rPr>
          <w:t>7</w:t>
        </w:r>
        <w:r>
          <w:rPr>
            <w:noProof/>
            <w:webHidden/>
          </w:rPr>
          <w:fldChar w:fldCharType="end"/>
        </w:r>
      </w:hyperlink>
    </w:p>
    <w:p w14:paraId="252A4AD9" w14:textId="7F6ED10D" w:rsidR="00B3091F" w:rsidRDefault="00B3091F">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7525270" w:history="1">
        <w:r w:rsidRPr="009B362F">
          <w:rPr>
            <w:rStyle w:val="Hyperlink"/>
            <w:noProof/>
          </w:rPr>
          <w:t>Figure 5: SAP Notification – Belt Wrapper Leak and Oil Loss Event</w:t>
        </w:r>
        <w:r>
          <w:rPr>
            <w:noProof/>
            <w:webHidden/>
          </w:rPr>
          <w:tab/>
        </w:r>
        <w:r>
          <w:rPr>
            <w:noProof/>
            <w:webHidden/>
          </w:rPr>
          <w:fldChar w:fldCharType="begin"/>
        </w:r>
        <w:r>
          <w:rPr>
            <w:noProof/>
            <w:webHidden/>
          </w:rPr>
          <w:instrText xml:space="preserve"> PAGEREF _Toc227525270 \h </w:instrText>
        </w:r>
        <w:r>
          <w:rPr>
            <w:noProof/>
            <w:webHidden/>
          </w:rPr>
        </w:r>
        <w:r>
          <w:rPr>
            <w:noProof/>
            <w:webHidden/>
          </w:rPr>
          <w:fldChar w:fldCharType="separate"/>
        </w:r>
        <w:r>
          <w:rPr>
            <w:noProof/>
            <w:webHidden/>
          </w:rPr>
          <w:t>7</w:t>
        </w:r>
        <w:r>
          <w:rPr>
            <w:noProof/>
            <w:webHidden/>
          </w:rPr>
          <w:fldChar w:fldCharType="end"/>
        </w:r>
      </w:hyperlink>
    </w:p>
    <w:p w14:paraId="62863DAC" w14:textId="76F8A053" w:rsidR="00B3091F" w:rsidRDefault="00B3091F">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7525271" w:history="1">
        <w:r w:rsidRPr="009B362F">
          <w:rPr>
            <w:rStyle w:val="Hyperlink"/>
            <w:noProof/>
          </w:rPr>
          <w:t>Figure 6: P–F Curve illustrating failure progression and maintenance intervention points (adapted from Jardine, Lin and Banjevic, 2006)</w:t>
        </w:r>
        <w:r>
          <w:rPr>
            <w:noProof/>
            <w:webHidden/>
          </w:rPr>
          <w:tab/>
        </w:r>
        <w:r>
          <w:rPr>
            <w:noProof/>
            <w:webHidden/>
          </w:rPr>
          <w:fldChar w:fldCharType="begin"/>
        </w:r>
        <w:r>
          <w:rPr>
            <w:noProof/>
            <w:webHidden/>
          </w:rPr>
          <w:instrText xml:space="preserve"> PAGEREF _Toc227525271 \h </w:instrText>
        </w:r>
        <w:r>
          <w:rPr>
            <w:noProof/>
            <w:webHidden/>
          </w:rPr>
        </w:r>
        <w:r>
          <w:rPr>
            <w:noProof/>
            <w:webHidden/>
          </w:rPr>
          <w:fldChar w:fldCharType="separate"/>
        </w:r>
        <w:r>
          <w:rPr>
            <w:noProof/>
            <w:webHidden/>
          </w:rPr>
          <w:t>10</w:t>
        </w:r>
        <w:r>
          <w:rPr>
            <w:noProof/>
            <w:webHidden/>
          </w:rPr>
          <w:fldChar w:fldCharType="end"/>
        </w:r>
      </w:hyperlink>
    </w:p>
    <w:p w14:paraId="2CAD4773" w14:textId="52F8DD54" w:rsidR="005D3687" w:rsidRDefault="00B5516E">
      <w:r>
        <w:fldChar w:fldCharType="end"/>
      </w:r>
    </w:p>
    <w:p w14:paraId="413F0777" w14:textId="0C5F3B37" w:rsidR="00433677" w:rsidRDefault="00433677" w:rsidP="007C31F1">
      <w:pPr>
        <w:rPr>
          <w:rStyle w:val="Strong"/>
        </w:rPr>
        <w:sectPr w:rsidR="00433677" w:rsidSect="00433677">
          <w:footerReference w:type="even" r:id="rId9"/>
          <w:footerReference w:type="default" r:id="rId10"/>
          <w:footerReference w:type="first" r:id="rId11"/>
          <w:pgSz w:w="11906" w:h="16838"/>
          <w:pgMar w:top="1440" w:right="1440" w:bottom="1440" w:left="1440" w:header="708" w:footer="708" w:gutter="0"/>
          <w:pgNumType w:fmt="lowerRoman"/>
          <w:cols w:space="708"/>
          <w:titlePg/>
          <w:docGrid w:linePitch="360"/>
        </w:sectPr>
      </w:pPr>
    </w:p>
    <w:p w14:paraId="27ED536B" w14:textId="0A89748B" w:rsidR="00A50900" w:rsidRPr="00182BAE" w:rsidRDefault="001F617C" w:rsidP="00B3091F">
      <w:pPr>
        <w:pStyle w:val="Heading1"/>
        <w:rPr>
          <w:rStyle w:val="Strong"/>
          <w:b w:val="0"/>
          <w:bCs w:val="0"/>
        </w:rPr>
      </w:pPr>
      <w:bookmarkStart w:id="0" w:name="_Toc227525245"/>
      <w:r w:rsidRPr="00182BAE">
        <w:rPr>
          <w:rStyle w:val="Strong"/>
          <w:b w:val="0"/>
          <w:bCs w:val="0"/>
        </w:rPr>
        <w:lastRenderedPageBreak/>
        <w:t>Introduction</w:t>
      </w:r>
      <w:bookmarkEnd w:id="0"/>
    </w:p>
    <w:p w14:paraId="0FA22AB9" w14:textId="4ADC00E1" w:rsidR="00FC069C" w:rsidRDefault="00FC069C" w:rsidP="00B8467D">
      <w:pPr>
        <w:rPr>
          <w:rFonts w:ascii="Times New Roman" w:hAnsi="Times New Roman"/>
        </w:rPr>
      </w:pPr>
      <w:r>
        <w:t>In heavy industrial manufacturing, maintenance strategy has a direct influence on asset reliability, operating cost, safety and process stability. At Tata Steel UK (TSUK) Port Talbot, the pickle line hydraulic system within the Cold Rolled Products area performs a critical operational role by supplying the controlled hydraulic power required for actuator movement, strip handling and associated process functions. The effectiveness of its maintenance regime is therefore an important factor in both engineering performance and operational efficiency.</w:t>
      </w:r>
    </w:p>
    <w:p w14:paraId="5B4DC216" w14:textId="20132FB3" w:rsidR="00FC069C" w:rsidRDefault="00FC069C" w:rsidP="00B8467D">
      <w:r>
        <w:t>Hydraulic oil loss provides a practical and measurable indicator of maintenance effectiveness within this system. Oil loss commonly arises from seal wear, pipework fatigue, joint failure and component deterioration, making it a useful indicator of both condition and maintenance performance (Mobley, 2002). Unlike downtime alone, oil loss captures degradation while the asset remains in operation and therefore offers a more sensitive measure of how effectively developing faults are being identified and controlled. It also has direct implications for cost, housekeeping, safety, environmental risk and long-term equipment reliability (Swanson, 2001).</w:t>
      </w:r>
    </w:p>
    <w:p w14:paraId="511BBFC0" w14:textId="2E4213EE" w:rsidR="00FC069C" w:rsidRDefault="00FC069C" w:rsidP="00B8467D">
      <w:r>
        <w:t>This report evaluates the effectiveness of the current maintenance strategy applied to the pickle line hydraulic system using hydraulic oil loss as the principal performance indicator. The analysis draws on plant inspection routes, SAP notifications, recorded leak events and oil-loss data to assess how far the current approach is preventive in structure but reactive in execution. It then evaluates how predictive maintenance, reliability-centred maintenance and improved maintenance planning could reduce oil loss, strengthen intervention timing and improve overall asset reliability.</w:t>
      </w:r>
    </w:p>
    <w:p w14:paraId="4C3C97D1" w14:textId="77777777" w:rsidR="008C3848" w:rsidRDefault="008C3848" w:rsidP="00B8467D"/>
    <w:p w14:paraId="4A126E73" w14:textId="77777777" w:rsidR="008C3848" w:rsidRDefault="008C3848" w:rsidP="003E7567"/>
    <w:p w14:paraId="43DB472E" w14:textId="77777777" w:rsidR="008C3848" w:rsidRDefault="008C3848" w:rsidP="003E7567"/>
    <w:p w14:paraId="02F25994" w14:textId="77777777" w:rsidR="008C3848" w:rsidRDefault="008C3848" w:rsidP="003E7567"/>
    <w:p w14:paraId="4E4625B8" w14:textId="77777777" w:rsidR="003E7567" w:rsidRDefault="003E7567" w:rsidP="003E7567"/>
    <w:p w14:paraId="50AA269C" w14:textId="77777777" w:rsidR="003E7567" w:rsidRDefault="003E7567" w:rsidP="003E7567"/>
    <w:p w14:paraId="20A868D6" w14:textId="3DD57C86" w:rsidR="007C6CBA" w:rsidRPr="007C6CBA" w:rsidRDefault="00824BD0" w:rsidP="00840AE7">
      <w:pPr>
        <w:pStyle w:val="Heading1"/>
      </w:pPr>
      <w:bookmarkStart w:id="1" w:name="_Toc227525246"/>
      <w:r w:rsidRPr="00824BD0">
        <w:lastRenderedPageBreak/>
        <w:t xml:space="preserve">System Overview and Operational </w:t>
      </w:r>
      <w:r>
        <w:t>Context</w:t>
      </w:r>
      <w:bookmarkEnd w:id="1"/>
    </w:p>
    <w:p w14:paraId="61A8B075" w14:textId="1813AC61" w:rsidR="00F9410E" w:rsidRDefault="0059217A" w:rsidP="00F9410E">
      <w:pPr>
        <w:rPr>
          <w:rFonts w:ascii="Times New Roman" w:hAnsi="Times New Roman"/>
        </w:rPr>
      </w:pPr>
      <w:r w:rsidRPr="0059217A">
        <w:t xml:space="preserve">Tata Steel UK, Port Talbot, operates large-scale steel processing assets in which hydraulic power is essential for controlled movement, positioning and actuation (Tata Steel UK, 2025a; Tata Steel UK, 2025b). </w:t>
      </w:r>
      <w:r w:rsidR="00F9410E">
        <w:t>Within this environment, the pickle line hydraulic system supports a range of production and auxiliary functions, including actuator movement, cylinder operation, strip handling and AGC-related hydraulic control. Its operational importance is therefore not limited to fluid power alone; it directly influences process stability, equipment reliability, maintenance demand and safe plant operation.</w:t>
      </w:r>
    </w:p>
    <w:p w14:paraId="1F867410" w14:textId="22952DDC" w:rsidR="00F9410E" w:rsidRDefault="00F9410E" w:rsidP="00F9410E">
      <w:r>
        <w:t xml:space="preserve">The system operates under continuous production conditions and is exposed to high pressure, fluctuating thermal loads, vibration and contamination risk. </w:t>
      </w:r>
      <w:r w:rsidR="00C878A0" w:rsidRPr="00C878A0">
        <w:t>These operating conditions make deterioration unavoidable over time and create several recurring failure mechanisms, particularly seal wear, pipework fatigue, joint looseness and hydraulic component wear (Mobley, 2002).</w:t>
      </w:r>
      <w:r w:rsidR="00C878A0">
        <w:rPr>
          <w:b/>
          <w:bCs/>
        </w:rPr>
        <w:t xml:space="preserve"> </w:t>
      </w:r>
    </w:p>
    <w:p w14:paraId="041F5173" w14:textId="42C39245" w:rsidR="00F9410E" w:rsidRDefault="00DD0889" w:rsidP="00F9410E">
      <w:r w:rsidRPr="00DD0889">
        <w:t>Plant inspection activity demonstrates that the hydraulic system is already subject to structured monitoring. The hydraulic inspection route includes checks on pressure, pump temperature, case drain temperature, filter condition, reservoir oil level, cooler temperatures and signs of leakage at manifolds and plant equipment. This indicates that the current maintenance strategy is preventive in structure and that the organisation already recognises the key condition indicators associated with hydraulic deterioration. However, the continued presence of leak notifications and measurable oil-loss events suggests that the availability of condition information does not always result in intervention at the earliest practical stage.</w:t>
      </w:r>
    </w:p>
    <w:p w14:paraId="15DB1506" w14:textId="77777777" w:rsidR="00F9410E" w:rsidRDefault="00F9410E" w:rsidP="00F9410E"/>
    <w:p w14:paraId="065F700F" w14:textId="77777777" w:rsidR="00F9410E" w:rsidRDefault="00F9410E" w:rsidP="00F9410E"/>
    <w:p w14:paraId="5BD53488" w14:textId="77777777" w:rsidR="00BE0BB4" w:rsidRDefault="00BE0BB4" w:rsidP="00F9410E"/>
    <w:p w14:paraId="339D5B16" w14:textId="77777777" w:rsidR="00BE0BB4" w:rsidRDefault="00BE0BB4" w:rsidP="00F9410E"/>
    <w:p w14:paraId="692A7041" w14:textId="77777777" w:rsidR="00BE0BB4" w:rsidRDefault="00BE0BB4" w:rsidP="00F9410E"/>
    <w:p w14:paraId="44E151C0" w14:textId="77777777" w:rsidR="00BE0BB4" w:rsidRDefault="00BE0BB4" w:rsidP="00F9410E"/>
    <w:p w14:paraId="045DE559" w14:textId="77777777" w:rsidR="00BE0BB4" w:rsidRDefault="00BE0BB4" w:rsidP="00F9410E"/>
    <w:p w14:paraId="6DD4B0F1" w14:textId="77777777" w:rsidR="00BE0BB4" w:rsidRDefault="00BE0BB4" w:rsidP="00F9410E"/>
    <w:p w14:paraId="6AB5B177" w14:textId="0F17FEF7" w:rsidR="004572C4" w:rsidRPr="001149C4" w:rsidRDefault="00854917" w:rsidP="008303A0">
      <w:pPr>
        <w:pStyle w:val="Heading1"/>
        <w:rPr>
          <w:rFonts w:eastAsia="Times New Roman"/>
          <w:lang w:eastAsia="en-GB"/>
        </w:rPr>
      </w:pPr>
      <w:bookmarkStart w:id="2" w:name="_Toc227525247"/>
      <w:r>
        <w:rPr>
          <w:rFonts w:eastAsia="Times New Roman"/>
          <w:lang w:eastAsia="en-GB"/>
        </w:rPr>
        <w:lastRenderedPageBreak/>
        <w:t xml:space="preserve">Maintenance Effectiveness </w:t>
      </w:r>
      <w:r w:rsidR="00D436E6">
        <w:rPr>
          <w:rFonts w:eastAsia="Times New Roman"/>
          <w:lang w:eastAsia="en-GB"/>
        </w:rPr>
        <w:t>–</w:t>
      </w:r>
      <w:r>
        <w:rPr>
          <w:rFonts w:eastAsia="Times New Roman"/>
          <w:lang w:eastAsia="en-GB"/>
        </w:rPr>
        <w:t xml:space="preserve"> </w:t>
      </w:r>
      <w:r w:rsidR="00D436E6">
        <w:rPr>
          <w:rFonts w:eastAsia="Times New Roman"/>
          <w:lang w:eastAsia="en-GB"/>
        </w:rPr>
        <w:t xml:space="preserve">Reduction in </w:t>
      </w:r>
      <w:r w:rsidR="004B2236">
        <w:rPr>
          <w:rFonts w:eastAsia="Times New Roman"/>
          <w:lang w:eastAsia="en-GB"/>
        </w:rPr>
        <w:t>O</w:t>
      </w:r>
      <w:r w:rsidR="001F75B5" w:rsidRPr="001F75B5">
        <w:rPr>
          <w:rFonts w:eastAsia="Times New Roman"/>
          <w:lang w:eastAsia="en-GB"/>
        </w:rPr>
        <w:t>il Loss</w:t>
      </w:r>
      <w:bookmarkEnd w:id="2"/>
      <w:r w:rsidR="001F75B5" w:rsidRPr="001F75B5">
        <w:rPr>
          <w:rFonts w:eastAsia="Times New Roman"/>
          <w:lang w:eastAsia="en-GB"/>
        </w:rPr>
        <w:t xml:space="preserve"> </w:t>
      </w:r>
    </w:p>
    <w:p w14:paraId="120A126D" w14:textId="60C13DF1" w:rsidR="00675902" w:rsidRPr="00675902" w:rsidRDefault="00675902" w:rsidP="00675902">
      <w:r w:rsidRPr="00675902">
        <w:t xml:space="preserve">Hydraulic oil loss provides a direct and measurable indicator of maintenance effectiveness within the pickle line hydraulic system. </w:t>
      </w:r>
      <w:r w:rsidR="002C0176" w:rsidRPr="002C0176">
        <w:t>Unlike downtime alone, oil loss reflects both progressive deterioration and visible failure, making it a useful measure of how effectively developing defects are identified and rectified before they become severe (Swanson, 2001).</w:t>
      </w:r>
    </w:p>
    <w:p w14:paraId="78FBF559" w14:textId="3BF79487" w:rsidR="00CA6BB8" w:rsidRDefault="00675902" w:rsidP="000A2E9C">
      <w:r w:rsidRPr="00675902">
        <w:t xml:space="preserve">Annual oil-loss data shows that losses remained high between 2022/2023 and 2024/2025 before falling significantly in 2025/2026, as shown in Table </w:t>
      </w:r>
      <w:r>
        <w:t>1</w:t>
      </w:r>
      <w:r w:rsidR="006A02BD">
        <w:t>.</w:t>
      </w:r>
    </w:p>
    <w:p w14:paraId="7CE2481F" w14:textId="3776C5B5" w:rsidR="004F4BEE" w:rsidRDefault="004F4BEE" w:rsidP="004F4BEE">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rsidR="00675902">
        <w:t xml:space="preserve">: </w:t>
      </w:r>
      <w:r w:rsidR="00675902" w:rsidRPr="00675902">
        <w:t>Annual hydraulic oil loss performance</w:t>
      </w:r>
    </w:p>
    <w:p w14:paraId="27452A73" w14:textId="5E007334" w:rsidR="00CA6BB8" w:rsidRDefault="004F4BEE" w:rsidP="000A2E9C">
      <w:r w:rsidRPr="004F4BEE">
        <w:rPr>
          <w:noProof/>
        </w:rPr>
        <w:drawing>
          <wp:inline distT="0" distB="0" distL="0" distR="0" wp14:anchorId="52508CB3" wp14:editId="48048D52">
            <wp:extent cx="5731510" cy="1802765"/>
            <wp:effectExtent l="0" t="0" r="2540" b="6985"/>
            <wp:docPr id="1023882582" name="Picture 1" descr="A table with numbers and a pr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882582" name="Picture 1" descr="A table with numbers and a price&#10;&#10;AI-generated content may be incorrect."/>
                    <pic:cNvPicPr/>
                  </pic:nvPicPr>
                  <pic:blipFill>
                    <a:blip r:embed="rId12"/>
                    <a:stretch>
                      <a:fillRect/>
                    </a:stretch>
                  </pic:blipFill>
                  <pic:spPr>
                    <a:xfrm>
                      <a:off x="0" y="0"/>
                      <a:ext cx="5731510" cy="1802765"/>
                    </a:xfrm>
                    <a:prstGeom prst="rect">
                      <a:avLst/>
                    </a:prstGeom>
                  </pic:spPr>
                </pic:pic>
              </a:graphicData>
            </a:graphic>
          </wp:inline>
        </w:drawing>
      </w:r>
    </w:p>
    <w:p w14:paraId="317973C0" w14:textId="76D1AEDD" w:rsidR="0049784D" w:rsidRPr="0049784D" w:rsidRDefault="0049784D" w:rsidP="0049784D">
      <w:r w:rsidRPr="0049784D">
        <w:t>The table shows that oil loss increased from 347,251 litres in 2022/2023 to 381,694 litres in 2023/2024, before remaining at a similarly high level of 379,967 litres in 2024/2025. In contrast, oil loss fell to 170,738 litres in 2025/2026, representing a reduction of 209,229 litres compared with the previous year. Over the same period, annual cost reduced by £350,573.60, from £608,559.00 to £257,985.40.</w:t>
      </w:r>
    </w:p>
    <w:p w14:paraId="1B5A6013" w14:textId="6B1CC2BF" w:rsidR="0049784D" w:rsidRPr="0049784D" w:rsidRDefault="0049784D" w:rsidP="0049784D">
      <w:r w:rsidRPr="0049784D">
        <w:t>By comparison, the lower total recorded in 2025/2026 indicates that maintenance intervention was more effective in limiting the severity and duration of leak events.</w:t>
      </w:r>
    </w:p>
    <w:p w14:paraId="114797F3" w14:textId="34C519C9" w:rsidR="0049784D" w:rsidRPr="0049784D" w:rsidRDefault="00515AC0" w:rsidP="0049784D">
      <w:r w:rsidRPr="00515AC0">
        <w:t>Weekly loss records reinforce this conclusion, with losses of more than 1,600 litres and 2,600 litres in individual reporting periods.</w:t>
      </w:r>
      <w:r w:rsidR="0049784D" w:rsidRPr="0049784D">
        <w:t xml:space="preserve"> Events of this scale suggest that some faults had progressed well beyond the earliest stages of degradation before being rectified. The substantial reduction achieved in 2025/2026 supports the view that earlier identification and rectification of faults can significantly reduce both failure severity and operating cost within the pickle line hydraulic system.</w:t>
      </w:r>
    </w:p>
    <w:p w14:paraId="7C1F6E96" w14:textId="77777777" w:rsidR="00CA6BB8" w:rsidRDefault="00CA6BB8" w:rsidP="000A2E9C"/>
    <w:p w14:paraId="74B13DED" w14:textId="77777777" w:rsidR="00CA6BB8" w:rsidRDefault="00CA6BB8" w:rsidP="000A2E9C"/>
    <w:p w14:paraId="7D372D84" w14:textId="55631C69" w:rsidR="0097291E" w:rsidRPr="001149C4" w:rsidRDefault="0097291E" w:rsidP="009F732E">
      <w:pPr>
        <w:pStyle w:val="Heading1"/>
        <w:rPr>
          <w:rFonts w:eastAsia="Times New Roman"/>
          <w:lang w:eastAsia="en-GB"/>
        </w:rPr>
      </w:pPr>
      <w:bookmarkStart w:id="3" w:name="_Toc227525248"/>
      <w:r w:rsidRPr="001149C4">
        <w:rPr>
          <w:rFonts w:eastAsia="Times New Roman"/>
          <w:lang w:eastAsia="en-GB"/>
        </w:rPr>
        <w:lastRenderedPageBreak/>
        <w:t>Critical Review of Current Maintenance Practices</w:t>
      </w:r>
      <w:bookmarkEnd w:id="3"/>
    </w:p>
    <w:p w14:paraId="28EC1D49" w14:textId="7B6A2188" w:rsidR="00D84755" w:rsidRPr="00D84755" w:rsidRDefault="00D84755" w:rsidP="00D84755">
      <w:pPr>
        <w:rPr>
          <w:rFonts w:ascii="Times New Roman" w:hAnsi="Times New Roman"/>
        </w:rPr>
      </w:pPr>
      <w:r w:rsidRPr="00D84755">
        <w:t xml:space="preserve">The current maintenance strategy applied to the pickle line hydraulic system is best described as </w:t>
      </w:r>
      <w:r w:rsidRPr="00D84755">
        <w:rPr>
          <w:rStyle w:val="Strong"/>
          <w:b w:val="0"/>
          <w:bCs w:val="0"/>
        </w:rPr>
        <w:t>preventive in structure but reactive in outcome</w:t>
      </w:r>
      <w:r w:rsidRPr="00D84755">
        <w:rPr>
          <w:b/>
          <w:bCs/>
        </w:rPr>
        <w:t>.</w:t>
      </w:r>
      <w:r w:rsidR="00CB403A">
        <w:rPr>
          <w:b/>
          <w:bCs/>
        </w:rPr>
        <w:t xml:space="preserve"> </w:t>
      </w:r>
      <w:r w:rsidRPr="00D84755">
        <w:t>Inspection routes are in place, key hydraulic parameters are monitored, and SAP-based workflows provide a formal process for recording and planning corrective work. However, the available evidence indicates that maintenance intervention has historically occurred only after leakage becomes visible or oil loss becomes significant, rather than at the earliest practical stage of degradation.</w:t>
      </w:r>
    </w:p>
    <w:p w14:paraId="4BDF6709" w14:textId="5CE758AF" w:rsidR="00A80E4D" w:rsidRPr="00D84755" w:rsidRDefault="00515AC0" w:rsidP="00D84755">
      <w:r w:rsidRPr="00515AC0">
        <w:t>Inspection routines include checks on leakage, temperature, pipework condition, filters and oil level, which should support early fault identification.</w:t>
      </w:r>
      <w:r>
        <w:t xml:space="preserve"> </w:t>
      </w:r>
      <w:r w:rsidR="00D84755" w:rsidRPr="00D84755">
        <w:t>In practice, however, significant oil-loss events still occurred, suggesting that these indicators were not consistently used to trigger intervention</w:t>
      </w:r>
      <w:r w:rsidR="002F6391">
        <w:t xml:space="preserve">. </w:t>
      </w:r>
      <w:r w:rsidR="001466CE" w:rsidRPr="001466CE">
        <w:t>This pattern is likely influenced by production constraints, manual inspection, and a tendency to prioritise visible defects over earlier signs of deterioration.</w:t>
      </w:r>
    </w:p>
    <w:p w14:paraId="0BB2B9B5" w14:textId="723F517F" w:rsidR="00D84755" w:rsidRPr="00D84755" w:rsidRDefault="000613AF" w:rsidP="00D84755">
      <w:r>
        <w:t>T</w:t>
      </w:r>
      <w:r w:rsidR="001A4168" w:rsidRPr="001A4168">
        <w:t>he SAP notification evidence reinforces this conclusion.</w:t>
      </w:r>
      <w:r w:rsidR="001A4168">
        <w:t xml:space="preserve"> </w:t>
      </w:r>
      <w:r w:rsidR="00D84755" w:rsidRPr="00D84755">
        <w:t xml:space="preserve">Defects such as multiple manifold leaks, pipework connection leaks and larger oil-loss events were identified through the reporting system, but repairs were at times deferred until the “next suitable outage”. </w:t>
      </w:r>
      <w:r w:rsidR="005475BF" w:rsidRPr="005475BF">
        <w:t>This allowed progressive failure mechanisms to continue developing after detection</w:t>
      </w:r>
      <w:r w:rsidR="001466CE">
        <w:t>.</w:t>
      </w:r>
    </w:p>
    <w:p w14:paraId="58A92AC4" w14:textId="08D48986" w:rsidR="000E573A" w:rsidRDefault="00D84755" w:rsidP="00D84755">
      <w:r w:rsidRPr="00D84755">
        <w:t xml:space="preserve">This approach is inefficient in both engineering and operational terms. </w:t>
      </w:r>
      <w:r w:rsidR="00A45576" w:rsidRPr="00A45576">
        <w:t>When intervention is delayed, oil loss increases, repair scope often expands, and the wider consequences of leakage become more severe.</w:t>
      </w:r>
      <w:r w:rsidRPr="00D84755">
        <w:t xml:space="preserve"> </w:t>
      </w:r>
      <w:r w:rsidR="007D33A1" w:rsidRPr="007D33A1">
        <w:t>These consequences include increased housekeeping burden, higher material cost, avoidable maintenance labour, contamination risk and greater exposure to slip and fire hazards</w:t>
      </w:r>
      <w:r w:rsidR="007D33A1">
        <w:t xml:space="preserve"> </w:t>
      </w:r>
      <w:r w:rsidR="002E445F" w:rsidRPr="002E445F">
        <w:t>(HSE, 2014).</w:t>
      </w:r>
    </w:p>
    <w:p w14:paraId="0BD00536" w14:textId="7C3C0004" w:rsidR="00D84755" w:rsidRPr="00D84755" w:rsidRDefault="00D84755" w:rsidP="00D84755">
      <w:r w:rsidRPr="00D84755">
        <w:t xml:space="preserve">From a maintenance theory perspective, this approach is limited. Modern maintenance practice places greater emphasis on condition-based monitoring, early intervention and the management of failure development before functional consequences become severe (Jardine, Lin and </w:t>
      </w:r>
      <w:proofErr w:type="spellStart"/>
      <w:r w:rsidRPr="00D84755">
        <w:t>Banjevic</w:t>
      </w:r>
      <w:proofErr w:type="spellEnd"/>
      <w:r w:rsidRPr="00D84755">
        <w:t xml:space="preserve">, 2006). It also seeks to optimise the balance between reliability, cost and risk rather than relying on corrective response after degradation becomes obvious (De Jonge and Scarf, 2020). </w:t>
      </w:r>
      <w:r w:rsidR="00E31E60" w:rsidRPr="00E31E60">
        <w:t>The current approach is therefore only partially effective: the inspection framework exists, but its output has not always been translated into timely and economically optimal action.</w:t>
      </w:r>
    </w:p>
    <w:p w14:paraId="4664A024" w14:textId="77777777" w:rsidR="00D84755" w:rsidRPr="00D84755" w:rsidRDefault="00D84755" w:rsidP="00D84755">
      <w:r w:rsidRPr="00D84755">
        <w:t xml:space="preserve">However, the reduced oil-loss performance recorded in 2025/2026 indicates that the current framework has the potential to perform more effectively when inspection focus, defect prioritisation and repair timing improve. This suggests that the principal weakness is not the absence of a maintenance system, but the way in which existing information is interpreted, </w:t>
      </w:r>
      <w:r w:rsidRPr="00D84755">
        <w:lastRenderedPageBreak/>
        <w:t>prioritised and acted upon. The critical issue, therefore, is not whether the organisation inspects the hydraulic system, but whether it intervenes early enough to prevent deterioration from progressing into costly and operationally significant leakage.</w:t>
      </w:r>
    </w:p>
    <w:p w14:paraId="31396AC9" w14:textId="77777777" w:rsidR="002155AC" w:rsidRDefault="002155AC" w:rsidP="00166CC3">
      <w:pPr>
        <w:rPr>
          <w:lang w:eastAsia="en-GB"/>
        </w:rPr>
      </w:pPr>
    </w:p>
    <w:p w14:paraId="7663C475" w14:textId="77777777" w:rsidR="002155AC" w:rsidRDefault="002155AC" w:rsidP="00166CC3">
      <w:pPr>
        <w:rPr>
          <w:lang w:eastAsia="en-GB"/>
        </w:rPr>
      </w:pPr>
    </w:p>
    <w:p w14:paraId="75B9A815" w14:textId="77777777" w:rsidR="002155AC" w:rsidRDefault="002155AC" w:rsidP="00166CC3">
      <w:pPr>
        <w:rPr>
          <w:lang w:eastAsia="en-GB"/>
        </w:rPr>
      </w:pPr>
    </w:p>
    <w:p w14:paraId="434EFBCB" w14:textId="77777777" w:rsidR="002155AC" w:rsidRDefault="002155AC" w:rsidP="00166CC3">
      <w:pPr>
        <w:rPr>
          <w:lang w:eastAsia="en-GB"/>
        </w:rPr>
      </w:pPr>
    </w:p>
    <w:p w14:paraId="7AD8180A" w14:textId="77777777" w:rsidR="002155AC" w:rsidRDefault="002155AC" w:rsidP="00166CC3">
      <w:pPr>
        <w:rPr>
          <w:lang w:eastAsia="en-GB"/>
        </w:rPr>
      </w:pPr>
    </w:p>
    <w:p w14:paraId="06AA7559" w14:textId="77777777" w:rsidR="002570D3" w:rsidRDefault="002570D3" w:rsidP="00166CC3">
      <w:pPr>
        <w:rPr>
          <w:lang w:eastAsia="en-GB"/>
        </w:rPr>
      </w:pPr>
    </w:p>
    <w:p w14:paraId="3081609E" w14:textId="77777777" w:rsidR="002570D3" w:rsidRDefault="002570D3" w:rsidP="00166CC3">
      <w:pPr>
        <w:rPr>
          <w:lang w:eastAsia="en-GB"/>
        </w:rPr>
      </w:pPr>
    </w:p>
    <w:p w14:paraId="3E2E490D" w14:textId="77777777" w:rsidR="002570D3" w:rsidRDefault="002570D3" w:rsidP="00166CC3">
      <w:pPr>
        <w:rPr>
          <w:lang w:eastAsia="en-GB"/>
        </w:rPr>
      </w:pPr>
    </w:p>
    <w:p w14:paraId="0B74AA49" w14:textId="77777777" w:rsidR="002570D3" w:rsidRDefault="002570D3" w:rsidP="00166CC3">
      <w:pPr>
        <w:rPr>
          <w:lang w:eastAsia="en-GB"/>
        </w:rPr>
      </w:pPr>
    </w:p>
    <w:p w14:paraId="13566735" w14:textId="77777777" w:rsidR="002570D3" w:rsidRDefault="002570D3" w:rsidP="00166CC3">
      <w:pPr>
        <w:rPr>
          <w:lang w:eastAsia="en-GB"/>
        </w:rPr>
      </w:pPr>
    </w:p>
    <w:p w14:paraId="67CBA15F" w14:textId="77777777" w:rsidR="002570D3" w:rsidRDefault="002570D3" w:rsidP="00166CC3">
      <w:pPr>
        <w:rPr>
          <w:lang w:eastAsia="en-GB"/>
        </w:rPr>
      </w:pPr>
    </w:p>
    <w:p w14:paraId="3FB7B284" w14:textId="77777777" w:rsidR="002570D3" w:rsidRDefault="002570D3" w:rsidP="00166CC3">
      <w:pPr>
        <w:rPr>
          <w:lang w:eastAsia="en-GB"/>
        </w:rPr>
      </w:pPr>
    </w:p>
    <w:p w14:paraId="6DBA96BD" w14:textId="77777777" w:rsidR="002570D3" w:rsidRDefault="002570D3" w:rsidP="00166CC3">
      <w:pPr>
        <w:rPr>
          <w:lang w:eastAsia="en-GB"/>
        </w:rPr>
      </w:pPr>
    </w:p>
    <w:p w14:paraId="141DFC99" w14:textId="77777777" w:rsidR="002570D3" w:rsidRDefault="002570D3" w:rsidP="00166CC3">
      <w:pPr>
        <w:rPr>
          <w:lang w:eastAsia="en-GB"/>
        </w:rPr>
      </w:pPr>
    </w:p>
    <w:p w14:paraId="36EC30F9" w14:textId="77777777" w:rsidR="009310A8" w:rsidRDefault="009310A8" w:rsidP="00166CC3">
      <w:pPr>
        <w:rPr>
          <w:lang w:eastAsia="en-GB"/>
        </w:rPr>
      </w:pPr>
    </w:p>
    <w:p w14:paraId="399AF362" w14:textId="77777777" w:rsidR="009310A8" w:rsidRDefault="009310A8" w:rsidP="00166CC3">
      <w:pPr>
        <w:rPr>
          <w:lang w:eastAsia="en-GB"/>
        </w:rPr>
      </w:pPr>
    </w:p>
    <w:p w14:paraId="7553C9F0" w14:textId="77777777" w:rsidR="009310A8" w:rsidRDefault="009310A8" w:rsidP="00166CC3">
      <w:pPr>
        <w:rPr>
          <w:lang w:eastAsia="en-GB"/>
        </w:rPr>
      </w:pPr>
    </w:p>
    <w:p w14:paraId="711E95D9" w14:textId="77777777" w:rsidR="002570D3" w:rsidRDefault="002570D3" w:rsidP="00166CC3">
      <w:pPr>
        <w:rPr>
          <w:lang w:eastAsia="en-GB"/>
        </w:rPr>
      </w:pPr>
    </w:p>
    <w:p w14:paraId="0284F37E" w14:textId="77777777" w:rsidR="001A6886" w:rsidRDefault="001A6886" w:rsidP="00166CC3">
      <w:pPr>
        <w:rPr>
          <w:lang w:eastAsia="en-GB"/>
        </w:rPr>
      </w:pPr>
    </w:p>
    <w:p w14:paraId="50BFABC8" w14:textId="77777777" w:rsidR="001A6886" w:rsidRDefault="001A6886" w:rsidP="00166CC3">
      <w:pPr>
        <w:rPr>
          <w:lang w:eastAsia="en-GB"/>
        </w:rPr>
      </w:pPr>
    </w:p>
    <w:p w14:paraId="535C9260" w14:textId="77777777" w:rsidR="001A6886" w:rsidRDefault="001A6886" w:rsidP="00166CC3">
      <w:pPr>
        <w:rPr>
          <w:lang w:eastAsia="en-GB"/>
        </w:rPr>
      </w:pPr>
    </w:p>
    <w:p w14:paraId="7D5CBC3A" w14:textId="77777777" w:rsidR="002570D3" w:rsidRDefault="002570D3" w:rsidP="00166CC3">
      <w:pPr>
        <w:rPr>
          <w:lang w:eastAsia="en-GB"/>
        </w:rPr>
      </w:pPr>
    </w:p>
    <w:p w14:paraId="553D5279" w14:textId="4A3BD6FE" w:rsidR="009F5ED2" w:rsidRDefault="009F5ED2" w:rsidP="00EC4318">
      <w:pPr>
        <w:pStyle w:val="Heading1"/>
        <w:rPr>
          <w:rStyle w:val="Heading1Char"/>
          <w:lang w:eastAsia="en-GB"/>
        </w:rPr>
      </w:pPr>
      <w:bookmarkStart w:id="4" w:name="_Toc227525249"/>
      <w:r>
        <w:rPr>
          <w:rStyle w:val="Heading1Char"/>
          <w:lang w:eastAsia="en-GB"/>
        </w:rPr>
        <w:lastRenderedPageBreak/>
        <w:t>Mainten</w:t>
      </w:r>
      <w:r w:rsidR="000A489C">
        <w:rPr>
          <w:rStyle w:val="Heading1Char"/>
          <w:lang w:eastAsia="en-GB"/>
        </w:rPr>
        <w:t>ance Execution Process</w:t>
      </w:r>
      <w:bookmarkEnd w:id="4"/>
    </w:p>
    <w:p w14:paraId="019C5592" w14:textId="2A76F9EB" w:rsidR="008E58A7" w:rsidRDefault="007919C3" w:rsidP="009D6967">
      <w:r w:rsidRPr="007919C3">
        <w:t xml:space="preserve">Maintenance of the pickle line hydraulic system is managed through a structured SAP workflow linking planned inspection activity to corrective maintenance action. Figures 1 and 2 show that preventive maintenance routes are formally scheduled across the hydraulic system, including checks on entry hydraulics, manifolds, AGC systems and related subsystems. </w:t>
      </w:r>
      <w:r w:rsidR="002570D3" w:rsidRPr="002570D3">
        <w:t>The effectiveness of such a framework, however, depends on how well inspection findings are translated into action (Carnero, 2006).</w:t>
      </w:r>
    </w:p>
    <w:p w14:paraId="5E066002" w14:textId="77777777" w:rsidR="00BA0C85" w:rsidRDefault="00BA0C85" w:rsidP="00BA0C85">
      <w:pPr>
        <w:keepNext/>
        <w:jc w:val="center"/>
      </w:pPr>
      <w:r>
        <w:rPr>
          <w:noProof/>
          <w:lang w:val="fr-FR"/>
        </w:rPr>
        <w:drawing>
          <wp:inline distT="0" distB="0" distL="0" distR="0" wp14:anchorId="1DCF3043" wp14:editId="6502000C">
            <wp:extent cx="4859079" cy="2314575"/>
            <wp:effectExtent l="19050" t="19050" r="17780" b="9525"/>
            <wp:docPr id="33827231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272316" name="Picture 4"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b="45471"/>
                    <a:stretch>
                      <a:fillRect/>
                    </a:stretch>
                  </pic:blipFill>
                  <pic:spPr bwMode="auto">
                    <a:xfrm>
                      <a:off x="0" y="0"/>
                      <a:ext cx="4872297" cy="232087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9D3C6B1" w14:textId="5B0D5D41" w:rsidR="00734955" w:rsidRPr="00734955" w:rsidRDefault="00BA0C85" w:rsidP="00BA0C85">
      <w:pPr>
        <w:pStyle w:val="Caption"/>
        <w:jc w:val="center"/>
        <w:rPr>
          <w:lang w:val="fr-FR"/>
        </w:rPr>
      </w:pPr>
      <w:bookmarkStart w:id="5" w:name="_Toc227525266"/>
      <w:r>
        <w:t xml:space="preserve">Figure </w:t>
      </w:r>
      <w:r>
        <w:fldChar w:fldCharType="begin"/>
      </w:r>
      <w:r>
        <w:instrText xml:space="preserve"> SEQ Figure \* ARABIC </w:instrText>
      </w:r>
      <w:r>
        <w:fldChar w:fldCharType="separate"/>
      </w:r>
      <w:r w:rsidR="00544D17">
        <w:rPr>
          <w:noProof/>
        </w:rPr>
        <w:t>1</w:t>
      </w:r>
      <w:r>
        <w:fldChar w:fldCharType="end"/>
      </w:r>
      <w:r>
        <w:t xml:space="preserve">: SAP </w:t>
      </w:r>
      <w:r w:rsidR="00976396" w:rsidRPr="00976396">
        <w:t>Preventive</w:t>
      </w:r>
      <w:r w:rsidR="00976396">
        <w:t xml:space="preserve"> </w:t>
      </w:r>
      <w:r>
        <w:t>Maintenance Inspection</w:t>
      </w:r>
      <w:r w:rsidR="00290454">
        <w:t xml:space="preserve"> – Pickle Line Hydraulics</w:t>
      </w:r>
      <w:bookmarkEnd w:id="5"/>
      <w:r w:rsidR="00290454">
        <w:t xml:space="preserve"> </w:t>
      </w:r>
    </w:p>
    <w:p w14:paraId="10733674" w14:textId="77777777" w:rsidR="000A489C" w:rsidRPr="00734955" w:rsidRDefault="000A489C" w:rsidP="000A489C">
      <w:pPr>
        <w:rPr>
          <w:lang w:val="fr-FR" w:eastAsia="en-GB"/>
        </w:rPr>
      </w:pPr>
    </w:p>
    <w:p w14:paraId="27675012" w14:textId="77777777" w:rsidR="00905679" w:rsidRDefault="00905679" w:rsidP="00905679">
      <w:pPr>
        <w:keepNext/>
        <w:jc w:val="center"/>
      </w:pPr>
      <w:r>
        <w:rPr>
          <w:noProof/>
          <w:lang w:val="fr-FR" w:eastAsia="en-GB"/>
        </w:rPr>
        <w:drawing>
          <wp:inline distT="0" distB="0" distL="0" distR="0" wp14:anchorId="19625035" wp14:editId="023FCA90">
            <wp:extent cx="4934068" cy="2131937"/>
            <wp:effectExtent l="19050" t="19050" r="19050" b="20955"/>
            <wp:docPr id="204785145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851458" name="Picture 5"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b="42495"/>
                    <a:stretch>
                      <a:fillRect/>
                    </a:stretch>
                  </pic:blipFill>
                  <pic:spPr bwMode="auto">
                    <a:xfrm>
                      <a:off x="0" y="0"/>
                      <a:ext cx="4941468" cy="213513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7A23101" w14:textId="4C938081" w:rsidR="000A489C" w:rsidRPr="00114370" w:rsidRDefault="00905679" w:rsidP="00746C5A">
      <w:pPr>
        <w:pStyle w:val="Caption"/>
        <w:jc w:val="center"/>
        <w:rPr>
          <w:lang w:eastAsia="en-GB"/>
        </w:rPr>
      </w:pPr>
      <w:bookmarkStart w:id="6" w:name="_Toc227525267"/>
      <w:r>
        <w:t xml:space="preserve">Figure </w:t>
      </w:r>
      <w:r>
        <w:fldChar w:fldCharType="begin"/>
      </w:r>
      <w:r>
        <w:instrText xml:space="preserve"> SEQ Figure \* ARABIC </w:instrText>
      </w:r>
      <w:r>
        <w:fldChar w:fldCharType="separate"/>
      </w:r>
      <w:r w:rsidR="00544D17">
        <w:rPr>
          <w:noProof/>
        </w:rPr>
        <w:t>2</w:t>
      </w:r>
      <w:r>
        <w:fldChar w:fldCharType="end"/>
      </w:r>
      <w:r>
        <w:t xml:space="preserve">: SAP </w:t>
      </w:r>
      <w:r w:rsidR="00976396" w:rsidRPr="00976396">
        <w:t>Preventive</w:t>
      </w:r>
      <w:r>
        <w:t xml:space="preserve"> Maintenance Inspection</w:t>
      </w:r>
      <w:r w:rsidR="00290454">
        <w:t xml:space="preserve"> – Mill Hydraulics</w:t>
      </w:r>
      <w:bookmarkEnd w:id="6"/>
    </w:p>
    <w:p w14:paraId="77855E65" w14:textId="7AC2477C" w:rsidR="00453684" w:rsidRDefault="00B647FC" w:rsidP="00453684">
      <w:pPr>
        <w:rPr>
          <w:lang w:eastAsia="en-GB"/>
        </w:rPr>
      </w:pPr>
      <w:r w:rsidRPr="00B647FC">
        <w:rPr>
          <w:lang w:eastAsia="en-GB"/>
        </w:rPr>
        <w:t>Following inspection, defects are recorded through SAP notifications and translated into maintenance work. Figures 3 to 5 show examples of this process in practice, including multiple leaks on AGC manifolds, a pipework connection leak to an accumulator, and a belt</w:t>
      </w:r>
      <w:r w:rsidR="00453684">
        <w:rPr>
          <w:lang w:eastAsia="en-GB"/>
        </w:rPr>
        <w:t xml:space="preserve"> </w:t>
      </w:r>
      <w:r w:rsidRPr="00B647FC">
        <w:rPr>
          <w:lang w:eastAsia="en-GB"/>
        </w:rPr>
        <w:t>wrapper leak associated with an oil-loss event of 1</w:t>
      </w:r>
      <w:r w:rsidR="002D5876">
        <w:rPr>
          <w:lang w:eastAsia="en-GB"/>
        </w:rPr>
        <w:t>,</w:t>
      </w:r>
      <w:r w:rsidRPr="00B647FC">
        <w:rPr>
          <w:lang w:eastAsia="en-GB"/>
        </w:rPr>
        <w:t xml:space="preserve">600 litres. </w:t>
      </w:r>
    </w:p>
    <w:p w14:paraId="679DF47A" w14:textId="702CA2D9" w:rsidR="00E46927" w:rsidRDefault="00A45832" w:rsidP="00B647FC">
      <w:pPr>
        <w:keepNext/>
        <w:jc w:val="center"/>
      </w:pPr>
      <w:r>
        <w:rPr>
          <w:noProof/>
          <w:lang w:eastAsia="en-GB"/>
        </w:rPr>
        <w:lastRenderedPageBreak/>
        <w:drawing>
          <wp:inline distT="0" distB="0" distL="0" distR="0" wp14:anchorId="2D396653" wp14:editId="3A11A9F4">
            <wp:extent cx="4305002" cy="2373275"/>
            <wp:effectExtent l="19050" t="19050" r="19685" b="27305"/>
            <wp:docPr id="59968681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86814" name="Picture 6"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b="4333"/>
                    <a:stretch>
                      <a:fillRect/>
                    </a:stretch>
                  </pic:blipFill>
                  <pic:spPr bwMode="auto">
                    <a:xfrm>
                      <a:off x="0" y="0"/>
                      <a:ext cx="4344306" cy="239494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400BD2A" w14:textId="0F6200BA" w:rsidR="00114370" w:rsidRDefault="00E46927" w:rsidP="00E46927">
      <w:pPr>
        <w:pStyle w:val="Caption"/>
        <w:jc w:val="center"/>
      </w:pPr>
      <w:bookmarkStart w:id="7" w:name="_Toc227525268"/>
      <w:r>
        <w:t xml:space="preserve">Figure </w:t>
      </w:r>
      <w:r>
        <w:fldChar w:fldCharType="begin"/>
      </w:r>
      <w:r>
        <w:instrText xml:space="preserve"> SEQ Figure \* ARABIC </w:instrText>
      </w:r>
      <w:r>
        <w:fldChar w:fldCharType="separate"/>
      </w:r>
      <w:r w:rsidR="00544D17">
        <w:rPr>
          <w:noProof/>
        </w:rPr>
        <w:t>3</w:t>
      </w:r>
      <w:r>
        <w:fldChar w:fldCharType="end"/>
      </w:r>
      <w:r>
        <w:t xml:space="preserve">: </w:t>
      </w:r>
      <w:r w:rsidRPr="007B1DB1">
        <w:t>SAP Notification – Multiple Leaks on AGC Manifolds</w:t>
      </w:r>
      <w:bookmarkEnd w:id="7"/>
    </w:p>
    <w:p w14:paraId="75D67CCE" w14:textId="77777777" w:rsidR="00BF6EDD" w:rsidRPr="00BF6EDD" w:rsidRDefault="00BF6EDD" w:rsidP="00BF6EDD"/>
    <w:p w14:paraId="1A2413D9" w14:textId="77777777" w:rsidR="00E523BF" w:rsidRDefault="00E523BF" w:rsidP="00E523BF">
      <w:pPr>
        <w:keepNext/>
        <w:jc w:val="center"/>
      </w:pPr>
      <w:r>
        <w:rPr>
          <w:noProof/>
          <w:lang w:eastAsia="en-GB"/>
        </w:rPr>
        <w:drawing>
          <wp:inline distT="0" distB="0" distL="0" distR="0" wp14:anchorId="701FE6BA" wp14:editId="028873AB">
            <wp:extent cx="4082902" cy="1923415"/>
            <wp:effectExtent l="19050" t="19050" r="13335" b="19685"/>
            <wp:docPr id="139439706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397065" name="Picture 7"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098875" cy="1930940"/>
                    </a:xfrm>
                    <a:prstGeom prst="rect">
                      <a:avLst/>
                    </a:prstGeom>
                    <a:ln>
                      <a:solidFill>
                        <a:schemeClr val="tx1"/>
                      </a:solidFill>
                    </a:ln>
                  </pic:spPr>
                </pic:pic>
              </a:graphicData>
            </a:graphic>
          </wp:inline>
        </w:drawing>
      </w:r>
    </w:p>
    <w:p w14:paraId="07501886" w14:textId="60719B5A" w:rsidR="000A489C" w:rsidRDefault="00E523BF" w:rsidP="00E523BF">
      <w:pPr>
        <w:pStyle w:val="Caption"/>
        <w:jc w:val="center"/>
      </w:pPr>
      <w:bookmarkStart w:id="8" w:name="_Toc227525269"/>
      <w:r>
        <w:t xml:space="preserve">Figure </w:t>
      </w:r>
      <w:r>
        <w:fldChar w:fldCharType="begin"/>
      </w:r>
      <w:r>
        <w:instrText xml:space="preserve"> SEQ Figure \* ARABIC </w:instrText>
      </w:r>
      <w:r>
        <w:fldChar w:fldCharType="separate"/>
      </w:r>
      <w:r w:rsidR="00544D17">
        <w:rPr>
          <w:noProof/>
        </w:rPr>
        <w:t>4</w:t>
      </w:r>
      <w:r>
        <w:fldChar w:fldCharType="end"/>
      </w:r>
      <w:r>
        <w:t xml:space="preserve">: </w:t>
      </w:r>
      <w:r w:rsidRPr="00854AC0">
        <w:t>SAP Notification – Pipework Connection Leak</w:t>
      </w:r>
      <w:bookmarkEnd w:id="8"/>
    </w:p>
    <w:p w14:paraId="5F50D8DC" w14:textId="77777777" w:rsidR="00BF6EDD" w:rsidRPr="00BF6EDD" w:rsidRDefault="00BF6EDD" w:rsidP="00BF6EDD"/>
    <w:p w14:paraId="5468D809" w14:textId="77777777" w:rsidR="00476018" w:rsidRDefault="00476018" w:rsidP="00476018">
      <w:pPr>
        <w:keepNext/>
        <w:jc w:val="center"/>
      </w:pPr>
      <w:r>
        <w:rPr>
          <w:noProof/>
          <w:lang w:eastAsia="en-GB"/>
        </w:rPr>
        <w:drawing>
          <wp:inline distT="0" distB="0" distL="0" distR="0" wp14:anchorId="4C433371" wp14:editId="2DB3650B">
            <wp:extent cx="4114800" cy="2252345"/>
            <wp:effectExtent l="19050" t="19050" r="19050" b="14605"/>
            <wp:docPr id="5695638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6384" name="Picture 8"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125634" cy="2258275"/>
                    </a:xfrm>
                    <a:prstGeom prst="rect">
                      <a:avLst/>
                    </a:prstGeom>
                    <a:ln>
                      <a:solidFill>
                        <a:schemeClr val="tx1"/>
                      </a:solidFill>
                    </a:ln>
                  </pic:spPr>
                </pic:pic>
              </a:graphicData>
            </a:graphic>
          </wp:inline>
        </w:drawing>
      </w:r>
    </w:p>
    <w:p w14:paraId="1B8B4D1A" w14:textId="58B3E7F5" w:rsidR="000A489C" w:rsidRPr="00114370" w:rsidRDefault="00476018" w:rsidP="00476018">
      <w:pPr>
        <w:pStyle w:val="Caption"/>
        <w:jc w:val="center"/>
        <w:rPr>
          <w:lang w:eastAsia="en-GB"/>
        </w:rPr>
      </w:pPr>
      <w:bookmarkStart w:id="9" w:name="_Toc227525270"/>
      <w:r>
        <w:t xml:space="preserve">Figure </w:t>
      </w:r>
      <w:r>
        <w:fldChar w:fldCharType="begin"/>
      </w:r>
      <w:r>
        <w:instrText xml:space="preserve"> SEQ Figure \* ARABIC </w:instrText>
      </w:r>
      <w:r>
        <w:fldChar w:fldCharType="separate"/>
      </w:r>
      <w:r w:rsidR="00544D17">
        <w:rPr>
          <w:noProof/>
        </w:rPr>
        <w:t>5</w:t>
      </w:r>
      <w:r>
        <w:fldChar w:fldCharType="end"/>
      </w:r>
      <w:r>
        <w:t xml:space="preserve">: </w:t>
      </w:r>
      <w:r w:rsidRPr="00D93FEB">
        <w:t>SAP Notification – Belt Wrapper Leak and Oil Loss Event</w:t>
      </w:r>
      <w:bookmarkEnd w:id="9"/>
    </w:p>
    <w:p w14:paraId="6A638F7D" w14:textId="77777777" w:rsidR="00453684" w:rsidRDefault="00453684" w:rsidP="00453684">
      <w:pPr>
        <w:rPr>
          <w:lang w:eastAsia="en-GB"/>
        </w:rPr>
      </w:pPr>
    </w:p>
    <w:p w14:paraId="112DF47B" w14:textId="749B51E9" w:rsidR="00453684" w:rsidRPr="00453684" w:rsidRDefault="00453684" w:rsidP="00453684">
      <w:pPr>
        <w:rPr>
          <w:lang w:eastAsia="en-GB"/>
        </w:rPr>
      </w:pPr>
      <w:r w:rsidRPr="00453684">
        <w:rPr>
          <w:lang w:eastAsia="en-GB"/>
        </w:rPr>
        <w:lastRenderedPageBreak/>
        <w:t>Notifications frequently relate to established leakage rather than early-stage deterioration, and in some cases, repairs are deferred until the “next suitable outage”. This indicates that, although the inspection and reporting framework is in place, the link between defect identification and timely intervention is not always effective.</w:t>
      </w:r>
    </w:p>
    <w:p w14:paraId="3B89429D" w14:textId="557CEB79" w:rsidR="008470B9" w:rsidRDefault="001A0B1E" w:rsidP="00BF6EAB">
      <w:pPr>
        <w:rPr>
          <w:lang w:eastAsia="en-GB"/>
        </w:rPr>
      </w:pPr>
      <w:r w:rsidRPr="001A0B1E">
        <w:rPr>
          <w:lang w:eastAsia="en-GB"/>
        </w:rPr>
        <w:t>The SAP workflow provides a sound foundation, but its value has been reduced by delayed intervention and faults being addressed only after leakage becomes visible.</w:t>
      </w:r>
    </w:p>
    <w:p w14:paraId="2FDC3848" w14:textId="77777777" w:rsidR="008470B9" w:rsidRDefault="008470B9" w:rsidP="00BF6EAB">
      <w:pPr>
        <w:rPr>
          <w:lang w:eastAsia="en-GB"/>
        </w:rPr>
      </w:pPr>
    </w:p>
    <w:p w14:paraId="05AB7A6F" w14:textId="77777777" w:rsidR="008470B9" w:rsidRDefault="008470B9" w:rsidP="00BF6EAB">
      <w:pPr>
        <w:rPr>
          <w:lang w:eastAsia="en-GB"/>
        </w:rPr>
      </w:pPr>
    </w:p>
    <w:p w14:paraId="6F74064C" w14:textId="77777777" w:rsidR="008F089B" w:rsidRDefault="008F089B" w:rsidP="00BF6EAB">
      <w:pPr>
        <w:rPr>
          <w:lang w:eastAsia="en-GB"/>
        </w:rPr>
      </w:pPr>
    </w:p>
    <w:p w14:paraId="35C23000" w14:textId="77777777" w:rsidR="008F089B" w:rsidRDefault="008F089B" w:rsidP="00BF6EAB">
      <w:pPr>
        <w:rPr>
          <w:lang w:eastAsia="en-GB"/>
        </w:rPr>
      </w:pPr>
    </w:p>
    <w:p w14:paraId="7F71A6FF" w14:textId="77777777" w:rsidR="00AC655C" w:rsidRDefault="00AC655C" w:rsidP="00BF6EAB">
      <w:pPr>
        <w:rPr>
          <w:lang w:eastAsia="en-GB"/>
        </w:rPr>
      </w:pPr>
    </w:p>
    <w:p w14:paraId="6A94A6D4" w14:textId="77777777" w:rsidR="00AC655C" w:rsidRDefault="00AC655C" w:rsidP="00BF6EAB">
      <w:pPr>
        <w:rPr>
          <w:lang w:eastAsia="en-GB"/>
        </w:rPr>
      </w:pPr>
    </w:p>
    <w:p w14:paraId="6722F9C8" w14:textId="77777777" w:rsidR="00AC655C" w:rsidRDefault="00AC655C" w:rsidP="00BF6EAB">
      <w:pPr>
        <w:rPr>
          <w:lang w:eastAsia="en-GB"/>
        </w:rPr>
      </w:pPr>
    </w:p>
    <w:p w14:paraId="69E230C3" w14:textId="77777777" w:rsidR="00AC655C" w:rsidRDefault="00AC655C" w:rsidP="00BF6EAB">
      <w:pPr>
        <w:rPr>
          <w:lang w:eastAsia="en-GB"/>
        </w:rPr>
      </w:pPr>
    </w:p>
    <w:p w14:paraId="395D35A2" w14:textId="77777777" w:rsidR="008F089B" w:rsidRDefault="008F089B" w:rsidP="00BF6EAB">
      <w:pPr>
        <w:rPr>
          <w:lang w:eastAsia="en-GB"/>
        </w:rPr>
      </w:pPr>
    </w:p>
    <w:p w14:paraId="5DE1E9EC" w14:textId="77777777" w:rsidR="008F089B" w:rsidRDefault="008F089B" w:rsidP="00BF6EAB">
      <w:pPr>
        <w:rPr>
          <w:lang w:eastAsia="en-GB"/>
        </w:rPr>
      </w:pPr>
    </w:p>
    <w:p w14:paraId="7C74AB35" w14:textId="77777777" w:rsidR="008F089B" w:rsidRDefault="008F089B" w:rsidP="00BF6EAB">
      <w:pPr>
        <w:rPr>
          <w:lang w:eastAsia="en-GB"/>
        </w:rPr>
      </w:pPr>
    </w:p>
    <w:p w14:paraId="797F0B19" w14:textId="77777777" w:rsidR="008F089B" w:rsidRDefault="008F089B" w:rsidP="00BF6EAB">
      <w:pPr>
        <w:rPr>
          <w:lang w:eastAsia="en-GB"/>
        </w:rPr>
      </w:pPr>
    </w:p>
    <w:p w14:paraId="4E43CC46" w14:textId="77777777" w:rsidR="008F089B" w:rsidRDefault="008F089B" w:rsidP="00BF6EAB">
      <w:pPr>
        <w:rPr>
          <w:lang w:eastAsia="en-GB"/>
        </w:rPr>
      </w:pPr>
    </w:p>
    <w:p w14:paraId="1E169275" w14:textId="77777777" w:rsidR="008F089B" w:rsidRDefault="008F089B" w:rsidP="00BF6EAB">
      <w:pPr>
        <w:rPr>
          <w:lang w:eastAsia="en-GB"/>
        </w:rPr>
      </w:pPr>
    </w:p>
    <w:p w14:paraId="2AD9CFB1" w14:textId="77777777" w:rsidR="008F089B" w:rsidRDefault="008F089B" w:rsidP="00BF6EAB">
      <w:pPr>
        <w:rPr>
          <w:lang w:eastAsia="en-GB"/>
        </w:rPr>
      </w:pPr>
    </w:p>
    <w:p w14:paraId="31EFDAD9" w14:textId="77777777" w:rsidR="008F089B" w:rsidRDefault="008F089B" w:rsidP="00BF6EAB">
      <w:pPr>
        <w:rPr>
          <w:lang w:eastAsia="en-GB"/>
        </w:rPr>
      </w:pPr>
    </w:p>
    <w:p w14:paraId="77FCC31D" w14:textId="77777777" w:rsidR="008470B9" w:rsidRDefault="008470B9" w:rsidP="00BF6EAB">
      <w:pPr>
        <w:rPr>
          <w:lang w:eastAsia="en-GB"/>
        </w:rPr>
      </w:pPr>
    </w:p>
    <w:p w14:paraId="154EE2E9" w14:textId="77777777" w:rsidR="008470B9" w:rsidRDefault="008470B9" w:rsidP="00BF6EAB">
      <w:pPr>
        <w:rPr>
          <w:lang w:eastAsia="en-GB"/>
        </w:rPr>
      </w:pPr>
    </w:p>
    <w:p w14:paraId="05D48EDF" w14:textId="77777777" w:rsidR="006547F6" w:rsidRPr="00BF6EAB" w:rsidRDefault="006547F6" w:rsidP="00BF6EAB">
      <w:pPr>
        <w:rPr>
          <w:lang w:eastAsia="en-GB"/>
        </w:rPr>
      </w:pPr>
    </w:p>
    <w:p w14:paraId="692A910A" w14:textId="76FCA470" w:rsidR="00505921" w:rsidRPr="001149C4" w:rsidRDefault="0018540D" w:rsidP="00EC4318">
      <w:pPr>
        <w:pStyle w:val="Heading1"/>
        <w:rPr>
          <w:lang w:eastAsia="en-GB"/>
        </w:rPr>
      </w:pPr>
      <w:bookmarkStart w:id="10" w:name="_Toc227525250"/>
      <w:r>
        <w:rPr>
          <w:rStyle w:val="Heading1Char"/>
          <w:lang w:eastAsia="en-GB"/>
        </w:rPr>
        <w:lastRenderedPageBreak/>
        <w:t>F</w:t>
      </w:r>
      <w:r w:rsidRPr="0018540D">
        <w:rPr>
          <w:lang w:eastAsia="en-GB"/>
        </w:rPr>
        <w:t xml:space="preserve">ailure Mode and Root Cause </w:t>
      </w:r>
      <w:r w:rsidR="00C969CF">
        <w:rPr>
          <w:lang w:eastAsia="en-GB"/>
        </w:rPr>
        <w:t>Analysis</w:t>
      </w:r>
      <w:bookmarkEnd w:id="10"/>
      <w:r w:rsidR="00C969CF">
        <w:rPr>
          <w:lang w:eastAsia="en-GB"/>
        </w:rPr>
        <w:t xml:space="preserve"> </w:t>
      </w:r>
    </w:p>
    <w:p w14:paraId="39274869" w14:textId="66839492" w:rsidR="006547F6" w:rsidRDefault="006547F6" w:rsidP="006547F6">
      <w:pPr>
        <w:rPr>
          <w:rFonts w:ascii="Times New Roman" w:hAnsi="Times New Roman"/>
        </w:rPr>
      </w:pPr>
      <w:r>
        <w:t xml:space="preserve">Analysis of oil-loss data and maintenance records indicates that the main causes of hydraulic leakage are progressive rather than sudden. </w:t>
      </w:r>
      <w:r w:rsidR="003A27E5" w:rsidRPr="003A27E5">
        <w:t>The most common failure modes are seal degradation, pipework and connection failures, and general component wear.</w:t>
      </w:r>
      <w:r w:rsidR="003A27E5">
        <w:t xml:space="preserve"> </w:t>
      </w:r>
      <w:r>
        <w:t>These mechanisms are consistent with the operating conditions of the pickle line hydraulic system, where high pressure, vibration, thermal fluctuation and continuous use place components under sustained stress.</w:t>
      </w:r>
    </w:p>
    <w:p w14:paraId="3311C0FB" w14:textId="660C4AB1" w:rsidR="006547F6" w:rsidRDefault="00450935" w:rsidP="006547F6">
      <w:r w:rsidRPr="00450935">
        <w:t>Seal degradation typically begins as minor leakage.</w:t>
      </w:r>
      <w:r>
        <w:t xml:space="preserve"> </w:t>
      </w:r>
      <w:r w:rsidR="006547F6">
        <w:t xml:space="preserve">Pipework and connection failures are often associated with vibration, fatigue, inadequate support or fitting deterioration. The recurrence of these defects suggests that failures are not being eliminated at </w:t>
      </w:r>
      <w:r w:rsidR="000F2D3F">
        <w:t>source but</w:t>
      </w:r>
      <w:r w:rsidR="006547F6">
        <w:t xml:space="preserve"> are often corrected only after leakage has become visible or operationally significant</w:t>
      </w:r>
      <w:r w:rsidR="000F2D3F">
        <w:t xml:space="preserve"> </w:t>
      </w:r>
      <w:r w:rsidR="000F2D3F" w:rsidRPr="000F2D3F">
        <w:t>(Zio and Compare, 2013).</w:t>
      </w:r>
    </w:p>
    <w:p w14:paraId="4B25390C" w14:textId="0A5467F2" w:rsidR="006547F6" w:rsidRDefault="006547F6" w:rsidP="006547F6">
      <w:r>
        <w:t xml:space="preserve">This indicates that the underlying problem is not simply component failure, but the way maintenance action is triggered and prioritised. Current practice appears to focus more on symptom correction than root cause removal, allowing recurring defects to reappear in similar locations. </w:t>
      </w:r>
    </w:p>
    <w:p w14:paraId="14F3B400" w14:textId="795125E2" w:rsidR="001B1C60" w:rsidRDefault="001B1C60" w:rsidP="006547F6"/>
    <w:p w14:paraId="16A4D79F" w14:textId="77777777" w:rsidR="00B03A48" w:rsidRPr="00B03A48" w:rsidRDefault="00B03A48" w:rsidP="00B03A48">
      <w:pPr>
        <w:rPr>
          <w:lang w:eastAsia="en-GB"/>
        </w:rPr>
      </w:pPr>
    </w:p>
    <w:p w14:paraId="785DDA8B" w14:textId="77777777" w:rsidR="00C12B3F" w:rsidRDefault="00C12B3F" w:rsidP="00182BAE">
      <w:pPr>
        <w:rPr>
          <w:lang w:eastAsia="en-GB"/>
        </w:rPr>
      </w:pPr>
    </w:p>
    <w:p w14:paraId="083DECB7" w14:textId="77777777" w:rsidR="00700C6E" w:rsidRDefault="00700C6E" w:rsidP="00182BAE">
      <w:pPr>
        <w:rPr>
          <w:lang w:eastAsia="en-GB"/>
        </w:rPr>
      </w:pPr>
    </w:p>
    <w:p w14:paraId="33136257" w14:textId="77777777" w:rsidR="00700C6E" w:rsidRDefault="00700C6E" w:rsidP="00182BAE">
      <w:pPr>
        <w:rPr>
          <w:lang w:eastAsia="en-GB"/>
        </w:rPr>
      </w:pPr>
    </w:p>
    <w:p w14:paraId="3EA97F12" w14:textId="77777777" w:rsidR="00C12B3F" w:rsidRDefault="00C12B3F" w:rsidP="00182BAE">
      <w:pPr>
        <w:rPr>
          <w:lang w:eastAsia="en-GB"/>
        </w:rPr>
      </w:pPr>
    </w:p>
    <w:p w14:paraId="5BC9ACC0" w14:textId="77777777" w:rsidR="001B1C60" w:rsidRDefault="001B1C60" w:rsidP="00182BAE">
      <w:pPr>
        <w:rPr>
          <w:lang w:eastAsia="en-GB"/>
        </w:rPr>
      </w:pPr>
    </w:p>
    <w:p w14:paraId="6F614AD6" w14:textId="77777777" w:rsidR="001B1C60" w:rsidRDefault="001B1C60" w:rsidP="00182BAE">
      <w:pPr>
        <w:rPr>
          <w:lang w:eastAsia="en-GB"/>
        </w:rPr>
      </w:pPr>
    </w:p>
    <w:p w14:paraId="26832F07" w14:textId="77777777" w:rsidR="001B1C60" w:rsidRDefault="001B1C60" w:rsidP="00182BAE">
      <w:pPr>
        <w:rPr>
          <w:lang w:eastAsia="en-GB"/>
        </w:rPr>
      </w:pPr>
    </w:p>
    <w:p w14:paraId="23AF136E" w14:textId="77777777" w:rsidR="001B1C60" w:rsidRDefault="001B1C60" w:rsidP="00182BAE">
      <w:pPr>
        <w:rPr>
          <w:lang w:eastAsia="en-GB"/>
        </w:rPr>
      </w:pPr>
    </w:p>
    <w:p w14:paraId="3EB83B22" w14:textId="77777777" w:rsidR="001B1C60" w:rsidRDefault="001B1C60" w:rsidP="00182BAE">
      <w:pPr>
        <w:rPr>
          <w:lang w:eastAsia="en-GB"/>
        </w:rPr>
      </w:pPr>
    </w:p>
    <w:p w14:paraId="6010F99C" w14:textId="77777777" w:rsidR="001B1C60" w:rsidRDefault="001B1C60" w:rsidP="00182BAE">
      <w:pPr>
        <w:rPr>
          <w:lang w:eastAsia="en-GB"/>
        </w:rPr>
      </w:pPr>
    </w:p>
    <w:p w14:paraId="3690894B" w14:textId="77777777" w:rsidR="003A4F30" w:rsidRDefault="003A4F30" w:rsidP="003A4F30">
      <w:pPr>
        <w:pStyle w:val="Heading1"/>
        <w:rPr>
          <w:lang w:eastAsia="en-GB"/>
        </w:rPr>
      </w:pPr>
      <w:bookmarkStart w:id="11" w:name="_Toc227525251"/>
      <w:r w:rsidRPr="003A4F30">
        <w:rPr>
          <w:lang w:eastAsia="en-GB"/>
        </w:rPr>
        <w:lastRenderedPageBreak/>
        <w:t>Application of the P-F Curve to Hydraulic Oil Loss</w:t>
      </w:r>
      <w:bookmarkEnd w:id="11"/>
    </w:p>
    <w:p w14:paraId="0ACC7443" w14:textId="6A3E9912" w:rsidR="00483C7C" w:rsidRDefault="00B111E1" w:rsidP="00483C7C">
      <w:pPr>
        <w:keepNext/>
      </w:pPr>
      <w:r w:rsidRPr="00B111E1">
        <w:t>As shown in Figure 6, the P–F curve provides a useful framework</w:t>
      </w:r>
      <w:r>
        <w:t xml:space="preserve"> </w:t>
      </w:r>
      <w:r w:rsidR="00483C7C" w:rsidRPr="00483C7C">
        <w:t>for understanding how hydraulic defects develop over time and how maintenance timing affects failure severity</w:t>
      </w:r>
      <w:r w:rsidR="00EF4B2A">
        <w:t xml:space="preserve"> </w:t>
      </w:r>
      <w:r w:rsidR="00EF4B2A" w:rsidRPr="00EF4B2A">
        <w:t xml:space="preserve">(Jardine, Lin and </w:t>
      </w:r>
      <w:proofErr w:type="spellStart"/>
      <w:r w:rsidR="00EF4B2A" w:rsidRPr="00EF4B2A">
        <w:t>Banjevic</w:t>
      </w:r>
      <w:proofErr w:type="spellEnd"/>
      <w:r w:rsidR="00EF4B2A" w:rsidRPr="00EF4B2A">
        <w:t>, 2006</w:t>
      </w:r>
      <w:r w:rsidR="0004757C">
        <w:t>).</w:t>
      </w:r>
    </w:p>
    <w:p w14:paraId="582B4ED6" w14:textId="6B0A7236" w:rsidR="00544D17" w:rsidRDefault="00544D17" w:rsidP="00483C7C">
      <w:pPr>
        <w:keepNext/>
        <w:jc w:val="center"/>
      </w:pPr>
      <w:r>
        <w:rPr>
          <w:noProof/>
        </w:rPr>
        <w:drawing>
          <wp:inline distT="0" distB="0" distL="0" distR="0" wp14:anchorId="78856D86" wp14:editId="51B1DD94">
            <wp:extent cx="4389598" cy="3513235"/>
            <wp:effectExtent l="19050" t="19050" r="11430" b="11430"/>
            <wp:docPr id="2106345126" name="Picture 1" descr="P-F Curve for Preventive Mainte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F Curve for Preventive Maintena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96862" cy="3519049"/>
                    </a:xfrm>
                    <a:prstGeom prst="rect">
                      <a:avLst/>
                    </a:prstGeom>
                    <a:noFill/>
                    <a:ln>
                      <a:solidFill>
                        <a:schemeClr val="tx1"/>
                      </a:solidFill>
                    </a:ln>
                  </pic:spPr>
                </pic:pic>
              </a:graphicData>
            </a:graphic>
          </wp:inline>
        </w:drawing>
      </w:r>
    </w:p>
    <w:p w14:paraId="2468C879" w14:textId="244D675D" w:rsidR="00BF6EAB" w:rsidRDefault="00544D17" w:rsidP="00544D17">
      <w:pPr>
        <w:pStyle w:val="Caption"/>
        <w:jc w:val="center"/>
      </w:pPr>
      <w:bookmarkStart w:id="12" w:name="_Toc227525271"/>
      <w:r>
        <w:t xml:space="preserve">Figure </w:t>
      </w:r>
      <w:r>
        <w:fldChar w:fldCharType="begin"/>
      </w:r>
      <w:r>
        <w:instrText xml:space="preserve"> SEQ Figure \* ARABIC </w:instrText>
      </w:r>
      <w:r>
        <w:fldChar w:fldCharType="separate"/>
      </w:r>
      <w:r>
        <w:rPr>
          <w:noProof/>
        </w:rPr>
        <w:t>6</w:t>
      </w:r>
      <w:r>
        <w:fldChar w:fldCharType="end"/>
      </w:r>
      <w:r>
        <w:t>:</w:t>
      </w:r>
      <w:r w:rsidR="00BB41CB">
        <w:t xml:space="preserve"> </w:t>
      </w:r>
      <w:r w:rsidR="00BB41CB" w:rsidRPr="00BB41CB">
        <w:t xml:space="preserve">P–F Curve illustrating failure progression and maintenance intervention points (adapted from Jardine, Lin and </w:t>
      </w:r>
      <w:proofErr w:type="spellStart"/>
      <w:r w:rsidR="00BB41CB" w:rsidRPr="00BB41CB">
        <w:t>Banjevic</w:t>
      </w:r>
      <w:proofErr w:type="spellEnd"/>
      <w:r w:rsidR="00BB41CB" w:rsidRPr="00BB41CB">
        <w:t>, 2006)</w:t>
      </w:r>
      <w:bookmarkEnd w:id="12"/>
    </w:p>
    <w:p w14:paraId="5E90D5F7" w14:textId="685206D1" w:rsidR="00786C79" w:rsidRPr="00786C79" w:rsidRDefault="00786C79" w:rsidP="00786C79">
      <w:r w:rsidRPr="00786C79">
        <w:t>Within the pickle line hydraulic system, the P point may include early indicators such as minor leakage, rising temperature, vibration, or seal deterioration</w:t>
      </w:r>
      <w:r w:rsidR="0087633B">
        <w:t xml:space="preserve">. </w:t>
      </w:r>
      <w:r w:rsidRPr="00786C79">
        <w:t>The plant data indicates that, during 2023/2024 and 2024/2025, annual oil losses remained high at 381,694 litres and 379,967 litres respectively, with individual reporting periods showing losses of 1,645 litres and 2,630 litres. This suggests that some defects were allowed to progress well through the P–F interval before effective intervention took place.</w:t>
      </w:r>
    </w:p>
    <w:p w14:paraId="756D54AC" w14:textId="2DDC5FD6" w:rsidR="00786C79" w:rsidRPr="00786C79" w:rsidRDefault="00786C79" w:rsidP="00786C79">
      <w:r w:rsidRPr="00786C79">
        <w:t xml:space="preserve">In some cases, repairs were deferred until the “next suitable outage”, allowing deterioration to continue after detection. This reflects a maintenance approach in which intervention often occurred closer to </w:t>
      </w:r>
      <w:r w:rsidRPr="00786C79">
        <w:rPr>
          <w:b/>
          <w:bCs/>
        </w:rPr>
        <w:t>F</w:t>
      </w:r>
      <w:r w:rsidRPr="00786C79">
        <w:t xml:space="preserve"> than </w:t>
      </w:r>
      <w:r w:rsidRPr="00786C79">
        <w:rPr>
          <w:b/>
          <w:bCs/>
        </w:rPr>
        <w:t>P</w:t>
      </w:r>
      <w:r w:rsidRPr="00786C79">
        <w:t>, increasing both oil-loss severity and repair cost.</w:t>
      </w:r>
    </w:p>
    <w:p w14:paraId="7E56328E" w14:textId="77777777" w:rsidR="00786C79" w:rsidRPr="00786C79" w:rsidRDefault="00786C79" w:rsidP="00786C79">
      <w:r w:rsidRPr="00786C79">
        <w:t>By contrast, the reduction in total oil loss to 170,738 litres in 2025/2026 suggests that intervention became more effective and was taking place earlier in the failure process. Although leakage was not eliminated, the lower annual loss indicates that defects were either being detected sooner or prevented from developing into the same scale of failure seen previously.</w:t>
      </w:r>
    </w:p>
    <w:p w14:paraId="4BDE7D54" w14:textId="56E00F20" w:rsidR="00786C79" w:rsidRPr="00786C79" w:rsidRDefault="00786C79" w:rsidP="00786C79">
      <w:r w:rsidRPr="00786C79">
        <w:lastRenderedPageBreak/>
        <w:t xml:space="preserve">Overall, application of the P–F curve shows that hydraulic oil loss is closely linked to intervention timing. The evidence suggests that when developing defects are addressed earlier in the P–F interval, failure severity, oil loss and associated cost are reduced. </w:t>
      </w:r>
      <w:r w:rsidR="00824BB8" w:rsidRPr="00824BB8">
        <w:t xml:space="preserve">This supports the need for condition-based techniques that identify deterioration early enough to prioritise intervention before severe functional consequences occur </w:t>
      </w:r>
      <w:r w:rsidR="00824BB8">
        <w:t>(</w:t>
      </w:r>
      <w:proofErr w:type="spellStart"/>
      <w:r w:rsidR="00824BB8" w:rsidRPr="00824BB8">
        <w:t>Ochella</w:t>
      </w:r>
      <w:proofErr w:type="spellEnd"/>
      <w:r w:rsidR="00824BB8" w:rsidRPr="00824BB8">
        <w:t>, Shafiee and Sansom, 2021).</w:t>
      </w:r>
    </w:p>
    <w:p w14:paraId="52BD079F" w14:textId="77777777" w:rsidR="00BF6EAB" w:rsidRDefault="00BF6EAB" w:rsidP="009F5305"/>
    <w:p w14:paraId="471B0831" w14:textId="77777777" w:rsidR="00B7737C" w:rsidRDefault="00B7737C" w:rsidP="009F5305"/>
    <w:p w14:paraId="33104CAC" w14:textId="77777777" w:rsidR="00B7737C" w:rsidRDefault="00B7737C" w:rsidP="009F5305"/>
    <w:p w14:paraId="061FA0F8" w14:textId="77777777" w:rsidR="00B7737C" w:rsidRDefault="00B7737C" w:rsidP="009F5305"/>
    <w:p w14:paraId="6A5BE336" w14:textId="77777777" w:rsidR="00B7737C" w:rsidRDefault="00B7737C" w:rsidP="009F5305"/>
    <w:p w14:paraId="447E13B1" w14:textId="77777777" w:rsidR="00B7737C" w:rsidRDefault="00B7737C" w:rsidP="009F5305"/>
    <w:p w14:paraId="264A22AA" w14:textId="77777777" w:rsidR="00BF6EAB" w:rsidRDefault="00BF6EAB" w:rsidP="009F5305"/>
    <w:p w14:paraId="4CF66EB3" w14:textId="77777777" w:rsidR="00BF6EAB" w:rsidRDefault="00BF6EAB" w:rsidP="009F5305"/>
    <w:p w14:paraId="4C0B4239" w14:textId="77777777" w:rsidR="00BF6EAB" w:rsidRDefault="00BF6EAB" w:rsidP="009F5305"/>
    <w:p w14:paraId="62EB0009" w14:textId="77777777" w:rsidR="00BF6EAB" w:rsidRDefault="00BF6EAB" w:rsidP="009F5305"/>
    <w:p w14:paraId="3D649270" w14:textId="77777777" w:rsidR="00FB71D1" w:rsidRDefault="00FB71D1" w:rsidP="009F5305"/>
    <w:p w14:paraId="3DFC19D8" w14:textId="77777777" w:rsidR="00FB71D1" w:rsidRDefault="00FB71D1" w:rsidP="009F5305"/>
    <w:p w14:paraId="1F21198F" w14:textId="77777777" w:rsidR="00FB71D1" w:rsidRDefault="00FB71D1" w:rsidP="009F5305"/>
    <w:p w14:paraId="0F4AE03B" w14:textId="77777777" w:rsidR="00FB71D1" w:rsidRDefault="00FB71D1" w:rsidP="009F5305"/>
    <w:p w14:paraId="0C80ABA4" w14:textId="77777777" w:rsidR="00FB71D1" w:rsidRDefault="00FB71D1" w:rsidP="009F5305"/>
    <w:p w14:paraId="37E94155" w14:textId="77777777" w:rsidR="00BF6EAB" w:rsidRDefault="00BF6EAB" w:rsidP="009F5305"/>
    <w:p w14:paraId="57048C1B" w14:textId="77777777" w:rsidR="00BF6EAB" w:rsidRDefault="00BF6EAB" w:rsidP="009F5305"/>
    <w:p w14:paraId="148B0B1A" w14:textId="77777777" w:rsidR="00BF6EAB" w:rsidRDefault="00BF6EAB" w:rsidP="009F5305"/>
    <w:p w14:paraId="26040920" w14:textId="77777777" w:rsidR="000043AB" w:rsidRDefault="000043AB" w:rsidP="009F5305"/>
    <w:p w14:paraId="786A4189" w14:textId="45C2B5F7" w:rsidR="00FA4CB7" w:rsidRDefault="00FA4CB7" w:rsidP="00FA4CB7">
      <w:pPr>
        <w:pStyle w:val="Heading1"/>
        <w:rPr>
          <w:rFonts w:eastAsia="Times New Roman"/>
          <w:lang w:eastAsia="en-GB"/>
        </w:rPr>
      </w:pPr>
      <w:bookmarkStart w:id="13" w:name="_Toc227525252"/>
      <w:r w:rsidRPr="00FA4CB7">
        <w:rPr>
          <w:rFonts w:eastAsia="Times New Roman"/>
          <w:lang w:eastAsia="en-GB"/>
        </w:rPr>
        <w:lastRenderedPageBreak/>
        <w:t>Evaluation of Improved Maintenance Strategies</w:t>
      </w:r>
      <w:bookmarkEnd w:id="13"/>
    </w:p>
    <w:p w14:paraId="2DE8D92C" w14:textId="1A836411" w:rsidR="00334CC4" w:rsidRPr="00334CC4" w:rsidRDefault="00334CC4" w:rsidP="003D5A43">
      <w:pPr>
        <w:pStyle w:val="Heading2"/>
        <w:rPr>
          <w:lang w:eastAsia="en-GB"/>
        </w:rPr>
      </w:pPr>
      <w:bookmarkStart w:id="14" w:name="_Toc227525253"/>
      <w:r w:rsidRPr="00334CC4">
        <w:rPr>
          <w:lang w:eastAsia="en-GB"/>
        </w:rPr>
        <w:t>Predictive Maintenance</w:t>
      </w:r>
      <w:bookmarkEnd w:id="14"/>
    </w:p>
    <w:p w14:paraId="0CBBEF2A" w14:textId="6A956BB1" w:rsidR="003D5A43" w:rsidRDefault="00637FCD" w:rsidP="003D5A43">
      <w:pPr>
        <w:rPr>
          <w:lang w:eastAsia="en-GB"/>
        </w:rPr>
      </w:pPr>
      <w:r>
        <w:rPr>
          <w:lang w:eastAsia="en-GB"/>
        </w:rPr>
        <w:t>P</w:t>
      </w:r>
      <w:r w:rsidR="008D1E9B" w:rsidRPr="008D1E9B">
        <w:rPr>
          <w:lang w:eastAsia="en-GB"/>
        </w:rPr>
        <w:t xml:space="preserve">redictive maintenance offers the most direct response to the main weakness identified in the current strategy, by using condition monitoring to detect deterioration before functional failure occurs (Mobley, 2002; </w:t>
      </w:r>
      <w:proofErr w:type="spellStart"/>
      <w:r w:rsidR="008D1E9B" w:rsidRPr="008D1E9B">
        <w:rPr>
          <w:lang w:eastAsia="en-GB"/>
        </w:rPr>
        <w:t>Molęda</w:t>
      </w:r>
      <w:proofErr w:type="spellEnd"/>
      <w:r w:rsidR="008D1E9B" w:rsidRPr="008D1E9B">
        <w:rPr>
          <w:lang w:eastAsia="en-GB"/>
        </w:rPr>
        <w:t xml:space="preserve"> et al., 2023</w:t>
      </w:r>
      <w:r w:rsidR="001E58F7">
        <w:rPr>
          <w:lang w:eastAsia="en-GB"/>
        </w:rPr>
        <w:t>)</w:t>
      </w:r>
      <w:r w:rsidR="005427DA">
        <w:rPr>
          <w:lang w:eastAsia="en-GB"/>
        </w:rPr>
        <w:t xml:space="preserve">. </w:t>
      </w:r>
      <w:r w:rsidR="0026573F" w:rsidRPr="0026573F">
        <w:rPr>
          <w:lang w:eastAsia="en-GB"/>
        </w:rPr>
        <w:t>The most relevant techniques would include oil condition monitoring, thermal checks, vibration monitoring and targeted leak detection on recurrent problem areas.</w:t>
      </w:r>
      <w:r w:rsidR="00592A5C" w:rsidRPr="00592A5C">
        <w:rPr>
          <w:lang w:eastAsia="en-GB"/>
        </w:rPr>
        <w:t xml:space="preserve"> </w:t>
      </w:r>
      <w:r w:rsidR="003D5A43" w:rsidRPr="003D5A43">
        <w:rPr>
          <w:lang w:eastAsia="en-GB"/>
        </w:rPr>
        <w:t>This reflects the wider movement in maintenance practice towards more data-driven and predictive approaches to asset management (Murtaza et al., 2024).</w:t>
      </w:r>
    </w:p>
    <w:p w14:paraId="5CBD2695" w14:textId="461E1FEF" w:rsidR="00334CC4" w:rsidRPr="00334CC4" w:rsidRDefault="00334CC4" w:rsidP="003D5A43">
      <w:pPr>
        <w:pStyle w:val="Heading2"/>
        <w:rPr>
          <w:lang w:eastAsia="en-GB"/>
        </w:rPr>
      </w:pPr>
      <w:bookmarkStart w:id="15" w:name="_Toc227525254"/>
      <w:r w:rsidRPr="00334CC4">
        <w:rPr>
          <w:lang w:eastAsia="en-GB"/>
        </w:rPr>
        <w:t>Reliability-Centred Maintenance (RCM)</w:t>
      </w:r>
      <w:bookmarkEnd w:id="15"/>
    </w:p>
    <w:p w14:paraId="7F9803FF" w14:textId="224E56E8" w:rsidR="000717DD" w:rsidRPr="00334CC4" w:rsidRDefault="000717DD" w:rsidP="00334CC4">
      <w:pPr>
        <w:rPr>
          <w:lang w:eastAsia="en-GB"/>
        </w:rPr>
      </w:pPr>
      <w:r w:rsidRPr="000717DD">
        <w:rPr>
          <w:lang w:eastAsia="en-GB"/>
        </w:rPr>
        <w:t xml:space="preserve">RCM would strengthen maintenance planning by ensuring that effort is directed towards the most critical failure modes and components (Moubray, 1997). </w:t>
      </w:r>
      <w:r w:rsidR="00462327">
        <w:rPr>
          <w:lang w:eastAsia="en-GB"/>
        </w:rPr>
        <w:t xml:space="preserve">This means </w:t>
      </w:r>
      <w:r w:rsidRPr="000717DD">
        <w:rPr>
          <w:lang w:eastAsia="en-GB"/>
        </w:rPr>
        <w:t xml:space="preserve">prioritising areas where leakage has the greatest impact on cost, reliability and safety, </w:t>
      </w:r>
      <w:r w:rsidR="005D07F6" w:rsidRPr="005D07F6">
        <w:rPr>
          <w:lang w:eastAsia="en-GB"/>
        </w:rPr>
        <w:t>such as AGC manifolds, accumulator pipework, seals and other recurrent leak points</w:t>
      </w:r>
      <w:r w:rsidR="00EC40B2">
        <w:rPr>
          <w:lang w:eastAsia="en-GB"/>
        </w:rPr>
        <w:t xml:space="preserve">. </w:t>
      </w:r>
      <w:r w:rsidR="004566EA" w:rsidRPr="004566EA">
        <w:rPr>
          <w:lang w:eastAsia="en-GB"/>
        </w:rPr>
        <w:t>RCM helps differentiate between routine defects and high-consequence failure risks, allowing maintenance resources to be allocated more effectively.</w:t>
      </w:r>
      <w:r w:rsidRPr="000717DD">
        <w:rPr>
          <w:lang w:eastAsia="en-GB"/>
        </w:rPr>
        <w:t xml:space="preserve"> This would improve the balance between reliability, cost and intervention effort</w:t>
      </w:r>
      <w:r w:rsidR="005504C8">
        <w:rPr>
          <w:lang w:eastAsia="en-GB"/>
        </w:rPr>
        <w:t xml:space="preserve"> </w:t>
      </w:r>
      <w:r w:rsidR="005504C8" w:rsidRPr="005504C8">
        <w:rPr>
          <w:lang w:eastAsia="en-GB"/>
        </w:rPr>
        <w:t>(Zio and Compare, 2013).</w:t>
      </w:r>
    </w:p>
    <w:p w14:paraId="7FCAC42B" w14:textId="711227AF" w:rsidR="00334CC4" w:rsidRPr="00334CC4" w:rsidRDefault="00334CC4" w:rsidP="00334CC4">
      <w:pPr>
        <w:pStyle w:val="Heading2"/>
        <w:rPr>
          <w:lang w:eastAsia="en-GB"/>
        </w:rPr>
      </w:pPr>
      <w:bookmarkStart w:id="16" w:name="_Toc227525255"/>
      <w:r w:rsidRPr="00334CC4">
        <w:rPr>
          <w:lang w:eastAsia="en-GB"/>
        </w:rPr>
        <w:t>Digital Integration</w:t>
      </w:r>
      <w:bookmarkEnd w:id="16"/>
    </w:p>
    <w:p w14:paraId="12FABECD" w14:textId="25FF0757" w:rsidR="00C12B3F" w:rsidRDefault="000717DD" w:rsidP="00FD0189">
      <w:pPr>
        <w:rPr>
          <w:lang w:eastAsia="en-GB"/>
        </w:rPr>
      </w:pPr>
      <w:r w:rsidRPr="000717DD">
        <w:rPr>
          <w:lang w:eastAsia="en-GB"/>
        </w:rPr>
        <w:t xml:space="preserve">Digital integration would improve the effectiveness of the existing SAP-based maintenance workflow by linking inspection findings, defect history and condition data more directly to maintenance decision-making (Lee, Bagheri and Kao, 2015). </w:t>
      </w:r>
      <w:r w:rsidR="00986716" w:rsidRPr="00986716">
        <w:rPr>
          <w:lang w:eastAsia="en-GB"/>
        </w:rPr>
        <w:t>The use of connected data in this way is consistent with wider developments in predictive manufacturing systems and industrial digitalisation (Lee et al., 2014).</w:t>
      </w:r>
      <w:r w:rsidR="00986716">
        <w:rPr>
          <w:lang w:eastAsia="en-GB"/>
        </w:rPr>
        <w:t xml:space="preserve"> </w:t>
      </w:r>
      <w:r w:rsidRPr="000717DD">
        <w:rPr>
          <w:lang w:eastAsia="en-GB"/>
        </w:rPr>
        <w:t xml:space="preserve">Integrating condition trends, repeat defect history and leak severity into work notifications would improve defect prioritisation and reduce delays between detection and repair. </w:t>
      </w:r>
      <w:r w:rsidR="00CE3711">
        <w:rPr>
          <w:lang w:eastAsia="en-GB"/>
        </w:rPr>
        <w:t>T</w:t>
      </w:r>
      <w:r w:rsidRPr="000717DD">
        <w:rPr>
          <w:lang w:eastAsia="en-GB"/>
        </w:rPr>
        <w:t>his would support a more proactive maintenance approach and help sustain the reduction in oil loss already achieved.</w:t>
      </w:r>
    </w:p>
    <w:p w14:paraId="15EC0BF6" w14:textId="1865E178" w:rsidR="000717DD" w:rsidRDefault="00FD0189" w:rsidP="00FD0189">
      <w:pPr>
        <w:rPr>
          <w:lang w:eastAsia="en-GB"/>
        </w:rPr>
      </w:pPr>
      <w:r w:rsidRPr="001A6886">
        <w:rPr>
          <w:lang w:eastAsia="en-GB"/>
        </w:rPr>
        <w:t>Overall, predictive maintenance would provide the earliest warning of developing defects, RCM would improve prioritisation of maintenance effort, and digital integration would strengthen the speed and quality of maintenance decision-making.</w:t>
      </w:r>
      <w:r w:rsidRPr="00FD0189">
        <w:rPr>
          <w:lang w:eastAsia="en-GB"/>
        </w:rPr>
        <w:t xml:space="preserve"> </w:t>
      </w:r>
    </w:p>
    <w:p w14:paraId="4215D707" w14:textId="77777777" w:rsidR="00E41EE6" w:rsidRDefault="00E41EE6" w:rsidP="00FD0189">
      <w:pPr>
        <w:rPr>
          <w:lang w:eastAsia="en-GB"/>
        </w:rPr>
      </w:pPr>
    </w:p>
    <w:p w14:paraId="6D40A658" w14:textId="77777777" w:rsidR="00E41EE6" w:rsidRDefault="00E41EE6" w:rsidP="00FD0189">
      <w:pPr>
        <w:rPr>
          <w:lang w:eastAsia="en-GB"/>
        </w:rPr>
      </w:pPr>
    </w:p>
    <w:p w14:paraId="33B0C82D" w14:textId="77777777" w:rsidR="00E41EE6" w:rsidRDefault="00E41EE6" w:rsidP="00FD0189">
      <w:pPr>
        <w:rPr>
          <w:lang w:eastAsia="en-GB"/>
        </w:rPr>
      </w:pPr>
    </w:p>
    <w:p w14:paraId="35EC3C2D" w14:textId="77777777" w:rsidR="00AC4175" w:rsidRPr="00AB19DC" w:rsidRDefault="00AC4175" w:rsidP="00AB19DC">
      <w:pPr>
        <w:pStyle w:val="Heading1"/>
      </w:pPr>
      <w:bookmarkStart w:id="17" w:name="_Toc227525256"/>
      <w:r w:rsidRPr="00AB19DC">
        <w:lastRenderedPageBreak/>
        <w:t>Cost and Resource Implications</w:t>
      </w:r>
      <w:bookmarkEnd w:id="17"/>
    </w:p>
    <w:p w14:paraId="50710FEC" w14:textId="5A34E553" w:rsidR="0027060E" w:rsidRPr="0027060E" w:rsidRDefault="0027060E" w:rsidP="0027060E">
      <w:pPr>
        <w:rPr>
          <w:rFonts w:ascii="Times New Roman" w:hAnsi="Times New Roman"/>
        </w:rPr>
      </w:pPr>
      <w:r w:rsidRPr="0027060E">
        <w:t xml:space="preserve">The reduction in oil loss achieved in 2025/2026 demonstrates that maintenance effectiveness has a direct financial impact. Using the annual plant data, oil loss reduced to </w:t>
      </w:r>
      <w:r w:rsidRPr="0027060E">
        <w:rPr>
          <w:rStyle w:val="Strong"/>
          <w:b w:val="0"/>
          <w:bCs w:val="0"/>
        </w:rPr>
        <w:t>170,738 litres</w:t>
      </w:r>
      <w:r w:rsidRPr="0027060E">
        <w:t xml:space="preserve"> in 2025/2026, with a corresponding annual cost of </w:t>
      </w:r>
      <w:r w:rsidRPr="0027060E">
        <w:rPr>
          <w:rStyle w:val="Strong"/>
          <w:b w:val="0"/>
          <w:bCs w:val="0"/>
        </w:rPr>
        <w:t>£257,985.40</w:t>
      </w:r>
      <w:r w:rsidRPr="0027060E">
        <w:t xml:space="preserve">, compared with </w:t>
      </w:r>
      <w:r w:rsidRPr="0027060E">
        <w:rPr>
          <w:rStyle w:val="Strong"/>
          <w:b w:val="0"/>
          <w:bCs w:val="0"/>
        </w:rPr>
        <w:t>379,967 litres</w:t>
      </w:r>
      <w:r w:rsidRPr="0027060E">
        <w:t xml:space="preserve"> and </w:t>
      </w:r>
      <w:r w:rsidRPr="0027060E">
        <w:rPr>
          <w:rStyle w:val="Strong"/>
          <w:b w:val="0"/>
          <w:bCs w:val="0"/>
        </w:rPr>
        <w:t>£608,559.00</w:t>
      </w:r>
      <w:r w:rsidRPr="0027060E">
        <w:t xml:space="preserve"> in 2024/2025. This represents a year-on-year cost reduction of </w:t>
      </w:r>
      <w:r w:rsidRPr="0027060E">
        <w:rPr>
          <w:rStyle w:val="Strong"/>
          <w:b w:val="0"/>
          <w:bCs w:val="0"/>
        </w:rPr>
        <w:t>£350,573.60</w:t>
      </w:r>
      <w:r w:rsidR="001C4FB4">
        <w:t xml:space="preserve">. </w:t>
      </w:r>
      <w:r w:rsidRPr="0027060E">
        <w:t>However, the cost of oil loss extends beyond oil purchase alone and includes clean-up effort, maintenance labour, increased component wear, housekeeping burden and wider operational inefficiency.</w:t>
      </w:r>
    </w:p>
    <w:p w14:paraId="1C7CB9B6" w14:textId="3A4E7AEB" w:rsidR="0027060E" w:rsidRPr="0027060E" w:rsidRDefault="0027060E" w:rsidP="0027060E">
      <w:r w:rsidRPr="0027060E">
        <w:t>Larger leak events increase the volume of oil lost, expand repair scope and create additional secondary costs through contamination, safety exposure and repeated maintenance activity. In this sense, reactive maintenance is not only less reliable but also more expensive over the asset life cycle</w:t>
      </w:r>
      <w:r w:rsidR="001C4FDA" w:rsidRPr="001C4FDA">
        <w:t xml:space="preserve"> (De Jonge and Scarf, 2020).</w:t>
      </w:r>
    </w:p>
    <w:p w14:paraId="77ED40F3" w14:textId="366D741F" w:rsidR="0027060E" w:rsidRPr="0027060E" w:rsidRDefault="0027060E" w:rsidP="0027060E">
      <w:r w:rsidRPr="0027060E">
        <w:t>Improving the current strategy would, however, require additional resources. Introducing a more proactive maintenance approach would involve engineering time to review recurrent failure points, technician time to carry out more targeted inspections, and planner input to improve defect prioritisation within SAP. If predictive techniques such as oil analysis, thermal monitoring or targeted leak detection are adopted, these would introduce modest additional cost for equipment, analysis or contracted support.</w:t>
      </w:r>
    </w:p>
    <w:p w14:paraId="63E18F34" w14:textId="14D22188" w:rsidR="0027060E" w:rsidRPr="0027060E" w:rsidRDefault="0027060E" w:rsidP="0027060E">
      <w:r w:rsidRPr="0027060E">
        <w:t xml:space="preserve">There would also be implementation and change-management implications. Earlier intervention often depends on securing short maintenance windows before a defect becomes critical, which may require closer coordination between maintenance and production teams. Moving from a reactive culture, where leaks are addressed once visible, to a proactive one, where intervention is based on condition and risk, also requires management support and clearer prioritisation rules. </w:t>
      </w:r>
      <w:r w:rsidR="0097110A" w:rsidRPr="0097110A">
        <w:t>Improving the strategy would also require planning, scheduling and resource coordination to ensure that earlier intervention can be achieved without excessive disruption to production (</w:t>
      </w:r>
      <w:proofErr w:type="spellStart"/>
      <w:r w:rsidR="00D26AE5" w:rsidRPr="00D26AE5">
        <w:t>Geurtsen</w:t>
      </w:r>
      <w:proofErr w:type="spellEnd"/>
      <w:r w:rsidR="00D26AE5" w:rsidRPr="00D26AE5">
        <w:t xml:space="preserve"> et al., 2023</w:t>
      </w:r>
      <w:r w:rsidR="0097110A" w:rsidRPr="0097110A">
        <w:t>).</w:t>
      </w:r>
    </w:p>
    <w:p w14:paraId="5F3FB181" w14:textId="302D31DB" w:rsidR="0027060E" w:rsidRPr="0027060E" w:rsidRDefault="0027060E" w:rsidP="0027060E">
      <w:r w:rsidRPr="0027060E">
        <w:t xml:space="preserve">The scale of annual oil-loss reduction already demonstrated suggests that even relatively modest improvements in monitoring, prioritisation and repair timing can deliver substantial economic benefit. </w:t>
      </w:r>
      <w:r w:rsidR="000477AF" w:rsidRPr="000477AF">
        <w:t>For this reason, the resource cost of moving towards predictive maintenance, RCM and stronger SAP integration is justified on cost, safety, reliability and long-term asset performance grounds.</w:t>
      </w:r>
    </w:p>
    <w:p w14:paraId="2220E1F2" w14:textId="77777777" w:rsidR="00BF6EAB" w:rsidRDefault="00BF6EAB" w:rsidP="00BF6EAB">
      <w:pPr>
        <w:rPr>
          <w:rFonts w:eastAsia="Times New Roman" w:cstheme="majorBidi"/>
          <w:sz w:val="26"/>
          <w:szCs w:val="26"/>
          <w:lang w:eastAsia="en-GB"/>
        </w:rPr>
      </w:pPr>
    </w:p>
    <w:p w14:paraId="507E05A9" w14:textId="218431DB" w:rsidR="00147EE5" w:rsidRDefault="0010589A" w:rsidP="001A6886">
      <w:pPr>
        <w:pStyle w:val="Heading1"/>
      </w:pPr>
      <w:bookmarkStart w:id="18" w:name="_Toc227525257"/>
      <w:r>
        <w:lastRenderedPageBreak/>
        <w:t>Conclusion</w:t>
      </w:r>
      <w:bookmarkEnd w:id="18"/>
      <w:r>
        <w:t xml:space="preserve"> </w:t>
      </w:r>
    </w:p>
    <w:p w14:paraId="21322347" w14:textId="77777777" w:rsidR="00794DA0" w:rsidRDefault="00794DA0" w:rsidP="00794DA0">
      <w:pPr>
        <w:rPr>
          <w:rFonts w:ascii="Times New Roman" w:hAnsi="Times New Roman"/>
        </w:rPr>
      </w:pPr>
      <w:r>
        <w:t>This report has demonstrated that hydraulic oil loss is a reliable and measurable indicator of maintenance effectiveness within the pickle line hydraulic system at Tata Steel UK, Port Talbot. The analysis shows that historical maintenance performance was limited by delayed intervention, reactive execution and incomplete use of available condition information, allowing progressive defects such as seal degradation, pipework leakage and component wear to develop into significant oil-loss events.</w:t>
      </w:r>
    </w:p>
    <w:p w14:paraId="1B80122B" w14:textId="77777777" w:rsidR="00794DA0" w:rsidRDefault="00794DA0" w:rsidP="00794DA0">
      <w:r>
        <w:t>The annual oil-loss data shows a clear relationship between intervention timing and maintenance performance. High losses recorded in 2023/2024 and 2024/2025 indicate that defects were often being addressed only after leakage had become established. In contrast, the reduction recorded in 2025/2026 demonstrates that improved inspection focus, earlier intervention and more effective use of the SAP-based workflow can reduce both the severity and cost of hydraulic failure.</w:t>
      </w:r>
    </w:p>
    <w:p w14:paraId="1B45B804" w14:textId="77777777" w:rsidR="00794DA0" w:rsidRDefault="00794DA0" w:rsidP="00794DA0">
      <w:r w:rsidRPr="001A6886">
        <w:t>Inspection routes, notifications and planned work orders provide a formal maintenance structure, yet the full benefit of this framework depends on how quickly condition information is translated into action.</w:t>
      </w:r>
    </w:p>
    <w:p w14:paraId="5CB1345D" w14:textId="77777777" w:rsidR="00794DA0" w:rsidRDefault="00794DA0" w:rsidP="00794DA0">
      <w:r>
        <w:t>Overall, the findings support a continued shift towards more proactive maintenance of the pickle line hydraulic system. Predictive maintenance would improve early fault detection, RCM would improve prioritisation of critical failure modes, and stronger digital integration within SAP would support faster and more informed decision-making.</w:t>
      </w:r>
    </w:p>
    <w:p w14:paraId="39409BE9" w14:textId="77777777" w:rsidR="009F3EBB" w:rsidRDefault="009F3EBB" w:rsidP="009F3EBB"/>
    <w:p w14:paraId="5B840732" w14:textId="77777777" w:rsidR="009F3EBB" w:rsidRDefault="009F3EBB" w:rsidP="009F3EBB"/>
    <w:p w14:paraId="1CE2DC8C" w14:textId="77777777" w:rsidR="00794DA0" w:rsidRDefault="00794DA0" w:rsidP="009F3EBB"/>
    <w:p w14:paraId="473E49B0" w14:textId="77777777" w:rsidR="00794DA0" w:rsidRDefault="00794DA0" w:rsidP="009F3EBB"/>
    <w:p w14:paraId="2C033D1B" w14:textId="77777777" w:rsidR="00794DA0" w:rsidRDefault="00794DA0" w:rsidP="009F3EBB"/>
    <w:p w14:paraId="67340F7A" w14:textId="77777777" w:rsidR="00794DA0" w:rsidRDefault="00794DA0" w:rsidP="009F3EBB"/>
    <w:p w14:paraId="3DA30915" w14:textId="77777777" w:rsidR="00794DA0" w:rsidRDefault="00794DA0" w:rsidP="009F3EBB"/>
    <w:p w14:paraId="4585F458" w14:textId="77777777" w:rsidR="006E183F" w:rsidRDefault="006E183F" w:rsidP="009F3EBB"/>
    <w:p w14:paraId="3EBCA30E" w14:textId="77777777" w:rsidR="00074D7C" w:rsidRDefault="00074D7C" w:rsidP="009F3EBB"/>
    <w:p w14:paraId="0435A4F4" w14:textId="3750776E" w:rsidR="009F3EBB" w:rsidRDefault="009F3EBB" w:rsidP="009F3EBB">
      <w:pPr>
        <w:pStyle w:val="Heading1"/>
      </w:pPr>
      <w:bookmarkStart w:id="19" w:name="_Toc227525258"/>
      <w:r>
        <w:lastRenderedPageBreak/>
        <w:t>Recommendations</w:t>
      </w:r>
      <w:bookmarkEnd w:id="19"/>
      <w:r>
        <w:t xml:space="preserve"> </w:t>
      </w:r>
    </w:p>
    <w:p w14:paraId="4D4AEE6F" w14:textId="57A82889" w:rsidR="006E183F" w:rsidRPr="00074D7C" w:rsidRDefault="006E183F" w:rsidP="00074D7C">
      <w:pPr>
        <w:rPr>
          <w:b/>
          <w:bCs/>
        </w:rPr>
      </w:pPr>
      <w:r w:rsidRPr="00074D7C">
        <w:rPr>
          <w:b/>
          <w:bCs/>
        </w:rPr>
        <w:t>Short Term</w:t>
      </w:r>
      <w:r w:rsidR="00025349" w:rsidRPr="00074D7C">
        <w:rPr>
          <w:b/>
          <w:bCs/>
        </w:rPr>
        <w:t>:</w:t>
      </w:r>
    </w:p>
    <w:p w14:paraId="5B1DB4AB" w14:textId="363F8584" w:rsidR="006E183F" w:rsidRPr="006E183F" w:rsidRDefault="006E183F" w:rsidP="006E183F">
      <w:pPr>
        <w:pStyle w:val="ListParagraph"/>
        <w:numPr>
          <w:ilvl w:val="0"/>
          <w:numId w:val="34"/>
        </w:numPr>
        <w:rPr>
          <w:lang w:eastAsia="en-GB"/>
        </w:rPr>
      </w:pPr>
      <w:r w:rsidRPr="006E183F">
        <w:rPr>
          <w:lang w:eastAsia="en-GB"/>
        </w:rPr>
        <w:t xml:space="preserve">Use hydraulic oil loss as a formal maintenance KPI for the pickle line hydraulic system. </w:t>
      </w:r>
    </w:p>
    <w:p w14:paraId="1DA8D8DE" w14:textId="4D27F446" w:rsidR="006E183F" w:rsidRPr="006E183F" w:rsidRDefault="006E183F" w:rsidP="006E183F">
      <w:pPr>
        <w:pStyle w:val="ListParagraph"/>
        <w:numPr>
          <w:ilvl w:val="0"/>
          <w:numId w:val="34"/>
        </w:numPr>
        <w:rPr>
          <w:lang w:eastAsia="en-GB"/>
        </w:rPr>
      </w:pPr>
      <w:r w:rsidRPr="006E183F">
        <w:rPr>
          <w:lang w:eastAsia="en-GB"/>
        </w:rPr>
        <w:t xml:space="preserve">Prioritise known repeat leak locations, particularly manifolds, pipework connections and other recurrent hydraulic defects. </w:t>
      </w:r>
    </w:p>
    <w:p w14:paraId="528EA9F2" w14:textId="7CF9257B" w:rsidR="006E183F" w:rsidRDefault="006E183F" w:rsidP="006E183F">
      <w:pPr>
        <w:pStyle w:val="ListParagraph"/>
        <w:numPr>
          <w:ilvl w:val="0"/>
          <w:numId w:val="34"/>
        </w:numPr>
      </w:pPr>
      <w:r w:rsidRPr="006E183F">
        <w:rPr>
          <w:lang w:eastAsia="en-GB"/>
        </w:rPr>
        <w:t>Strengthen SAP defect prioritisation so that visible leakage and repeat faults are not deferred without clear justification.</w:t>
      </w:r>
    </w:p>
    <w:p w14:paraId="5661E5BA" w14:textId="6927FD76" w:rsidR="006E183F" w:rsidRPr="00074D7C" w:rsidRDefault="006E183F" w:rsidP="00074D7C">
      <w:pPr>
        <w:rPr>
          <w:b/>
          <w:bCs/>
        </w:rPr>
      </w:pPr>
      <w:r w:rsidRPr="00074D7C">
        <w:rPr>
          <w:b/>
          <w:bCs/>
        </w:rPr>
        <w:t>Medium Term</w:t>
      </w:r>
      <w:r w:rsidR="00025349" w:rsidRPr="00074D7C">
        <w:rPr>
          <w:b/>
          <w:bCs/>
        </w:rPr>
        <w:t>:</w:t>
      </w:r>
    </w:p>
    <w:p w14:paraId="3EF2B520" w14:textId="4F9E321E" w:rsidR="009575F3" w:rsidRPr="009575F3" w:rsidRDefault="009575F3" w:rsidP="009575F3">
      <w:pPr>
        <w:pStyle w:val="ListParagraph"/>
        <w:numPr>
          <w:ilvl w:val="0"/>
          <w:numId w:val="36"/>
        </w:numPr>
        <w:rPr>
          <w:lang w:eastAsia="en-GB"/>
        </w:rPr>
      </w:pPr>
      <w:r w:rsidRPr="009575F3">
        <w:rPr>
          <w:lang w:eastAsia="en-GB"/>
        </w:rPr>
        <w:t xml:space="preserve">Introduce more targeted condition monitoring, including oil analysis, thermal checks and focused leak detection on high-loss areas. </w:t>
      </w:r>
    </w:p>
    <w:p w14:paraId="001B50E4" w14:textId="456546A4" w:rsidR="009575F3" w:rsidRPr="009575F3" w:rsidRDefault="009575F3" w:rsidP="009575F3">
      <w:pPr>
        <w:pStyle w:val="ListParagraph"/>
        <w:numPr>
          <w:ilvl w:val="0"/>
          <w:numId w:val="36"/>
        </w:numPr>
        <w:rPr>
          <w:lang w:eastAsia="en-GB"/>
        </w:rPr>
      </w:pPr>
      <w:r w:rsidRPr="009575F3">
        <w:rPr>
          <w:lang w:eastAsia="en-GB"/>
        </w:rPr>
        <w:t xml:space="preserve">Review existing inspection routes so that abnormal findings trigger clearer escalation and intervention rules. </w:t>
      </w:r>
    </w:p>
    <w:p w14:paraId="2737D188" w14:textId="4527D97D" w:rsidR="006E183F" w:rsidRPr="006E183F" w:rsidRDefault="009575F3" w:rsidP="009575F3">
      <w:pPr>
        <w:pStyle w:val="ListParagraph"/>
        <w:numPr>
          <w:ilvl w:val="0"/>
          <w:numId w:val="36"/>
        </w:numPr>
      </w:pPr>
      <w:r w:rsidRPr="009575F3">
        <w:rPr>
          <w:lang w:eastAsia="en-GB"/>
        </w:rPr>
        <w:t>Apply structured root cause analysis to repeated hydraulic leak locations rather than relying on repeated symptom correction.</w:t>
      </w:r>
    </w:p>
    <w:p w14:paraId="6E2F1D81" w14:textId="06E6BBD8" w:rsidR="009F3EBB" w:rsidRPr="00074D7C" w:rsidRDefault="009575F3" w:rsidP="00074D7C">
      <w:pPr>
        <w:rPr>
          <w:b/>
          <w:bCs/>
        </w:rPr>
      </w:pPr>
      <w:r w:rsidRPr="00074D7C">
        <w:rPr>
          <w:b/>
          <w:bCs/>
        </w:rPr>
        <w:t>Long Term</w:t>
      </w:r>
      <w:r w:rsidR="00025349" w:rsidRPr="00074D7C">
        <w:rPr>
          <w:b/>
          <w:bCs/>
        </w:rPr>
        <w:t>:</w:t>
      </w:r>
    </w:p>
    <w:p w14:paraId="1A625A61" w14:textId="53228C06" w:rsidR="00F72D93" w:rsidRPr="00F72D93" w:rsidRDefault="00F72D93" w:rsidP="00F72D93">
      <w:pPr>
        <w:pStyle w:val="ListParagraph"/>
        <w:numPr>
          <w:ilvl w:val="0"/>
          <w:numId w:val="38"/>
        </w:numPr>
        <w:rPr>
          <w:lang w:eastAsia="en-GB"/>
        </w:rPr>
      </w:pPr>
      <w:r w:rsidRPr="00F72D93">
        <w:rPr>
          <w:lang w:eastAsia="en-GB"/>
        </w:rPr>
        <w:t xml:space="preserve">Apply reliability-centred maintenance to the most critical hydraulic functions and failure modes. </w:t>
      </w:r>
    </w:p>
    <w:p w14:paraId="4A31F29C" w14:textId="468F7CD8" w:rsidR="00F72D93" w:rsidRPr="00F72D93" w:rsidRDefault="00F72D93" w:rsidP="00F72D93">
      <w:pPr>
        <w:pStyle w:val="ListParagraph"/>
        <w:numPr>
          <w:ilvl w:val="0"/>
          <w:numId w:val="38"/>
        </w:numPr>
        <w:rPr>
          <w:lang w:eastAsia="en-GB"/>
        </w:rPr>
      </w:pPr>
      <w:r w:rsidRPr="00F72D93">
        <w:rPr>
          <w:lang w:eastAsia="en-GB"/>
        </w:rPr>
        <w:t xml:space="preserve">Improve SAP integration so that condition trends, repeat defect history and leak severity are used more effectively in planning decisions. </w:t>
      </w:r>
    </w:p>
    <w:p w14:paraId="761E07A4" w14:textId="7EFA0619" w:rsidR="009575F3" w:rsidRPr="009575F3" w:rsidRDefault="00F72D93" w:rsidP="00F72D93">
      <w:pPr>
        <w:pStyle w:val="ListParagraph"/>
        <w:numPr>
          <w:ilvl w:val="0"/>
          <w:numId w:val="38"/>
        </w:numPr>
      </w:pPr>
      <w:r w:rsidRPr="00F72D93">
        <w:rPr>
          <w:lang w:eastAsia="en-GB"/>
        </w:rPr>
        <w:t>Justify targeted investment in monitoring and system improvement where recurring oil loss continues to create significant cost and reliability impact.</w:t>
      </w:r>
    </w:p>
    <w:p w14:paraId="2E587780" w14:textId="77777777" w:rsidR="00182BAE" w:rsidRDefault="00182BAE" w:rsidP="009F5305"/>
    <w:p w14:paraId="744D4CE4" w14:textId="77777777" w:rsidR="00C52E18" w:rsidRDefault="00C52E18" w:rsidP="009F5305"/>
    <w:p w14:paraId="312C4A13" w14:textId="77777777" w:rsidR="00182BAE" w:rsidRDefault="00182BAE" w:rsidP="009F5305"/>
    <w:p w14:paraId="4746DEFD" w14:textId="77777777" w:rsidR="00182BAE" w:rsidRDefault="00182BAE" w:rsidP="009F5305"/>
    <w:p w14:paraId="0168D2C2" w14:textId="77777777" w:rsidR="00C12B3F" w:rsidRDefault="00C12B3F" w:rsidP="009F5305"/>
    <w:p w14:paraId="297F3456" w14:textId="77777777" w:rsidR="00BF6EAB" w:rsidRDefault="00BF6EAB" w:rsidP="009F5305"/>
    <w:p w14:paraId="328F41EF" w14:textId="77777777" w:rsidR="009D49D9" w:rsidRDefault="009D49D9" w:rsidP="009F5305"/>
    <w:p w14:paraId="148F242E" w14:textId="77777777" w:rsidR="00BF6EAB" w:rsidRDefault="00BF6EAB" w:rsidP="009F5305"/>
    <w:p w14:paraId="6F214233" w14:textId="4C15B1B3" w:rsidR="004805E9" w:rsidRPr="001149C4" w:rsidRDefault="004805E9" w:rsidP="00182BAE">
      <w:pPr>
        <w:pStyle w:val="Heading1"/>
        <w:rPr>
          <w:rFonts w:eastAsia="Times New Roman"/>
          <w:lang w:eastAsia="en-GB"/>
        </w:rPr>
      </w:pPr>
      <w:bookmarkStart w:id="20" w:name="_Toc227525259"/>
      <w:r w:rsidRPr="001149C4">
        <w:rPr>
          <w:rFonts w:eastAsia="Times New Roman"/>
          <w:lang w:eastAsia="en-GB"/>
        </w:rPr>
        <w:lastRenderedPageBreak/>
        <w:t>References</w:t>
      </w:r>
      <w:bookmarkEnd w:id="20"/>
    </w:p>
    <w:p w14:paraId="7F9E119D"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Carnero, M.C. (2006) ‘An evaluation system of the setting up of predictive maintenance programmes’, </w:t>
      </w:r>
      <w:r w:rsidRPr="00DB3107">
        <w:rPr>
          <w:rStyle w:val="Emphasis"/>
          <w:rFonts w:ascii="Arial" w:eastAsiaTheme="majorEastAsia" w:hAnsi="Arial" w:cs="Arial"/>
          <w:sz w:val="22"/>
          <w:szCs w:val="22"/>
        </w:rPr>
        <w:t>Reliability Engineering &amp; System Safety</w:t>
      </w:r>
      <w:r w:rsidRPr="00DB3107">
        <w:rPr>
          <w:rFonts w:ascii="Arial" w:hAnsi="Arial" w:cs="Arial"/>
          <w:sz w:val="22"/>
          <w:szCs w:val="22"/>
        </w:rPr>
        <w:t>, 91(8), pp. 945–963.</w:t>
      </w:r>
    </w:p>
    <w:p w14:paraId="6E16B595"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De Jonge, B. and Scarf, P. (2020) ‘A review on maintenance optimization’, </w:t>
      </w:r>
      <w:r w:rsidRPr="00DB3107">
        <w:rPr>
          <w:rStyle w:val="Emphasis"/>
          <w:rFonts w:ascii="Arial" w:eastAsiaTheme="majorEastAsia" w:hAnsi="Arial" w:cs="Arial"/>
          <w:sz w:val="22"/>
          <w:szCs w:val="22"/>
        </w:rPr>
        <w:t>European Journal of Operational Research</w:t>
      </w:r>
      <w:r w:rsidRPr="00DB3107">
        <w:rPr>
          <w:rFonts w:ascii="Arial" w:hAnsi="Arial" w:cs="Arial"/>
          <w:sz w:val="22"/>
          <w:szCs w:val="22"/>
        </w:rPr>
        <w:t>, 285(3), pp. 805–824.</w:t>
      </w:r>
    </w:p>
    <w:p w14:paraId="78411793" w14:textId="77777777" w:rsidR="00DB3107" w:rsidRPr="00DB3107" w:rsidRDefault="00DB3107" w:rsidP="00762887">
      <w:pPr>
        <w:pStyle w:val="NormalWeb"/>
        <w:rPr>
          <w:rFonts w:ascii="Arial" w:hAnsi="Arial" w:cs="Arial"/>
          <w:sz w:val="22"/>
          <w:szCs w:val="22"/>
        </w:rPr>
      </w:pPr>
      <w:proofErr w:type="spellStart"/>
      <w:r w:rsidRPr="00DB3107">
        <w:rPr>
          <w:rFonts w:ascii="Arial" w:hAnsi="Arial" w:cs="Arial"/>
          <w:sz w:val="22"/>
          <w:szCs w:val="22"/>
        </w:rPr>
        <w:t>Geurtsen</w:t>
      </w:r>
      <w:proofErr w:type="spellEnd"/>
      <w:r w:rsidRPr="00DB3107">
        <w:rPr>
          <w:rFonts w:ascii="Arial" w:hAnsi="Arial" w:cs="Arial"/>
          <w:sz w:val="22"/>
          <w:szCs w:val="22"/>
        </w:rPr>
        <w:t xml:space="preserve">, M., Didden, J.B.H.C., Adan, J., Atan, Z. and Adan, I. (2023) ‘Production, maintenance and resource scheduling: A review’, </w:t>
      </w:r>
      <w:r w:rsidRPr="00DB3107">
        <w:rPr>
          <w:rStyle w:val="Emphasis"/>
          <w:rFonts w:ascii="Arial" w:eastAsiaTheme="majorEastAsia" w:hAnsi="Arial" w:cs="Arial"/>
          <w:sz w:val="22"/>
          <w:szCs w:val="22"/>
        </w:rPr>
        <w:t>European Journal of Operational Research</w:t>
      </w:r>
      <w:r w:rsidRPr="00DB3107">
        <w:rPr>
          <w:rFonts w:ascii="Arial" w:hAnsi="Arial" w:cs="Arial"/>
          <w:sz w:val="22"/>
          <w:szCs w:val="22"/>
        </w:rPr>
        <w:t>, 305(2), pp. 501–529.</w:t>
      </w:r>
    </w:p>
    <w:p w14:paraId="74326BBE" w14:textId="0D2F715A"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Health and Safety Executive (HSE) (2014) </w:t>
      </w:r>
      <w:r w:rsidRPr="00DB3107">
        <w:rPr>
          <w:rStyle w:val="Emphasis"/>
          <w:rFonts w:ascii="Arial" w:eastAsiaTheme="majorEastAsia" w:hAnsi="Arial" w:cs="Arial"/>
          <w:sz w:val="22"/>
          <w:szCs w:val="22"/>
        </w:rPr>
        <w:t>Provision and Use of Work Equipment Regulations 1998 (PUWER): Guidance on Regulations</w:t>
      </w:r>
      <w:r w:rsidRPr="00DB3107">
        <w:rPr>
          <w:rFonts w:ascii="Arial" w:hAnsi="Arial" w:cs="Arial"/>
          <w:sz w:val="22"/>
          <w:szCs w:val="22"/>
        </w:rPr>
        <w:t xml:space="preserve">. Available at: </w:t>
      </w:r>
      <w:hyperlink r:id="rId19" w:tgtFrame="_new" w:history="1">
        <w:r w:rsidRPr="00DB3107">
          <w:rPr>
            <w:rStyle w:val="Hyperlink"/>
            <w:rFonts w:ascii="Arial" w:eastAsiaTheme="majorEastAsia" w:hAnsi="Arial" w:cs="Arial"/>
            <w:sz w:val="22"/>
            <w:szCs w:val="22"/>
          </w:rPr>
          <w:t>https://www.hse.gov.uk/work-equipment-machinery/puwer.htm</w:t>
        </w:r>
      </w:hyperlink>
      <w:r w:rsidRPr="00DB3107">
        <w:rPr>
          <w:rFonts w:ascii="Arial" w:hAnsi="Arial" w:cs="Arial"/>
          <w:sz w:val="22"/>
          <w:szCs w:val="22"/>
        </w:rPr>
        <w:t xml:space="preserve"> (Accessed: 10 April 2026).</w:t>
      </w:r>
    </w:p>
    <w:p w14:paraId="4D5C5647"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Jardine, A.K.S., Lin, D. and </w:t>
      </w:r>
      <w:proofErr w:type="spellStart"/>
      <w:r w:rsidRPr="00DB3107">
        <w:rPr>
          <w:rFonts w:ascii="Arial" w:hAnsi="Arial" w:cs="Arial"/>
          <w:sz w:val="22"/>
          <w:szCs w:val="22"/>
        </w:rPr>
        <w:t>Banjevic</w:t>
      </w:r>
      <w:proofErr w:type="spellEnd"/>
      <w:r w:rsidRPr="00DB3107">
        <w:rPr>
          <w:rFonts w:ascii="Arial" w:hAnsi="Arial" w:cs="Arial"/>
          <w:sz w:val="22"/>
          <w:szCs w:val="22"/>
        </w:rPr>
        <w:t xml:space="preserve">, D. (2006) ‘A review on machinery diagnostics and prognostics implementing condition-based maintenance’, </w:t>
      </w:r>
      <w:r w:rsidRPr="00DB3107">
        <w:rPr>
          <w:rStyle w:val="Emphasis"/>
          <w:rFonts w:ascii="Arial" w:eastAsiaTheme="majorEastAsia" w:hAnsi="Arial" w:cs="Arial"/>
          <w:sz w:val="22"/>
          <w:szCs w:val="22"/>
        </w:rPr>
        <w:t>Mechanical Systems and Signal Processing</w:t>
      </w:r>
      <w:r w:rsidRPr="00DB3107">
        <w:rPr>
          <w:rFonts w:ascii="Arial" w:hAnsi="Arial" w:cs="Arial"/>
          <w:sz w:val="22"/>
          <w:szCs w:val="22"/>
        </w:rPr>
        <w:t>, 20(7), pp. 1483–1510.</w:t>
      </w:r>
    </w:p>
    <w:p w14:paraId="6A66BE2D"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Lee, J., Bagheri, B. and Kao, H.A. (2015) ‘A cyber-physical systems architecture for Industry 4.0-based manufacturing systems’, </w:t>
      </w:r>
      <w:r w:rsidRPr="00DB3107">
        <w:rPr>
          <w:rStyle w:val="Emphasis"/>
          <w:rFonts w:ascii="Arial" w:eastAsiaTheme="majorEastAsia" w:hAnsi="Arial" w:cs="Arial"/>
          <w:sz w:val="22"/>
          <w:szCs w:val="22"/>
        </w:rPr>
        <w:t>Manufacturing Letters</w:t>
      </w:r>
      <w:r w:rsidRPr="00DB3107">
        <w:rPr>
          <w:rFonts w:ascii="Arial" w:hAnsi="Arial" w:cs="Arial"/>
          <w:sz w:val="22"/>
          <w:szCs w:val="22"/>
        </w:rPr>
        <w:t>, 3, pp. 18–23.</w:t>
      </w:r>
    </w:p>
    <w:p w14:paraId="029AC321"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Lee, J., Lapira, E., Bagheri, B. and Kao, H.A. (2014) ‘Recent advances and trends in predictive manufacturing systems in big data environment’, </w:t>
      </w:r>
      <w:r w:rsidRPr="00DB3107">
        <w:rPr>
          <w:rStyle w:val="Emphasis"/>
          <w:rFonts w:ascii="Arial" w:eastAsiaTheme="majorEastAsia" w:hAnsi="Arial" w:cs="Arial"/>
          <w:sz w:val="22"/>
          <w:szCs w:val="22"/>
        </w:rPr>
        <w:t>Manufacturing Letters</w:t>
      </w:r>
      <w:r w:rsidRPr="00DB3107">
        <w:rPr>
          <w:rFonts w:ascii="Arial" w:hAnsi="Arial" w:cs="Arial"/>
          <w:sz w:val="22"/>
          <w:szCs w:val="22"/>
        </w:rPr>
        <w:t>, 1(1), pp. 38–41.</w:t>
      </w:r>
    </w:p>
    <w:p w14:paraId="063C895B"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Mobley, R.K. (2002) </w:t>
      </w:r>
      <w:r w:rsidRPr="00DB3107">
        <w:rPr>
          <w:rStyle w:val="Emphasis"/>
          <w:rFonts w:ascii="Arial" w:eastAsiaTheme="majorEastAsia" w:hAnsi="Arial" w:cs="Arial"/>
          <w:sz w:val="22"/>
          <w:szCs w:val="22"/>
        </w:rPr>
        <w:t>An Introduction to Predictive Maintenance</w:t>
      </w:r>
      <w:r w:rsidRPr="00DB3107">
        <w:rPr>
          <w:rFonts w:ascii="Arial" w:hAnsi="Arial" w:cs="Arial"/>
          <w:sz w:val="22"/>
          <w:szCs w:val="22"/>
        </w:rPr>
        <w:t xml:space="preserve">. 2nd </w:t>
      </w:r>
      <w:proofErr w:type="spellStart"/>
      <w:r w:rsidRPr="00DB3107">
        <w:rPr>
          <w:rFonts w:ascii="Arial" w:hAnsi="Arial" w:cs="Arial"/>
          <w:sz w:val="22"/>
          <w:szCs w:val="22"/>
        </w:rPr>
        <w:t>edn</w:t>
      </w:r>
      <w:proofErr w:type="spellEnd"/>
      <w:r w:rsidRPr="00DB3107">
        <w:rPr>
          <w:rFonts w:ascii="Arial" w:hAnsi="Arial" w:cs="Arial"/>
          <w:sz w:val="22"/>
          <w:szCs w:val="22"/>
        </w:rPr>
        <w:t>. Oxford: Butterworth-Heinemann.</w:t>
      </w:r>
    </w:p>
    <w:p w14:paraId="5B6E1CA9" w14:textId="77777777" w:rsidR="00DB3107" w:rsidRPr="00DB3107" w:rsidRDefault="00DB3107" w:rsidP="00762887">
      <w:pPr>
        <w:pStyle w:val="NormalWeb"/>
        <w:rPr>
          <w:rFonts w:ascii="Arial" w:hAnsi="Arial" w:cs="Arial"/>
          <w:sz w:val="22"/>
          <w:szCs w:val="22"/>
        </w:rPr>
      </w:pPr>
      <w:proofErr w:type="spellStart"/>
      <w:r w:rsidRPr="00DB3107">
        <w:rPr>
          <w:rFonts w:ascii="Arial" w:hAnsi="Arial" w:cs="Arial"/>
          <w:sz w:val="22"/>
          <w:szCs w:val="22"/>
        </w:rPr>
        <w:t>Molęda</w:t>
      </w:r>
      <w:proofErr w:type="spellEnd"/>
      <w:r w:rsidRPr="00DB3107">
        <w:rPr>
          <w:rFonts w:ascii="Arial" w:hAnsi="Arial" w:cs="Arial"/>
          <w:sz w:val="22"/>
          <w:szCs w:val="22"/>
        </w:rPr>
        <w:t xml:space="preserve">, M., Siwiec, D., Pacana, A. and </w:t>
      </w:r>
      <w:proofErr w:type="spellStart"/>
      <w:r w:rsidRPr="00DB3107">
        <w:rPr>
          <w:rFonts w:ascii="Arial" w:hAnsi="Arial" w:cs="Arial"/>
          <w:sz w:val="22"/>
          <w:szCs w:val="22"/>
        </w:rPr>
        <w:t>Bednarova</w:t>
      </w:r>
      <w:proofErr w:type="spellEnd"/>
      <w:r w:rsidRPr="00DB3107">
        <w:rPr>
          <w:rFonts w:ascii="Arial" w:hAnsi="Arial" w:cs="Arial"/>
          <w:sz w:val="22"/>
          <w:szCs w:val="22"/>
        </w:rPr>
        <w:t xml:space="preserve">, L. (2023) ‘From corrective to predictive maintenance—A review of maintenance approaches supported by Industry 4.0’, </w:t>
      </w:r>
      <w:r w:rsidRPr="00DB3107">
        <w:rPr>
          <w:rStyle w:val="Emphasis"/>
          <w:rFonts w:ascii="Arial" w:eastAsiaTheme="majorEastAsia" w:hAnsi="Arial" w:cs="Arial"/>
          <w:sz w:val="22"/>
          <w:szCs w:val="22"/>
        </w:rPr>
        <w:t>Sensors</w:t>
      </w:r>
      <w:r w:rsidRPr="00DB3107">
        <w:rPr>
          <w:rFonts w:ascii="Arial" w:hAnsi="Arial" w:cs="Arial"/>
          <w:sz w:val="22"/>
          <w:szCs w:val="22"/>
        </w:rPr>
        <w:t>, 23(14), 5970.</w:t>
      </w:r>
    </w:p>
    <w:p w14:paraId="2A4E5D7F"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Moubray, J. (1997) </w:t>
      </w:r>
      <w:r w:rsidRPr="00DB3107">
        <w:rPr>
          <w:rStyle w:val="Emphasis"/>
          <w:rFonts w:ascii="Arial" w:eastAsiaTheme="majorEastAsia" w:hAnsi="Arial" w:cs="Arial"/>
          <w:sz w:val="22"/>
          <w:szCs w:val="22"/>
        </w:rPr>
        <w:t>Reliability-centred Maintenance</w:t>
      </w:r>
      <w:r w:rsidRPr="00DB3107">
        <w:rPr>
          <w:rFonts w:ascii="Arial" w:hAnsi="Arial" w:cs="Arial"/>
          <w:sz w:val="22"/>
          <w:szCs w:val="22"/>
        </w:rPr>
        <w:t xml:space="preserve">. 2nd </w:t>
      </w:r>
      <w:proofErr w:type="spellStart"/>
      <w:r w:rsidRPr="00DB3107">
        <w:rPr>
          <w:rFonts w:ascii="Arial" w:hAnsi="Arial" w:cs="Arial"/>
          <w:sz w:val="22"/>
          <w:szCs w:val="22"/>
        </w:rPr>
        <w:t>edn</w:t>
      </w:r>
      <w:proofErr w:type="spellEnd"/>
      <w:r w:rsidRPr="00DB3107">
        <w:rPr>
          <w:rFonts w:ascii="Arial" w:hAnsi="Arial" w:cs="Arial"/>
          <w:sz w:val="22"/>
          <w:szCs w:val="22"/>
        </w:rPr>
        <w:t>. Oxford: Butterworth-Heinemann.</w:t>
      </w:r>
    </w:p>
    <w:p w14:paraId="1B65A116"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Murtaza, A.A., Murtaza, G., Ullah, R. and Khan, S. (2024) ‘Paradigm shift for predictive maintenance and condition monitoring towards Industry 5.0: A comprehensive review’, </w:t>
      </w:r>
      <w:r w:rsidRPr="00DB3107">
        <w:rPr>
          <w:rStyle w:val="Emphasis"/>
          <w:rFonts w:ascii="Arial" w:eastAsiaTheme="majorEastAsia" w:hAnsi="Arial" w:cs="Arial"/>
          <w:sz w:val="22"/>
          <w:szCs w:val="22"/>
        </w:rPr>
        <w:t>Results in Engineering</w:t>
      </w:r>
      <w:r w:rsidRPr="00DB3107">
        <w:rPr>
          <w:rFonts w:ascii="Arial" w:hAnsi="Arial" w:cs="Arial"/>
          <w:sz w:val="22"/>
          <w:szCs w:val="22"/>
        </w:rPr>
        <w:t>, 24, 102467.</w:t>
      </w:r>
    </w:p>
    <w:p w14:paraId="24E19B91" w14:textId="77777777" w:rsidR="00DB3107" w:rsidRPr="00DB3107" w:rsidRDefault="00DB3107" w:rsidP="00762887">
      <w:pPr>
        <w:pStyle w:val="NormalWeb"/>
        <w:rPr>
          <w:rFonts w:ascii="Arial" w:hAnsi="Arial" w:cs="Arial"/>
          <w:sz w:val="22"/>
          <w:szCs w:val="22"/>
        </w:rPr>
      </w:pPr>
      <w:proofErr w:type="spellStart"/>
      <w:r w:rsidRPr="00DB3107">
        <w:rPr>
          <w:rFonts w:ascii="Arial" w:hAnsi="Arial" w:cs="Arial"/>
          <w:sz w:val="22"/>
          <w:szCs w:val="22"/>
        </w:rPr>
        <w:t>Ochella</w:t>
      </w:r>
      <w:proofErr w:type="spellEnd"/>
      <w:r w:rsidRPr="00DB3107">
        <w:rPr>
          <w:rFonts w:ascii="Arial" w:hAnsi="Arial" w:cs="Arial"/>
          <w:sz w:val="22"/>
          <w:szCs w:val="22"/>
        </w:rPr>
        <w:t xml:space="preserve">, S., Shafiee, M. and Sansom, C. (2021) ‘Adopting machine learning and condition monitoring P-F curves in determining and prioritizing high-value assets for life extension’, </w:t>
      </w:r>
      <w:r w:rsidRPr="00DB3107">
        <w:rPr>
          <w:rStyle w:val="Emphasis"/>
          <w:rFonts w:ascii="Arial" w:eastAsiaTheme="majorEastAsia" w:hAnsi="Arial" w:cs="Arial"/>
          <w:sz w:val="22"/>
          <w:szCs w:val="22"/>
        </w:rPr>
        <w:t>Expert Systems with Applications</w:t>
      </w:r>
      <w:r w:rsidRPr="00DB3107">
        <w:rPr>
          <w:rFonts w:ascii="Arial" w:hAnsi="Arial" w:cs="Arial"/>
          <w:sz w:val="22"/>
          <w:szCs w:val="22"/>
        </w:rPr>
        <w:t>, 176, 114897.</w:t>
      </w:r>
    </w:p>
    <w:p w14:paraId="7E19C398"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Swanson, L. (2001) ‘Linking maintenance strategies to performance’, </w:t>
      </w:r>
      <w:r w:rsidRPr="00DB3107">
        <w:rPr>
          <w:rStyle w:val="Emphasis"/>
          <w:rFonts w:ascii="Arial" w:eastAsiaTheme="majorEastAsia" w:hAnsi="Arial" w:cs="Arial"/>
          <w:sz w:val="22"/>
          <w:szCs w:val="22"/>
        </w:rPr>
        <w:t>International Journal of Production Economics</w:t>
      </w:r>
      <w:r w:rsidRPr="00DB3107">
        <w:rPr>
          <w:rFonts w:ascii="Arial" w:hAnsi="Arial" w:cs="Arial"/>
          <w:sz w:val="22"/>
          <w:szCs w:val="22"/>
        </w:rPr>
        <w:t>, 70(3), pp. 237–244.</w:t>
      </w:r>
    </w:p>
    <w:p w14:paraId="3D7187B8" w14:textId="343A8860"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Tata Steel UK (2025a) </w:t>
      </w:r>
      <w:r w:rsidRPr="00DB3107">
        <w:rPr>
          <w:rStyle w:val="Emphasis"/>
          <w:rFonts w:ascii="Arial" w:eastAsiaTheme="majorEastAsia" w:hAnsi="Arial" w:cs="Arial"/>
          <w:sz w:val="22"/>
          <w:szCs w:val="22"/>
        </w:rPr>
        <w:t>Work starts on new Pickle Line at Port Talbot</w:t>
      </w:r>
      <w:r w:rsidRPr="00DB3107">
        <w:rPr>
          <w:rFonts w:ascii="Arial" w:hAnsi="Arial" w:cs="Arial"/>
          <w:sz w:val="22"/>
          <w:szCs w:val="22"/>
        </w:rPr>
        <w:t xml:space="preserve">. Available at: </w:t>
      </w:r>
      <w:hyperlink r:id="rId20" w:tgtFrame="_new" w:history="1">
        <w:r w:rsidRPr="00DB3107">
          <w:rPr>
            <w:rStyle w:val="Hyperlink"/>
            <w:rFonts w:ascii="Arial" w:eastAsiaTheme="majorEastAsia" w:hAnsi="Arial" w:cs="Arial"/>
            <w:sz w:val="22"/>
            <w:szCs w:val="22"/>
          </w:rPr>
          <w:t>https://www.tatasteeluk.com/corporate/news/work-starts-on-new-pickle-line</w:t>
        </w:r>
      </w:hyperlink>
      <w:r w:rsidRPr="00DB3107">
        <w:rPr>
          <w:rFonts w:ascii="Arial" w:hAnsi="Arial" w:cs="Arial"/>
          <w:sz w:val="22"/>
          <w:szCs w:val="22"/>
        </w:rPr>
        <w:t xml:space="preserve"> (Accessed: 10 April 2026).</w:t>
      </w:r>
    </w:p>
    <w:p w14:paraId="47706E18" w14:textId="7C67CFA9" w:rsidR="00DB3107" w:rsidRPr="00DB3107" w:rsidRDefault="00DB3107" w:rsidP="00762887">
      <w:pPr>
        <w:pStyle w:val="NormalWeb"/>
        <w:rPr>
          <w:rFonts w:ascii="Arial" w:hAnsi="Arial" w:cs="Arial"/>
          <w:sz w:val="22"/>
          <w:szCs w:val="22"/>
        </w:rPr>
      </w:pPr>
      <w:r w:rsidRPr="00DB3107">
        <w:rPr>
          <w:rFonts w:ascii="Arial" w:hAnsi="Arial" w:cs="Arial"/>
          <w:sz w:val="22"/>
          <w:szCs w:val="22"/>
        </w:rPr>
        <w:lastRenderedPageBreak/>
        <w:t xml:space="preserve">Tata Steel UK (2025b) </w:t>
      </w:r>
      <w:r w:rsidRPr="00DB3107">
        <w:rPr>
          <w:rStyle w:val="Emphasis"/>
          <w:rFonts w:ascii="Arial" w:eastAsiaTheme="majorEastAsia" w:hAnsi="Arial" w:cs="Arial"/>
          <w:sz w:val="22"/>
          <w:szCs w:val="22"/>
        </w:rPr>
        <w:t>Steel News Issue 17: Pickle Line Update</w:t>
      </w:r>
      <w:r w:rsidRPr="00DB3107">
        <w:rPr>
          <w:rFonts w:ascii="Arial" w:hAnsi="Arial" w:cs="Arial"/>
          <w:sz w:val="22"/>
          <w:szCs w:val="22"/>
        </w:rPr>
        <w:t xml:space="preserve">. Available at: </w:t>
      </w:r>
      <w:hyperlink r:id="rId21" w:tgtFrame="_new" w:history="1">
        <w:r w:rsidRPr="00DB3107">
          <w:rPr>
            <w:rStyle w:val="Hyperlink"/>
            <w:rFonts w:ascii="Arial" w:eastAsiaTheme="majorEastAsia" w:hAnsi="Arial" w:cs="Arial"/>
            <w:sz w:val="22"/>
            <w:szCs w:val="22"/>
          </w:rPr>
          <w:t>https://www.tatasteeluk.com/sites/default/files/steel-news-issue-17.pdf</w:t>
        </w:r>
      </w:hyperlink>
      <w:r w:rsidRPr="00DB3107">
        <w:rPr>
          <w:rFonts w:ascii="Arial" w:hAnsi="Arial" w:cs="Arial"/>
          <w:sz w:val="22"/>
          <w:szCs w:val="22"/>
        </w:rPr>
        <w:t xml:space="preserve"> (Accessed: 10 April 2026).</w:t>
      </w:r>
    </w:p>
    <w:p w14:paraId="3F3C56CD" w14:textId="77777777" w:rsidR="00DB3107" w:rsidRPr="00DB3107" w:rsidRDefault="00DB3107" w:rsidP="00762887">
      <w:pPr>
        <w:pStyle w:val="NormalWeb"/>
        <w:rPr>
          <w:rFonts w:ascii="Arial" w:hAnsi="Arial" w:cs="Arial"/>
          <w:sz w:val="22"/>
          <w:szCs w:val="22"/>
        </w:rPr>
      </w:pPr>
      <w:r w:rsidRPr="00DB3107">
        <w:rPr>
          <w:rFonts w:ascii="Arial" w:hAnsi="Arial" w:cs="Arial"/>
          <w:sz w:val="22"/>
          <w:szCs w:val="22"/>
        </w:rPr>
        <w:t xml:space="preserve">Zio, E. and Compare, M. (2013) ‘Evaluating maintenance policies by quantitative modelling and analysis’, </w:t>
      </w:r>
      <w:r w:rsidRPr="00DB3107">
        <w:rPr>
          <w:rStyle w:val="Emphasis"/>
          <w:rFonts w:ascii="Arial" w:eastAsiaTheme="majorEastAsia" w:hAnsi="Arial" w:cs="Arial"/>
          <w:sz w:val="22"/>
          <w:szCs w:val="22"/>
        </w:rPr>
        <w:t>Reliability Engineering &amp; System Safety</w:t>
      </w:r>
      <w:r w:rsidRPr="00DB3107">
        <w:rPr>
          <w:rFonts w:ascii="Arial" w:hAnsi="Arial" w:cs="Arial"/>
          <w:sz w:val="22"/>
          <w:szCs w:val="22"/>
        </w:rPr>
        <w:t>, 109, pp. 53–65.</w:t>
      </w:r>
    </w:p>
    <w:p w14:paraId="5569E757" w14:textId="75ACC212" w:rsidR="00AC10D0" w:rsidRPr="00AC10D0" w:rsidRDefault="00AC10D0" w:rsidP="00AC10D0"/>
    <w:p w14:paraId="1CDBA7A0" w14:textId="77777777" w:rsidR="00147EE5" w:rsidRDefault="00147EE5" w:rsidP="002A07A2"/>
    <w:p w14:paraId="55AF1490" w14:textId="77777777" w:rsidR="00147EE5" w:rsidRDefault="00147EE5" w:rsidP="009F5305"/>
    <w:p w14:paraId="4B932167" w14:textId="77777777" w:rsidR="00A11636" w:rsidRDefault="00A11636" w:rsidP="009F5305"/>
    <w:p w14:paraId="3B406D38" w14:textId="77777777" w:rsidR="00A11636" w:rsidRDefault="00A11636" w:rsidP="009F5305"/>
    <w:p w14:paraId="01B1FBE3" w14:textId="77777777" w:rsidR="00A11636" w:rsidRDefault="00A11636" w:rsidP="009F5305"/>
    <w:p w14:paraId="6CD32108" w14:textId="77777777" w:rsidR="00A11636" w:rsidRDefault="00A11636" w:rsidP="009F5305"/>
    <w:p w14:paraId="7627CAF4" w14:textId="77777777" w:rsidR="00A11636" w:rsidRDefault="00A11636" w:rsidP="009F5305"/>
    <w:p w14:paraId="32F999B3" w14:textId="77777777" w:rsidR="00A11636" w:rsidRDefault="00A11636" w:rsidP="009F5305"/>
    <w:p w14:paraId="4D924464" w14:textId="77777777" w:rsidR="00A11636" w:rsidRDefault="00A11636" w:rsidP="009F5305"/>
    <w:p w14:paraId="36F69A2C" w14:textId="77777777" w:rsidR="00A11636" w:rsidRDefault="00A11636" w:rsidP="009F5305"/>
    <w:p w14:paraId="6FE377E0" w14:textId="77777777" w:rsidR="00A11636" w:rsidRDefault="00A11636" w:rsidP="009F5305"/>
    <w:p w14:paraId="7485ECD7" w14:textId="77777777" w:rsidR="00A11636" w:rsidRDefault="00A11636" w:rsidP="009F5305"/>
    <w:p w14:paraId="1EB74937" w14:textId="77777777" w:rsidR="00A11636" w:rsidRDefault="00A11636" w:rsidP="009F5305"/>
    <w:p w14:paraId="72F9DBEC" w14:textId="77777777" w:rsidR="00A11636" w:rsidRDefault="00A11636" w:rsidP="009F5305"/>
    <w:p w14:paraId="4C07BDF3" w14:textId="77777777" w:rsidR="00A11636" w:rsidRDefault="00A11636" w:rsidP="009F5305"/>
    <w:p w14:paraId="4DB84CF8" w14:textId="45F4F4C6" w:rsidR="00A11636" w:rsidRDefault="00A11636" w:rsidP="00A11636">
      <w:pPr>
        <w:pStyle w:val="Heading1"/>
      </w:pPr>
      <w:bookmarkStart w:id="21" w:name="_Toc227525260"/>
      <w:r>
        <w:lastRenderedPageBreak/>
        <w:t>Appendices</w:t>
      </w:r>
      <w:bookmarkEnd w:id="21"/>
      <w:r>
        <w:t xml:space="preserve"> </w:t>
      </w:r>
    </w:p>
    <w:p w14:paraId="1CCF055A" w14:textId="1C8DCE39" w:rsidR="00A11636" w:rsidRPr="00A11636" w:rsidRDefault="00A83FDA" w:rsidP="00A83FDA">
      <w:pPr>
        <w:pStyle w:val="Heading2"/>
      </w:pPr>
      <w:bookmarkStart w:id="22" w:name="_Toc227525261"/>
      <w:r>
        <w:t xml:space="preserve">Oil Loss Form </w:t>
      </w:r>
      <w:r w:rsidR="00CD376F">
        <w:t xml:space="preserve">– </w:t>
      </w:r>
      <w:r w:rsidR="00677840">
        <w:t>example</w:t>
      </w:r>
      <w:bookmarkEnd w:id="22"/>
    </w:p>
    <w:p w14:paraId="5E935F06" w14:textId="4DA2A8C6" w:rsidR="00147EE5" w:rsidRDefault="00A83FDA" w:rsidP="00A83FDA">
      <w:pPr>
        <w:jc w:val="center"/>
      </w:pPr>
      <w:r w:rsidRPr="00A83FDA">
        <w:rPr>
          <w:noProof/>
        </w:rPr>
        <w:drawing>
          <wp:inline distT="0" distB="0" distL="0" distR="0" wp14:anchorId="74319422" wp14:editId="7E5BD9A8">
            <wp:extent cx="4330923" cy="4997707"/>
            <wp:effectExtent l="19050" t="19050" r="12700" b="12700"/>
            <wp:docPr id="2043588448"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88448" name="Picture 1" descr="A screenshot of a test&#10;&#10;AI-generated content may be incorrect."/>
                    <pic:cNvPicPr/>
                  </pic:nvPicPr>
                  <pic:blipFill>
                    <a:blip r:embed="rId22"/>
                    <a:stretch>
                      <a:fillRect/>
                    </a:stretch>
                  </pic:blipFill>
                  <pic:spPr>
                    <a:xfrm>
                      <a:off x="0" y="0"/>
                      <a:ext cx="4330923" cy="4997707"/>
                    </a:xfrm>
                    <a:prstGeom prst="rect">
                      <a:avLst/>
                    </a:prstGeom>
                    <a:ln>
                      <a:solidFill>
                        <a:schemeClr val="tx1"/>
                      </a:solidFill>
                    </a:ln>
                  </pic:spPr>
                </pic:pic>
              </a:graphicData>
            </a:graphic>
          </wp:inline>
        </w:drawing>
      </w:r>
    </w:p>
    <w:p w14:paraId="28DA3006" w14:textId="77777777" w:rsidR="00B9028A" w:rsidRDefault="00B9028A" w:rsidP="00A83FDA">
      <w:pPr>
        <w:jc w:val="center"/>
      </w:pPr>
    </w:p>
    <w:p w14:paraId="6F580380" w14:textId="00D7A0A2" w:rsidR="00B9028A" w:rsidRDefault="00B9028A" w:rsidP="00A83FDA">
      <w:pPr>
        <w:jc w:val="center"/>
      </w:pPr>
      <w:r w:rsidRPr="00B9028A">
        <w:rPr>
          <w:noProof/>
        </w:rPr>
        <w:lastRenderedPageBreak/>
        <w:drawing>
          <wp:inline distT="0" distB="0" distL="0" distR="0" wp14:anchorId="6B3A0E43" wp14:editId="3F6D645C">
            <wp:extent cx="5683542" cy="5391427"/>
            <wp:effectExtent l="19050" t="19050" r="12700" b="19050"/>
            <wp:docPr id="11373748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74828" name="Picture 1" descr="A screenshot of a computer&#10;&#10;AI-generated content may be incorrect."/>
                    <pic:cNvPicPr/>
                  </pic:nvPicPr>
                  <pic:blipFill>
                    <a:blip r:embed="rId23"/>
                    <a:stretch>
                      <a:fillRect/>
                    </a:stretch>
                  </pic:blipFill>
                  <pic:spPr>
                    <a:xfrm>
                      <a:off x="0" y="0"/>
                      <a:ext cx="5683542" cy="5391427"/>
                    </a:xfrm>
                    <a:prstGeom prst="rect">
                      <a:avLst/>
                    </a:prstGeom>
                    <a:ln>
                      <a:solidFill>
                        <a:schemeClr val="tx1"/>
                      </a:solidFill>
                    </a:ln>
                  </pic:spPr>
                </pic:pic>
              </a:graphicData>
            </a:graphic>
          </wp:inline>
        </w:drawing>
      </w:r>
    </w:p>
    <w:p w14:paraId="6CDA40A7" w14:textId="67F997D1" w:rsidR="00147EE5" w:rsidRDefault="00CD376F" w:rsidP="009F5305">
      <w:r w:rsidRPr="00CD376F">
        <w:rPr>
          <w:noProof/>
        </w:rPr>
        <w:drawing>
          <wp:inline distT="0" distB="0" distL="0" distR="0" wp14:anchorId="6D4216A6" wp14:editId="3038F0FF">
            <wp:extent cx="5731510" cy="3042285"/>
            <wp:effectExtent l="19050" t="19050" r="21590" b="24765"/>
            <wp:docPr id="21328152" name="Picture 1" descr="A collage of different images of oil loss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152" name="Picture 1" descr="A collage of different images of oil loss form&#10;&#10;AI-generated content may be incorrect."/>
                    <pic:cNvPicPr/>
                  </pic:nvPicPr>
                  <pic:blipFill>
                    <a:blip r:embed="rId24"/>
                    <a:stretch>
                      <a:fillRect/>
                    </a:stretch>
                  </pic:blipFill>
                  <pic:spPr>
                    <a:xfrm>
                      <a:off x="0" y="0"/>
                      <a:ext cx="5731510" cy="3042285"/>
                    </a:xfrm>
                    <a:prstGeom prst="rect">
                      <a:avLst/>
                    </a:prstGeom>
                    <a:ln>
                      <a:solidFill>
                        <a:schemeClr val="tx1"/>
                      </a:solidFill>
                    </a:ln>
                  </pic:spPr>
                </pic:pic>
              </a:graphicData>
            </a:graphic>
          </wp:inline>
        </w:drawing>
      </w:r>
    </w:p>
    <w:p w14:paraId="56B1FE06" w14:textId="13F83668" w:rsidR="00DF7CAA" w:rsidRDefault="00DF7CAA" w:rsidP="00E101C1">
      <w:pPr>
        <w:pStyle w:val="Heading2"/>
      </w:pPr>
      <w:bookmarkStart w:id="23" w:name="_Toc227525262"/>
      <w:r>
        <w:lastRenderedPageBreak/>
        <w:t>Weekly Oil Loss Report - Example</w:t>
      </w:r>
      <w:bookmarkEnd w:id="23"/>
    </w:p>
    <w:p w14:paraId="691ECC21" w14:textId="7DE939FF" w:rsidR="00DF7CAA" w:rsidRDefault="00DF7CAA" w:rsidP="00DF7CAA">
      <w:r w:rsidRPr="00DF7CAA">
        <w:rPr>
          <w:noProof/>
        </w:rPr>
        <w:drawing>
          <wp:inline distT="0" distB="0" distL="0" distR="0" wp14:anchorId="7762E997" wp14:editId="5F9A5925">
            <wp:extent cx="5658640" cy="8040222"/>
            <wp:effectExtent l="19050" t="19050" r="18415" b="18415"/>
            <wp:docPr id="167945084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50840" name="Picture 1" descr="A screenshot of a graph&#10;&#10;AI-generated content may be incorrect."/>
                    <pic:cNvPicPr/>
                  </pic:nvPicPr>
                  <pic:blipFill>
                    <a:blip r:embed="rId25"/>
                    <a:stretch>
                      <a:fillRect/>
                    </a:stretch>
                  </pic:blipFill>
                  <pic:spPr>
                    <a:xfrm>
                      <a:off x="0" y="0"/>
                      <a:ext cx="5658640" cy="8040222"/>
                    </a:xfrm>
                    <a:prstGeom prst="rect">
                      <a:avLst/>
                    </a:prstGeom>
                    <a:ln>
                      <a:solidFill>
                        <a:schemeClr val="tx1"/>
                      </a:solidFill>
                    </a:ln>
                  </pic:spPr>
                </pic:pic>
              </a:graphicData>
            </a:graphic>
          </wp:inline>
        </w:drawing>
      </w:r>
    </w:p>
    <w:p w14:paraId="1B047BA7" w14:textId="77777777" w:rsidR="00DF7CAA" w:rsidRDefault="00DF7CAA" w:rsidP="00DF7CAA"/>
    <w:p w14:paraId="5D7CADAE" w14:textId="77777777" w:rsidR="00DF7CAA" w:rsidRDefault="00DF7CAA" w:rsidP="00DF7CAA"/>
    <w:p w14:paraId="4514B15C" w14:textId="746EB8BF" w:rsidR="00DF7CAA" w:rsidRPr="00DF7CAA" w:rsidRDefault="00577562" w:rsidP="00DF7CAA">
      <w:r w:rsidRPr="00577562">
        <w:rPr>
          <w:noProof/>
        </w:rPr>
        <w:drawing>
          <wp:inline distT="0" distB="0" distL="0" distR="0" wp14:anchorId="56B273D7" wp14:editId="0C8522F8">
            <wp:extent cx="5592726" cy="4941402"/>
            <wp:effectExtent l="19050" t="19050" r="27305" b="12065"/>
            <wp:docPr id="307991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991710" name="Picture 1" descr="A screenshot of a computer&#10;&#10;AI-generated content may be incorrect."/>
                    <pic:cNvPicPr/>
                  </pic:nvPicPr>
                  <pic:blipFill rotWithShape="1">
                    <a:blip r:embed="rId26"/>
                    <a:srcRect l="1670" r="748"/>
                    <a:stretch>
                      <a:fillRect/>
                    </a:stretch>
                  </pic:blipFill>
                  <pic:spPr bwMode="auto">
                    <a:xfrm>
                      <a:off x="0" y="0"/>
                      <a:ext cx="5592917" cy="494157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4EEF139" w14:textId="3207220C" w:rsidR="00147EE5" w:rsidRDefault="007E7944" w:rsidP="00E101C1">
      <w:pPr>
        <w:pStyle w:val="Heading2"/>
      </w:pPr>
      <w:bookmarkStart w:id="24" w:name="_Toc227525263"/>
      <w:r>
        <w:lastRenderedPageBreak/>
        <w:t>Oil Report</w:t>
      </w:r>
      <w:r w:rsidR="00DF7CAA">
        <w:t xml:space="preserve"> Graphs</w:t>
      </w:r>
      <w:r>
        <w:t xml:space="preserve"> – </w:t>
      </w:r>
      <w:r w:rsidR="00677840">
        <w:t xml:space="preserve">FY </w:t>
      </w:r>
      <w:r>
        <w:t>2023/24</w:t>
      </w:r>
      <w:bookmarkEnd w:id="24"/>
    </w:p>
    <w:p w14:paraId="7F0A5036" w14:textId="361592EB" w:rsidR="00BC091A" w:rsidRDefault="00BC091A" w:rsidP="00BC091A">
      <w:pPr>
        <w:pStyle w:val="NormalWeb"/>
      </w:pPr>
      <w:r>
        <w:rPr>
          <w:noProof/>
        </w:rPr>
        <w:drawing>
          <wp:inline distT="0" distB="0" distL="0" distR="0" wp14:anchorId="6A815798" wp14:editId="7B05F417">
            <wp:extent cx="5731510" cy="3026410"/>
            <wp:effectExtent l="19050" t="19050" r="21590" b="21590"/>
            <wp:docPr id="1545225076" name="Picture 4"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225076" name="Picture 4" descr="A graph on a white background&#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026410"/>
                    </a:xfrm>
                    <a:prstGeom prst="rect">
                      <a:avLst/>
                    </a:prstGeom>
                    <a:noFill/>
                    <a:ln>
                      <a:solidFill>
                        <a:schemeClr val="tx1"/>
                      </a:solidFill>
                    </a:ln>
                  </pic:spPr>
                </pic:pic>
              </a:graphicData>
            </a:graphic>
          </wp:inline>
        </w:drawing>
      </w:r>
    </w:p>
    <w:p w14:paraId="7A6F86E4" w14:textId="308D2668" w:rsidR="007E7944" w:rsidRDefault="00BC091A" w:rsidP="00BC091A">
      <w:pPr>
        <w:pStyle w:val="Heading2"/>
      </w:pPr>
      <w:bookmarkStart w:id="25" w:name="_Toc227525264"/>
      <w:r>
        <w:t>Oil Report</w:t>
      </w:r>
      <w:r w:rsidR="00DF7CAA">
        <w:t xml:space="preserve"> Graph</w:t>
      </w:r>
      <w:r>
        <w:t xml:space="preserve"> – </w:t>
      </w:r>
      <w:r w:rsidR="00677840">
        <w:t xml:space="preserve">FY </w:t>
      </w:r>
      <w:r>
        <w:t>2024/25</w:t>
      </w:r>
      <w:bookmarkEnd w:id="25"/>
    </w:p>
    <w:p w14:paraId="1699ED82" w14:textId="4DDB0157" w:rsidR="00406E6E" w:rsidRDefault="00406E6E" w:rsidP="00406E6E">
      <w:pPr>
        <w:pStyle w:val="NormalWeb"/>
      </w:pPr>
      <w:r>
        <w:rPr>
          <w:noProof/>
        </w:rPr>
        <w:drawing>
          <wp:inline distT="0" distB="0" distL="0" distR="0" wp14:anchorId="6CF53909" wp14:editId="5D00994D">
            <wp:extent cx="5731510" cy="3004820"/>
            <wp:effectExtent l="19050" t="19050" r="21590" b="24130"/>
            <wp:docPr id="1288041274" name="Picture 5"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041274" name="Picture 5" descr="A graph on a white background&#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004820"/>
                    </a:xfrm>
                    <a:prstGeom prst="rect">
                      <a:avLst/>
                    </a:prstGeom>
                    <a:noFill/>
                    <a:ln>
                      <a:solidFill>
                        <a:schemeClr val="tx1"/>
                      </a:solidFill>
                    </a:ln>
                  </pic:spPr>
                </pic:pic>
              </a:graphicData>
            </a:graphic>
          </wp:inline>
        </w:drawing>
      </w:r>
    </w:p>
    <w:p w14:paraId="45A4DF46" w14:textId="6404A918" w:rsidR="00406E6E" w:rsidRDefault="00406E6E" w:rsidP="00406E6E">
      <w:pPr>
        <w:pStyle w:val="Heading2"/>
      </w:pPr>
      <w:bookmarkStart w:id="26" w:name="_Toc227525265"/>
      <w:r>
        <w:lastRenderedPageBreak/>
        <w:t xml:space="preserve">Oil </w:t>
      </w:r>
      <w:r w:rsidR="00DF7CAA">
        <w:t>Report Graph</w:t>
      </w:r>
      <w:r>
        <w:t xml:space="preserve"> – </w:t>
      </w:r>
      <w:r w:rsidR="00677840">
        <w:t xml:space="preserve">FY </w:t>
      </w:r>
      <w:r>
        <w:t>2025/26</w:t>
      </w:r>
      <w:bookmarkEnd w:id="26"/>
    </w:p>
    <w:p w14:paraId="29BAD004" w14:textId="27DF9118" w:rsidR="00372329" w:rsidRDefault="00372329" w:rsidP="00372329">
      <w:pPr>
        <w:pStyle w:val="NormalWeb"/>
      </w:pPr>
      <w:r>
        <w:rPr>
          <w:noProof/>
        </w:rPr>
        <w:drawing>
          <wp:inline distT="0" distB="0" distL="0" distR="0" wp14:anchorId="1C4BF9CC" wp14:editId="64CE64DF">
            <wp:extent cx="5731510" cy="3032760"/>
            <wp:effectExtent l="19050" t="19050" r="21590" b="15240"/>
            <wp:docPr id="1323325814" name="Picture 6"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25814" name="Picture 6" descr="A graph on a white background&#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032760"/>
                    </a:xfrm>
                    <a:prstGeom prst="rect">
                      <a:avLst/>
                    </a:prstGeom>
                    <a:noFill/>
                    <a:ln>
                      <a:solidFill>
                        <a:schemeClr val="tx1"/>
                      </a:solidFill>
                    </a:ln>
                  </pic:spPr>
                </pic:pic>
              </a:graphicData>
            </a:graphic>
          </wp:inline>
        </w:drawing>
      </w:r>
    </w:p>
    <w:p w14:paraId="6BE5D6C5" w14:textId="77777777" w:rsidR="00406E6E" w:rsidRPr="00406E6E" w:rsidRDefault="00406E6E" w:rsidP="00406E6E"/>
    <w:sectPr w:rsidR="00406E6E" w:rsidRPr="00406E6E" w:rsidSect="004336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22B53" w14:textId="77777777" w:rsidR="004C28CA" w:rsidRDefault="004C28CA" w:rsidP="00A50900">
      <w:pPr>
        <w:spacing w:after="0" w:line="240" w:lineRule="auto"/>
      </w:pPr>
      <w:r>
        <w:separator/>
      </w:r>
    </w:p>
  </w:endnote>
  <w:endnote w:type="continuationSeparator" w:id="0">
    <w:p w14:paraId="4FF0FA3D" w14:textId="77777777" w:rsidR="004C28CA" w:rsidRDefault="004C28CA" w:rsidP="00A50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CB62FC" w14:textId="77777777" w:rsidR="00A50900" w:rsidRDefault="00A50900">
    <w:pPr>
      <w:pStyle w:val="Footer"/>
    </w:pPr>
    <w:r>
      <w:rPr>
        <w:noProof/>
      </w:rPr>
      <mc:AlternateContent>
        <mc:Choice Requires="wps">
          <w:drawing>
            <wp:anchor distT="0" distB="0" distL="0" distR="0" simplePos="0" relativeHeight="251659264" behindDoc="0" locked="0" layoutInCell="1" allowOverlap="1" wp14:anchorId="55E3D722" wp14:editId="20C129F7">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5E3D722"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922565"/>
      <w:docPartObj>
        <w:docPartGallery w:val="Page Numbers (Bottom of Page)"/>
        <w:docPartUnique/>
      </w:docPartObj>
    </w:sdtPr>
    <w:sdtEndPr>
      <w:rPr>
        <w:noProof/>
      </w:rPr>
    </w:sdtEndPr>
    <w:sdtContent>
      <w:p w14:paraId="08F1E614" w14:textId="7AC82D68" w:rsidR="00433677" w:rsidRDefault="004336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26895" w14:textId="32EB5392"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2E9F6" w14:textId="77777777" w:rsidR="00A50900" w:rsidRDefault="00A50900">
    <w:pPr>
      <w:pStyle w:val="Footer"/>
    </w:pPr>
    <w:r>
      <w:rPr>
        <w:noProof/>
      </w:rPr>
      <mc:AlternateContent>
        <mc:Choice Requires="wps">
          <w:drawing>
            <wp:anchor distT="0" distB="0" distL="0" distR="0" simplePos="0" relativeHeight="251656192" behindDoc="0" locked="0" layoutInCell="1" allowOverlap="1" wp14:anchorId="6A1C136B" wp14:editId="5221D865">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A1C136B"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619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63E15" w14:textId="77777777" w:rsidR="004C28CA" w:rsidRDefault="004C28CA" w:rsidP="00A50900">
      <w:pPr>
        <w:spacing w:after="0" w:line="240" w:lineRule="auto"/>
      </w:pPr>
      <w:r>
        <w:separator/>
      </w:r>
    </w:p>
  </w:footnote>
  <w:footnote w:type="continuationSeparator" w:id="0">
    <w:p w14:paraId="3B46EEC0" w14:textId="77777777" w:rsidR="004C28CA" w:rsidRDefault="004C28CA" w:rsidP="00A50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72C8"/>
    <w:multiLevelType w:val="multilevel"/>
    <w:tmpl w:val="5C327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C7282"/>
    <w:multiLevelType w:val="multilevel"/>
    <w:tmpl w:val="6E02C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069D7"/>
    <w:multiLevelType w:val="hybridMultilevel"/>
    <w:tmpl w:val="3050D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B4F62"/>
    <w:multiLevelType w:val="multilevel"/>
    <w:tmpl w:val="55D65BE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D175358"/>
    <w:multiLevelType w:val="multilevel"/>
    <w:tmpl w:val="2C0AD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050ABC"/>
    <w:multiLevelType w:val="multilevel"/>
    <w:tmpl w:val="09147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F9073D"/>
    <w:multiLevelType w:val="multilevel"/>
    <w:tmpl w:val="9F8C5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720802"/>
    <w:multiLevelType w:val="hybridMultilevel"/>
    <w:tmpl w:val="C8F6244A"/>
    <w:lvl w:ilvl="0" w:tplc="E5B886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B76F74"/>
    <w:multiLevelType w:val="multilevel"/>
    <w:tmpl w:val="F83E1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6A3FFB"/>
    <w:multiLevelType w:val="hybridMultilevel"/>
    <w:tmpl w:val="A5DC9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FD49BB"/>
    <w:multiLevelType w:val="hybridMultilevel"/>
    <w:tmpl w:val="B2F041EE"/>
    <w:lvl w:ilvl="0" w:tplc="E5B886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9F1C64"/>
    <w:multiLevelType w:val="multilevel"/>
    <w:tmpl w:val="AC66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12333A"/>
    <w:multiLevelType w:val="multilevel"/>
    <w:tmpl w:val="E0885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831AE3"/>
    <w:multiLevelType w:val="hybridMultilevel"/>
    <w:tmpl w:val="3E36144E"/>
    <w:lvl w:ilvl="0" w:tplc="E5B886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435C71"/>
    <w:multiLevelType w:val="multilevel"/>
    <w:tmpl w:val="62D29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264F45"/>
    <w:multiLevelType w:val="multilevel"/>
    <w:tmpl w:val="B04AA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3D20E9"/>
    <w:multiLevelType w:val="multilevel"/>
    <w:tmpl w:val="A738C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3212D7"/>
    <w:multiLevelType w:val="multilevel"/>
    <w:tmpl w:val="D1B6D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E20911"/>
    <w:multiLevelType w:val="multilevel"/>
    <w:tmpl w:val="285E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BB0DBC"/>
    <w:multiLevelType w:val="multilevel"/>
    <w:tmpl w:val="3378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DE643E"/>
    <w:multiLevelType w:val="multilevel"/>
    <w:tmpl w:val="FB84A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4257CE"/>
    <w:multiLevelType w:val="multilevel"/>
    <w:tmpl w:val="70AA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635BBB"/>
    <w:multiLevelType w:val="multilevel"/>
    <w:tmpl w:val="E3943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2F3A14"/>
    <w:multiLevelType w:val="hybridMultilevel"/>
    <w:tmpl w:val="A7169E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164707"/>
    <w:multiLevelType w:val="multilevel"/>
    <w:tmpl w:val="10F2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E52546"/>
    <w:multiLevelType w:val="multilevel"/>
    <w:tmpl w:val="3AF42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44114B"/>
    <w:multiLevelType w:val="multilevel"/>
    <w:tmpl w:val="507C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BE4F32"/>
    <w:multiLevelType w:val="multilevel"/>
    <w:tmpl w:val="01160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5D36A4"/>
    <w:multiLevelType w:val="hybridMultilevel"/>
    <w:tmpl w:val="9A289322"/>
    <w:lvl w:ilvl="0" w:tplc="E5B886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5C6AC8"/>
    <w:multiLevelType w:val="hybridMultilevel"/>
    <w:tmpl w:val="9FE6E4F6"/>
    <w:lvl w:ilvl="0" w:tplc="E5B886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A141E1"/>
    <w:multiLevelType w:val="multilevel"/>
    <w:tmpl w:val="304C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6E3F8B"/>
    <w:multiLevelType w:val="multilevel"/>
    <w:tmpl w:val="E3860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6F373D"/>
    <w:multiLevelType w:val="hybridMultilevel"/>
    <w:tmpl w:val="CC64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A16641"/>
    <w:multiLevelType w:val="hybridMultilevel"/>
    <w:tmpl w:val="2D4C0E10"/>
    <w:lvl w:ilvl="0" w:tplc="E5B886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A25A7A"/>
    <w:multiLevelType w:val="multilevel"/>
    <w:tmpl w:val="867A6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2F62AE"/>
    <w:multiLevelType w:val="multilevel"/>
    <w:tmpl w:val="04220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E44D1B"/>
    <w:multiLevelType w:val="multilevel"/>
    <w:tmpl w:val="B734E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1926CE"/>
    <w:multiLevelType w:val="multilevel"/>
    <w:tmpl w:val="F1B41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8098619">
    <w:abstractNumId w:val="3"/>
  </w:num>
  <w:num w:numId="2" w16cid:durableId="39787188">
    <w:abstractNumId w:val="22"/>
  </w:num>
  <w:num w:numId="3" w16cid:durableId="356539023">
    <w:abstractNumId w:val="19"/>
  </w:num>
  <w:num w:numId="4" w16cid:durableId="299237714">
    <w:abstractNumId w:val="30"/>
  </w:num>
  <w:num w:numId="5" w16cid:durableId="1816137447">
    <w:abstractNumId w:val="15"/>
  </w:num>
  <w:num w:numId="6" w16cid:durableId="2017415012">
    <w:abstractNumId w:val="24"/>
  </w:num>
  <w:num w:numId="7" w16cid:durableId="1077019503">
    <w:abstractNumId w:val="27"/>
  </w:num>
  <w:num w:numId="8" w16cid:durableId="1824001544">
    <w:abstractNumId w:val="20"/>
  </w:num>
  <w:num w:numId="9" w16cid:durableId="304354382">
    <w:abstractNumId w:val="1"/>
  </w:num>
  <w:num w:numId="10" w16cid:durableId="1930387714">
    <w:abstractNumId w:val="14"/>
  </w:num>
  <w:num w:numId="11" w16cid:durableId="571433599">
    <w:abstractNumId w:val="25"/>
  </w:num>
  <w:num w:numId="12" w16cid:durableId="2049137217">
    <w:abstractNumId w:val="26"/>
  </w:num>
  <w:num w:numId="13" w16cid:durableId="1493907276">
    <w:abstractNumId w:val="21"/>
  </w:num>
  <w:num w:numId="14" w16cid:durableId="1092970829">
    <w:abstractNumId w:val="6"/>
  </w:num>
  <w:num w:numId="15" w16cid:durableId="1559442188">
    <w:abstractNumId w:val="36"/>
  </w:num>
  <w:num w:numId="16" w16cid:durableId="1220357646">
    <w:abstractNumId w:val="4"/>
  </w:num>
  <w:num w:numId="17" w16cid:durableId="1192305070">
    <w:abstractNumId w:val="23"/>
  </w:num>
  <w:num w:numId="18" w16cid:durableId="1298687130">
    <w:abstractNumId w:val="16"/>
  </w:num>
  <w:num w:numId="19" w16cid:durableId="484972269">
    <w:abstractNumId w:val="12"/>
  </w:num>
  <w:num w:numId="20" w16cid:durableId="21902432">
    <w:abstractNumId w:val="18"/>
  </w:num>
  <w:num w:numId="21" w16cid:durableId="1512987808">
    <w:abstractNumId w:val="5"/>
  </w:num>
  <w:num w:numId="22" w16cid:durableId="969282991">
    <w:abstractNumId w:val="35"/>
  </w:num>
  <w:num w:numId="23" w16cid:durableId="2141920275">
    <w:abstractNumId w:val="31"/>
  </w:num>
  <w:num w:numId="24" w16cid:durableId="582646158">
    <w:abstractNumId w:val="11"/>
  </w:num>
  <w:num w:numId="25" w16cid:durableId="825129775">
    <w:abstractNumId w:val="17"/>
  </w:num>
  <w:num w:numId="26" w16cid:durableId="295989227">
    <w:abstractNumId w:val="34"/>
  </w:num>
  <w:num w:numId="27" w16cid:durableId="1783845110">
    <w:abstractNumId w:val="9"/>
  </w:num>
  <w:num w:numId="28" w16cid:durableId="1909220368">
    <w:abstractNumId w:val="8"/>
  </w:num>
  <w:num w:numId="29" w16cid:durableId="198323306">
    <w:abstractNumId w:val="37"/>
  </w:num>
  <w:num w:numId="30" w16cid:durableId="1838114066">
    <w:abstractNumId w:val="0"/>
  </w:num>
  <w:num w:numId="31" w16cid:durableId="1572500613">
    <w:abstractNumId w:val="32"/>
  </w:num>
  <w:num w:numId="32" w16cid:durableId="1568760091">
    <w:abstractNumId w:val="2"/>
  </w:num>
  <w:num w:numId="33" w16cid:durableId="453060753">
    <w:abstractNumId w:val="28"/>
  </w:num>
  <w:num w:numId="34" w16cid:durableId="1243880351">
    <w:abstractNumId w:val="29"/>
  </w:num>
  <w:num w:numId="35" w16cid:durableId="995885088">
    <w:abstractNumId w:val="33"/>
  </w:num>
  <w:num w:numId="36" w16cid:durableId="777220324">
    <w:abstractNumId w:val="10"/>
  </w:num>
  <w:num w:numId="37" w16cid:durableId="1299799177">
    <w:abstractNumId w:val="13"/>
  </w:num>
  <w:num w:numId="38" w16cid:durableId="14054480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28FB"/>
    <w:rsid w:val="000043AB"/>
    <w:rsid w:val="000059FC"/>
    <w:rsid w:val="00005F27"/>
    <w:rsid w:val="00016E8C"/>
    <w:rsid w:val="00025349"/>
    <w:rsid w:val="0004566D"/>
    <w:rsid w:val="0004647C"/>
    <w:rsid w:val="00046746"/>
    <w:rsid w:val="0004757C"/>
    <w:rsid w:val="000477AF"/>
    <w:rsid w:val="000613AF"/>
    <w:rsid w:val="00065052"/>
    <w:rsid w:val="000717DD"/>
    <w:rsid w:val="00074D7C"/>
    <w:rsid w:val="00084314"/>
    <w:rsid w:val="00084EB0"/>
    <w:rsid w:val="000903E5"/>
    <w:rsid w:val="000A2E9C"/>
    <w:rsid w:val="000A489C"/>
    <w:rsid w:val="000A7CE3"/>
    <w:rsid w:val="000C575D"/>
    <w:rsid w:val="000E573A"/>
    <w:rsid w:val="000E6253"/>
    <w:rsid w:val="000E75DE"/>
    <w:rsid w:val="000F2D3F"/>
    <w:rsid w:val="000F4059"/>
    <w:rsid w:val="0010589A"/>
    <w:rsid w:val="00113252"/>
    <w:rsid w:val="00114370"/>
    <w:rsid w:val="00121D9C"/>
    <w:rsid w:val="0012447B"/>
    <w:rsid w:val="001428E9"/>
    <w:rsid w:val="001466CE"/>
    <w:rsid w:val="00147EE5"/>
    <w:rsid w:val="00166CC3"/>
    <w:rsid w:val="00173B49"/>
    <w:rsid w:val="00182BAE"/>
    <w:rsid w:val="0018540D"/>
    <w:rsid w:val="001A0B1E"/>
    <w:rsid w:val="001A3D50"/>
    <w:rsid w:val="001A4168"/>
    <w:rsid w:val="001A6886"/>
    <w:rsid w:val="001A698C"/>
    <w:rsid w:val="001B1C60"/>
    <w:rsid w:val="001C4FB4"/>
    <w:rsid w:val="001C4FDA"/>
    <w:rsid w:val="001E1A96"/>
    <w:rsid w:val="001E58F7"/>
    <w:rsid w:val="001E67F3"/>
    <w:rsid w:val="001F29CD"/>
    <w:rsid w:val="001F617C"/>
    <w:rsid w:val="001F75B5"/>
    <w:rsid w:val="00212846"/>
    <w:rsid w:val="00213196"/>
    <w:rsid w:val="002155AC"/>
    <w:rsid w:val="00217E0B"/>
    <w:rsid w:val="002213C6"/>
    <w:rsid w:val="00240B10"/>
    <w:rsid w:val="002570D3"/>
    <w:rsid w:val="00262054"/>
    <w:rsid w:val="0026573F"/>
    <w:rsid w:val="0027060E"/>
    <w:rsid w:val="00290454"/>
    <w:rsid w:val="00294C22"/>
    <w:rsid w:val="002A07A2"/>
    <w:rsid w:val="002A6D37"/>
    <w:rsid w:val="002B1993"/>
    <w:rsid w:val="002C0176"/>
    <w:rsid w:val="002C3BD5"/>
    <w:rsid w:val="002C4FE6"/>
    <w:rsid w:val="002D3B40"/>
    <w:rsid w:val="002D56F4"/>
    <w:rsid w:val="002D5876"/>
    <w:rsid w:val="002E445F"/>
    <w:rsid w:val="002E6306"/>
    <w:rsid w:val="002F0E36"/>
    <w:rsid w:val="002F6391"/>
    <w:rsid w:val="002F7E56"/>
    <w:rsid w:val="00300F75"/>
    <w:rsid w:val="00317209"/>
    <w:rsid w:val="00317B5E"/>
    <w:rsid w:val="00334CC4"/>
    <w:rsid w:val="003442DE"/>
    <w:rsid w:val="00346068"/>
    <w:rsid w:val="0035055B"/>
    <w:rsid w:val="003541B1"/>
    <w:rsid w:val="00372329"/>
    <w:rsid w:val="00373307"/>
    <w:rsid w:val="00377B54"/>
    <w:rsid w:val="003830F4"/>
    <w:rsid w:val="00390769"/>
    <w:rsid w:val="003A27E5"/>
    <w:rsid w:val="003A4F30"/>
    <w:rsid w:val="003A7E50"/>
    <w:rsid w:val="003B309B"/>
    <w:rsid w:val="003B5D89"/>
    <w:rsid w:val="003B6F2D"/>
    <w:rsid w:val="003D5A43"/>
    <w:rsid w:val="003E7567"/>
    <w:rsid w:val="003F4982"/>
    <w:rsid w:val="00406E6E"/>
    <w:rsid w:val="00411B47"/>
    <w:rsid w:val="00425FA4"/>
    <w:rsid w:val="0042721A"/>
    <w:rsid w:val="004330C9"/>
    <w:rsid w:val="00433677"/>
    <w:rsid w:val="004418F3"/>
    <w:rsid w:val="00450935"/>
    <w:rsid w:val="0045332E"/>
    <w:rsid w:val="00453684"/>
    <w:rsid w:val="004566EA"/>
    <w:rsid w:val="004572C4"/>
    <w:rsid w:val="00462327"/>
    <w:rsid w:val="004625D0"/>
    <w:rsid w:val="00466EC6"/>
    <w:rsid w:val="00471AC6"/>
    <w:rsid w:val="00476018"/>
    <w:rsid w:val="00476F20"/>
    <w:rsid w:val="004805E9"/>
    <w:rsid w:val="00482E31"/>
    <w:rsid w:val="00483C7C"/>
    <w:rsid w:val="00485F3C"/>
    <w:rsid w:val="00486054"/>
    <w:rsid w:val="0049784D"/>
    <w:rsid w:val="004B2236"/>
    <w:rsid w:val="004C28CA"/>
    <w:rsid w:val="004C403C"/>
    <w:rsid w:val="004D5A85"/>
    <w:rsid w:val="004E1C6C"/>
    <w:rsid w:val="004F4BEE"/>
    <w:rsid w:val="004F6A11"/>
    <w:rsid w:val="00502B06"/>
    <w:rsid w:val="00505921"/>
    <w:rsid w:val="005106A9"/>
    <w:rsid w:val="005126C4"/>
    <w:rsid w:val="00515AC0"/>
    <w:rsid w:val="00524EA3"/>
    <w:rsid w:val="00525D0D"/>
    <w:rsid w:val="00532EB0"/>
    <w:rsid w:val="00537117"/>
    <w:rsid w:val="00541FF9"/>
    <w:rsid w:val="005427DA"/>
    <w:rsid w:val="00542BC2"/>
    <w:rsid w:val="00544D17"/>
    <w:rsid w:val="005475BF"/>
    <w:rsid w:val="005504C8"/>
    <w:rsid w:val="0056435A"/>
    <w:rsid w:val="005650BA"/>
    <w:rsid w:val="00566F50"/>
    <w:rsid w:val="00577562"/>
    <w:rsid w:val="005867EE"/>
    <w:rsid w:val="0059217A"/>
    <w:rsid w:val="00592A5C"/>
    <w:rsid w:val="00594D80"/>
    <w:rsid w:val="00597617"/>
    <w:rsid w:val="005A47D0"/>
    <w:rsid w:val="005D07F6"/>
    <w:rsid w:val="005D3687"/>
    <w:rsid w:val="005F45FC"/>
    <w:rsid w:val="005F6AF0"/>
    <w:rsid w:val="006077FB"/>
    <w:rsid w:val="0062213F"/>
    <w:rsid w:val="00624A81"/>
    <w:rsid w:val="00637FCD"/>
    <w:rsid w:val="00643621"/>
    <w:rsid w:val="00646C35"/>
    <w:rsid w:val="006547F6"/>
    <w:rsid w:val="006605E5"/>
    <w:rsid w:val="00675902"/>
    <w:rsid w:val="00677840"/>
    <w:rsid w:val="00690F32"/>
    <w:rsid w:val="006979B9"/>
    <w:rsid w:val="006A02BD"/>
    <w:rsid w:val="006A68A6"/>
    <w:rsid w:val="006A7632"/>
    <w:rsid w:val="006B2527"/>
    <w:rsid w:val="006D777B"/>
    <w:rsid w:val="006E183F"/>
    <w:rsid w:val="006F042B"/>
    <w:rsid w:val="006F130B"/>
    <w:rsid w:val="006F793B"/>
    <w:rsid w:val="00700C6E"/>
    <w:rsid w:val="007045D7"/>
    <w:rsid w:val="007111F3"/>
    <w:rsid w:val="00713048"/>
    <w:rsid w:val="0073210C"/>
    <w:rsid w:val="00734955"/>
    <w:rsid w:val="00734DE5"/>
    <w:rsid w:val="00737261"/>
    <w:rsid w:val="00746C5A"/>
    <w:rsid w:val="00754100"/>
    <w:rsid w:val="00762887"/>
    <w:rsid w:val="00772CD0"/>
    <w:rsid w:val="00773711"/>
    <w:rsid w:val="00775748"/>
    <w:rsid w:val="00781AC6"/>
    <w:rsid w:val="00786C79"/>
    <w:rsid w:val="00787A96"/>
    <w:rsid w:val="007919C3"/>
    <w:rsid w:val="00794DA0"/>
    <w:rsid w:val="007A5CFC"/>
    <w:rsid w:val="007C0374"/>
    <w:rsid w:val="007C31F1"/>
    <w:rsid w:val="007C4800"/>
    <w:rsid w:val="007C4A05"/>
    <w:rsid w:val="007C6CBA"/>
    <w:rsid w:val="007D33A1"/>
    <w:rsid w:val="007D35A5"/>
    <w:rsid w:val="007E4819"/>
    <w:rsid w:val="007E7944"/>
    <w:rsid w:val="007F3BE0"/>
    <w:rsid w:val="00814C5B"/>
    <w:rsid w:val="00814E66"/>
    <w:rsid w:val="0081547F"/>
    <w:rsid w:val="0082026C"/>
    <w:rsid w:val="00824BB8"/>
    <w:rsid w:val="00824BD0"/>
    <w:rsid w:val="008278B8"/>
    <w:rsid w:val="008303A0"/>
    <w:rsid w:val="00831A1B"/>
    <w:rsid w:val="0084547E"/>
    <w:rsid w:val="008470B9"/>
    <w:rsid w:val="00847E22"/>
    <w:rsid w:val="008504DD"/>
    <w:rsid w:val="00854917"/>
    <w:rsid w:val="0087633B"/>
    <w:rsid w:val="00876962"/>
    <w:rsid w:val="008846E2"/>
    <w:rsid w:val="00894850"/>
    <w:rsid w:val="008B1144"/>
    <w:rsid w:val="008B145C"/>
    <w:rsid w:val="008C3848"/>
    <w:rsid w:val="008D1E9B"/>
    <w:rsid w:val="008D565E"/>
    <w:rsid w:val="008D5E1B"/>
    <w:rsid w:val="008E58A7"/>
    <w:rsid w:val="008F089B"/>
    <w:rsid w:val="00905679"/>
    <w:rsid w:val="00913645"/>
    <w:rsid w:val="00924989"/>
    <w:rsid w:val="009310A8"/>
    <w:rsid w:val="009405CD"/>
    <w:rsid w:val="009448B4"/>
    <w:rsid w:val="00952328"/>
    <w:rsid w:val="00953BB0"/>
    <w:rsid w:val="00954F62"/>
    <w:rsid w:val="009575F3"/>
    <w:rsid w:val="00961396"/>
    <w:rsid w:val="0097110A"/>
    <w:rsid w:val="0097291E"/>
    <w:rsid w:val="00972C83"/>
    <w:rsid w:val="00974E65"/>
    <w:rsid w:val="00976396"/>
    <w:rsid w:val="00986716"/>
    <w:rsid w:val="00993380"/>
    <w:rsid w:val="009A19BB"/>
    <w:rsid w:val="009B33BE"/>
    <w:rsid w:val="009C0831"/>
    <w:rsid w:val="009C39A7"/>
    <w:rsid w:val="009C66A3"/>
    <w:rsid w:val="009D2AE3"/>
    <w:rsid w:val="009D49D9"/>
    <w:rsid w:val="009D643E"/>
    <w:rsid w:val="009D6967"/>
    <w:rsid w:val="009E5F13"/>
    <w:rsid w:val="009F3EBB"/>
    <w:rsid w:val="009F4AFE"/>
    <w:rsid w:val="009F5305"/>
    <w:rsid w:val="009F5ED2"/>
    <w:rsid w:val="009F732E"/>
    <w:rsid w:val="00A01FB6"/>
    <w:rsid w:val="00A11636"/>
    <w:rsid w:val="00A22139"/>
    <w:rsid w:val="00A270B5"/>
    <w:rsid w:val="00A2737A"/>
    <w:rsid w:val="00A330A6"/>
    <w:rsid w:val="00A3574B"/>
    <w:rsid w:val="00A45321"/>
    <w:rsid w:val="00A45576"/>
    <w:rsid w:val="00A4571F"/>
    <w:rsid w:val="00A45832"/>
    <w:rsid w:val="00A50900"/>
    <w:rsid w:val="00A50CE7"/>
    <w:rsid w:val="00A52F26"/>
    <w:rsid w:val="00A53B07"/>
    <w:rsid w:val="00A656DC"/>
    <w:rsid w:val="00A755E8"/>
    <w:rsid w:val="00A80E4D"/>
    <w:rsid w:val="00A83FDA"/>
    <w:rsid w:val="00A94F44"/>
    <w:rsid w:val="00AA2BBA"/>
    <w:rsid w:val="00AB1555"/>
    <w:rsid w:val="00AB19DC"/>
    <w:rsid w:val="00AC031B"/>
    <w:rsid w:val="00AC10D0"/>
    <w:rsid w:val="00AC1B1F"/>
    <w:rsid w:val="00AC4175"/>
    <w:rsid w:val="00AC59EF"/>
    <w:rsid w:val="00AC655C"/>
    <w:rsid w:val="00AD5C71"/>
    <w:rsid w:val="00AD69D5"/>
    <w:rsid w:val="00AE0BF6"/>
    <w:rsid w:val="00AE4D5C"/>
    <w:rsid w:val="00AE565F"/>
    <w:rsid w:val="00B03A48"/>
    <w:rsid w:val="00B04A9B"/>
    <w:rsid w:val="00B111E1"/>
    <w:rsid w:val="00B1583B"/>
    <w:rsid w:val="00B3091F"/>
    <w:rsid w:val="00B3397A"/>
    <w:rsid w:val="00B35E1A"/>
    <w:rsid w:val="00B373CD"/>
    <w:rsid w:val="00B41E22"/>
    <w:rsid w:val="00B452EB"/>
    <w:rsid w:val="00B5259F"/>
    <w:rsid w:val="00B528E4"/>
    <w:rsid w:val="00B5516E"/>
    <w:rsid w:val="00B647FC"/>
    <w:rsid w:val="00B74542"/>
    <w:rsid w:val="00B7737C"/>
    <w:rsid w:val="00B80238"/>
    <w:rsid w:val="00B824B7"/>
    <w:rsid w:val="00B8467D"/>
    <w:rsid w:val="00B9028A"/>
    <w:rsid w:val="00B929D8"/>
    <w:rsid w:val="00B93F19"/>
    <w:rsid w:val="00B96DDC"/>
    <w:rsid w:val="00BA0C85"/>
    <w:rsid w:val="00BA117D"/>
    <w:rsid w:val="00BA2DB1"/>
    <w:rsid w:val="00BB0690"/>
    <w:rsid w:val="00BB41CB"/>
    <w:rsid w:val="00BB44EE"/>
    <w:rsid w:val="00BB5317"/>
    <w:rsid w:val="00BC091A"/>
    <w:rsid w:val="00BC0C83"/>
    <w:rsid w:val="00BD4021"/>
    <w:rsid w:val="00BE0BB4"/>
    <w:rsid w:val="00BF54E2"/>
    <w:rsid w:val="00BF6EAB"/>
    <w:rsid w:val="00BF6EDD"/>
    <w:rsid w:val="00C0627D"/>
    <w:rsid w:val="00C12B3F"/>
    <w:rsid w:val="00C159CA"/>
    <w:rsid w:val="00C17613"/>
    <w:rsid w:val="00C17920"/>
    <w:rsid w:val="00C205DB"/>
    <w:rsid w:val="00C52E18"/>
    <w:rsid w:val="00C85BE0"/>
    <w:rsid w:val="00C867B5"/>
    <w:rsid w:val="00C878A0"/>
    <w:rsid w:val="00C87A84"/>
    <w:rsid w:val="00C969CF"/>
    <w:rsid w:val="00CA5AF2"/>
    <w:rsid w:val="00CA6BB8"/>
    <w:rsid w:val="00CB241D"/>
    <w:rsid w:val="00CB403A"/>
    <w:rsid w:val="00CD15C6"/>
    <w:rsid w:val="00CD2CF0"/>
    <w:rsid w:val="00CD376F"/>
    <w:rsid w:val="00CE0729"/>
    <w:rsid w:val="00CE2136"/>
    <w:rsid w:val="00CE3711"/>
    <w:rsid w:val="00CF16CB"/>
    <w:rsid w:val="00D01FCF"/>
    <w:rsid w:val="00D02241"/>
    <w:rsid w:val="00D077AD"/>
    <w:rsid w:val="00D129B4"/>
    <w:rsid w:val="00D14D21"/>
    <w:rsid w:val="00D15EA9"/>
    <w:rsid w:val="00D2215A"/>
    <w:rsid w:val="00D23863"/>
    <w:rsid w:val="00D26AE5"/>
    <w:rsid w:val="00D371A1"/>
    <w:rsid w:val="00D41441"/>
    <w:rsid w:val="00D436E6"/>
    <w:rsid w:val="00D52097"/>
    <w:rsid w:val="00D6173C"/>
    <w:rsid w:val="00D7166B"/>
    <w:rsid w:val="00D72985"/>
    <w:rsid w:val="00D82F71"/>
    <w:rsid w:val="00D84755"/>
    <w:rsid w:val="00D90C63"/>
    <w:rsid w:val="00DA2750"/>
    <w:rsid w:val="00DB3107"/>
    <w:rsid w:val="00DD0889"/>
    <w:rsid w:val="00DF13D5"/>
    <w:rsid w:val="00DF7CAA"/>
    <w:rsid w:val="00E05051"/>
    <w:rsid w:val="00E101C1"/>
    <w:rsid w:val="00E31E60"/>
    <w:rsid w:val="00E41EE6"/>
    <w:rsid w:val="00E4517F"/>
    <w:rsid w:val="00E456FB"/>
    <w:rsid w:val="00E46927"/>
    <w:rsid w:val="00E523BF"/>
    <w:rsid w:val="00E54D4C"/>
    <w:rsid w:val="00E553A9"/>
    <w:rsid w:val="00E6772D"/>
    <w:rsid w:val="00E71E99"/>
    <w:rsid w:val="00EB4BA3"/>
    <w:rsid w:val="00EB7A3E"/>
    <w:rsid w:val="00EB7BF0"/>
    <w:rsid w:val="00EC40B2"/>
    <w:rsid w:val="00EE2B4E"/>
    <w:rsid w:val="00EE50A8"/>
    <w:rsid w:val="00EE57DB"/>
    <w:rsid w:val="00EF05E5"/>
    <w:rsid w:val="00EF4B2A"/>
    <w:rsid w:val="00F23ECC"/>
    <w:rsid w:val="00F337F9"/>
    <w:rsid w:val="00F458CD"/>
    <w:rsid w:val="00F6320A"/>
    <w:rsid w:val="00F72D93"/>
    <w:rsid w:val="00F843D0"/>
    <w:rsid w:val="00F84B9B"/>
    <w:rsid w:val="00F9410E"/>
    <w:rsid w:val="00F9474E"/>
    <w:rsid w:val="00F9653A"/>
    <w:rsid w:val="00FA2F61"/>
    <w:rsid w:val="00FA4A51"/>
    <w:rsid w:val="00FA4CB7"/>
    <w:rsid w:val="00FB71D1"/>
    <w:rsid w:val="00FC069C"/>
    <w:rsid w:val="00FD0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5D8015"/>
  <w15:chartTrackingRefBased/>
  <w15:docId w15:val="{C3BA3EF1-D544-4F73-AF5D-503D2227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8B145C"/>
  </w:style>
  <w:style w:type="paragraph" w:styleId="NormalWeb">
    <w:name w:val="Normal (Web)"/>
    <w:basedOn w:val="Normal"/>
    <w:uiPriority w:val="99"/>
    <w:semiHidden/>
    <w:unhideWhenUsed/>
    <w:rsid w:val="006221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93380"/>
    <w:rPr>
      <w:i/>
      <w:iCs/>
    </w:rPr>
  </w:style>
  <w:style w:type="character" w:customStyle="1" w:styleId="whitespace-normal">
    <w:name w:val="whitespace-normal"/>
    <w:basedOn w:val="DefaultParagraphFont"/>
    <w:rsid w:val="00B1583B"/>
  </w:style>
  <w:style w:type="character" w:styleId="UnresolvedMention">
    <w:name w:val="Unresolved Mention"/>
    <w:basedOn w:val="DefaultParagraphFont"/>
    <w:uiPriority w:val="99"/>
    <w:semiHidden/>
    <w:unhideWhenUsed/>
    <w:rsid w:val="005867EE"/>
    <w:rPr>
      <w:color w:val="605E5C"/>
      <w:shd w:val="clear" w:color="auto" w:fill="E1DFDD"/>
    </w:rPr>
  </w:style>
  <w:style w:type="character" w:styleId="FollowedHyperlink">
    <w:name w:val="FollowedHyperlink"/>
    <w:basedOn w:val="DefaultParagraphFont"/>
    <w:uiPriority w:val="99"/>
    <w:semiHidden/>
    <w:unhideWhenUsed/>
    <w:rsid w:val="009E5F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0220">
      <w:bodyDiv w:val="1"/>
      <w:marLeft w:val="0"/>
      <w:marRight w:val="0"/>
      <w:marTop w:val="0"/>
      <w:marBottom w:val="0"/>
      <w:divBdr>
        <w:top w:val="none" w:sz="0" w:space="0" w:color="auto"/>
        <w:left w:val="none" w:sz="0" w:space="0" w:color="auto"/>
        <w:bottom w:val="none" w:sz="0" w:space="0" w:color="auto"/>
        <w:right w:val="none" w:sz="0" w:space="0" w:color="auto"/>
      </w:divBdr>
    </w:div>
    <w:div w:id="36590749">
      <w:bodyDiv w:val="1"/>
      <w:marLeft w:val="0"/>
      <w:marRight w:val="0"/>
      <w:marTop w:val="0"/>
      <w:marBottom w:val="0"/>
      <w:divBdr>
        <w:top w:val="none" w:sz="0" w:space="0" w:color="auto"/>
        <w:left w:val="none" w:sz="0" w:space="0" w:color="auto"/>
        <w:bottom w:val="none" w:sz="0" w:space="0" w:color="auto"/>
        <w:right w:val="none" w:sz="0" w:space="0" w:color="auto"/>
      </w:divBdr>
    </w:div>
    <w:div w:id="44183491">
      <w:bodyDiv w:val="1"/>
      <w:marLeft w:val="0"/>
      <w:marRight w:val="0"/>
      <w:marTop w:val="0"/>
      <w:marBottom w:val="0"/>
      <w:divBdr>
        <w:top w:val="none" w:sz="0" w:space="0" w:color="auto"/>
        <w:left w:val="none" w:sz="0" w:space="0" w:color="auto"/>
        <w:bottom w:val="none" w:sz="0" w:space="0" w:color="auto"/>
        <w:right w:val="none" w:sz="0" w:space="0" w:color="auto"/>
      </w:divBdr>
    </w:div>
    <w:div w:id="79179087">
      <w:bodyDiv w:val="1"/>
      <w:marLeft w:val="0"/>
      <w:marRight w:val="0"/>
      <w:marTop w:val="0"/>
      <w:marBottom w:val="0"/>
      <w:divBdr>
        <w:top w:val="none" w:sz="0" w:space="0" w:color="auto"/>
        <w:left w:val="none" w:sz="0" w:space="0" w:color="auto"/>
        <w:bottom w:val="none" w:sz="0" w:space="0" w:color="auto"/>
        <w:right w:val="none" w:sz="0" w:space="0" w:color="auto"/>
      </w:divBdr>
    </w:div>
    <w:div w:id="85544800">
      <w:bodyDiv w:val="1"/>
      <w:marLeft w:val="0"/>
      <w:marRight w:val="0"/>
      <w:marTop w:val="0"/>
      <w:marBottom w:val="0"/>
      <w:divBdr>
        <w:top w:val="none" w:sz="0" w:space="0" w:color="auto"/>
        <w:left w:val="none" w:sz="0" w:space="0" w:color="auto"/>
        <w:bottom w:val="none" w:sz="0" w:space="0" w:color="auto"/>
        <w:right w:val="none" w:sz="0" w:space="0" w:color="auto"/>
      </w:divBdr>
    </w:div>
    <w:div w:id="86927371">
      <w:bodyDiv w:val="1"/>
      <w:marLeft w:val="0"/>
      <w:marRight w:val="0"/>
      <w:marTop w:val="0"/>
      <w:marBottom w:val="0"/>
      <w:divBdr>
        <w:top w:val="none" w:sz="0" w:space="0" w:color="auto"/>
        <w:left w:val="none" w:sz="0" w:space="0" w:color="auto"/>
        <w:bottom w:val="none" w:sz="0" w:space="0" w:color="auto"/>
        <w:right w:val="none" w:sz="0" w:space="0" w:color="auto"/>
      </w:divBdr>
    </w:div>
    <w:div w:id="101384591">
      <w:bodyDiv w:val="1"/>
      <w:marLeft w:val="0"/>
      <w:marRight w:val="0"/>
      <w:marTop w:val="0"/>
      <w:marBottom w:val="0"/>
      <w:divBdr>
        <w:top w:val="none" w:sz="0" w:space="0" w:color="auto"/>
        <w:left w:val="none" w:sz="0" w:space="0" w:color="auto"/>
        <w:bottom w:val="none" w:sz="0" w:space="0" w:color="auto"/>
        <w:right w:val="none" w:sz="0" w:space="0" w:color="auto"/>
      </w:divBdr>
    </w:div>
    <w:div w:id="104422143">
      <w:bodyDiv w:val="1"/>
      <w:marLeft w:val="0"/>
      <w:marRight w:val="0"/>
      <w:marTop w:val="0"/>
      <w:marBottom w:val="0"/>
      <w:divBdr>
        <w:top w:val="none" w:sz="0" w:space="0" w:color="auto"/>
        <w:left w:val="none" w:sz="0" w:space="0" w:color="auto"/>
        <w:bottom w:val="none" w:sz="0" w:space="0" w:color="auto"/>
        <w:right w:val="none" w:sz="0" w:space="0" w:color="auto"/>
      </w:divBdr>
    </w:div>
    <w:div w:id="134640736">
      <w:bodyDiv w:val="1"/>
      <w:marLeft w:val="0"/>
      <w:marRight w:val="0"/>
      <w:marTop w:val="0"/>
      <w:marBottom w:val="0"/>
      <w:divBdr>
        <w:top w:val="none" w:sz="0" w:space="0" w:color="auto"/>
        <w:left w:val="none" w:sz="0" w:space="0" w:color="auto"/>
        <w:bottom w:val="none" w:sz="0" w:space="0" w:color="auto"/>
        <w:right w:val="none" w:sz="0" w:space="0" w:color="auto"/>
      </w:divBdr>
    </w:div>
    <w:div w:id="139426980">
      <w:bodyDiv w:val="1"/>
      <w:marLeft w:val="0"/>
      <w:marRight w:val="0"/>
      <w:marTop w:val="0"/>
      <w:marBottom w:val="0"/>
      <w:divBdr>
        <w:top w:val="none" w:sz="0" w:space="0" w:color="auto"/>
        <w:left w:val="none" w:sz="0" w:space="0" w:color="auto"/>
        <w:bottom w:val="none" w:sz="0" w:space="0" w:color="auto"/>
        <w:right w:val="none" w:sz="0" w:space="0" w:color="auto"/>
      </w:divBdr>
    </w:div>
    <w:div w:id="166944903">
      <w:bodyDiv w:val="1"/>
      <w:marLeft w:val="0"/>
      <w:marRight w:val="0"/>
      <w:marTop w:val="0"/>
      <w:marBottom w:val="0"/>
      <w:divBdr>
        <w:top w:val="none" w:sz="0" w:space="0" w:color="auto"/>
        <w:left w:val="none" w:sz="0" w:space="0" w:color="auto"/>
        <w:bottom w:val="none" w:sz="0" w:space="0" w:color="auto"/>
        <w:right w:val="none" w:sz="0" w:space="0" w:color="auto"/>
      </w:divBdr>
    </w:div>
    <w:div w:id="167335473">
      <w:bodyDiv w:val="1"/>
      <w:marLeft w:val="0"/>
      <w:marRight w:val="0"/>
      <w:marTop w:val="0"/>
      <w:marBottom w:val="0"/>
      <w:divBdr>
        <w:top w:val="none" w:sz="0" w:space="0" w:color="auto"/>
        <w:left w:val="none" w:sz="0" w:space="0" w:color="auto"/>
        <w:bottom w:val="none" w:sz="0" w:space="0" w:color="auto"/>
        <w:right w:val="none" w:sz="0" w:space="0" w:color="auto"/>
      </w:divBdr>
    </w:div>
    <w:div w:id="193612957">
      <w:bodyDiv w:val="1"/>
      <w:marLeft w:val="0"/>
      <w:marRight w:val="0"/>
      <w:marTop w:val="0"/>
      <w:marBottom w:val="0"/>
      <w:divBdr>
        <w:top w:val="none" w:sz="0" w:space="0" w:color="auto"/>
        <w:left w:val="none" w:sz="0" w:space="0" w:color="auto"/>
        <w:bottom w:val="none" w:sz="0" w:space="0" w:color="auto"/>
        <w:right w:val="none" w:sz="0" w:space="0" w:color="auto"/>
      </w:divBdr>
    </w:div>
    <w:div w:id="239753874">
      <w:bodyDiv w:val="1"/>
      <w:marLeft w:val="0"/>
      <w:marRight w:val="0"/>
      <w:marTop w:val="0"/>
      <w:marBottom w:val="0"/>
      <w:divBdr>
        <w:top w:val="none" w:sz="0" w:space="0" w:color="auto"/>
        <w:left w:val="none" w:sz="0" w:space="0" w:color="auto"/>
        <w:bottom w:val="none" w:sz="0" w:space="0" w:color="auto"/>
        <w:right w:val="none" w:sz="0" w:space="0" w:color="auto"/>
      </w:divBdr>
    </w:div>
    <w:div w:id="251663409">
      <w:bodyDiv w:val="1"/>
      <w:marLeft w:val="0"/>
      <w:marRight w:val="0"/>
      <w:marTop w:val="0"/>
      <w:marBottom w:val="0"/>
      <w:divBdr>
        <w:top w:val="none" w:sz="0" w:space="0" w:color="auto"/>
        <w:left w:val="none" w:sz="0" w:space="0" w:color="auto"/>
        <w:bottom w:val="none" w:sz="0" w:space="0" w:color="auto"/>
        <w:right w:val="none" w:sz="0" w:space="0" w:color="auto"/>
      </w:divBdr>
    </w:div>
    <w:div w:id="285695492">
      <w:bodyDiv w:val="1"/>
      <w:marLeft w:val="0"/>
      <w:marRight w:val="0"/>
      <w:marTop w:val="0"/>
      <w:marBottom w:val="0"/>
      <w:divBdr>
        <w:top w:val="none" w:sz="0" w:space="0" w:color="auto"/>
        <w:left w:val="none" w:sz="0" w:space="0" w:color="auto"/>
        <w:bottom w:val="none" w:sz="0" w:space="0" w:color="auto"/>
        <w:right w:val="none" w:sz="0" w:space="0" w:color="auto"/>
      </w:divBdr>
    </w:div>
    <w:div w:id="315036028">
      <w:bodyDiv w:val="1"/>
      <w:marLeft w:val="0"/>
      <w:marRight w:val="0"/>
      <w:marTop w:val="0"/>
      <w:marBottom w:val="0"/>
      <w:divBdr>
        <w:top w:val="none" w:sz="0" w:space="0" w:color="auto"/>
        <w:left w:val="none" w:sz="0" w:space="0" w:color="auto"/>
        <w:bottom w:val="none" w:sz="0" w:space="0" w:color="auto"/>
        <w:right w:val="none" w:sz="0" w:space="0" w:color="auto"/>
      </w:divBdr>
    </w:div>
    <w:div w:id="347559694">
      <w:bodyDiv w:val="1"/>
      <w:marLeft w:val="0"/>
      <w:marRight w:val="0"/>
      <w:marTop w:val="0"/>
      <w:marBottom w:val="0"/>
      <w:divBdr>
        <w:top w:val="none" w:sz="0" w:space="0" w:color="auto"/>
        <w:left w:val="none" w:sz="0" w:space="0" w:color="auto"/>
        <w:bottom w:val="none" w:sz="0" w:space="0" w:color="auto"/>
        <w:right w:val="none" w:sz="0" w:space="0" w:color="auto"/>
      </w:divBdr>
    </w:div>
    <w:div w:id="350882383">
      <w:bodyDiv w:val="1"/>
      <w:marLeft w:val="0"/>
      <w:marRight w:val="0"/>
      <w:marTop w:val="0"/>
      <w:marBottom w:val="0"/>
      <w:divBdr>
        <w:top w:val="none" w:sz="0" w:space="0" w:color="auto"/>
        <w:left w:val="none" w:sz="0" w:space="0" w:color="auto"/>
        <w:bottom w:val="none" w:sz="0" w:space="0" w:color="auto"/>
        <w:right w:val="none" w:sz="0" w:space="0" w:color="auto"/>
      </w:divBdr>
    </w:div>
    <w:div w:id="356153656">
      <w:bodyDiv w:val="1"/>
      <w:marLeft w:val="0"/>
      <w:marRight w:val="0"/>
      <w:marTop w:val="0"/>
      <w:marBottom w:val="0"/>
      <w:divBdr>
        <w:top w:val="none" w:sz="0" w:space="0" w:color="auto"/>
        <w:left w:val="none" w:sz="0" w:space="0" w:color="auto"/>
        <w:bottom w:val="none" w:sz="0" w:space="0" w:color="auto"/>
        <w:right w:val="none" w:sz="0" w:space="0" w:color="auto"/>
      </w:divBdr>
    </w:div>
    <w:div w:id="384960257">
      <w:bodyDiv w:val="1"/>
      <w:marLeft w:val="0"/>
      <w:marRight w:val="0"/>
      <w:marTop w:val="0"/>
      <w:marBottom w:val="0"/>
      <w:divBdr>
        <w:top w:val="none" w:sz="0" w:space="0" w:color="auto"/>
        <w:left w:val="none" w:sz="0" w:space="0" w:color="auto"/>
        <w:bottom w:val="none" w:sz="0" w:space="0" w:color="auto"/>
        <w:right w:val="none" w:sz="0" w:space="0" w:color="auto"/>
      </w:divBdr>
    </w:div>
    <w:div w:id="402221215">
      <w:bodyDiv w:val="1"/>
      <w:marLeft w:val="0"/>
      <w:marRight w:val="0"/>
      <w:marTop w:val="0"/>
      <w:marBottom w:val="0"/>
      <w:divBdr>
        <w:top w:val="none" w:sz="0" w:space="0" w:color="auto"/>
        <w:left w:val="none" w:sz="0" w:space="0" w:color="auto"/>
        <w:bottom w:val="none" w:sz="0" w:space="0" w:color="auto"/>
        <w:right w:val="none" w:sz="0" w:space="0" w:color="auto"/>
      </w:divBdr>
    </w:div>
    <w:div w:id="412820471">
      <w:bodyDiv w:val="1"/>
      <w:marLeft w:val="0"/>
      <w:marRight w:val="0"/>
      <w:marTop w:val="0"/>
      <w:marBottom w:val="0"/>
      <w:divBdr>
        <w:top w:val="none" w:sz="0" w:space="0" w:color="auto"/>
        <w:left w:val="none" w:sz="0" w:space="0" w:color="auto"/>
        <w:bottom w:val="none" w:sz="0" w:space="0" w:color="auto"/>
        <w:right w:val="none" w:sz="0" w:space="0" w:color="auto"/>
      </w:divBdr>
    </w:div>
    <w:div w:id="419719235">
      <w:bodyDiv w:val="1"/>
      <w:marLeft w:val="0"/>
      <w:marRight w:val="0"/>
      <w:marTop w:val="0"/>
      <w:marBottom w:val="0"/>
      <w:divBdr>
        <w:top w:val="none" w:sz="0" w:space="0" w:color="auto"/>
        <w:left w:val="none" w:sz="0" w:space="0" w:color="auto"/>
        <w:bottom w:val="none" w:sz="0" w:space="0" w:color="auto"/>
        <w:right w:val="none" w:sz="0" w:space="0" w:color="auto"/>
      </w:divBdr>
    </w:div>
    <w:div w:id="429396981">
      <w:bodyDiv w:val="1"/>
      <w:marLeft w:val="0"/>
      <w:marRight w:val="0"/>
      <w:marTop w:val="0"/>
      <w:marBottom w:val="0"/>
      <w:divBdr>
        <w:top w:val="none" w:sz="0" w:space="0" w:color="auto"/>
        <w:left w:val="none" w:sz="0" w:space="0" w:color="auto"/>
        <w:bottom w:val="none" w:sz="0" w:space="0" w:color="auto"/>
        <w:right w:val="none" w:sz="0" w:space="0" w:color="auto"/>
      </w:divBdr>
    </w:div>
    <w:div w:id="447239589">
      <w:bodyDiv w:val="1"/>
      <w:marLeft w:val="0"/>
      <w:marRight w:val="0"/>
      <w:marTop w:val="0"/>
      <w:marBottom w:val="0"/>
      <w:divBdr>
        <w:top w:val="none" w:sz="0" w:space="0" w:color="auto"/>
        <w:left w:val="none" w:sz="0" w:space="0" w:color="auto"/>
        <w:bottom w:val="none" w:sz="0" w:space="0" w:color="auto"/>
        <w:right w:val="none" w:sz="0" w:space="0" w:color="auto"/>
      </w:divBdr>
    </w:div>
    <w:div w:id="459881749">
      <w:bodyDiv w:val="1"/>
      <w:marLeft w:val="0"/>
      <w:marRight w:val="0"/>
      <w:marTop w:val="0"/>
      <w:marBottom w:val="0"/>
      <w:divBdr>
        <w:top w:val="none" w:sz="0" w:space="0" w:color="auto"/>
        <w:left w:val="none" w:sz="0" w:space="0" w:color="auto"/>
        <w:bottom w:val="none" w:sz="0" w:space="0" w:color="auto"/>
        <w:right w:val="none" w:sz="0" w:space="0" w:color="auto"/>
      </w:divBdr>
    </w:div>
    <w:div w:id="462577982">
      <w:bodyDiv w:val="1"/>
      <w:marLeft w:val="0"/>
      <w:marRight w:val="0"/>
      <w:marTop w:val="0"/>
      <w:marBottom w:val="0"/>
      <w:divBdr>
        <w:top w:val="none" w:sz="0" w:space="0" w:color="auto"/>
        <w:left w:val="none" w:sz="0" w:space="0" w:color="auto"/>
        <w:bottom w:val="none" w:sz="0" w:space="0" w:color="auto"/>
        <w:right w:val="none" w:sz="0" w:space="0" w:color="auto"/>
      </w:divBdr>
    </w:div>
    <w:div w:id="485629777">
      <w:bodyDiv w:val="1"/>
      <w:marLeft w:val="0"/>
      <w:marRight w:val="0"/>
      <w:marTop w:val="0"/>
      <w:marBottom w:val="0"/>
      <w:divBdr>
        <w:top w:val="none" w:sz="0" w:space="0" w:color="auto"/>
        <w:left w:val="none" w:sz="0" w:space="0" w:color="auto"/>
        <w:bottom w:val="none" w:sz="0" w:space="0" w:color="auto"/>
        <w:right w:val="none" w:sz="0" w:space="0" w:color="auto"/>
      </w:divBdr>
    </w:div>
    <w:div w:id="501816428">
      <w:bodyDiv w:val="1"/>
      <w:marLeft w:val="0"/>
      <w:marRight w:val="0"/>
      <w:marTop w:val="0"/>
      <w:marBottom w:val="0"/>
      <w:divBdr>
        <w:top w:val="none" w:sz="0" w:space="0" w:color="auto"/>
        <w:left w:val="none" w:sz="0" w:space="0" w:color="auto"/>
        <w:bottom w:val="none" w:sz="0" w:space="0" w:color="auto"/>
        <w:right w:val="none" w:sz="0" w:space="0" w:color="auto"/>
      </w:divBdr>
    </w:div>
    <w:div w:id="513154197">
      <w:bodyDiv w:val="1"/>
      <w:marLeft w:val="0"/>
      <w:marRight w:val="0"/>
      <w:marTop w:val="0"/>
      <w:marBottom w:val="0"/>
      <w:divBdr>
        <w:top w:val="none" w:sz="0" w:space="0" w:color="auto"/>
        <w:left w:val="none" w:sz="0" w:space="0" w:color="auto"/>
        <w:bottom w:val="none" w:sz="0" w:space="0" w:color="auto"/>
        <w:right w:val="none" w:sz="0" w:space="0" w:color="auto"/>
      </w:divBdr>
    </w:div>
    <w:div w:id="553202130">
      <w:bodyDiv w:val="1"/>
      <w:marLeft w:val="0"/>
      <w:marRight w:val="0"/>
      <w:marTop w:val="0"/>
      <w:marBottom w:val="0"/>
      <w:divBdr>
        <w:top w:val="none" w:sz="0" w:space="0" w:color="auto"/>
        <w:left w:val="none" w:sz="0" w:space="0" w:color="auto"/>
        <w:bottom w:val="none" w:sz="0" w:space="0" w:color="auto"/>
        <w:right w:val="none" w:sz="0" w:space="0" w:color="auto"/>
      </w:divBdr>
    </w:div>
    <w:div w:id="570504332">
      <w:bodyDiv w:val="1"/>
      <w:marLeft w:val="0"/>
      <w:marRight w:val="0"/>
      <w:marTop w:val="0"/>
      <w:marBottom w:val="0"/>
      <w:divBdr>
        <w:top w:val="none" w:sz="0" w:space="0" w:color="auto"/>
        <w:left w:val="none" w:sz="0" w:space="0" w:color="auto"/>
        <w:bottom w:val="none" w:sz="0" w:space="0" w:color="auto"/>
        <w:right w:val="none" w:sz="0" w:space="0" w:color="auto"/>
      </w:divBdr>
    </w:div>
    <w:div w:id="590772592">
      <w:bodyDiv w:val="1"/>
      <w:marLeft w:val="0"/>
      <w:marRight w:val="0"/>
      <w:marTop w:val="0"/>
      <w:marBottom w:val="0"/>
      <w:divBdr>
        <w:top w:val="none" w:sz="0" w:space="0" w:color="auto"/>
        <w:left w:val="none" w:sz="0" w:space="0" w:color="auto"/>
        <w:bottom w:val="none" w:sz="0" w:space="0" w:color="auto"/>
        <w:right w:val="none" w:sz="0" w:space="0" w:color="auto"/>
      </w:divBdr>
    </w:div>
    <w:div w:id="609556834">
      <w:bodyDiv w:val="1"/>
      <w:marLeft w:val="0"/>
      <w:marRight w:val="0"/>
      <w:marTop w:val="0"/>
      <w:marBottom w:val="0"/>
      <w:divBdr>
        <w:top w:val="none" w:sz="0" w:space="0" w:color="auto"/>
        <w:left w:val="none" w:sz="0" w:space="0" w:color="auto"/>
        <w:bottom w:val="none" w:sz="0" w:space="0" w:color="auto"/>
        <w:right w:val="none" w:sz="0" w:space="0" w:color="auto"/>
      </w:divBdr>
    </w:div>
    <w:div w:id="642464731">
      <w:bodyDiv w:val="1"/>
      <w:marLeft w:val="0"/>
      <w:marRight w:val="0"/>
      <w:marTop w:val="0"/>
      <w:marBottom w:val="0"/>
      <w:divBdr>
        <w:top w:val="none" w:sz="0" w:space="0" w:color="auto"/>
        <w:left w:val="none" w:sz="0" w:space="0" w:color="auto"/>
        <w:bottom w:val="none" w:sz="0" w:space="0" w:color="auto"/>
        <w:right w:val="none" w:sz="0" w:space="0" w:color="auto"/>
      </w:divBdr>
    </w:div>
    <w:div w:id="642464815">
      <w:bodyDiv w:val="1"/>
      <w:marLeft w:val="0"/>
      <w:marRight w:val="0"/>
      <w:marTop w:val="0"/>
      <w:marBottom w:val="0"/>
      <w:divBdr>
        <w:top w:val="none" w:sz="0" w:space="0" w:color="auto"/>
        <w:left w:val="none" w:sz="0" w:space="0" w:color="auto"/>
        <w:bottom w:val="none" w:sz="0" w:space="0" w:color="auto"/>
        <w:right w:val="none" w:sz="0" w:space="0" w:color="auto"/>
      </w:divBdr>
    </w:div>
    <w:div w:id="649136557">
      <w:bodyDiv w:val="1"/>
      <w:marLeft w:val="0"/>
      <w:marRight w:val="0"/>
      <w:marTop w:val="0"/>
      <w:marBottom w:val="0"/>
      <w:divBdr>
        <w:top w:val="none" w:sz="0" w:space="0" w:color="auto"/>
        <w:left w:val="none" w:sz="0" w:space="0" w:color="auto"/>
        <w:bottom w:val="none" w:sz="0" w:space="0" w:color="auto"/>
        <w:right w:val="none" w:sz="0" w:space="0" w:color="auto"/>
      </w:divBdr>
    </w:div>
    <w:div w:id="698509999">
      <w:bodyDiv w:val="1"/>
      <w:marLeft w:val="0"/>
      <w:marRight w:val="0"/>
      <w:marTop w:val="0"/>
      <w:marBottom w:val="0"/>
      <w:divBdr>
        <w:top w:val="none" w:sz="0" w:space="0" w:color="auto"/>
        <w:left w:val="none" w:sz="0" w:space="0" w:color="auto"/>
        <w:bottom w:val="none" w:sz="0" w:space="0" w:color="auto"/>
        <w:right w:val="none" w:sz="0" w:space="0" w:color="auto"/>
      </w:divBdr>
    </w:div>
    <w:div w:id="699471237">
      <w:bodyDiv w:val="1"/>
      <w:marLeft w:val="0"/>
      <w:marRight w:val="0"/>
      <w:marTop w:val="0"/>
      <w:marBottom w:val="0"/>
      <w:divBdr>
        <w:top w:val="none" w:sz="0" w:space="0" w:color="auto"/>
        <w:left w:val="none" w:sz="0" w:space="0" w:color="auto"/>
        <w:bottom w:val="none" w:sz="0" w:space="0" w:color="auto"/>
        <w:right w:val="none" w:sz="0" w:space="0" w:color="auto"/>
      </w:divBdr>
    </w:div>
    <w:div w:id="748846911">
      <w:bodyDiv w:val="1"/>
      <w:marLeft w:val="0"/>
      <w:marRight w:val="0"/>
      <w:marTop w:val="0"/>
      <w:marBottom w:val="0"/>
      <w:divBdr>
        <w:top w:val="none" w:sz="0" w:space="0" w:color="auto"/>
        <w:left w:val="none" w:sz="0" w:space="0" w:color="auto"/>
        <w:bottom w:val="none" w:sz="0" w:space="0" w:color="auto"/>
        <w:right w:val="none" w:sz="0" w:space="0" w:color="auto"/>
      </w:divBdr>
    </w:div>
    <w:div w:id="758138846">
      <w:bodyDiv w:val="1"/>
      <w:marLeft w:val="0"/>
      <w:marRight w:val="0"/>
      <w:marTop w:val="0"/>
      <w:marBottom w:val="0"/>
      <w:divBdr>
        <w:top w:val="none" w:sz="0" w:space="0" w:color="auto"/>
        <w:left w:val="none" w:sz="0" w:space="0" w:color="auto"/>
        <w:bottom w:val="none" w:sz="0" w:space="0" w:color="auto"/>
        <w:right w:val="none" w:sz="0" w:space="0" w:color="auto"/>
      </w:divBdr>
    </w:div>
    <w:div w:id="777607625">
      <w:bodyDiv w:val="1"/>
      <w:marLeft w:val="0"/>
      <w:marRight w:val="0"/>
      <w:marTop w:val="0"/>
      <w:marBottom w:val="0"/>
      <w:divBdr>
        <w:top w:val="none" w:sz="0" w:space="0" w:color="auto"/>
        <w:left w:val="none" w:sz="0" w:space="0" w:color="auto"/>
        <w:bottom w:val="none" w:sz="0" w:space="0" w:color="auto"/>
        <w:right w:val="none" w:sz="0" w:space="0" w:color="auto"/>
      </w:divBdr>
    </w:div>
    <w:div w:id="780610716">
      <w:bodyDiv w:val="1"/>
      <w:marLeft w:val="0"/>
      <w:marRight w:val="0"/>
      <w:marTop w:val="0"/>
      <w:marBottom w:val="0"/>
      <w:divBdr>
        <w:top w:val="none" w:sz="0" w:space="0" w:color="auto"/>
        <w:left w:val="none" w:sz="0" w:space="0" w:color="auto"/>
        <w:bottom w:val="none" w:sz="0" w:space="0" w:color="auto"/>
        <w:right w:val="none" w:sz="0" w:space="0" w:color="auto"/>
      </w:divBdr>
    </w:div>
    <w:div w:id="795832503">
      <w:bodyDiv w:val="1"/>
      <w:marLeft w:val="0"/>
      <w:marRight w:val="0"/>
      <w:marTop w:val="0"/>
      <w:marBottom w:val="0"/>
      <w:divBdr>
        <w:top w:val="none" w:sz="0" w:space="0" w:color="auto"/>
        <w:left w:val="none" w:sz="0" w:space="0" w:color="auto"/>
        <w:bottom w:val="none" w:sz="0" w:space="0" w:color="auto"/>
        <w:right w:val="none" w:sz="0" w:space="0" w:color="auto"/>
      </w:divBdr>
    </w:div>
    <w:div w:id="807750318">
      <w:bodyDiv w:val="1"/>
      <w:marLeft w:val="0"/>
      <w:marRight w:val="0"/>
      <w:marTop w:val="0"/>
      <w:marBottom w:val="0"/>
      <w:divBdr>
        <w:top w:val="none" w:sz="0" w:space="0" w:color="auto"/>
        <w:left w:val="none" w:sz="0" w:space="0" w:color="auto"/>
        <w:bottom w:val="none" w:sz="0" w:space="0" w:color="auto"/>
        <w:right w:val="none" w:sz="0" w:space="0" w:color="auto"/>
      </w:divBdr>
    </w:div>
    <w:div w:id="809638305">
      <w:bodyDiv w:val="1"/>
      <w:marLeft w:val="0"/>
      <w:marRight w:val="0"/>
      <w:marTop w:val="0"/>
      <w:marBottom w:val="0"/>
      <w:divBdr>
        <w:top w:val="none" w:sz="0" w:space="0" w:color="auto"/>
        <w:left w:val="none" w:sz="0" w:space="0" w:color="auto"/>
        <w:bottom w:val="none" w:sz="0" w:space="0" w:color="auto"/>
        <w:right w:val="none" w:sz="0" w:space="0" w:color="auto"/>
      </w:divBdr>
    </w:div>
    <w:div w:id="828592205">
      <w:bodyDiv w:val="1"/>
      <w:marLeft w:val="0"/>
      <w:marRight w:val="0"/>
      <w:marTop w:val="0"/>
      <w:marBottom w:val="0"/>
      <w:divBdr>
        <w:top w:val="none" w:sz="0" w:space="0" w:color="auto"/>
        <w:left w:val="none" w:sz="0" w:space="0" w:color="auto"/>
        <w:bottom w:val="none" w:sz="0" w:space="0" w:color="auto"/>
        <w:right w:val="none" w:sz="0" w:space="0" w:color="auto"/>
      </w:divBdr>
    </w:div>
    <w:div w:id="833958720">
      <w:bodyDiv w:val="1"/>
      <w:marLeft w:val="0"/>
      <w:marRight w:val="0"/>
      <w:marTop w:val="0"/>
      <w:marBottom w:val="0"/>
      <w:divBdr>
        <w:top w:val="none" w:sz="0" w:space="0" w:color="auto"/>
        <w:left w:val="none" w:sz="0" w:space="0" w:color="auto"/>
        <w:bottom w:val="none" w:sz="0" w:space="0" w:color="auto"/>
        <w:right w:val="none" w:sz="0" w:space="0" w:color="auto"/>
      </w:divBdr>
    </w:div>
    <w:div w:id="839153864">
      <w:bodyDiv w:val="1"/>
      <w:marLeft w:val="0"/>
      <w:marRight w:val="0"/>
      <w:marTop w:val="0"/>
      <w:marBottom w:val="0"/>
      <w:divBdr>
        <w:top w:val="none" w:sz="0" w:space="0" w:color="auto"/>
        <w:left w:val="none" w:sz="0" w:space="0" w:color="auto"/>
        <w:bottom w:val="none" w:sz="0" w:space="0" w:color="auto"/>
        <w:right w:val="none" w:sz="0" w:space="0" w:color="auto"/>
      </w:divBdr>
    </w:div>
    <w:div w:id="859859875">
      <w:bodyDiv w:val="1"/>
      <w:marLeft w:val="0"/>
      <w:marRight w:val="0"/>
      <w:marTop w:val="0"/>
      <w:marBottom w:val="0"/>
      <w:divBdr>
        <w:top w:val="none" w:sz="0" w:space="0" w:color="auto"/>
        <w:left w:val="none" w:sz="0" w:space="0" w:color="auto"/>
        <w:bottom w:val="none" w:sz="0" w:space="0" w:color="auto"/>
        <w:right w:val="none" w:sz="0" w:space="0" w:color="auto"/>
      </w:divBdr>
    </w:div>
    <w:div w:id="868957183">
      <w:bodyDiv w:val="1"/>
      <w:marLeft w:val="0"/>
      <w:marRight w:val="0"/>
      <w:marTop w:val="0"/>
      <w:marBottom w:val="0"/>
      <w:divBdr>
        <w:top w:val="none" w:sz="0" w:space="0" w:color="auto"/>
        <w:left w:val="none" w:sz="0" w:space="0" w:color="auto"/>
        <w:bottom w:val="none" w:sz="0" w:space="0" w:color="auto"/>
        <w:right w:val="none" w:sz="0" w:space="0" w:color="auto"/>
      </w:divBdr>
    </w:div>
    <w:div w:id="874385649">
      <w:bodyDiv w:val="1"/>
      <w:marLeft w:val="0"/>
      <w:marRight w:val="0"/>
      <w:marTop w:val="0"/>
      <w:marBottom w:val="0"/>
      <w:divBdr>
        <w:top w:val="none" w:sz="0" w:space="0" w:color="auto"/>
        <w:left w:val="none" w:sz="0" w:space="0" w:color="auto"/>
        <w:bottom w:val="none" w:sz="0" w:space="0" w:color="auto"/>
        <w:right w:val="none" w:sz="0" w:space="0" w:color="auto"/>
      </w:divBdr>
    </w:div>
    <w:div w:id="880286523">
      <w:bodyDiv w:val="1"/>
      <w:marLeft w:val="0"/>
      <w:marRight w:val="0"/>
      <w:marTop w:val="0"/>
      <w:marBottom w:val="0"/>
      <w:divBdr>
        <w:top w:val="none" w:sz="0" w:space="0" w:color="auto"/>
        <w:left w:val="none" w:sz="0" w:space="0" w:color="auto"/>
        <w:bottom w:val="none" w:sz="0" w:space="0" w:color="auto"/>
        <w:right w:val="none" w:sz="0" w:space="0" w:color="auto"/>
      </w:divBdr>
    </w:div>
    <w:div w:id="884484018">
      <w:bodyDiv w:val="1"/>
      <w:marLeft w:val="0"/>
      <w:marRight w:val="0"/>
      <w:marTop w:val="0"/>
      <w:marBottom w:val="0"/>
      <w:divBdr>
        <w:top w:val="none" w:sz="0" w:space="0" w:color="auto"/>
        <w:left w:val="none" w:sz="0" w:space="0" w:color="auto"/>
        <w:bottom w:val="none" w:sz="0" w:space="0" w:color="auto"/>
        <w:right w:val="none" w:sz="0" w:space="0" w:color="auto"/>
      </w:divBdr>
    </w:div>
    <w:div w:id="892424628">
      <w:bodyDiv w:val="1"/>
      <w:marLeft w:val="0"/>
      <w:marRight w:val="0"/>
      <w:marTop w:val="0"/>
      <w:marBottom w:val="0"/>
      <w:divBdr>
        <w:top w:val="none" w:sz="0" w:space="0" w:color="auto"/>
        <w:left w:val="none" w:sz="0" w:space="0" w:color="auto"/>
        <w:bottom w:val="none" w:sz="0" w:space="0" w:color="auto"/>
        <w:right w:val="none" w:sz="0" w:space="0" w:color="auto"/>
      </w:divBdr>
    </w:div>
    <w:div w:id="898827107">
      <w:bodyDiv w:val="1"/>
      <w:marLeft w:val="0"/>
      <w:marRight w:val="0"/>
      <w:marTop w:val="0"/>
      <w:marBottom w:val="0"/>
      <w:divBdr>
        <w:top w:val="none" w:sz="0" w:space="0" w:color="auto"/>
        <w:left w:val="none" w:sz="0" w:space="0" w:color="auto"/>
        <w:bottom w:val="none" w:sz="0" w:space="0" w:color="auto"/>
        <w:right w:val="none" w:sz="0" w:space="0" w:color="auto"/>
      </w:divBdr>
    </w:div>
    <w:div w:id="913855810">
      <w:bodyDiv w:val="1"/>
      <w:marLeft w:val="0"/>
      <w:marRight w:val="0"/>
      <w:marTop w:val="0"/>
      <w:marBottom w:val="0"/>
      <w:divBdr>
        <w:top w:val="none" w:sz="0" w:space="0" w:color="auto"/>
        <w:left w:val="none" w:sz="0" w:space="0" w:color="auto"/>
        <w:bottom w:val="none" w:sz="0" w:space="0" w:color="auto"/>
        <w:right w:val="none" w:sz="0" w:space="0" w:color="auto"/>
      </w:divBdr>
    </w:div>
    <w:div w:id="950208635">
      <w:bodyDiv w:val="1"/>
      <w:marLeft w:val="0"/>
      <w:marRight w:val="0"/>
      <w:marTop w:val="0"/>
      <w:marBottom w:val="0"/>
      <w:divBdr>
        <w:top w:val="none" w:sz="0" w:space="0" w:color="auto"/>
        <w:left w:val="none" w:sz="0" w:space="0" w:color="auto"/>
        <w:bottom w:val="none" w:sz="0" w:space="0" w:color="auto"/>
        <w:right w:val="none" w:sz="0" w:space="0" w:color="auto"/>
      </w:divBdr>
    </w:div>
    <w:div w:id="952399003">
      <w:bodyDiv w:val="1"/>
      <w:marLeft w:val="0"/>
      <w:marRight w:val="0"/>
      <w:marTop w:val="0"/>
      <w:marBottom w:val="0"/>
      <w:divBdr>
        <w:top w:val="none" w:sz="0" w:space="0" w:color="auto"/>
        <w:left w:val="none" w:sz="0" w:space="0" w:color="auto"/>
        <w:bottom w:val="none" w:sz="0" w:space="0" w:color="auto"/>
        <w:right w:val="none" w:sz="0" w:space="0" w:color="auto"/>
      </w:divBdr>
    </w:div>
    <w:div w:id="979306737">
      <w:bodyDiv w:val="1"/>
      <w:marLeft w:val="0"/>
      <w:marRight w:val="0"/>
      <w:marTop w:val="0"/>
      <w:marBottom w:val="0"/>
      <w:divBdr>
        <w:top w:val="none" w:sz="0" w:space="0" w:color="auto"/>
        <w:left w:val="none" w:sz="0" w:space="0" w:color="auto"/>
        <w:bottom w:val="none" w:sz="0" w:space="0" w:color="auto"/>
        <w:right w:val="none" w:sz="0" w:space="0" w:color="auto"/>
      </w:divBdr>
    </w:div>
    <w:div w:id="983043371">
      <w:bodyDiv w:val="1"/>
      <w:marLeft w:val="0"/>
      <w:marRight w:val="0"/>
      <w:marTop w:val="0"/>
      <w:marBottom w:val="0"/>
      <w:divBdr>
        <w:top w:val="none" w:sz="0" w:space="0" w:color="auto"/>
        <w:left w:val="none" w:sz="0" w:space="0" w:color="auto"/>
        <w:bottom w:val="none" w:sz="0" w:space="0" w:color="auto"/>
        <w:right w:val="none" w:sz="0" w:space="0" w:color="auto"/>
      </w:divBdr>
    </w:div>
    <w:div w:id="1025059035">
      <w:bodyDiv w:val="1"/>
      <w:marLeft w:val="0"/>
      <w:marRight w:val="0"/>
      <w:marTop w:val="0"/>
      <w:marBottom w:val="0"/>
      <w:divBdr>
        <w:top w:val="none" w:sz="0" w:space="0" w:color="auto"/>
        <w:left w:val="none" w:sz="0" w:space="0" w:color="auto"/>
        <w:bottom w:val="none" w:sz="0" w:space="0" w:color="auto"/>
        <w:right w:val="none" w:sz="0" w:space="0" w:color="auto"/>
      </w:divBdr>
    </w:div>
    <w:div w:id="1031421651">
      <w:bodyDiv w:val="1"/>
      <w:marLeft w:val="0"/>
      <w:marRight w:val="0"/>
      <w:marTop w:val="0"/>
      <w:marBottom w:val="0"/>
      <w:divBdr>
        <w:top w:val="none" w:sz="0" w:space="0" w:color="auto"/>
        <w:left w:val="none" w:sz="0" w:space="0" w:color="auto"/>
        <w:bottom w:val="none" w:sz="0" w:space="0" w:color="auto"/>
        <w:right w:val="none" w:sz="0" w:space="0" w:color="auto"/>
      </w:divBdr>
    </w:div>
    <w:div w:id="1033388400">
      <w:bodyDiv w:val="1"/>
      <w:marLeft w:val="0"/>
      <w:marRight w:val="0"/>
      <w:marTop w:val="0"/>
      <w:marBottom w:val="0"/>
      <w:divBdr>
        <w:top w:val="none" w:sz="0" w:space="0" w:color="auto"/>
        <w:left w:val="none" w:sz="0" w:space="0" w:color="auto"/>
        <w:bottom w:val="none" w:sz="0" w:space="0" w:color="auto"/>
        <w:right w:val="none" w:sz="0" w:space="0" w:color="auto"/>
      </w:divBdr>
    </w:div>
    <w:div w:id="1039401820">
      <w:bodyDiv w:val="1"/>
      <w:marLeft w:val="0"/>
      <w:marRight w:val="0"/>
      <w:marTop w:val="0"/>
      <w:marBottom w:val="0"/>
      <w:divBdr>
        <w:top w:val="none" w:sz="0" w:space="0" w:color="auto"/>
        <w:left w:val="none" w:sz="0" w:space="0" w:color="auto"/>
        <w:bottom w:val="none" w:sz="0" w:space="0" w:color="auto"/>
        <w:right w:val="none" w:sz="0" w:space="0" w:color="auto"/>
      </w:divBdr>
    </w:div>
    <w:div w:id="1078285045">
      <w:bodyDiv w:val="1"/>
      <w:marLeft w:val="0"/>
      <w:marRight w:val="0"/>
      <w:marTop w:val="0"/>
      <w:marBottom w:val="0"/>
      <w:divBdr>
        <w:top w:val="none" w:sz="0" w:space="0" w:color="auto"/>
        <w:left w:val="none" w:sz="0" w:space="0" w:color="auto"/>
        <w:bottom w:val="none" w:sz="0" w:space="0" w:color="auto"/>
        <w:right w:val="none" w:sz="0" w:space="0" w:color="auto"/>
      </w:divBdr>
    </w:div>
    <w:div w:id="1081099976">
      <w:bodyDiv w:val="1"/>
      <w:marLeft w:val="0"/>
      <w:marRight w:val="0"/>
      <w:marTop w:val="0"/>
      <w:marBottom w:val="0"/>
      <w:divBdr>
        <w:top w:val="none" w:sz="0" w:space="0" w:color="auto"/>
        <w:left w:val="none" w:sz="0" w:space="0" w:color="auto"/>
        <w:bottom w:val="none" w:sz="0" w:space="0" w:color="auto"/>
        <w:right w:val="none" w:sz="0" w:space="0" w:color="auto"/>
      </w:divBdr>
    </w:div>
    <w:div w:id="1081953162">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94664806">
      <w:bodyDiv w:val="1"/>
      <w:marLeft w:val="0"/>
      <w:marRight w:val="0"/>
      <w:marTop w:val="0"/>
      <w:marBottom w:val="0"/>
      <w:divBdr>
        <w:top w:val="none" w:sz="0" w:space="0" w:color="auto"/>
        <w:left w:val="none" w:sz="0" w:space="0" w:color="auto"/>
        <w:bottom w:val="none" w:sz="0" w:space="0" w:color="auto"/>
        <w:right w:val="none" w:sz="0" w:space="0" w:color="auto"/>
      </w:divBdr>
    </w:div>
    <w:div w:id="1101219448">
      <w:bodyDiv w:val="1"/>
      <w:marLeft w:val="0"/>
      <w:marRight w:val="0"/>
      <w:marTop w:val="0"/>
      <w:marBottom w:val="0"/>
      <w:divBdr>
        <w:top w:val="none" w:sz="0" w:space="0" w:color="auto"/>
        <w:left w:val="none" w:sz="0" w:space="0" w:color="auto"/>
        <w:bottom w:val="none" w:sz="0" w:space="0" w:color="auto"/>
        <w:right w:val="none" w:sz="0" w:space="0" w:color="auto"/>
      </w:divBdr>
    </w:div>
    <w:div w:id="1117135814">
      <w:bodyDiv w:val="1"/>
      <w:marLeft w:val="0"/>
      <w:marRight w:val="0"/>
      <w:marTop w:val="0"/>
      <w:marBottom w:val="0"/>
      <w:divBdr>
        <w:top w:val="none" w:sz="0" w:space="0" w:color="auto"/>
        <w:left w:val="none" w:sz="0" w:space="0" w:color="auto"/>
        <w:bottom w:val="none" w:sz="0" w:space="0" w:color="auto"/>
        <w:right w:val="none" w:sz="0" w:space="0" w:color="auto"/>
      </w:divBdr>
    </w:div>
    <w:div w:id="1125581935">
      <w:bodyDiv w:val="1"/>
      <w:marLeft w:val="0"/>
      <w:marRight w:val="0"/>
      <w:marTop w:val="0"/>
      <w:marBottom w:val="0"/>
      <w:divBdr>
        <w:top w:val="none" w:sz="0" w:space="0" w:color="auto"/>
        <w:left w:val="none" w:sz="0" w:space="0" w:color="auto"/>
        <w:bottom w:val="none" w:sz="0" w:space="0" w:color="auto"/>
        <w:right w:val="none" w:sz="0" w:space="0" w:color="auto"/>
      </w:divBdr>
    </w:div>
    <w:div w:id="1131023665">
      <w:bodyDiv w:val="1"/>
      <w:marLeft w:val="0"/>
      <w:marRight w:val="0"/>
      <w:marTop w:val="0"/>
      <w:marBottom w:val="0"/>
      <w:divBdr>
        <w:top w:val="none" w:sz="0" w:space="0" w:color="auto"/>
        <w:left w:val="none" w:sz="0" w:space="0" w:color="auto"/>
        <w:bottom w:val="none" w:sz="0" w:space="0" w:color="auto"/>
        <w:right w:val="none" w:sz="0" w:space="0" w:color="auto"/>
      </w:divBdr>
    </w:div>
    <w:div w:id="1140809538">
      <w:bodyDiv w:val="1"/>
      <w:marLeft w:val="0"/>
      <w:marRight w:val="0"/>
      <w:marTop w:val="0"/>
      <w:marBottom w:val="0"/>
      <w:divBdr>
        <w:top w:val="none" w:sz="0" w:space="0" w:color="auto"/>
        <w:left w:val="none" w:sz="0" w:space="0" w:color="auto"/>
        <w:bottom w:val="none" w:sz="0" w:space="0" w:color="auto"/>
        <w:right w:val="none" w:sz="0" w:space="0" w:color="auto"/>
      </w:divBdr>
    </w:div>
    <w:div w:id="1155143758">
      <w:bodyDiv w:val="1"/>
      <w:marLeft w:val="0"/>
      <w:marRight w:val="0"/>
      <w:marTop w:val="0"/>
      <w:marBottom w:val="0"/>
      <w:divBdr>
        <w:top w:val="none" w:sz="0" w:space="0" w:color="auto"/>
        <w:left w:val="none" w:sz="0" w:space="0" w:color="auto"/>
        <w:bottom w:val="none" w:sz="0" w:space="0" w:color="auto"/>
        <w:right w:val="none" w:sz="0" w:space="0" w:color="auto"/>
      </w:divBdr>
    </w:div>
    <w:div w:id="1168639764">
      <w:bodyDiv w:val="1"/>
      <w:marLeft w:val="0"/>
      <w:marRight w:val="0"/>
      <w:marTop w:val="0"/>
      <w:marBottom w:val="0"/>
      <w:divBdr>
        <w:top w:val="none" w:sz="0" w:space="0" w:color="auto"/>
        <w:left w:val="none" w:sz="0" w:space="0" w:color="auto"/>
        <w:bottom w:val="none" w:sz="0" w:space="0" w:color="auto"/>
        <w:right w:val="none" w:sz="0" w:space="0" w:color="auto"/>
      </w:divBdr>
    </w:div>
    <w:div w:id="1182357116">
      <w:bodyDiv w:val="1"/>
      <w:marLeft w:val="0"/>
      <w:marRight w:val="0"/>
      <w:marTop w:val="0"/>
      <w:marBottom w:val="0"/>
      <w:divBdr>
        <w:top w:val="none" w:sz="0" w:space="0" w:color="auto"/>
        <w:left w:val="none" w:sz="0" w:space="0" w:color="auto"/>
        <w:bottom w:val="none" w:sz="0" w:space="0" w:color="auto"/>
        <w:right w:val="none" w:sz="0" w:space="0" w:color="auto"/>
      </w:divBdr>
    </w:div>
    <w:div w:id="1227883853">
      <w:bodyDiv w:val="1"/>
      <w:marLeft w:val="0"/>
      <w:marRight w:val="0"/>
      <w:marTop w:val="0"/>
      <w:marBottom w:val="0"/>
      <w:divBdr>
        <w:top w:val="none" w:sz="0" w:space="0" w:color="auto"/>
        <w:left w:val="none" w:sz="0" w:space="0" w:color="auto"/>
        <w:bottom w:val="none" w:sz="0" w:space="0" w:color="auto"/>
        <w:right w:val="none" w:sz="0" w:space="0" w:color="auto"/>
      </w:divBdr>
    </w:div>
    <w:div w:id="1272784298">
      <w:bodyDiv w:val="1"/>
      <w:marLeft w:val="0"/>
      <w:marRight w:val="0"/>
      <w:marTop w:val="0"/>
      <w:marBottom w:val="0"/>
      <w:divBdr>
        <w:top w:val="none" w:sz="0" w:space="0" w:color="auto"/>
        <w:left w:val="none" w:sz="0" w:space="0" w:color="auto"/>
        <w:bottom w:val="none" w:sz="0" w:space="0" w:color="auto"/>
        <w:right w:val="none" w:sz="0" w:space="0" w:color="auto"/>
      </w:divBdr>
    </w:div>
    <w:div w:id="1275022286">
      <w:bodyDiv w:val="1"/>
      <w:marLeft w:val="0"/>
      <w:marRight w:val="0"/>
      <w:marTop w:val="0"/>
      <w:marBottom w:val="0"/>
      <w:divBdr>
        <w:top w:val="none" w:sz="0" w:space="0" w:color="auto"/>
        <w:left w:val="none" w:sz="0" w:space="0" w:color="auto"/>
        <w:bottom w:val="none" w:sz="0" w:space="0" w:color="auto"/>
        <w:right w:val="none" w:sz="0" w:space="0" w:color="auto"/>
      </w:divBdr>
    </w:div>
    <w:div w:id="1278634978">
      <w:bodyDiv w:val="1"/>
      <w:marLeft w:val="0"/>
      <w:marRight w:val="0"/>
      <w:marTop w:val="0"/>
      <w:marBottom w:val="0"/>
      <w:divBdr>
        <w:top w:val="none" w:sz="0" w:space="0" w:color="auto"/>
        <w:left w:val="none" w:sz="0" w:space="0" w:color="auto"/>
        <w:bottom w:val="none" w:sz="0" w:space="0" w:color="auto"/>
        <w:right w:val="none" w:sz="0" w:space="0" w:color="auto"/>
      </w:divBdr>
    </w:div>
    <w:div w:id="1282112544">
      <w:bodyDiv w:val="1"/>
      <w:marLeft w:val="0"/>
      <w:marRight w:val="0"/>
      <w:marTop w:val="0"/>
      <w:marBottom w:val="0"/>
      <w:divBdr>
        <w:top w:val="none" w:sz="0" w:space="0" w:color="auto"/>
        <w:left w:val="none" w:sz="0" w:space="0" w:color="auto"/>
        <w:bottom w:val="none" w:sz="0" w:space="0" w:color="auto"/>
        <w:right w:val="none" w:sz="0" w:space="0" w:color="auto"/>
      </w:divBdr>
    </w:div>
    <w:div w:id="1301763582">
      <w:bodyDiv w:val="1"/>
      <w:marLeft w:val="0"/>
      <w:marRight w:val="0"/>
      <w:marTop w:val="0"/>
      <w:marBottom w:val="0"/>
      <w:divBdr>
        <w:top w:val="none" w:sz="0" w:space="0" w:color="auto"/>
        <w:left w:val="none" w:sz="0" w:space="0" w:color="auto"/>
        <w:bottom w:val="none" w:sz="0" w:space="0" w:color="auto"/>
        <w:right w:val="none" w:sz="0" w:space="0" w:color="auto"/>
      </w:divBdr>
    </w:div>
    <w:div w:id="1305965626">
      <w:bodyDiv w:val="1"/>
      <w:marLeft w:val="0"/>
      <w:marRight w:val="0"/>
      <w:marTop w:val="0"/>
      <w:marBottom w:val="0"/>
      <w:divBdr>
        <w:top w:val="none" w:sz="0" w:space="0" w:color="auto"/>
        <w:left w:val="none" w:sz="0" w:space="0" w:color="auto"/>
        <w:bottom w:val="none" w:sz="0" w:space="0" w:color="auto"/>
        <w:right w:val="none" w:sz="0" w:space="0" w:color="auto"/>
      </w:divBdr>
    </w:div>
    <w:div w:id="1306353763">
      <w:bodyDiv w:val="1"/>
      <w:marLeft w:val="0"/>
      <w:marRight w:val="0"/>
      <w:marTop w:val="0"/>
      <w:marBottom w:val="0"/>
      <w:divBdr>
        <w:top w:val="none" w:sz="0" w:space="0" w:color="auto"/>
        <w:left w:val="none" w:sz="0" w:space="0" w:color="auto"/>
        <w:bottom w:val="none" w:sz="0" w:space="0" w:color="auto"/>
        <w:right w:val="none" w:sz="0" w:space="0" w:color="auto"/>
      </w:divBdr>
    </w:div>
    <w:div w:id="1307927611">
      <w:bodyDiv w:val="1"/>
      <w:marLeft w:val="0"/>
      <w:marRight w:val="0"/>
      <w:marTop w:val="0"/>
      <w:marBottom w:val="0"/>
      <w:divBdr>
        <w:top w:val="none" w:sz="0" w:space="0" w:color="auto"/>
        <w:left w:val="none" w:sz="0" w:space="0" w:color="auto"/>
        <w:bottom w:val="none" w:sz="0" w:space="0" w:color="auto"/>
        <w:right w:val="none" w:sz="0" w:space="0" w:color="auto"/>
      </w:divBdr>
    </w:div>
    <w:div w:id="1315451607">
      <w:bodyDiv w:val="1"/>
      <w:marLeft w:val="0"/>
      <w:marRight w:val="0"/>
      <w:marTop w:val="0"/>
      <w:marBottom w:val="0"/>
      <w:divBdr>
        <w:top w:val="none" w:sz="0" w:space="0" w:color="auto"/>
        <w:left w:val="none" w:sz="0" w:space="0" w:color="auto"/>
        <w:bottom w:val="none" w:sz="0" w:space="0" w:color="auto"/>
        <w:right w:val="none" w:sz="0" w:space="0" w:color="auto"/>
      </w:divBdr>
    </w:div>
    <w:div w:id="1341197908">
      <w:bodyDiv w:val="1"/>
      <w:marLeft w:val="0"/>
      <w:marRight w:val="0"/>
      <w:marTop w:val="0"/>
      <w:marBottom w:val="0"/>
      <w:divBdr>
        <w:top w:val="none" w:sz="0" w:space="0" w:color="auto"/>
        <w:left w:val="none" w:sz="0" w:space="0" w:color="auto"/>
        <w:bottom w:val="none" w:sz="0" w:space="0" w:color="auto"/>
        <w:right w:val="none" w:sz="0" w:space="0" w:color="auto"/>
      </w:divBdr>
    </w:div>
    <w:div w:id="1346594225">
      <w:bodyDiv w:val="1"/>
      <w:marLeft w:val="0"/>
      <w:marRight w:val="0"/>
      <w:marTop w:val="0"/>
      <w:marBottom w:val="0"/>
      <w:divBdr>
        <w:top w:val="none" w:sz="0" w:space="0" w:color="auto"/>
        <w:left w:val="none" w:sz="0" w:space="0" w:color="auto"/>
        <w:bottom w:val="none" w:sz="0" w:space="0" w:color="auto"/>
        <w:right w:val="none" w:sz="0" w:space="0" w:color="auto"/>
      </w:divBdr>
    </w:div>
    <w:div w:id="1348678570">
      <w:bodyDiv w:val="1"/>
      <w:marLeft w:val="0"/>
      <w:marRight w:val="0"/>
      <w:marTop w:val="0"/>
      <w:marBottom w:val="0"/>
      <w:divBdr>
        <w:top w:val="none" w:sz="0" w:space="0" w:color="auto"/>
        <w:left w:val="none" w:sz="0" w:space="0" w:color="auto"/>
        <w:bottom w:val="none" w:sz="0" w:space="0" w:color="auto"/>
        <w:right w:val="none" w:sz="0" w:space="0" w:color="auto"/>
      </w:divBdr>
    </w:div>
    <w:div w:id="1385250110">
      <w:bodyDiv w:val="1"/>
      <w:marLeft w:val="0"/>
      <w:marRight w:val="0"/>
      <w:marTop w:val="0"/>
      <w:marBottom w:val="0"/>
      <w:divBdr>
        <w:top w:val="none" w:sz="0" w:space="0" w:color="auto"/>
        <w:left w:val="none" w:sz="0" w:space="0" w:color="auto"/>
        <w:bottom w:val="none" w:sz="0" w:space="0" w:color="auto"/>
        <w:right w:val="none" w:sz="0" w:space="0" w:color="auto"/>
      </w:divBdr>
    </w:div>
    <w:div w:id="1418677026">
      <w:bodyDiv w:val="1"/>
      <w:marLeft w:val="0"/>
      <w:marRight w:val="0"/>
      <w:marTop w:val="0"/>
      <w:marBottom w:val="0"/>
      <w:divBdr>
        <w:top w:val="none" w:sz="0" w:space="0" w:color="auto"/>
        <w:left w:val="none" w:sz="0" w:space="0" w:color="auto"/>
        <w:bottom w:val="none" w:sz="0" w:space="0" w:color="auto"/>
        <w:right w:val="none" w:sz="0" w:space="0" w:color="auto"/>
      </w:divBdr>
    </w:div>
    <w:div w:id="1464931515">
      <w:bodyDiv w:val="1"/>
      <w:marLeft w:val="0"/>
      <w:marRight w:val="0"/>
      <w:marTop w:val="0"/>
      <w:marBottom w:val="0"/>
      <w:divBdr>
        <w:top w:val="none" w:sz="0" w:space="0" w:color="auto"/>
        <w:left w:val="none" w:sz="0" w:space="0" w:color="auto"/>
        <w:bottom w:val="none" w:sz="0" w:space="0" w:color="auto"/>
        <w:right w:val="none" w:sz="0" w:space="0" w:color="auto"/>
      </w:divBdr>
    </w:div>
    <w:div w:id="1468475396">
      <w:bodyDiv w:val="1"/>
      <w:marLeft w:val="0"/>
      <w:marRight w:val="0"/>
      <w:marTop w:val="0"/>
      <w:marBottom w:val="0"/>
      <w:divBdr>
        <w:top w:val="none" w:sz="0" w:space="0" w:color="auto"/>
        <w:left w:val="none" w:sz="0" w:space="0" w:color="auto"/>
        <w:bottom w:val="none" w:sz="0" w:space="0" w:color="auto"/>
        <w:right w:val="none" w:sz="0" w:space="0" w:color="auto"/>
      </w:divBdr>
    </w:div>
    <w:div w:id="1475950847">
      <w:bodyDiv w:val="1"/>
      <w:marLeft w:val="0"/>
      <w:marRight w:val="0"/>
      <w:marTop w:val="0"/>
      <w:marBottom w:val="0"/>
      <w:divBdr>
        <w:top w:val="none" w:sz="0" w:space="0" w:color="auto"/>
        <w:left w:val="none" w:sz="0" w:space="0" w:color="auto"/>
        <w:bottom w:val="none" w:sz="0" w:space="0" w:color="auto"/>
        <w:right w:val="none" w:sz="0" w:space="0" w:color="auto"/>
      </w:divBdr>
    </w:div>
    <w:div w:id="1484853086">
      <w:bodyDiv w:val="1"/>
      <w:marLeft w:val="0"/>
      <w:marRight w:val="0"/>
      <w:marTop w:val="0"/>
      <w:marBottom w:val="0"/>
      <w:divBdr>
        <w:top w:val="none" w:sz="0" w:space="0" w:color="auto"/>
        <w:left w:val="none" w:sz="0" w:space="0" w:color="auto"/>
        <w:bottom w:val="none" w:sz="0" w:space="0" w:color="auto"/>
        <w:right w:val="none" w:sz="0" w:space="0" w:color="auto"/>
      </w:divBdr>
    </w:div>
    <w:div w:id="1500854221">
      <w:bodyDiv w:val="1"/>
      <w:marLeft w:val="0"/>
      <w:marRight w:val="0"/>
      <w:marTop w:val="0"/>
      <w:marBottom w:val="0"/>
      <w:divBdr>
        <w:top w:val="none" w:sz="0" w:space="0" w:color="auto"/>
        <w:left w:val="none" w:sz="0" w:space="0" w:color="auto"/>
        <w:bottom w:val="none" w:sz="0" w:space="0" w:color="auto"/>
        <w:right w:val="none" w:sz="0" w:space="0" w:color="auto"/>
      </w:divBdr>
    </w:div>
    <w:div w:id="1507404616">
      <w:bodyDiv w:val="1"/>
      <w:marLeft w:val="0"/>
      <w:marRight w:val="0"/>
      <w:marTop w:val="0"/>
      <w:marBottom w:val="0"/>
      <w:divBdr>
        <w:top w:val="none" w:sz="0" w:space="0" w:color="auto"/>
        <w:left w:val="none" w:sz="0" w:space="0" w:color="auto"/>
        <w:bottom w:val="none" w:sz="0" w:space="0" w:color="auto"/>
        <w:right w:val="none" w:sz="0" w:space="0" w:color="auto"/>
      </w:divBdr>
    </w:div>
    <w:div w:id="1536581152">
      <w:bodyDiv w:val="1"/>
      <w:marLeft w:val="0"/>
      <w:marRight w:val="0"/>
      <w:marTop w:val="0"/>
      <w:marBottom w:val="0"/>
      <w:divBdr>
        <w:top w:val="none" w:sz="0" w:space="0" w:color="auto"/>
        <w:left w:val="none" w:sz="0" w:space="0" w:color="auto"/>
        <w:bottom w:val="none" w:sz="0" w:space="0" w:color="auto"/>
        <w:right w:val="none" w:sz="0" w:space="0" w:color="auto"/>
      </w:divBdr>
    </w:div>
    <w:div w:id="1543246106">
      <w:bodyDiv w:val="1"/>
      <w:marLeft w:val="0"/>
      <w:marRight w:val="0"/>
      <w:marTop w:val="0"/>
      <w:marBottom w:val="0"/>
      <w:divBdr>
        <w:top w:val="none" w:sz="0" w:space="0" w:color="auto"/>
        <w:left w:val="none" w:sz="0" w:space="0" w:color="auto"/>
        <w:bottom w:val="none" w:sz="0" w:space="0" w:color="auto"/>
        <w:right w:val="none" w:sz="0" w:space="0" w:color="auto"/>
      </w:divBdr>
    </w:div>
    <w:div w:id="1566718679">
      <w:bodyDiv w:val="1"/>
      <w:marLeft w:val="0"/>
      <w:marRight w:val="0"/>
      <w:marTop w:val="0"/>
      <w:marBottom w:val="0"/>
      <w:divBdr>
        <w:top w:val="none" w:sz="0" w:space="0" w:color="auto"/>
        <w:left w:val="none" w:sz="0" w:space="0" w:color="auto"/>
        <w:bottom w:val="none" w:sz="0" w:space="0" w:color="auto"/>
        <w:right w:val="none" w:sz="0" w:space="0" w:color="auto"/>
      </w:divBdr>
    </w:div>
    <w:div w:id="1567297943">
      <w:bodyDiv w:val="1"/>
      <w:marLeft w:val="0"/>
      <w:marRight w:val="0"/>
      <w:marTop w:val="0"/>
      <w:marBottom w:val="0"/>
      <w:divBdr>
        <w:top w:val="none" w:sz="0" w:space="0" w:color="auto"/>
        <w:left w:val="none" w:sz="0" w:space="0" w:color="auto"/>
        <w:bottom w:val="none" w:sz="0" w:space="0" w:color="auto"/>
        <w:right w:val="none" w:sz="0" w:space="0" w:color="auto"/>
      </w:divBdr>
    </w:div>
    <w:div w:id="1594433007">
      <w:bodyDiv w:val="1"/>
      <w:marLeft w:val="0"/>
      <w:marRight w:val="0"/>
      <w:marTop w:val="0"/>
      <w:marBottom w:val="0"/>
      <w:divBdr>
        <w:top w:val="none" w:sz="0" w:space="0" w:color="auto"/>
        <w:left w:val="none" w:sz="0" w:space="0" w:color="auto"/>
        <w:bottom w:val="none" w:sz="0" w:space="0" w:color="auto"/>
        <w:right w:val="none" w:sz="0" w:space="0" w:color="auto"/>
      </w:divBdr>
    </w:div>
    <w:div w:id="1611469687">
      <w:bodyDiv w:val="1"/>
      <w:marLeft w:val="0"/>
      <w:marRight w:val="0"/>
      <w:marTop w:val="0"/>
      <w:marBottom w:val="0"/>
      <w:divBdr>
        <w:top w:val="none" w:sz="0" w:space="0" w:color="auto"/>
        <w:left w:val="none" w:sz="0" w:space="0" w:color="auto"/>
        <w:bottom w:val="none" w:sz="0" w:space="0" w:color="auto"/>
        <w:right w:val="none" w:sz="0" w:space="0" w:color="auto"/>
      </w:divBdr>
    </w:div>
    <w:div w:id="1613902116">
      <w:bodyDiv w:val="1"/>
      <w:marLeft w:val="0"/>
      <w:marRight w:val="0"/>
      <w:marTop w:val="0"/>
      <w:marBottom w:val="0"/>
      <w:divBdr>
        <w:top w:val="none" w:sz="0" w:space="0" w:color="auto"/>
        <w:left w:val="none" w:sz="0" w:space="0" w:color="auto"/>
        <w:bottom w:val="none" w:sz="0" w:space="0" w:color="auto"/>
        <w:right w:val="none" w:sz="0" w:space="0" w:color="auto"/>
      </w:divBdr>
    </w:div>
    <w:div w:id="1629891385">
      <w:bodyDiv w:val="1"/>
      <w:marLeft w:val="0"/>
      <w:marRight w:val="0"/>
      <w:marTop w:val="0"/>
      <w:marBottom w:val="0"/>
      <w:divBdr>
        <w:top w:val="none" w:sz="0" w:space="0" w:color="auto"/>
        <w:left w:val="none" w:sz="0" w:space="0" w:color="auto"/>
        <w:bottom w:val="none" w:sz="0" w:space="0" w:color="auto"/>
        <w:right w:val="none" w:sz="0" w:space="0" w:color="auto"/>
      </w:divBdr>
    </w:div>
    <w:div w:id="1632322678">
      <w:bodyDiv w:val="1"/>
      <w:marLeft w:val="0"/>
      <w:marRight w:val="0"/>
      <w:marTop w:val="0"/>
      <w:marBottom w:val="0"/>
      <w:divBdr>
        <w:top w:val="none" w:sz="0" w:space="0" w:color="auto"/>
        <w:left w:val="none" w:sz="0" w:space="0" w:color="auto"/>
        <w:bottom w:val="none" w:sz="0" w:space="0" w:color="auto"/>
        <w:right w:val="none" w:sz="0" w:space="0" w:color="auto"/>
      </w:divBdr>
    </w:div>
    <w:div w:id="1645112411">
      <w:bodyDiv w:val="1"/>
      <w:marLeft w:val="0"/>
      <w:marRight w:val="0"/>
      <w:marTop w:val="0"/>
      <w:marBottom w:val="0"/>
      <w:divBdr>
        <w:top w:val="none" w:sz="0" w:space="0" w:color="auto"/>
        <w:left w:val="none" w:sz="0" w:space="0" w:color="auto"/>
        <w:bottom w:val="none" w:sz="0" w:space="0" w:color="auto"/>
        <w:right w:val="none" w:sz="0" w:space="0" w:color="auto"/>
      </w:divBdr>
    </w:div>
    <w:div w:id="1649283955">
      <w:bodyDiv w:val="1"/>
      <w:marLeft w:val="0"/>
      <w:marRight w:val="0"/>
      <w:marTop w:val="0"/>
      <w:marBottom w:val="0"/>
      <w:divBdr>
        <w:top w:val="none" w:sz="0" w:space="0" w:color="auto"/>
        <w:left w:val="none" w:sz="0" w:space="0" w:color="auto"/>
        <w:bottom w:val="none" w:sz="0" w:space="0" w:color="auto"/>
        <w:right w:val="none" w:sz="0" w:space="0" w:color="auto"/>
      </w:divBdr>
    </w:div>
    <w:div w:id="1653290265">
      <w:bodyDiv w:val="1"/>
      <w:marLeft w:val="0"/>
      <w:marRight w:val="0"/>
      <w:marTop w:val="0"/>
      <w:marBottom w:val="0"/>
      <w:divBdr>
        <w:top w:val="none" w:sz="0" w:space="0" w:color="auto"/>
        <w:left w:val="none" w:sz="0" w:space="0" w:color="auto"/>
        <w:bottom w:val="none" w:sz="0" w:space="0" w:color="auto"/>
        <w:right w:val="none" w:sz="0" w:space="0" w:color="auto"/>
      </w:divBdr>
    </w:div>
    <w:div w:id="1663123504">
      <w:bodyDiv w:val="1"/>
      <w:marLeft w:val="0"/>
      <w:marRight w:val="0"/>
      <w:marTop w:val="0"/>
      <w:marBottom w:val="0"/>
      <w:divBdr>
        <w:top w:val="none" w:sz="0" w:space="0" w:color="auto"/>
        <w:left w:val="none" w:sz="0" w:space="0" w:color="auto"/>
        <w:bottom w:val="none" w:sz="0" w:space="0" w:color="auto"/>
        <w:right w:val="none" w:sz="0" w:space="0" w:color="auto"/>
      </w:divBdr>
    </w:div>
    <w:div w:id="1692492596">
      <w:bodyDiv w:val="1"/>
      <w:marLeft w:val="0"/>
      <w:marRight w:val="0"/>
      <w:marTop w:val="0"/>
      <w:marBottom w:val="0"/>
      <w:divBdr>
        <w:top w:val="none" w:sz="0" w:space="0" w:color="auto"/>
        <w:left w:val="none" w:sz="0" w:space="0" w:color="auto"/>
        <w:bottom w:val="none" w:sz="0" w:space="0" w:color="auto"/>
        <w:right w:val="none" w:sz="0" w:space="0" w:color="auto"/>
      </w:divBdr>
    </w:div>
    <w:div w:id="1696688895">
      <w:bodyDiv w:val="1"/>
      <w:marLeft w:val="0"/>
      <w:marRight w:val="0"/>
      <w:marTop w:val="0"/>
      <w:marBottom w:val="0"/>
      <w:divBdr>
        <w:top w:val="none" w:sz="0" w:space="0" w:color="auto"/>
        <w:left w:val="none" w:sz="0" w:space="0" w:color="auto"/>
        <w:bottom w:val="none" w:sz="0" w:space="0" w:color="auto"/>
        <w:right w:val="none" w:sz="0" w:space="0" w:color="auto"/>
      </w:divBdr>
    </w:div>
    <w:div w:id="1708406396">
      <w:bodyDiv w:val="1"/>
      <w:marLeft w:val="0"/>
      <w:marRight w:val="0"/>
      <w:marTop w:val="0"/>
      <w:marBottom w:val="0"/>
      <w:divBdr>
        <w:top w:val="none" w:sz="0" w:space="0" w:color="auto"/>
        <w:left w:val="none" w:sz="0" w:space="0" w:color="auto"/>
        <w:bottom w:val="none" w:sz="0" w:space="0" w:color="auto"/>
        <w:right w:val="none" w:sz="0" w:space="0" w:color="auto"/>
      </w:divBdr>
    </w:div>
    <w:div w:id="1717661550">
      <w:bodyDiv w:val="1"/>
      <w:marLeft w:val="0"/>
      <w:marRight w:val="0"/>
      <w:marTop w:val="0"/>
      <w:marBottom w:val="0"/>
      <w:divBdr>
        <w:top w:val="none" w:sz="0" w:space="0" w:color="auto"/>
        <w:left w:val="none" w:sz="0" w:space="0" w:color="auto"/>
        <w:bottom w:val="none" w:sz="0" w:space="0" w:color="auto"/>
        <w:right w:val="none" w:sz="0" w:space="0" w:color="auto"/>
      </w:divBdr>
    </w:div>
    <w:div w:id="1740396016">
      <w:bodyDiv w:val="1"/>
      <w:marLeft w:val="0"/>
      <w:marRight w:val="0"/>
      <w:marTop w:val="0"/>
      <w:marBottom w:val="0"/>
      <w:divBdr>
        <w:top w:val="none" w:sz="0" w:space="0" w:color="auto"/>
        <w:left w:val="none" w:sz="0" w:space="0" w:color="auto"/>
        <w:bottom w:val="none" w:sz="0" w:space="0" w:color="auto"/>
        <w:right w:val="none" w:sz="0" w:space="0" w:color="auto"/>
      </w:divBdr>
    </w:div>
    <w:div w:id="1794206016">
      <w:bodyDiv w:val="1"/>
      <w:marLeft w:val="0"/>
      <w:marRight w:val="0"/>
      <w:marTop w:val="0"/>
      <w:marBottom w:val="0"/>
      <w:divBdr>
        <w:top w:val="none" w:sz="0" w:space="0" w:color="auto"/>
        <w:left w:val="none" w:sz="0" w:space="0" w:color="auto"/>
        <w:bottom w:val="none" w:sz="0" w:space="0" w:color="auto"/>
        <w:right w:val="none" w:sz="0" w:space="0" w:color="auto"/>
      </w:divBdr>
    </w:div>
    <w:div w:id="1794866903">
      <w:bodyDiv w:val="1"/>
      <w:marLeft w:val="0"/>
      <w:marRight w:val="0"/>
      <w:marTop w:val="0"/>
      <w:marBottom w:val="0"/>
      <w:divBdr>
        <w:top w:val="none" w:sz="0" w:space="0" w:color="auto"/>
        <w:left w:val="none" w:sz="0" w:space="0" w:color="auto"/>
        <w:bottom w:val="none" w:sz="0" w:space="0" w:color="auto"/>
        <w:right w:val="none" w:sz="0" w:space="0" w:color="auto"/>
      </w:divBdr>
    </w:div>
    <w:div w:id="1803497179">
      <w:bodyDiv w:val="1"/>
      <w:marLeft w:val="0"/>
      <w:marRight w:val="0"/>
      <w:marTop w:val="0"/>
      <w:marBottom w:val="0"/>
      <w:divBdr>
        <w:top w:val="none" w:sz="0" w:space="0" w:color="auto"/>
        <w:left w:val="none" w:sz="0" w:space="0" w:color="auto"/>
        <w:bottom w:val="none" w:sz="0" w:space="0" w:color="auto"/>
        <w:right w:val="none" w:sz="0" w:space="0" w:color="auto"/>
      </w:divBdr>
    </w:div>
    <w:div w:id="1814715312">
      <w:bodyDiv w:val="1"/>
      <w:marLeft w:val="0"/>
      <w:marRight w:val="0"/>
      <w:marTop w:val="0"/>
      <w:marBottom w:val="0"/>
      <w:divBdr>
        <w:top w:val="none" w:sz="0" w:space="0" w:color="auto"/>
        <w:left w:val="none" w:sz="0" w:space="0" w:color="auto"/>
        <w:bottom w:val="none" w:sz="0" w:space="0" w:color="auto"/>
        <w:right w:val="none" w:sz="0" w:space="0" w:color="auto"/>
      </w:divBdr>
    </w:div>
    <w:div w:id="1826434810">
      <w:bodyDiv w:val="1"/>
      <w:marLeft w:val="0"/>
      <w:marRight w:val="0"/>
      <w:marTop w:val="0"/>
      <w:marBottom w:val="0"/>
      <w:divBdr>
        <w:top w:val="none" w:sz="0" w:space="0" w:color="auto"/>
        <w:left w:val="none" w:sz="0" w:space="0" w:color="auto"/>
        <w:bottom w:val="none" w:sz="0" w:space="0" w:color="auto"/>
        <w:right w:val="none" w:sz="0" w:space="0" w:color="auto"/>
      </w:divBdr>
    </w:div>
    <w:div w:id="1826580081">
      <w:bodyDiv w:val="1"/>
      <w:marLeft w:val="0"/>
      <w:marRight w:val="0"/>
      <w:marTop w:val="0"/>
      <w:marBottom w:val="0"/>
      <w:divBdr>
        <w:top w:val="none" w:sz="0" w:space="0" w:color="auto"/>
        <w:left w:val="none" w:sz="0" w:space="0" w:color="auto"/>
        <w:bottom w:val="none" w:sz="0" w:space="0" w:color="auto"/>
        <w:right w:val="none" w:sz="0" w:space="0" w:color="auto"/>
      </w:divBdr>
    </w:div>
    <w:div w:id="1831173495">
      <w:bodyDiv w:val="1"/>
      <w:marLeft w:val="0"/>
      <w:marRight w:val="0"/>
      <w:marTop w:val="0"/>
      <w:marBottom w:val="0"/>
      <w:divBdr>
        <w:top w:val="none" w:sz="0" w:space="0" w:color="auto"/>
        <w:left w:val="none" w:sz="0" w:space="0" w:color="auto"/>
        <w:bottom w:val="none" w:sz="0" w:space="0" w:color="auto"/>
        <w:right w:val="none" w:sz="0" w:space="0" w:color="auto"/>
      </w:divBdr>
    </w:div>
    <w:div w:id="1855025531">
      <w:bodyDiv w:val="1"/>
      <w:marLeft w:val="0"/>
      <w:marRight w:val="0"/>
      <w:marTop w:val="0"/>
      <w:marBottom w:val="0"/>
      <w:divBdr>
        <w:top w:val="none" w:sz="0" w:space="0" w:color="auto"/>
        <w:left w:val="none" w:sz="0" w:space="0" w:color="auto"/>
        <w:bottom w:val="none" w:sz="0" w:space="0" w:color="auto"/>
        <w:right w:val="none" w:sz="0" w:space="0" w:color="auto"/>
      </w:divBdr>
    </w:div>
    <w:div w:id="1875995317">
      <w:bodyDiv w:val="1"/>
      <w:marLeft w:val="0"/>
      <w:marRight w:val="0"/>
      <w:marTop w:val="0"/>
      <w:marBottom w:val="0"/>
      <w:divBdr>
        <w:top w:val="none" w:sz="0" w:space="0" w:color="auto"/>
        <w:left w:val="none" w:sz="0" w:space="0" w:color="auto"/>
        <w:bottom w:val="none" w:sz="0" w:space="0" w:color="auto"/>
        <w:right w:val="none" w:sz="0" w:space="0" w:color="auto"/>
      </w:divBdr>
    </w:div>
    <w:div w:id="1937012250">
      <w:bodyDiv w:val="1"/>
      <w:marLeft w:val="0"/>
      <w:marRight w:val="0"/>
      <w:marTop w:val="0"/>
      <w:marBottom w:val="0"/>
      <w:divBdr>
        <w:top w:val="none" w:sz="0" w:space="0" w:color="auto"/>
        <w:left w:val="none" w:sz="0" w:space="0" w:color="auto"/>
        <w:bottom w:val="none" w:sz="0" w:space="0" w:color="auto"/>
        <w:right w:val="none" w:sz="0" w:space="0" w:color="auto"/>
      </w:divBdr>
    </w:div>
    <w:div w:id="1938828269">
      <w:bodyDiv w:val="1"/>
      <w:marLeft w:val="0"/>
      <w:marRight w:val="0"/>
      <w:marTop w:val="0"/>
      <w:marBottom w:val="0"/>
      <w:divBdr>
        <w:top w:val="none" w:sz="0" w:space="0" w:color="auto"/>
        <w:left w:val="none" w:sz="0" w:space="0" w:color="auto"/>
        <w:bottom w:val="none" w:sz="0" w:space="0" w:color="auto"/>
        <w:right w:val="none" w:sz="0" w:space="0" w:color="auto"/>
      </w:divBdr>
    </w:div>
    <w:div w:id="1970043904">
      <w:bodyDiv w:val="1"/>
      <w:marLeft w:val="0"/>
      <w:marRight w:val="0"/>
      <w:marTop w:val="0"/>
      <w:marBottom w:val="0"/>
      <w:divBdr>
        <w:top w:val="none" w:sz="0" w:space="0" w:color="auto"/>
        <w:left w:val="none" w:sz="0" w:space="0" w:color="auto"/>
        <w:bottom w:val="none" w:sz="0" w:space="0" w:color="auto"/>
        <w:right w:val="none" w:sz="0" w:space="0" w:color="auto"/>
      </w:divBdr>
    </w:div>
    <w:div w:id="1975745622">
      <w:bodyDiv w:val="1"/>
      <w:marLeft w:val="0"/>
      <w:marRight w:val="0"/>
      <w:marTop w:val="0"/>
      <w:marBottom w:val="0"/>
      <w:divBdr>
        <w:top w:val="none" w:sz="0" w:space="0" w:color="auto"/>
        <w:left w:val="none" w:sz="0" w:space="0" w:color="auto"/>
        <w:bottom w:val="none" w:sz="0" w:space="0" w:color="auto"/>
        <w:right w:val="none" w:sz="0" w:space="0" w:color="auto"/>
      </w:divBdr>
    </w:div>
    <w:div w:id="2017032508">
      <w:bodyDiv w:val="1"/>
      <w:marLeft w:val="0"/>
      <w:marRight w:val="0"/>
      <w:marTop w:val="0"/>
      <w:marBottom w:val="0"/>
      <w:divBdr>
        <w:top w:val="none" w:sz="0" w:space="0" w:color="auto"/>
        <w:left w:val="none" w:sz="0" w:space="0" w:color="auto"/>
        <w:bottom w:val="none" w:sz="0" w:space="0" w:color="auto"/>
        <w:right w:val="none" w:sz="0" w:space="0" w:color="auto"/>
      </w:divBdr>
    </w:div>
    <w:div w:id="2033914699">
      <w:bodyDiv w:val="1"/>
      <w:marLeft w:val="0"/>
      <w:marRight w:val="0"/>
      <w:marTop w:val="0"/>
      <w:marBottom w:val="0"/>
      <w:divBdr>
        <w:top w:val="none" w:sz="0" w:space="0" w:color="auto"/>
        <w:left w:val="none" w:sz="0" w:space="0" w:color="auto"/>
        <w:bottom w:val="none" w:sz="0" w:space="0" w:color="auto"/>
        <w:right w:val="none" w:sz="0" w:space="0" w:color="auto"/>
      </w:divBdr>
    </w:div>
    <w:div w:id="2078429269">
      <w:bodyDiv w:val="1"/>
      <w:marLeft w:val="0"/>
      <w:marRight w:val="0"/>
      <w:marTop w:val="0"/>
      <w:marBottom w:val="0"/>
      <w:divBdr>
        <w:top w:val="none" w:sz="0" w:space="0" w:color="auto"/>
        <w:left w:val="none" w:sz="0" w:space="0" w:color="auto"/>
        <w:bottom w:val="none" w:sz="0" w:space="0" w:color="auto"/>
        <w:right w:val="none" w:sz="0" w:space="0" w:color="auto"/>
      </w:divBdr>
    </w:div>
    <w:div w:id="2094617567">
      <w:bodyDiv w:val="1"/>
      <w:marLeft w:val="0"/>
      <w:marRight w:val="0"/>
      <w:marTop w:val="0"/>
      <w:marBottom w:val="0"/>
      <w:divBdr>
        <w:top w:val="none" w:sz="0" w:space="0" w:color="auto"/>
        <w:left w:val="none" w:sz="0" w:space="0" w:color="auto"/>
        <w:bottom w:val="none" w:sz="0" w:space="0" w:color="auto"/>
        <w:right w:val="none" w:sz="0" w:space="0" w:color="auto"/>
      </w:divBdr>
    </w:div>
    <w:div w:id="2102875051">
      <w:bodyDiv w:val="1"/>
      <w:marLeft w:val="0"/>
      <w:marRight w:val="0"/>
      <w:marTop w:val="0"/>
      <w:marBottom w:val="0"/>
      <w:divBdr>
        <w:top w:val="none" w:sz="0" w:space="0" w:color="auto"/>
        <w:left w:val="none" w:sz="0" w:space="0" w:color="auto"/>
        <w:bottom w:val="none" w:sz="0" w:space="0" w:color="auto"/>
        <w:right w:val="none" w:sz="0" w:space="0" w:color="auto"/>
      </w:divBdr>
    </w:div>
    <w:div w:id="211243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g"/><Relationship Id="rId18" Type="http://schemas.openxmlformats.org/officeDocument/2006/relationships/image" Target="media/image8.jpe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www.tatasteeluk.com/sites/default/files/steel-news-issue-17.pdf?"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hyperlink" Target="https://www.tatasteeluk.com/corporate/news/work-starts-on-new-pickle-line?"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footer" Target="footer2.xml"/><Relationship Id="rId19" Type="http://schemas.openxmlformats.org/officeDocument/2006/relationships/hyperlink" Target="https://www.hse.gov.uk/work-equipment-machinery/puwer.ht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Nat23</b:Tag>
    <b:SourceType>InternetSite</b:SourceType>
    <b:Guid>{D8FCD11C-A157-462C-9FB8-D5E48CFB13EE}</b:Guid>
    <b:Title>National Deaf Children's Society</b:Title>
    <b:Author>
      <b:Author>
        <b:Corporate>National Deaf Children's Society</b:Corporate>
      </b:Author>
    </b:Author>
    <b:YearAccessed>2023</b:YearAccessed>
    <b:MonthAccessed>11</b:MonthAccessed>
    <b:DayAccessed>28</b:DayAccessed>
    <b:URL>ndcs.org.uk/information-and-support/professionals/research-and-data/</b:URL>
    <b:RefOrder>1</b:RefOrder>
  </b:Source>
</b:Sources>
</file>

<file path=customXml/itemProps1.xml><?xml version="1.0" encoding="utf-8"?>
<ds:datastoreItem xmlns:ds="http://schemas.openxmlformats.org/officeDocument/2006/customXml" ds:itemID="{F94EF5C8-0529-4649-9A5E-BC12F615D3E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25</Pages>
  <Words>3468</Words>
  <Characters>23833</Characters>
  <Application>Microsoft Office Word</Application>
  <DocSecurity>0</DocSecurity>
  <Lines>198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Cori</dc:creator>
  <cp:keywords/>
  <dc:description/>
  <cp:lastModifiedBy>Davies, Cori</cp:lastModifiedBy>
  <cp:revision>3</cp:revision>
  <dcterms:created xsi:type="dcterms:W3CDTF">2026-04-19T20:08:00Z</dcterms:created>
  <dcterms:modified xsi:type="dcterms:W3CDTF">2026-04-19T20:11:00Z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2023-01-05T09:02:09Z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e44ea6dc-f75d-42c3-95d3-fb32a4097d37</vt:lpwstr>
  </property>
  <property fmtid="{D5CDD505-2E9C-101B-9397-08002B2CF9AE}" pid="11" name="MSIP_Label_73aa366c-74b9-492b-a1b9-5472c41e7d31_ContentBits">
    <vt:lpwstr>2</vt:lpwstr>
  </property>
  <property fmtid="{D5CDD505-2E9C-101B-9397-08002B2CF9AE}" pid="12" name="GrammarlyDocumentId">
    <vt:lpwstr>24848921379ed12fcb6d9f61db5590c09e8084068e7e253140c631a075c54c25</vt:lpwstr>
  </property>
</Properties>
</file>