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3D918" w14:textId="77777777" w:rsidR="000B4355" w:rsidRDefault="000B4355" w:rsidP="000B4355">
      <w:pPr>
        <w:spacing w:before="100" w:beforeAutospacing="1" w:after="100" w:afterAutospacing="1" w:line="480" w:lineRule="auto"/>
        <w:jc w:val="both"/>
        <w:rPr>
          <w:rFonts w:ascii="Times New Roman" w:eastAsia="Times New Roman" w:hAnsi="Times New Roman" w:cs="Times New Roman"/>
          <w:b/>
          <w:bCs/>
          <w:color w:val="000000"/>
          <w:lang w:eastAsia="en-GB"/>
        </w:rPr>
      </w:pPr>
      <w:r>
        <w:br w:type="page"/>
      </w:r>
      <w:r w:rsidRPr="0093076B">
        <w:rPr>
          <w:rFonts w:ascii="Times New Roman" w:eastAsia="Times New Roman" w:hAnsi="Times New Roman" w:cs="Times New Roman"/>
          <w:b/>
          <w:bCs/>
          <w:color w:val="000000"/>
          <w:lang w:eastAsia="en-GB"/>
        </w:rPr>
        <w:lastRenderedPageBreak/>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14403FEF" w14:textId="77777777" w:rsidR="000B4355" w:rsidRDefault="000B4355" w:rsidP="000B4355">
      <w:pPr>
        <w:spacing w:before="100" w:beforeAutospacing="1" w:after="100" w:afterAutospacing="1" w:line="480" w:lineRule="auto"/>
        <w:jc w:val="both"/>
        <w:rPr>
          <w:rFonts w:ascii="Times New Roman" w:eastAsia="Times New Roman" w:hAnsi="Times New Roman" w:cs="Times New Roman"/>
          <w:b/>
          <w:bCs/>
          <w:color w:val="000000"/>
          <w:lang w:eastAsia="en-GB"/>
        </w:rPr>
      </w:pPr>
    </w:p>
    <w:p w14:paraId="07726D8F" w14:textId="77777777" w:rsidR="000B4355" w:rsidRDefault="000B4355" w:rsidP="000B4355">
      <w:pPr>
        <w:spacing w:before="100" w:beforeAutospacing="1" w:after="100" w:afterAutospacing="1" w:line="480" w:lineRule="auto"/>
        <w:jc w:val="both"/>
        <w:rPr>
          <w:rFonts w:ascii="Times New Roman" w:eastAsia="Times New Roman" w:hAnsi="Times New Roman" w:cs="Times New Roman"/>
          <w:b/>
          <w:bCs/>
          <w:color w:val="000000"/>
          <w:lang w:eastAsia="en-GB"/>
        </w:rPr>
      </w:pPr>
    </w:p>
    <w:p w14:paraId="2E942F71" w14:textId="77777777" w:rsidR="000B4355" w:rsidRDefault="000B4355" w:rsidP="000B4355">
      <w:pPr>
        <w:spacing w:before="100" w:beforeAutospacing="1" w:after="100" w:afterAutospacing="1" w:line="480" w:lineRule="auto"/>
        <w:jc w:val="both"/>
        <w:rPr>
          <w:rFonts w:ascii="Times New Roman" w:eastAsia="Times New Roman" w:hAnsi="Times New Roman" w:cs="Times New Roman"/>
          <w:b/>
          <w:bCs/>
          <w:color w:val="000000"/>
          <w:lang w:eastAsia="en-GB"/>
        </w:rPr>
      </w:pPr>
    </w:p>
    <w:p w14:paraId="69B9D723" w14:textId="77777777" w:rsidR="000B4355" w:rsidRDefault="000B4355" w:rsidP="000B4355">
      <w:pPr>
        <w:spacing w:before="100" w:beforeAutospacing="1" w:after="100" w:afterAutospacing="1" w:line="480" w:lineRule="auto"/>
        <w:jc w:val="both"/>
        <w:rPr>
          <w:rFonts w:ascii="Times New Roman" w:eastAsia="Times New Roman" w:hAnsi="Times New Roman" w:cs="Times New Roman"/>
          <w:b/>
          <w:bCs/>
          <w:color w:val="000000"/>
          <w:lang w:eastAsia="en-GB"/>
        </w:rPr>
      </w:pPr>
    </w:p>
    <w:p w14:paraId="43AF74CE" w14:textId="77777777" w:rsidR="000B4355" w:rsidRDefault="000B4355" w:rsidP="000B4355">
      <w:pPr>
        <w:spacing w:before="100" w:beforeAutospacing="1" w:after="100" w:afterAutospacing="1" w:line="480" w:lineRule="auto"/>
        <w:jc w:val="both"/>
        <w:rPr>
          <w:rFonts w:ascii="Times New Roman" w:eastAsia="Times New Roman" w:hAnsi="Times New Roman" w:cs="Times New Roman"/>
          <w:b/>
          <w:bCs/>
          <w:color w:val="000000"/>
          <w:lang w:eastAsia="en-GB"/>
        </w:rPr>
      </w:pPr>
    </w:p>
    <w:p w14:paraId="22408BB2" w14:textId="1B1C63CF" w:rsidR="000B4355" w:rsidRPr="0093076B" w:rsidRDefault="000B4355" w:rsidP="000B4355">
      <w:pPr>
        <w:spacing w:before="100" w:beforeAutospacing="1" w:after="100" w:afterAutospacing="1" w:line="480" w:lineRule="auto"/>
        <w:jc w:val="both"/>
        <w:rPr>
          <w:rFonts w:ascii="Times New Roman" w:eastAsia="Times New Roman" w:hAnsi="Times New Roman" w:cs="Times New Roman"/>
          <w:b/>
          <w:bCs/>
          <w:color w:val="000000"/>
          <w:lang w:eastAsia="en-GB"/>
        </w:rPr>
      </w:pPr>
    </w:p>
    <w:tbl>
      <w:tblPr>
        <w:tblW w:w="0" w:type="auto"/>
        <w:tblLayout w:type="fixed"/>
        <w:tblLook w:val="0600" w:firstRow="0" w:lastRow="0" w:firstColumn="0" w:lastColumn="0" w:noHBand="1" w:noVBand="1"/>
      </w:tblPr>
      <w:tblGrid>
        <w:gridCol w:w="5529"/>
        <w:gridCol w:w="5261"/>
      </w:tblGrid>
      <w:tr w:rsidR="00A81248" w:rsidRPr="003A798E" w14:paraId="4993751A" w14:textId="77777777" w:rsidTr="00766C02">
        <w:trPr>
          <w:trHeight w:val="2719"/>
        </w:trPr>
        <w:tc>
          <w:tcPr>
            <w:tcW w:w="5529" w:type="dxa"/>
          </w:tcPr>
          <w:p w14:paraId="13D88E19" w14:textId="77777777" w:rsidR="00A81248" w:rsidRDefault="00FF299E" w:rsidP="00C66528">
            <w:pPr>
              <w:pStyle w:val="Heading1"/>
              <w:rPr>
                <w:sz w:val="64"/>
                <w:szCs w:val="64"/>
              </w:rPr>
            </w:pPr>
            <w:r w:rsidRPr="00766C02">
              <w:rPr>
                <w:sz w:val="64"/>
                <w:szCs w:val="64"/>
              </w:rPr>
              <w:lastRenderedPageBreak/>
              <w:t>CASE REPORT</w:t>
            </w:r>
          </w:p>
          <w:p w14:paraId="0AEDB9D8" w14:textId="4BDB1D71" w:rsidR="00E323A5" w:rsidRPr="00E323A5" w:rsidRDefault="00E323A5" w:rsidP="00E323A5">
            <w:r>
              <w:t>District Nurses Hand Washing Adherence</w:t>
            </w:r>
          </w:p>
        </w:tc>
        <w:tc>
          <w:tcPr>
            <w:tcW w:w="5261" w:type="dxa"/>
          </w:tcPr>
          <w:p w14:paraId="5CFF4F56" w14:textId="58C1CD30" w:rsidR="00A81248" w:rsidRPr="003A798E" w:rsidRDefault="00A81248"/>
        </w:tc>
      </w:tr>
      <w:tr w:rsidR="00FF299E" w:rsidRPr="003A798E" w14:paraId="2FE6D199" w14:textId="77777777" w:rsidTr="00766C02">
        <w:trPr>
          <w:trHeight w:val="5771"/>
        </w:trPr>
        <w:tc>
          <w:tcPr>
            <w:tcW w:w="5529" w:type="dxa"/>
            <w:vMerge w:val="restart"/>
          </w:tcPr>
          <w:p w14:paraId="39003EA3" w14:textId="072ED7B2" w:rsidR="00FF299E" w:rsidRPr="003A798E" w:rsidRDefault="00FF299E">
            <w:r w:rsidRPr="003A798E">
              <w:rPr>
                <w:noProof/>
                <w:lang w:eastAsia="en-AU"/>
              </w:rPr>
              <mc:AlternateContent>
                <mc:Choice Requires="wpg">
                  <w:drawing>
                    <wp:anchor distT="0" distB="0" distL="114300" distR="114300" simplePos="0" relativeHeight="251663360" behindDoc="1" locked="0" layoutInCell="1" allowOverlap="1" wp14:anchorId="5BECCFE1" wp14:editId="70EB73B7">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group w14:anchorId="43587981" id="Group 1" o:spid="_x0000_s1026" alt="&quot;&quot;" style="position:absolute;margin-left:-35.1pt;margin-top:-176.6pt;width:612pt;height:791.7pt;z-index:-251653120;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61" w:type="dxa"/>
          </w:tcPr>
          <w:p w14:paraId="596FC509" w14:textId="438A7636" w:rsidR="00FF299E" w:rsidRPr="003A798E" w:rsidRDefault="00FF299E"/>
        </w:tc>
      </w:tr>
      <w:tr w:rsidR="00FF299E" w:rsidRPr="003A798E" w14:paraId="54D528D9" w14:textId="77777777" w:rsidTr="00766C02">
        <w:trPr>
          <w:trHeight w:val="4813"/>
        </w:trPr>
        <w:tc>
          <w:tcPr>
            <w:tcW w:w="5529" w:type="dxa"/>
            <w:vMerge/>
          </w:tcPr>
          <w:p w14:paraId="3CBFE97B" w14:textId="77777777" w:rsidR="00FF299E" w:rsidRPr="003A798E" w:rsidRDefault="00FF299E">
            <w:pPr>
              <w:rPr>
                <w:noProof/>
                <w:lang w:eastAsia="en-AU"/>
              </w:rPr>
            </w:pPr>
          </w:p>
        </w:tc>
        <w:tc>
          <w:tcPr>
            <w:tcW w:w="5261" w:type="dxa"/>
          </w:tcPr>
          <w:p w14:paraId="2DD39CC7" w14:textId="77777777" w:rsidR="00766C02" w:rsidRDefault="00766C02" w:rsidP="00FF299E">
            <w:pPr>
              <w:pStyle w:val="Heading2"/>
              <w:rPr>
                <w:sz w:val="28"/>
                <w:szCs w:val="18"/>
              </w:rPr>
            </w:pPr>
          </w:p>
          <w:p w14:paraId="63DFB666" w14:textId="77777777" w:rsidR="00766C02" w:rsidRDefault="00766C02" w:rsidP="00FF299E">
            <w:pPr>
              <w:pStyle w:val="Heading2"/>
              <w:rPr>
                <w:sz w:val="28"/>
                <w:szCs w:val="18"/>
              </w:rPr>
            </w:pPr>
          </w:p>
          <w:p w14:paraId="6604AB5F" w14:textId="77777777" w:rsidR="00766C02" w:rsidRDefault="00766C02" w:rsidP="00FF299E">
            <w:pPr>
              <w:pStyle w:val="Heading2"/>
              <w:rPr>
                <w:sz w:val="28"/>
                <w:szCs w:val="18"/>
              </w:rPr>
            </w:pPr>
          </w:p>
          <w:p w14:paraId="296CFA90" w14:textId="28D751BD" w:rsidR="00FF299E" w:rsidRPr="003A798E" w:rsidRDefault="000061A3" w:rsidP="00F95970">
            <w:pPr>
              <w:pStyle w:val="Heading2"/>
            </w:pPr>
            <w:r>
              <w:t>Glynafonshire Health Board Review April 26</w:t>
            </w:r>
          </w:p>
        </w:tc>
      </w:tr>
    </w:tbl>
    <w:p w14:paraId="7FDB8637" w14:textId="14E5021D" w:rsidR="000C4ED1" w:rsidRPr="003A798E" w:rsidRDefault="000C4ED1"/>
    <w:tbl>
      <w:tblPr>
        <w:tblW w:w="10773" w:type="dxa"/>
        <w:shd w:val="clear" w:color="auto" w:fill="EDF0F4" w:themeFill="accent3"/>
        <w:tblLayout w:type="fixed"/>
        <w:tblCellMar>
          <w:left w:w="0" w:type="dxa"/>
          <w:right w:w="0" w:type="dxa"/>
        </w:tblCellMar>
        <w:tblLook w:val="0600" w:firstRow="0" w:lastRow="0" w:firstColumn="0" w:lastColumn="0" w:noHBand="1" w:noVBand="1"/>
      </w:tblPr>
      <w:tblGrid>
        <w:gridCol w:w="10773"/>
      </w:tblGrid>
      <w:tr w:rsidR="00766C02" w:rsidRPr="003A798E" w14:paraId="3B42F6A6" w14:textId="77777777" w:rsidTr="00FA38A4">
        <w:trPr>
          <w:trHeight w:val="5682"/>
        </w:trPr>
        <w:tc>
          <w:tcPr>
            <w:tcW w:w="10773" w:type="dxa"/>
            <w:shd w:val="clear" w:color="auto" w:fill="EDF0F4" w:themeFill="accent3"/>
          </w:tcPr>
          <w:p w14:paraId="1594F49B" w14:textId="070DEAFD" w:rsidR="00766C02" w:rsidRPr="003A798E" w:rsidRDefault="00766C02" w:rsidP="00191507">
            <w:pPr>
              <w:pStyle w:val="Heading3"/>
              <w:spacing w:line="480" w:lineRule="auto"/>
            </w:pPr>
            <w:r>
              <w:lastRenderedPageBreak/>
              <w:t xml:space="preserve">BACKGROUND TO THE </w:t>
            </w:r>
            <w:r w:rsidR="00F95970">
              <w:t>RE</w:t>
            </w:r>
            <w:r>
              <w:t>PORT</w:t>
            </w:r>
          </w:p>
          <w:p w14:paraId="6050DB62" w14:textId="30528AD3" w:rsidR="00766C02" w:rsidRDefault="00F263EB" w:rsidP="00D320AE">
            <w:pPr>
              <w:spacing w:line="480" w:lineRule="auto"/>
              <w:ind w:firstLine="720"/>
            </w:pPr>
            <w:r w:rsidRPr="00F263EB">
              <w:t>This paper analyses the theoretical case study presented by Glynafonshire Health Board where district nurses have been found failing to wash their hands properly causing eight cases of infection and one death. All the nurses in the health board had been well trained and were found competent but were unable to comply with the guidelines due to certain factors such as overload of work and long working hours. Cases like this are quite common within the healthcare setting and often occur due to human cognitive failures at times of overload</w:t>
            </w:r>
            <w:r w:rsidR="00D85874">
              <w:t xml:space="preserve"> (Reason,1990).</w:t>
            </w:r>
          </w:p>
          <w:p w14:paraId="41321221" w14:textId="77777777" w:rsidR="00C6750B" w:rsidRDefault="00C6750B" w:rsidP="00D320AE">
            <w:pPr>
              <w:spacing w:line="480" w:lineRule="auto"/>
              <w:ind w:firstLine="720"/>
            </w:pPr>
          </w:p>
          <w:p w14:paraId="298FDD94" w14:textId="77777777" w:rsidR="00F263EB" w:rsidRDefault="00F263EB" w:rsidP="00F263EB">
            <w:pPr>
              <w:spacing w:line="480" w:lineRule="auto"/>
            </w:pPr>
            <w:r>
              <w:t>Objective of this Report</w:t>
            </w:r>
          </w:p>
          <w:p w14:paraId="514E3B4F" w14:textId="2733C5B1" w:rsidR="00C6750B" w:rsidRPr="003A798E" w:rsidRDefault="00F263EB" w:rsidP="00F263EB">
            <w:pPr>
              <w:spacing w:line="480" w:lineRule="auto"/>
              <w:ind w:firstLine="720"/>
            </w:pPr>
            <w:r>
              <w:t xml:space="preserve">This report aims at </w:t>
            </w:r>
            <w:proofErr w:type="spellStart"/>
            <w:r>
              <w:t>analysing</w:t>
            </w:r>
            <w:proofErr w:type="spellEnd"/>
            <w:r>
              <w:t xml:space="preserve"> how the application of the Working Memory Model by Baddeley (2000) may assist in explaining the impact of cognitive load in causing these errors. The report will then </w:t>
            </w:r>
            <w:proofErr w:type="spellStart"/>
            <w:r>
              <w:t>analyse</w:t>
            </w:r>
            <w:proofErr w:type="spellEnd"/>
            <w:r>
              <w:t xml:space="preserve"> how findings based on this model may be </w:t>
            </w:r>
            <w:proofErr w:type="spellStart"/>
            <w:r>
              <w:t>utilised</w:t>
            </w:r>
            <w:proofErr w:type="spellEnd"/>
            <w:r>
              <w:t xml:space="preserve"> in formulating procedures that would ensure such errors do not reoccur in the future, while considering ethical issues.</w:t>
            </w:r>
          </w:p>
        </w:tc>
      </w:tr>
      <w:tr w:rsidR="00766C02" w:rsidRPr="003A798E" w14:paraId="7720E703" w14:textId="77777777" w:rsidTr="00FA38A4">
        <w:trPr>
          <w:trHeight w:val="7629"/>
        </w:trPr>
        <w:tc>
          <w:tcPr>
            <w:tcW w:w="10773" w:type="dxa"/>
            <w:shd w:val="clear" w:color="auto" w:fill="EDF0F4" w:themeFill="accent3"/>
          </w:tcPr>
          <w:p w14:paraId="5B2807DB" w14:textId="1F5499DA" w:rsidR="00766C02" w:rsidRDefault="00766C02" w:rsidP="00191507">
            <w:pPr>
              <w:pStyle w:val="Heading3"/>
              <w:spacing w:line="480" w:lineRule="auto"/>
            </w:pPr>
            <w:r>
              <w:lastRenderedPageBreak/>
              <w:t xml:space="preserve">THE </w:t>
            </w:r>
            <w:r w:rsidR="00C6750B">
              <w:t xml:space="preserve">WORKING MEMORY </w:t>
            </w:r>
            <w:r>
              <w:t>THEORY</w:t>
            </w:r>
          </w:p>
          <w:p w14:paraId="5CE8D212" w14:textId="77777777" w:rsidR="00F263EB" w:rsidRPr="00F263EB" w:rsidRDefault="00F263EB" w:rsidP="00F263EB">
            <w:pPr>
              <w:spacing w:line="480" w:lineRule="auto"/>
              <w:ind w:firstLine="720"/>
              <w:rPr>
                <w:rFonts w:ascii="Times New Roman" w:hAnsi="Times New Roman" w:cs="Times New Roman"/>
              </w:rPr>
            </w:pPr>
            <w:r w:rsidRPr="00F263EB">
              <w:rPr>
                <w:rFonts w:ascii="Times New Roman" w:hAnsi="Times New Roman" w:cs="Times New Roman"/>
              </w:rPr>
              <w:t>Baddeley and Hitch, in 1974, and Baddeley, in 2000, formulated the Working Memory Model (WMM). This model explains the structure and functions of a memory that allows temporary storage and manipulation of data needed to perform difficult cognitive activities such as problem solving and decision making.</w:t>
            </w:r>
          </w:p>
          <w:p w14:paraId="6ACFEC1B" w14:textId="77777777" w:rsidR="00F263EB" w:rsidRPr="00F263EB" w:rsidRDefault="00F263EB" w:rsidP="00F263EB">
            <w:pPr>
              <w:spacing w:line="480" w:lineRule="auto"/>
              <w:ind w:firstLine="720"/>
              <w:rPr>
                <w:rFonts w:ascii="Times New Roman" w:hAnsi="Times New Roman" w:cs="Times New Roman"/>
              </w:rPr>
            </w:pPr>
          </w:p>
          <w:p w14:paraId="45A1B368" w14:textId="77777777" w:rsidR="00F263EB" w:rsidRPr="00F263EB" w:rsidRDefault="00F263EB" w:rsidP="00F263EB">
            <w:pPr>
              <w:spacing w:line="480" w:lineRule="auto"/>
              <w:ind w:firstLine="720"/>
              <w:rPr>
                <w:rFonts w:ascii="Times New Roman" w:hAnsi="Times New Roman" w:cs="Times New Roman"/>
              </w:rPr>
            </w:pPr>
            <w:r w:rsidRPr="00F263EB">
              <w:rPr>
                <w:rFonts w:ascii="Times New Roman" w:hAnsi="Times New Roman" w:cs="Times New Roman"/>
              </w:rPr>
              <w:t>The WMM comprises four major components:</w:t>
            </w:r>
          </w:p>
          <w:p w14:paraId="676C7053" w14:textId="77777777" w:rsidR="00F263EB" w:rsidRPr="00F263EB" w:rsidRDefault="00F263EB" w:rsidP="00F263EB">
            <w:pPr>
              <w:spacing w:line="480" w:lineRule="auto"/>
              <w:ind w:firstLine="720"/>
              <w:rPr>
                <w:rFonts w:ascii="Times New Roman" w:hAnsi="Times New Roman" w:cs="Times New Roman"/>
              </w:rPr>
            </w:pPr>
          </w:p>
          <w:p w14:paraId="461E0E4C" w14:textId="77777777" w:rsidR="00F263EB" w:rsidRPr="00F263EB" w:rsidRDefault="00F263EB" w:rsidP="00F263EB">
            <w:pPr>
              <w:spacing w:line="480" w:lineRule="auto"/>
              <w:ind w:firstLine="720"/>
              <w:rPr>
                <w:rFonts w:ascii="Times New Roman" w:hAnsi="Times New Roman" w:cs="Times New Roman"/>
              </w:rPr>
            </w:pPr>
            <w:r w:rsidRPr="00F263EB">
              <w:rPr>
                <w:rFonts w:ascii="Times New Roman" w:hAnsi="Times New Roman" w:cs="Times New Roman"/>
              </w:rPr>
              <w:t>•</w:t>
            </w:r>
            <w:r w:rsidRPr="00F263EB">
              <w:rPr>
                <w:rFonts w:ascii="Times New Roman" w:hAnsi="Times New Roman" w:cs="Times New Roman"/>
              </w:rPr>
              <w:tab/>
              <w:t>Central Executive - A supervising process that controls attention and regulates cognitive operations.</w:t>
            </w:r>
          </w:p>
          <w:p w14:paraId="0A1753E7" w14:textId="77777777" w:rsidR="00F263EB" w:rsidRPr="00F263EB" w:rsidRDefault="00F263EB" w:rsidP="00F263EB">
            <w:pPr>
              <w:spacing w:line="480" w:lineRule="auto"/>
              <w:ind w:firstLine="720"/>
              <w:rPr>
                <w:rFonts w:ascii="Times New Roman" w:hAnsi="Times New Roman" w:cs="Times New Roman"/>
              </w:rPr>
            </w:pPr>
            <w:r w:rsidRPr="00F263EB">
              <w:rPr>
                <w:rFonts w:ascii="Times New Roman" w:hAnsi="Times New Roman" w:cs="Times New Roman"/>
              </w:rPr>
              <w:t>•</w:t>
            </w:r>
            <w:r w:rsidRPr="00F263EB">
              <w:rPr>
                <w:rFonts w:ascii="Times New Roman" w:hAnsi="Times New Roman" w:cs="Times New Roman"/>
              </w:rPr>
              <w:tab/>
              <w:t>Phonological Loop- Deals with auditory/verbal information.</w:t>
            </w:r>
          </w:p>
          <w:p w14:paraId="3BFA73AC" w14:textId="77777777" w:rsidR="00F263EB" w:rsidRPr="00F263EB" w:rsidRDefault="00F263EB" w:rsidP="00F263EB">
            <w:pPr>
              <w:spacing w:line="480" w:lineRule="auto"/>
              <w:ind w:firstLine="720"/>
              <w:rPr>
                <w:rFonts w:ascii="Times New Roman" w:hAnsi="Times New Roman" w:cs="Times New Roman"/>
              </w:rPr>
            </w:pPr>
            <w:r w:rsidRPr="00F263EB">
              <w:rPr>
                <w:rFonts w:ascii="Times New Roman" w:hAnsi="Times New Roman" w:cs="Times New Roman"/>
              </w:rPr>
              <w:t>•</w:t>
            </w:r>
            <w:r w:rsidRPr="00F263EB">
              <w:rPr>
                <w:rFonts w:ascii="Times New Roman" w:hAnsi="Times New Roman" w:cs="Times New Roman"/>
              </w:rPr>
              <w:tab/>
              <w:t>Visuospatial Sketchpad- Handles visual/spatial data.</w:t>
            </w:r>
          </w:p>
          <w:p w14:paraId="48164D86" w14:textId="12347484" w:rsidR="00F263EB" w:rsidRDefault="00F263EB" w:rsidP="00F263EB">
            <w:pPr>
              <w:spacing w:line="480" w:lineRule="auto"/>
              <w:ind w:firstLine="720"/>
              <w:rPr>
                <w:rFonts w:ascii="Times New Roman" w:hAnsi="Times New Roman" w:cs="Times New Roman"/>
              </w:rPr>
            </w:pPr>
            <w:r w:rsidRPr="00F263EB">
              <w:rPr>
                <w:rFonts w:ascii="Times New Roman" w:hAnsi="Times New Roman" w:cs="Times New Roman"/>
              </w:rPr>
              <w:t>•</w:t>
            </w:r>
            <w:r w:rsidRPr="00F263EB">
              <w:rPr>
                <w:rFonts w:ascii="Times New Roman" w:hAnsi="Times New Roman" w:cs="Times New Roman"/>
              </w:rPr>
              <w:tab/>
              <w:t>Episodic Buffer- Integrates information from various sources and connects short-term and long-term memories.</w:t>
            </w:r>
          </w:p>
          <w:p w14:paraId="11B50EA5" w14:textId="77777777" w:rsidR="00C56F84" w:rsidRPr="00F263EB" w:rsidRDefault="00C56F84" w:rsidP="00F263EB">
            <w:pPr>
              <w:spacing w:line="480" w:lineRule="auto"/>
              <w:ind w:firstLine="720"/>
              <w:rPr>
                <w:rFonts w:ascii="Times New Roman" w:hAnsi="Times New Roman" w:cs="Times New Roman"/>
              </w:rPr>
            </w:pPr>
          </w:p>
          <w:p w14:paraId="16E062D5" w14:textId="066E4C4C" w:rsidR="00C6750B" w:rsidRDefault="00C56F84" w:rsidP="00D320AE">
            <w:pPr>
              <w:spacing w:line="480" w:lineRule="auto"/>
              <w:ind w:firstLine="720"/>
              <w:rPr>
                <w:rFonts w:ascii="Times New Roman" w:hAnsi="Times New Roman" w:cs="Times New Roman"/>
              </w:rPr>
            </w:pPr>
            <w:r w:rsidRPr="00C56F84">
              <w:rPr>
                <w:rFonts w:ascii="Times New Roman" w:hAnsi="Times New Roman" w:cs="Times New Roman"/>
              </w:rPr>
              <w:t>As important as the central executive is in attentional control, the subsidiary systems function in temporarily storing and processing certain types of information. It is through subvocal rehearsal that the phonological loop enables the maintenance of verbal and auditory information in the short term (Camos &amp; Barrouillet, 2014). The visuospatial sketchpad is concerned with maintaining visual and spatial information, making it crucial for activities such as navigation or monitoring physical surroundings (McAfoose &amp; Baune, 2009). It is in this capacity that the episodic buffer works as an information storage site where information is integrated from other subsidiary functions such as the phonological loop and visuospatial sketchpad. It was proposed by Baddeley (2000), and it is the episodic buffer which facilitates the combination of different forms of information held within working memory.</w:t>
            </w:r>
          </w:p>
          <w:p w14:paraId="335DB6C5" w14:textId="77777777" w:rsidR="00C56F84" w:rsidRPr="00C56F84" w:rsidRDefault="00C56F84" w:rsidP="00D320AE">
            <w:pPr>
              <w:spacing w:line="480" w:lineRule="auto"/>
              <w:ind w:firstLine="720"/>
              <w:rPr>
                <w:rFonts w:ascii="Times New Roman" w:hAnsi="Times New Roman" w:cs="Times New Roman"/>
              </w:rPr>
            </w:pPr>
          </w:p>
          <w:p w14:paraId="2348A748" w14:textId="77777777" w:rsidR="00C6750B"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lastRenderedPageBreak/>
              <w:t xml:space="preserve">One critical assumption of the model is that there is a limited capacity of the central executive that allows it to process only limited information at one time because it cannot coordinate an unlimited </w:t>
            </w:r>
            <w:proofErr w:type="gramStart"/>
            <w:r w:rsidRPr="00C56F84">
              <w:rPr>
                <w:rFonts w:ascii="Times New Roman" w:hAnsi="Times New Roman" w:cs="Times New Roman"/>
              </w:rPr>
              <w:t>amount</w:t>
            </w:r>
            <w:proofErr w:type="gramEnd"/>
            <w:r w:rsidRPr="00C56F84">
              <w:rPr>
                <w:rFonts w:ascii="Times New Roman" w:hAnsi="Times New Roman" w:cs="Times New Roman"/>
              </w:rPr>
              <w:t xml:space="preserve"> of cognitive processes (Baddeley &amp; Della Sala,1996). As soon as the demands of the task overcome the capacity of the central executive, performance becomes worse and leads to various mistakes such as commission or omission of certain actions (Byrne &amp; Bovair, 1997). The studies related to two simultaneous tasks reveal that if people are forced to perform two cognitive tasks at once, their performance suffers significantly (Leone, et al., 2017).</w:t>
            </w:r>
            <w:r w:rsidR="00B4742A">
              <w:rPr>
                <w:rFonts w:ascii="Times New Roman" w:hAnsi="Times New Roman" w:cs="Times New Roman"/>
              </w:rPr>
              <w:t xml:space="preserve"> </w:t>
            </w:r>
          </w:p>
          <w:p w14:paraId="3E4015BD" w14:textId="5486B671" w:rsidR="00B4742A" w:rsidRDefault="00B4742A" w:rsidP="00C56F84">
            <w:pPr>
              <w:spacing w:line="480" w:lineRule="auto"/>
              <w:ind w:firstLine="720"/>
              <w:rPr>
                <w:rFonts w:ascii="Times New Roman" w:hAnsi="Times New Roman" w:cs="Times New Roman"/>
              </w:rPr>
            </w:pPr>
            <w:r w:rsidRPr="00B4742A">
              <w:rPr>
                <w:rFonts w:ascii="Times New Roman" w:hAnsi="Times New Roman" w:cs="Times New Roman"/>
              </w:rPr>
              <w:t xml:space="preserve">Aside from these constraints on its resources, the central executive is also tasked with controlling certain functions related to attention, such as shifting attention from one task to another, inhibiting irrelevant information, and keeping focused on the goals of </w:t>
            </w:r>
            <w:proofErr w:type="spellStart"/>
            <w:r w:rsidRPr="00B4742A">
              <w:rPr>
                <w:rFonts w:ascii="Times New Roman" w:hAnsi="Times New Roman" w:cs="Times New Roman"/>
              </w:rPr>
              <w:t>behaviour</w:t>
            </w:r>
            <w:proofErr w:type="spellEnd"/>
            <w:r w:rsidRPr="00B4742A">
              <w:rPr>
                <w:rFonts w:ascii="Times New Roman" w:hAnsi="Times New Roman" w:cs="Times New Roman"/>
              </w:rPr>
              <w:t>. Under conditions of heavy cognitive load, these control functions tend to be less efficient</w:t>
            </w:r>
            <w:r w:rsidR="00F454ED">
              <w:rPr>
                <w:rFonts w:ascii="Times New Roman" w:hAnsi="Times New Roman" w:cs="Times New Roman"/>
              </w:rPr>
              <w:t xml:space="preserve"> (</w:t>
            </w:r>
            <w:proofErr w:type="spellStart"/>
            <w:r w:rsidR="00F454ED">
              <w:rPr>
                <w:rFonts w:ascii="Times New Roman" w:hAnsi="Times New Roman" w:cs="Times New Roman"/>
              </w:rPr>
              <w:t>Egner</w:t>
            </w:r>
            <w:proofErr w:type="spellEnd"/>
            <w:r w:rsidR="00F454ED">
              <w:rPr>
                <w:rFonts w:ascii="Times New Roman" w:hAnsi="Times New Roman" w:cs="Times New Roman"/>
              </w:rPr>
              <w:t>, 2023)</w:t>
            </w:r>
            <w:r w:rsidRPr="00B4742A">
              <w:rPr>
                <w:rFonts w:ascii="Times New Roman" w:hAnsi="Times New Roman" w:cs="Times New Roman"/>
              </w:rPr>
              <w:t xml:space="preserve">, thus making people more susceptible to distraction and neglect of tasks. Such conditions are common in highly complex settings like hospitals, where people have to </w:t>
            </w:r>
            <w:proofErr w:type="spellStart"/>
            <w:r w:rsidRPr="00B4742A">
              <w:rPr>
                <w:rFonts w:ascii="Times New Roman" w:hAnsi="Times New Roman" w:cs="Times New Roman"/>
              </w:rPr>
              <w:t>prioriti</w:t>
            </w:r>
            <w:r>
              <w:rPr>
                <w:rFonts w:ascii="Times New Roman" w:hAnsi="Times New Roman" w:cs="Times New Roman"/>
              </w:rPr>
              <w:t>s</w:t>
            </w:r>
            <w:r w:rsidRPr="00B4742A">
              <w:rPr>
                <w:rFonts w:ascii="Times New Roman" w:hAnsi="Times New Roman" w:cs="Times New Roman"/>
              </w:rPr>
              <w:t>e</w:t>
            </w:r>
            <w:proofErr w:type="spellEnd"/>
            <w:r w:rsidRPr="00B4742A">
              <w:rPr>
                <w:rFonts w:ascii="Times New Roman" w:hAnsi="Times New Roman" w:cs="Times New Roman"/>
              </w:rPr>
              <w:t xml:space="preserve"> different stimuli</w:t>
            </w:r>
            <w:r>
              <w:rPr>
                <w:rFonts w:ascii="Times New Roman" w:hAnsi="Times New Roman" w:cs="Times New Roman"/>
              </w:rPr>
              <w:t>.</w:t>
            </w:r>
          </w:p>
          <w:p w14:paraId="06358032" w14:textId="03677007" w:rsidR="00B4742A" w:rsidRDefault="00B4742A" w:rsidP="00C56F84">
            <w:pPr>
              <w:spacing w:line="480" w:lineRule="auto"/>
              <w:ind w:firstLine="720"/>
              <w:rPr>
                <w:rFonts w:ascii="Times New Roman" w:hAnsi="Times New Roman" w:cs="Times New Roman"/>
              </w:rPr>
            </w:pPr>
            <w:r w:rsidRPr="00B4742A">
              <w:rPr>
                <w:rFonts w:ascii="Times New Roman" w:hAnsi="Times New Roman" w:cs="Times New Roman"/>
              </w:rPr>
              <w:t>A further related notion connected to the Working Memory Model is that of prospective memory. Prospective memory is defined as the capacity to remember actions intended to be carried out in the future. Prospective memory does not officially form a part of the Working Memory Model. However, prospective memory relies greatly upon the processes of the central executive concerning cue detection and monitoring</w:t>
            </w:r>
            <w:r w:rsidR="00F454ED">
              <w:rPr>
                <w:rFonts w:ascii="Times New Roman" w:hAnsi="Times New Roman" w:cs="Times New Roman"/>
              </w:rPr>
              <w:t xml:space="preserve"> (</w:t>
            </w:r>
            <w:proofErr w:type="spellStart"/>
            <w:r w:rsidR="00F454ED">
              <w:rPr>
                <w:rFonts w:ascii="Times New Roman" w:hAnsi="Times New Roman" w:cs="Times New Roman"/>
              </w:rPr>
              <w:t>Kliegel</w:t>
            </w:r>
            <w:proofErr w:type="spellEnd"/>
            <w:r w:rsidR="00F454ED">
              <w:rPr>
                <w:rFonts w:ascii="Times New Roman" w:hAnsi="Times New Roman" w:cs="Times New Roman"/>
              </w:rPr>
              <w:t xml:space="preserve"> et al., 2002)</w:t>
            </w:r>
            <w:r w:rsidRPr="00B4742A">
              <w:rPr>
                <w:rFonts w:ascii="Times New Roman" w:hAnsi="Times New Roman" w:cs="Times New Roman"/>
              </w:rPr>
              <w:t>. Studies have proven that prospective memory suffers when cognitive load levels increase as well as when individuals are made to perform several tasks at the same time.</w:t>
            </w:r>
          </w:p>
          <w:p w14:paraId="44D76B36" w14:textId="32E2BF56" w:rsidR="00B4742A" w:rsidRPr="00C56F84" w:rsidRDefault="00B4742A" w:rsidP="00C56F84">
            <w:pPr>
              <w:spacing w:line="480" w:lineRule="auto"/>
              <w:ind w:firstLine="720"/>
              <w:rPr>
                <w:rFonts w:ascii="Times New Roman" w:hAnsi="Times New Roman" w:cs="Times New Roman"/>
              </w:rPr>
            </w:pPr>
            <w:r w:rsidRPr="00B4742A">
              <w:rPr>
                <w:rFonts w:ascii="Times New Roman" w:hAnsi="Times New Roman" w:cs="Times New Roman"/>
              </w:rPr>
              <w:t>Moreover, the relationship between working memory and long-term memory, through the episodic buffer, is also vital when it comes to the regulation of behavior</w:t>
            </w:r>
            <w:r w:rsidR="005B2393">
              <w:rPr>
                <w:rFonts w:ascii="Times New Roman" w:hAnsi="Times New Roman" w:cs="Times New Roman"/>
              </w:rPr>
              <w:t xml:space="preserve"> (Baddeley, 2000)</w:t>
            </w:r>
            <w:r w:rsidRPr="00B4742A">
              <w:rPr>
                <w:rFonts w:ascii="Times New Roman" w:hAnsi="Times New Roman" w:cs="Times New Roman"/>
              </w:rPr>
              <w:t xml:space="preserve">. Although it is true that procedural knowledge like hand washing may reside in long-term memory, its effective implementation relies on the capability of working memory to recall and </w:t>
            </w:r>
            <w:proofErr w:type="spellStart"/>
            <w:r w:rsidRPr="00B4742A">
              <w:rPr>
                <w:rFonts w:ascii="Times New Roman" w:hAnsi="Times New Roman" w:cs="Times New Roman"/>
              </w:rPr>
              <w:t>utili</w:t>
            </w:r>
            <w:r>
              <w:rPr>
                <w:rFonts w:ascii="Times New Roman" w:hAnsi="Times New Roman" w:cs="Times New Roman"/>
              </w:rPr>
              <w:t>s</w:t>
            </w:r>
            <w:r w:rsidRPr="00B4742A">
              <w:rPr>
                <w:rFonts w:ascii="Times New Roman" w:hAnsi="Times New Roman" w:cs="Times New Roman"/>
              </w:rPr>
              <w:t>e</w:t>
            </w:r>
            <w:proofErr w:type="spellEnd"/>
            <w:r w:rsidRPr="00B4742A">
              <w:rPr>
                <w:rFonts w:ascii="Times New Roman" w:hAnsi="Times New Roman" w:cs="Times New Roman"/>
              </w:rPr>
              <w:t xml:space="preserve"> this knowledge at an opportune moment. The process may become faulty under circumstances of overload or fatigue.</w:t>
            </w:r>
          </w:p>
        </w:tc>
      </w:tr>
    </w:tbl>
    <w:p w14:paraId="444B5C1F" w14:textId="77777777" w:rsidR="00FB65B8" w:rsidRPr="003A798E" w:rsidRDefault="00FB65B8" w:rsidP="00A24793"/>
    <w:tbl>
      <w:tblPr>
        <w:tblW w:w="12474" w:type="dxa"/>
        <w:tblInd w:w="-1701" w:type="dxa"/>
        <w:shd w:val="clear" w:color="auto" w:fill="ECFBFB" w:themeFill="accent4"/>
        <w:tblLayout w:type="fixed"/>
        <w:tblLook w:val="0600" w:firstRow="0" w:lastRow="0" w:firstColumn="0" w:lastColumn="0" w:noHBand="1" w:noVBand="1"/>
      </w:tblPr>
      <w:tblGrid>
        <w:gridCol w:w="1701"/>
        <w:gridCol w:w="3828"/>
        <w:gridCol w:w="6945"/>
      </w:tblGrid>
      <w:tr w:rsidR="00FA38A4" w:rsidRPr="003A798E" w14:paraId="495652A6" w14:textId="77777777" w:rsidTr="00191507">
        <w:trPr>
          <w:trHeight w:val="9513"/>
        </w:trPr>
        <w:tc>
          <w:tcPr>
            <w:tcW w:w="1701" w:type="dxa"/>
            <w:shd w:val="clear" w:color="auto" w:fill="ECFBFB" w:themeFill="accent4"/>
          </w:tcPr>
          <w:p w14:paraId="57674860" w14:textId="77777777" w:rsidR="00FA38A4" w:rsidRPr="003A798E" w:rsidRDefault="00FA38A4" w:rsidP="000926D1"/>
        </w:tc>
        <w:tc>
          <w:tcPr>
            <w:tcW w:w="3828" w:type="dxa"/>
            <w:tcBorders>
              <w:bottom w:val="single" w:sz="18" w:space="0" w:color="00C1C7" w:themeColor="accent2"/>
            </w:tcBorders>
            <w:shd w:val="clear" w:color="auto" w:fill="ECFBFB" w:themeFill="accent4"/>
          </w:tcPr>
          <w:p w14:paraId="3050628B" w14:textId="08FFD756" w:rsidR="00FA38A4" w:rsidRPr="00F00899" w:rsidRDefault="00FA38A4" w:rsidP="00FC49AE">
            <w:pPr>
              <w:pStyle w:val="Heading5"/>
              <w:rPr>
                <w:sz w:val="36"/>
                <w:szCs w:val="10"/>
              </w:rPr>
            </w:pPr>
            <w:r w:rsidRPr="00F00899">
              <w:rPr>
                <w:sz w:val="36"/>
                <w:szCs w:val="10"/>
              </w:rPr>
              <w:t xml:space="preserve">HOW DOES THE THEORY RELATE TO THE </w:t>
            </w:r>
            <w:r w:rsidR="00605AF1">
              <w:rPr>
                <w:sz w:val="36"/>
                <w:szCs w:val="10"/>
              </w:rPr>
              <w:t>CASE STUDY</w:t>
            </w:r>
          </w:p>
        </w:tc>
        <w:tc>
          <w:tcPr>
            <w:tcW w:w="6945" w:type="dxa"/>
            <w:tcBorders>
              <w:bottom w:val="single" w:sz="18" w:space="0" w:color="00C1C7" w:themeColor="accent2"/>
            </w:tcBorders>
            <w:shd w:val="clear" w:color="auto" w:fill="ECFBFB" w:themeFill="accent4"/>
          </w:tcPr>
          <w:p w14:paraId="42CD9500" w14:textId="77777777" w:rsidR="006F086F" w:rsidRPr="00C56F84" w:rsidRDefault="006F086F" w:rsidP="00191507">
            <w:pPr>
              <w:spacing w:line="480" w:lineRule="auto"/>
              <w:rPr>
                <w:rFonts w:ascii="Times New Roman" w:hAnsi="Times New Roman" w:cs="Times New Roman"/>
              </w:rPr>
            </w:pPr>
          </w:p>
          <w:p w14:paraId="65AE491A" w14:textId="77777777"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The Working Memory Model offers a compelling account of the observed problems with hand washing in the case study. Even though the nurses in question had been properly trained, the demands posed by the environment may have been too high for their cognitive functioning, resulting in the lapses in their actions.</w:t>
            </w:r>
          </w:p>
          <w:p w14:paraId="6A37651A" w14:textId="77777777" w:rsidR="00C56F84" w:rsidRPr="00C56F84" w:rsidRDefault="00C56F84" w:rsidP="00C56F84">
            <w:pPr>
              <w:spacing w:line="480" w:lineRule="auto"/>
              <w:ind w:firstLine="720"/>
              <w:rPr>
                <w:rFonts w:ascii="Times New Roman" w:hAnsi="Times New Roman" w:cs="Times New Roman"/>
              </w:rPr>
            </w:pPr>
          </w:p>
          <w:p w14:paraId="6A2E7D8B" w14:textId="77777777"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As suggested by the case study, the nurses worked:</w:t>
            </w:r>
          </w:p>
          <w:p w14:paraId="14933B4E" w14:textId="77777777" w:rsidR="00C56F84" w:rsidRPr="00C56F84" w:rsidRDefault="00C56F84" w:rsidP="00C56F84">
            <w:pPr>
              <w:spacing w:line="480" w:lineRule="auto"/>
              <w:ind w:firstLine="720"/>
              <w:rPr>
                <w:rFonts w:ascii="Times New Roman" w:hAnsi="Times New Roman" w:cs="Times New Roman"/>
              </w:rPr>
            </w:pPr>
          </w:p>
          <w:p w14:paraId="6F56D1D6" w14:textId="77777777"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w:t>
            </w:r>
            <w:r w:rsidRPr="00C56F84">
              <w:rPr>
                <w:rFonts w:ascii="Times New Roman" w:hAnsi="Times New Roman" w:cs="Times New Roman"/>
              </w:rPr>
              <w:tab/>
              <w:t>Long hours</w:t>
            </w:r>
          </w:p>
          <w:p w14:paraId="70BCE8EA" w14:textId="77777777"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w:t>
            </w:r>
            <w:r w:rsidRPr="00C56F84">
              <w:rPr>
                <w:rFonts w:ascii="Times New Roman" w:hAnsi="Times New Roman" w:cs="Times New Roman"/>
              </w:rPr>
              <w:tab/>
              <w:t>Consecutive shifts</w:t>
            </w:r>
          </w:p>
          <w:p w14:paraId="1A4041AF" w14:textId="77777777"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w:t>
            </w:r>
            <w:r w:rsidRPr="00C56F84">
              <w:rPr>
                <w:rFonts w:ascii="Times New Roman" w:hAnsi="Times New Roman" w:cs="Times New Roman"/>
              </w:rPr>
              <w:tab/>
              <w:t>Doubling up on their patients</w:t>
            </w:r>
          </w:p>
          <w:p w14:paraId="2E24A6F9" w14:textId="77777777"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w:t>
            </w:r>
            <w:r w:rsidRPr="00C56F84">
              <w:rPr>
                <w:rFonts w:ascii="Times New Roman" w:hAnsi="Times New Roman" w:cs="Times New Roman"/>
              </w:rPr>
              <w:tab/>
              <w:t>With constant pressure of time</w:t>
            </w:r>
          </w:p>
          <w:p w14:paraId="4F267479" w14:textId="77777777" w:rsidR="00C56F84" w:rsidRPr="00C56F84" w:rsidRDefault="00C56F84" w:rsidP="00C56F84">
            <w:pPr>
              <w:spacing w:line="480" w:lineRule="auto"/>
              <w:ind w:firstLine="720"/>
              <w:rPr>
                <w:rFonts w:ascii="Times New Roman" w:hAnsi="Times New Roman" w:cs="Times New Roman"/>
              </w:rPr>
            </w:pPr>
          </w:p>
          <w:p w14:paraId="4F614513" w14:textId="114F33E1" w:rsidR="006F086F"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Such conditions would inevitably lead to working memory overload, especially the central executive part of the model. The central executive controls the allocation of attention and performance of tasks and, therefore, may be overwhelmed in certain situations.</w:t>
            </w:r>
          </w:p>
          <w:p w14:paraId="60FE9AD9" w14:textId="77777777" w:rsidR="00C56F84" w:rsidRPr="00C56F84" w:rsidRDefault="00C56F84" w:rsidP="00C56F84">
            <w:pPr>
              <w:spacing w:line="480" w:lineRule="auto"/>
              <w:ind w:firstLine="720"/>
              <w:rPr>
                <w:rFonts w:ascii="Times New Roman" w:hAnsi="Times New Roman" w:cs="Times New Roman"/>
              </w:rPr>
            </w:pPr>
          </w:p>
          <w:p w14:paraId="6ABAF5D6" w14:textId="77777777" w:rsidR="00C56F84" w:rsidRDefault="00C56F84" w:rsidP="00C56F84">
            <w:pPr>
              <w:pStyle w:val="ListParagraph"/>
              <w:spacing w:line="480" w:lineRule="auto"/>
              <w:rPr>
                <w:rFonts w:ascii="Times New Roman" w:hAnsi="Times New Roman" w:cs="Times New Roman"/>
              </w:rPr>
            </w:pPr>
            <w:r w:rsidRPr="00C56F84">
              <w:rPr>
                <w:rFonts w:ascii="Times New Roman" w:hAnsi="Times New Roman" w:cs="Times New Roman"/>
              </w:rPr>
              <w:t>Several cognitive processes include:</w:t>
            </w:r>
          </w:p>
          <w:p w14:paraId="789B892B" w14:textId="77777777" w:rsidR="00C56F84" w:rsidRPr="00C56F84" w:rsidRDefault="00C56F84" w:rsidP="00C56F84">
            <w:pPr>
              <w:pStyle w:val="ListParagraph"/>
              <w:spacing w:line="480" w:lineRule="auto"/>
              <w:rPr>
                <w:rFonts w:ascii="Times New Roman" w:hAnsi="Times New Roman" w:cs="Times New Roman"/>
              </w:rPr>
            </w:pPr>
          </w:p>
          <w:p w14:paraId="45FEAAE9" w14:textId="3B7F339F" w:rsidR="00C56F84" w:rsidRPr="00C56F84" w:rsidRDefault="00C56F84" w:rsidP="00C56F84">
            <w:pPr>
              <w:spacing w:line="480" w:lineRule="auto"/>
              <w:rPr>
                <w:rFonts w:ascii="Times New Roman" w:hAnsi="Times New Roman" w:cs="Times New Roman"/>
              </w:rPr>
            </w:pPr>
            <w:r w:rsidRPr="00C56F84">
              <w:rPr>
                <w:rFonts w:ascii="Times New Roman" w:hAnsi="Times New Roman" w:cs="Times New Roman"/>
              </w:rPr>
              <w:t>Attention failures (Central Executive Overload)</w:t>
            </w:r>
          </w:p>
          <w:p w14:paraId="55EF8582" w14:textId="77777777"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 xml:space="preserve">Under high task demands, the Central Executive has to divide its attention between different activities. As a result, when attention resources become overloaded, the more urgent activities will get </w:t>
            </w:r>
            <w:r w:rsidRPr="00C56F84">
              <w:rPr>
                <w:rFonts w:ascii="Times New Roman" w:hAnsi="Times New Roman" w:cs="Times New Roman"/>
              </w:rPr>
              <w:lastRenderedPageBreak/>
              <w:t>more of attention, which means that activities related to hand washing may not get enough attention (Hester &amp; Garavan, 2005). It should be noted that the described cognitive process fits in well with what James Reason calls slips and omissions (Reason, 1990). Here people fail to do something because they lack attention, although they know how to perform certain actions.</w:t>
            </w:r>
          </w:p>
          <w:p w14:paraId="60E1B666" w14:textId="23422320" w:rsidR="00C56F84" w:rsidRPr="00C56F84" w:rsidRDefault="00C56F84" w:rsidP="00C56F84">
            <w:pPr>
              <w:spacing w:line="480" w:lineRule="auto"/>
              <w:rPr>
                <w:rFonts w:ascii="Times New Roman" w:hAnsi="Times New Roman" w:cs="Times New Roman"/>
              </w:rPr>
            </w:pPr>
            <w:r w:rsidRPr="00C56F84">
              <w:rPr>
                <w:rFonts w:ascii="Times New Roman" w:hAnsi="Times New Roman" w:cs="Times New Roman"/>
              </w:rPr>
              <w:t>Prospective memory failure</w:t>
            </w:r>
          </w:p>
          <w:p w14:paraId="09C06065" w14:textId="77777777"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Since washing hands involves remembering to perform actions timely, the place calls for using prospective memory skills. However, studies show that under high cognitive load and interruptions, people face higher risks of making omission errors. It can be concluded that under work memory overload, it becomes impossible to remember relevant actions timely (Khan et al., 2008).</w:t>
            </w:r>
          </w:p>
          <w:p w14:paraId="6391F04B" w14:textId="77777777" w:rsidR="00C56F84" w:rsidRPr="00C56F84" w:rsidRDefault="00C56F84" w:rsidP="00C56F84">
            <w:pPr>
              <w:pStyle w:val="ListParagraph"/>
              <w:spacing w:line="480" w:lineRule="auto"/>
              <w:rPr>
                <w:rFonts w:ascii="Times New Roman" w:hAnsi="Times New Roman" w:cs="Times New Roman"/>
              </w:rPr>
            </w:pPr>
          </w:p>
          <w:p w14:paraId="784A7FF1" w14:textId="3A8EED8C" w:rsidR="00C56F84" w:rsidRPr="00C56F84" w:rsidRDefault="00C56F84" w:rsidP="00C56F84">
            <w:pPr>
              <w:spacing w:line="480" w:lineRule="auto"/>
              <w:rPr>
                <w:rFonts w:ascii="Times New Roman" w:hAnsi="Times New Roman" w:cs="Times New Roman"/>
              </w:rPr>
            </w:pPr>
            <w:r w:rsidRPr="00C56F84">
              <w:rPr>
                <w:rFonts w:ascii="Times New Roman" w:hAnsi="Times New Roman" w:cs="Times New Roman"/>
              </w:rPr>
              <w:t xml:space="preserve">Automaticity </w:t>
            </w:r>
            <w:proofErr w:type="gramStart"/>
            <w:r w:rsidRPr="00C56F84">
              <w:rPr>
                <w:rFonts w:ascii="Times New Roman" w:hAnsi="Times New Roman" w:cs="Times New Roman"/>
              </w:rPr>
              <w:t>vs controlled</w:t>
            </w:r>
            <w:proofErr w:type="gramEnd"/>
            <w:r w:rsidRPr="00C56F84">
              <w:rPr>
                <w:rFonts w:ascii="Times New Roman" w:hAnsi="Times New Roman" w:cs="Times New Roman"/>
              </w:rPr>
              <w:t xml:space="preserve"> processing</w:t>
            </w:r>
          </w:p>
          <w:p w14:paraId="5D1B2ADF" w14:textId="77777777"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Handwashing can become an automatic behavior; nonetheless, it requires certain attention (Schneider et al., 1982). When people experience stress, they tend to use automatic processes; meanwhile, controlled operations are less effective (Harris et al., 1995). This leads to people failing to perform even the most familiar behaviors if their attention shifts somewhere else.</w:t>
            </w:r>
          </w:p>
          <w:p w14:paraId="7648A39F" w14:textId="4A40CA0F" w:rsidR="00C56F84" w:rsidRPr="00C56F84" w:rsidRDefault="00C56F84" w:rsidP="00C56F84">
            <w:pPr>
              <w:spacing w:line="480" w:lineRule="auto"/>
              <w:rPr>
                <w:rFonts w:ascii="Times New Roman" w:hAnsi="Times New Roman" w:cs="Times New Roman"/>
              </w:rPr>
            </w:pPr>
            <w:r w:rsidRPr="00C56F84">
              <w:rPr>
                <w:rFonts w:ascii="Times New Roman" w:hAnsi="Times New Roman" w:cs="Times New Roman"/>
              </w:rPr>
              <w:t xml:space="preserve"> The effect of fatigue on performance</w:t>
            </w:r>
          </w:p>
          <w:p w14:paraId="5BB9F934" w14:textId="77777777"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 xml:space="preserve">Prolonged work time and low levels of relaxation are associated with the reduction in the number of attentional resources available to people (Dettmer’s et al., 2016). Fatigue affects the </w:t>
            </w:r>
            <w:r w:rsidRPr="00C56F84">
              <w:rPr>
                <w:rFonts w:ascii="Times New Roman" w:hAnsi="Times New Roman" w:cs="Times New Roman"/>
              </w:rPr>
              <w:lastRenderedPageBreak/>
              <w:t>capacity of the central executive system responsible for maintaining attention and task-switching as well as inhibiting unnecessary information (Joyce et al.,1996). Consequently, the probability of mistakes grows.</w:t>
            </w:r>
          </w:p>
          <w:p w14:paraId="598C0222" w14:textId="089A360E" w:rsidR="00191507"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In general, these factors imply that the patient did not make mistakes because of the insufficient knowledge and skills, but due to the constraints of the cognitive processes during heavy workload.</w:t>
            </w:r>
          </w:p>
        </w:tc>
      </w:tr>
      <w:tr w:rsidR="00FA38A4" w:rsidRPr="003A798E" w14:paraId="13661A8A" w14:textId="77777777" w:rsidTr="00191507">
        <w:tblPrEx>
          <w:shd w:val="clear" w:color="auto" w:fill="EDF0F4" w:themeFill="accent3"/>
          <w:tblCellMar>
            <w:left w:w="0" w:type="dxa"/>
            <w:right w:w="0" w:type="dxa"/>
          </w:tblCellMar>
        </w:tblPrEx>
        <w:trPr>
          <w:gridBefore w:val="1"/>
          <w:wBefore w:w="1701" w:type="dxa"/>
          <w:trHeight w:val="4599"/>
        </w:trPr>
        <w:tc>
          <w:tcPr>
            <w:tcW w:w="10773" w:type="dxa"/>
            <w:gridSpan w:val="2"/>
            <w:shd w:val="clear" w:color="auto" w:fill="EDF0F4" w:themeFill="accent3"/>
          </w:tcPr>
          <w:p w14:paraId="385A66C3" w14:textId="76A5B813" w:rsidR="00FA38A4" w:rsidRPr="003A798E" w:rsidRDefault="00FA38A4" w:rsidP="000751D2">
            <w:pPr>
              <w:pStyle w:val="Heading3"/>
            </w:pPr>
            <w:r>
              <w:lastRenderedPageBreak/>
              <w:t xml:space="preserve">SUGGESTIONS FOR NEW PROCEDURES BASED ON THE THEORY </w:t>
            </w:r>
          </w:p>
          <w:p w14:paraId="7627A6DD" w14:textId="77777777"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Using the Working Memory Model, interventions need to focus on decreasing cognitive load and attentional and memory-related processes, specifically focusing on the central executive process and prospective memory.</w:t>
            </w:r>
          </w:p>
          <w:p w14:paraId="6A396FB5" w14:textId="77777777" w:rsidR="00C56F84" w:rsidRPr="00C56F84" w:rsidRDefault="00C56F84" w:rsidP="00C56F84">
            <w:pPr>
              <w:spacing w:line="480" w:lineRule="auto"/>
              <w:ind w:firstLine="720"/>
              <w:rPr>
                <w:rFonts w:ascii="Times New Roman" w:hAnsi="Times New Roman" w:cs="Times New Roman"/>
              </w:rPr>
            </w:pPr>
          </w:p>
          <w:p w14:paraId="3F9AECD1" w14:textId="387F6386" w:rsidR="00191507"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The first approach involves using external cues to remind the healthcare workers to follow proper protocols for hand hygiene. In light of the Working Memory Model, these cues serve as external reminders, thereby lowering the burden on the central executive and prospective memory systems (Jones et al., 2021). Through this approach, hand hygiene activities become more salient and thus more likely to occur. Several studies indicate the usefulness of this strategy through improved hand hygiene practices after receiving reminders (Doronina et al., 2017).</w:t>
            </w:r>
          </w:p>
          <w:p w14:paraId="1AE67AC3" w14:textId="77777777" w:rsidR="00C56F84" w:rsidRDefault="00C56F84" w:rsidP="00C56F84">
            <w:pPr>
              <w:spacing w:line="480" w:lineRule="auto"/>
              <w:ind w:firstLine="720"/>
            </w:pPr>
          </w:p>
          <w:p w14:paraId="452765E3" w14:textId="17FBDBA7"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Another way to counteract the negative effects of excessive cognitive load is through workflow redesign by minimi</w:t>
            </w:r>
            <w:r>
              <w:rPr>
                <w:rFonts w:ascii="Times New Roman" w:hAnsi="Times New Roman" w:cs="Times New Roman"/>
              </w:rPr>
              <w:t>s</w:t>
            </w:r>
            <w:r w:rsidRPr="00C56F84">
              <w:rPr>
                <w:rFonts w:ascii="Times New Roman" w:hAnsi="Times New Roman" w:cs="Times New Roman"/>
              </w:rPr>
              <w:t>ing consecutive patients and incorporating mandatory break periods. This helps reduce cognitive load and mitigate cognitive resource exhaustion due to fatigue (Schaffer et al., 2023). As a result, cognitive restoration is promoted, which helps maintain central executive function. But issues of ethics need to be considered when balancing between the welfare of health workers and quality patient care, especially in the face of understaffing problems (McDougall et al., 2021).</w:t>
            </w:r>
          </w:p>
          <w:p w14:paraId="137C8DBC" w14:textId="77777777" w:rsidR="00C56F84" w:rsidRPr="00C56F84" w:rsidRDefault="00C56F84" w:rsidP="00C56F84">
            <w:pPr>
              <w:spacing w:line="480" w:lineRule="auto"/>
              <w:ind w:firstLine="720"/>
              <w:rPr>
                <w:rFonts w:ascii="Times New Roman" w:hAnsi="Times New Roman" w:cs="Times New Roman"/>
              </w:rPr>
            </w:pPr>
          </w:p>
          <w:p w14:paraId="079863DF" w14:textId="2C860E11"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 xml:space="preserve">Checklists and </w:t>
            </w:r>
            <w:proofErr w:type="spellStart"/>
            <w:r w:rsidRPr="00C56F84">
              <w:rPr>
                <w:rFonts w:ascii="Times New Roman" w:hAnsi="Times New Roman" w:cs="Times New Roman"/>
              </w:rPr>
              <w:t>standardi</w:t>
            </w:r>
            <w:r>
              <w:rPr>
                <w:rFonts w:ascii="Times New Roman" w:hAnsi="Times New Roman" w:cs="Times New Roman"/>
              </w:rPr>
              <w:t>s</w:t>
            </w:r>
            <w:r w:rsidRPr="00C56F84">
              <w:rPr>
                <w:rFonts w:ascii="Times New Roman" w:hAnsi="Times New Roman" w:cs="Times New Roman"/>
              </w:rPr>
              <w:t>ed</w:t>
            </w:r>
            <w:proofErr w:type="spellEnd"/>
            <w:r w:rsidRPr="00C56F84">
              <w:rPr>
                <w:rFonts w:ascii="Times New Roman" w:hAnsi="Times New Roman" w:cs="Times New Roman"/>
              </w:rPr>
              <w:t xml:space="preserve"> processes can be considered another viable solution to addressing cognitive overload. Through their use, cognitive load is shifted from working memory to the external system, thus decreasing dependence on attentional control processes. This becomes necessary in scenarios that entail potential overload of cognitive resources, as is evident from experience in healthcare practice (Treadwell, Lucas &amp; Tsou, 2014).</w:t>
            </w:r>
          </w:p>
          <w:p w14:paraId="71498A1B" w14:textId="0BF94D23" w:rsidR="00C56F84"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lastRenderedPageBreak/>
              <w:t xml:space="preserve">Moreover, staff changes involving either increasing their numbers or altering workload distribution would help lower task demands for individuals. According to the Working Memory model, the chances of cognitive demands surpassing the available attentional resources will be </w:t>
            </w:r>
            <w:proofErr w:type="spellStart"/>
            <w:r w:rsidRPr="00C56F84">
              <w:rPr>
                <w:rFonts w:ascii="Times New Roman" w:hAnsi="Times New Roman" w:cs="Times New Roman"/>
              </w:rPr>
              <w:t>minimi</w:t>
            </w:r>
            <w:r>
              <w:rPr>
                <w:rFonts w:ascii="Times New Roman" w:hAnsi="Times New Roman" w:cs="Times New Roman"/>
              </w:rPr>
              <w:t>s</w:t>
            </w:r>
            <w:r w:rsidRPr="00C56F84">
              <w:rPr>
                <w:rFonts w:ascii="Times New Roman" w:hAnsi="Times New Roman" w:cs="Times New Roman"/>
              </w:rPr>
              <w:t>ed</w:t>
            </w:r>
            <w:proofErr w:type="spellEnd"/>
            <w:r w:rsidRPr="00C56F84">
              <w:rPr>
                <w:rFonts w:ascii="Times New Roman" w:hAnsi="Times New Roman" w:cs="Times New Roman"/>
              </w:rPr>
              <w:t>. Nonetheless, the adoption of such methods presents ethical challenges regarding how limited healthcare resources are allocated and the associated financial limitations in healthcare organi</w:t>
            </w:r>
            <w:r>
              <w:rPr>
                <w:rFonts w:ascii="Times New Roman" w:hAnsi="Times New Roman" w:cs="Times New Roman"/>
              </w:rPr>
              <w:t>s</w:t>
            </w:r>
            <w:r w:rsidRPr="00C56F84">
              <w:rPr>
                <w:rFonts w:ascii="Times New Roman" w:hAnsi="Times New Roman" w:cs="Times New Roman"/>
              </w:rPr>
              <w:t>ations (Garrell et al., 2020).</w:t>
            </w:r>
          </w:p>
          <w:p w14:paraId="2D4430EF" w14:textId="77777777" w:rsidR="00C56F84" w:rsidRPr="00C56F84" w:rsidRDefault="00C56F84" w:rsidP="00C56F84">
            <w:pPr>
              <w:spacing w:line="480" w:lineRule="auto"/>
              <w:ind w:firstLine="720"/>
              <w:rPr>
                <w:rFonts w:ascii="Times New Roman" w:hAnsi="Times New Roman" w:cs="Times New Roman"/>
              </w:rPr>
            </w:pPr>
          </w:p>
          <w:p w14:paraId="505642AB" w14:textId="0240E6CC" w:rsidR="00936CF3"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Lastly, fatigue policies that limit shift lengths and monitor overtime have proven vital in ensuring that cognitive functioning is maintained. Fatigue results in poor central executive performance and affects attention, task switching, and error detection ability (Westbrook et al., 2018). Such an initiative represents an ethical consideration aimed at safeguarding patients and employees. However, ethical challenges emerge when minimi</w:t>
            </w:r>
            <w:r>
              <w:rPr>
                <w:rFonts w:ascii="Times New Roman" w:hAnsi="Times New Roman" w:cs="Times New Roman"/>
              </w:rPr>
              <w:t>s</w:t>
            </w:r>
            <w:r w:rsidRPr="00C56F84">
              <w:rPr>
                <w:rFonts w:ascii="Times New Roman" w:hAnsi="Times New Roman" w:cs="Times New Roman"/>
              </w:rPr>
              <w:t>ing work hours reduces service provision capabilities.</w:t>
            </w:r>
          </w:p>
          <w:p w14:paraId="051951A0" w14:textId="77777777" w:rsidR="00C56F84" w:rsidRDefault="00C56F84" w:rsidP="00C56F84">
            <w:pPr>
              <w:spacing w:line="480" w:lineRule="auto"/>
              <w:ind w:firstLine="720"/>
            </w:pPr>
          </w:p>
          <w:p w14:paraId="41E58660" w14:textId="24C71AA5" w:rsidR="005820E2" w:rsidRPr="00C56F84" w:rsidRDefault="00C56F84" w:rsidP="00C56F84">
            <w:pPr>
              <w:spacing w:line="480" w:lineRule="auto"/>
              <w:ind w:firstLine="720"/>
              <w:rPr>
                <w:rFonts w:ascii="Times New Roman" w:hAnsi="Times New Roman" w:cs="Times New Roman"/>
              </w:rPr>
            </w:pPr>
            <w:r w:rsidRPr="00C56F84">
              <w:rPr>
                <w:rFonts w:ascii="Times New Roman" w:hAnsi="Times New Roman" w:cs="Times New Roman"/>
              </w:rPr>
              <w:t xml:space="preserve">In summary, it can be seen that through the use of cognitive theory, ways have been devised to </w:t>
            </w:r>
            <w:proofErr w:type="spellStart"/>
            <w:r w:rsidRPr="00C56F84">
              <w:rPr>
                <w:rFonts w:ascii="Times New Roman" w:hAnsi="Times New Roman" w:cs="Times New Roman"/>
              </w:rPr>
              <w:t>minimi</w:t>
            </w:r>
            <w:r>
              <w:rPr>
                <w:rFonts w:ascii="Times New Roman" w:hAnsi="Times New Roman" w:cs="Times New Roman"/>
              </w:rPr>
              <w:t>se</w:t>
            </w:r>
            <w:proofErr w:type="spellEnd"/>
            <w:r w:rsidRPr="00C56F84">
              <w:rPr>
                <w:rFonts w:ascii="Times New Roman" w:hAnsi="Times New Roman" w:cs="Times New Roman"/>
              </w:rPr>
              <w:t xml:space="preserve"> errors. Nevertheless, the process should be implemented with a keen sense of ethics as far as issues of availability of resources are concerned.</w:t>
            </w:r>
          </w:p>
          <w:p w14:paraId="303C466A" w14:textId="4CE4D18D" w:rsidR="005820E2" w:rsidRPr="003A798E" w:rsidRDefault="005820E2" w:rsidP="00C56F84">
            <w:pPr>
              <w:spacing w:line="480" w:lineRule="auto"/>
              <w:ind w:firstLine="720"/>
            </w:pPr>
            <w:r>
              <w:t xml:space="preserve"> </w:t>
            </w:r>
          </w:p>
        </w:tc>
      </w:tr>
      <w:tr w:rsidR="00FA38A4" w:rsidRPr="003A798E" w14:paraId="0B43E723" w14:textId="77777777" w:rsidTr="00191507">
        <w:tblPrEx>
          <w:shd w:val="clear" w:color="auto" w:fill="EDF0F4" w:themeFill="accent3"/>
          <w:tblCellMar>
            <w:left w:w="0" w:type="dxa"/>
            <w:right w:w="0" w:type="dxa"/>
          </w:tblCellMar>
        </w:tblPrEx>
        <w:trPr>
          <w:gridBefore w:val="1"/>
          <w:wBefore w:w="1701" w:type="dxa"/>
          <w:trHeight w:val="8879"/>
        </w:trPr>
        <w:tc>
          <w:tcPr>
            <w:tcW w:w="10773" w:type="dxa"/>
            <w:gridSpan w:val="2"/>
            <w:shd w:val="clear" w:color="auto" w:fill="EDF0F4" w:themeFill="accent3"/>
          </w:tcPr>
          <w:p w14:paraId="63B67C8E" w14:textId="4B903E6F" w:rsidR="00FA38A4" w:rsidRDefault="0098239A" w:rsidP="000751D2">
            <w:pPr>
              <w:pStyle w:val="Heading3"/>
            </w:pPr>
            <w:r>
              <w:lastRenderedPageBreak/>
              <w:t>EVALUATION AND CRITIQUE OF</w:t>
            </w:r>
            <w:r w:rsidR="00FA38A4">
              <w:t xml:space="preserve"> THEORY</w:t>
            </w:r>
          </w:p>
          <w:p w14:paraId="2A917829" w14:textId="77777777" w:rsidR="003B049A" w:rsidRDefault="003B049A" w:rsidP="00D320AE">
            <w:pPr>
              <w:pStyle w:val="NormalWeb"/>
              <w:spacing w:line="480" w:lineRule="auto"/>
              <w:ind w:firstLine="720"/>
              <w:rPr>
                <w:color w:val="000000"/>
              </w:rPr>
            </w:pPr>
            <w:r>
              <w:rPr>
                <w:color w:val="000000"/>
              </w:rPr>
              <w:t>The</w:t>
            </w:r>
            <w:r>
              <w:rPr>
                <w:rStyle w:val="apple-converted-space"/>
                <w:color w:val="000000"/>
              </w:rPr>
              <w:t> </w:t>
            </w:r>
            <w:r>
              <w:rPr>
                <w:rStyle w:val="whitespace-normal"/>
                <w:rFonts w:eastAsiaTheme="majorEastAsia"/>
                <w:color w:val="000000"/>
              </w:rPr>
              <w:t>Working Memory Model</w:t>
            </w:r>
            <w:r>
              <w:rPr>
                <w:rStyle w:val="apple-converted-space"/>
                <w:color w:val="000000"/>
              </w:rPr>
              <w:t> </w:t>
            </w:r>
            <w:r>
              <w:rPr>
                <w:color w:val="000000"/>
              </w:rPr>
              <w:t>provides a valuable framework for understanding the cognitive mechanisms underlying the errors observed in the case study. A key strength of the model is its ability to offer a</w:t>
            </w:r>
            <w:r>
              <w:rPr>
                <w:rStyle w:val="apple-converted-space"/>
                <w:color w:val="000000"/>
              </w:rPr>
              <w:t> </w:t>
            </w:r>
            <w:r w:rsidRPr="003B049A">
              <w:rPr>
                <w:rStyle w:val="Strong"/>
                <w:b w:val="0"/>
                <w:bCs w:val="0"/>
                <w:color w:val="000000"/>
              </w:rPr>
              <w:t>mechanistic explanation</w:t>
            </w:r>
            <w:r>
              <w:rPr>
                <w:rStyle w:val="apple-converted-space"/>
                <w:color w:val="000000"/>
              </w:rPr>
              <w:t> </w:t>
            </w:r>
            <w:r>
              <w:rPr>
                <w:color w:val="000000"/>
              </w:rPr>
              <w:t>of how failures occur, particularly through limitations in attentional resources and working memory capacity. By identifying the role of the central executive in allocating attention, the model helps explain why nurses, despite being adequately trained, may fail to carry out routine procedures such as hand hygiene under conditions of high workload and fatigue.</w:t>
            </w:r>
          </w:p>
          <w:p w14:paraId="29BB832E" w14:textId="12102DE9" w:rsidR="003B049A" w:rsidRDefault="003B049A" w:rsidP="00D320AE">
            <w:pPr>
              <w:pStyle w:val="NormalWeb"/>
              <w:spacing w:line="480" w:lineRule="auto"/>
              <w:ind w:firstLine="720"/>
              <w:rPr>
                <w:color w:val="000000"/>
              </w:rPr>
            </w:pPr>
            <w:r>
              <w:rPr>
                <w:color w:val="000000"/>
              </w:rPr>
              <w:t>Furthermore, the model is strongly supported by empirical research, particularly from dual-task and cognitive load studies (Chen &amp; Bailey, 2021), which demonstrate how performance deteriorates when attentional demands exceed available resources. This makes the theory highly applicable to real-world, high-pressure environments such as healthcare, where individuals are frequently required to manage multiple competing demands simultaneously.</w:t>
            </w:r>
          </w:p>
          <w:p w14:paraId="19A43DBA" w14:textId="5BDCA4F6" w:rsidR="003B049A" w:rsidRDefault="003B049A" w:rsidP="00D320AE">
            <w:pPr>
              <w:pStyle w:val="NormalWeb"/>
              <w:spacing w:line="480" w:lineRule="auto"/>
              <w:ind w:firstLine="720"/>
              <w:rPr>
                <w:color w:val="000000"/>
              </w:rPr>
            </w:pPr>
            <w:r>
              <w:rPr>
                <w:color w:val="000000"/>
              </w:rPr>
              <w:t>However, the Working Memory Model also has several limitations. One key criticism is that it is</w:t>
            </w:r>
            <w:r>
              <w:rPr>
                <w:rStyle w:val="apple-converted-space"/>
                <w:color w:val="000000"/>
              </w:rPr>
              <w:t> </w:t>
            </w:r>
            <w:r w:rsidRPr="003B049A">
              <w:rPr>
                <w:rStyle w:val="Strong"/>
                <w:b w:val="0"/>
                <w:bCs w:val="0"/>
                <w:color w:val="000000"/>
              </w:rPr>
              <w:t>overly reductionist</w:t>
            </w:r>
            <w:r>
              <w:rPr>
                <w:rStyle w:val="Strong"/>
                <w:b w:val="0"/>
                <w:bCs w:val="0"/>
                <w:color w:val="000000"/>
              </w:rPr>
              <w:t xml:space="preserve"> (Baddeley, 2012)</w:t>
            </w:r>
            <w:r>
              <w:rPr>
                <w:color w:val="000000"/>
              </w:rPr>
              <w:t>, focusing primarily on internal cognitive processes while neglecting broader organisational and social influences. In the context of the case study, factors such as workplace culture, staffing policies, and leadership practices may also significantly influence behaviour, yet these are not accounted for within the model.</w:t>
            </w:r>
          </w:p>
          <w:p w14:paraId="4CE0BD05" w14:textId="05406745" w:rsidR="003B049A" w:rsidRDefault="003B049A" w:rsidP="00D320AE">
            <w:pPr>
              <w:pStyle w:val="NormalWeb"/>
              <w:spacing w:line="480" w:lineRule="auto"/>
              <w:ind w:firstLine="720"/>
              <w:rPr>
                <w:color w:val="000000"/>
              </w:rPr>
            </w:pPr>
            <w:r>
              <w:rPr>
                <w:color w:val="000000"/>
              </w:rPr>
              <w:t>In addition, the model does not fully address</w:t>
            </w:r>
            <w:r>
              <w:rPr>
                <w:rStyle w:val="apple-converted-space"/>
                <w:color w:val="000000"/>
              </w:rPr>
              <w:t> </w:t>
            </w:r>
            <w:r w:rsidRPr="003B049A">
              <w:rPr>
                <w:rStyle w:val="Strong"/>
                <w:b w:val="0"/>
                <w:bCs w:val="0"/>
                <w:color w:val="000000"/>
              </w:rPr>
              <w:t>motivational factors</w:t>
            </w:r>
            <w:r>
              <w:rPr>
                <w:color w:val="000000"/>
              </w:rPr>
              <w:t>. For example, adherence to hand hygiene protocols may be influenced by attitudes, perceived norms, or organisational expectations, which are better explained by decision-making or social-cognitive theories</w:t>
            </w:r>
            <w:r w:rsidR="00170AD2">
              <w:rPr>
                <w:color w:val="000000"/>
              </w:rPr>
              <w:t xml:space="preserve"> (Schunk &amp; Usher, 2012)</w:t>
            </w:r>
            <w:r>
              <w:rPr>
                <w:color w:val="000000"/>
              </w:rPr>
              <w:t>. As a result, the Working Memory Model may explain</w:t>
            </w:r>
            <w:r>
              <w:rPr>
                <w:rStyle w:val="apple-converted-space"/>
                <w:color w:val="000000"/>
              </w:rPr>
              <w:t> </w:t>
            </w:r>
            <w:r>
              <w:rPr>
                <w:rStyle w:val="Emphasis"/>
                <w:rFonts w:eastAsiaTheme="majorEastAsia"/>
                <w:color w:val="000000"/>
              </w:rPr>
              <w:t>how</w:t>
            </w:r>
            <w:r>
              <w:rPr>
                <w:rStyle w:val="apple-converted-space"/>
                <w:color w:val="000000"/>
              </w:rPr>
              <w:t> </w:t>
            </w:r>
            <w:r>
              <w:rPr>
                <w:color w:val="000000"/>
              </w:rPr>
              <w:t>errors occur, but not fully</w:t>
            </w:r>
            <w:r>
              <w:rPr>
                <w:rStyle w:val="apple-converted-space"/>
                <w:color w:val="000000"/>
              </w:rPr>
              <w:t> </w:t>
            </w:r>
            <w:r>
              <w:rPr>
                <w:rStyle w:val="Emphasis"/>
                <w:rFonts w:eastAsiaTheme="majorEastAsia"/>
                <w:color w:val="000000"/>
              </w:rPr>
              <w:t>why</w:t>
            </w:r>
            <w:r>
              <w:rPr>
                <w:rStyle w:val="apple-converted-space"/>
                <w:color w:val="000000"/>
              </w:rPr>
              <w:t> </w:t>
            </w:r>
            <w:r>
              <w:rPr>
                <w:color w:val="000000"/>
              </w:rPr>
              <w:t>individuals choose to prioritise certain behaviours over others.</w:t>
            </w:r>
          </w:p>
          <w:p w14:paraId="64C04859" w14:textId="3D8901A8" w:rsidR="003B049A" w:rsidRDefault="003B049A" w:rsidP="00D320AE">
            <w:pPr>
              <w:pStyle w:val="NormalWeb"/>
              <w:spacing w:line="480" w:lineRule="auto"/>
              <w:ind w:firstLine="720"/>
              <w:rPr>
                <w:color w:val="000000"/>
              </w:rPr>
            </w:pPr>
            <w:r>
              <w:rPr>
                <w:color w:val="000000"/>
              </w:rPr>
              <w:lastRenderedPageBreak/>
              <w:t>The model is also limited in its ability to account for</w:t>
            </w:r>
            <w:r>
              <w:rPr>
                <w:rStyle w:val="apple-converted-space"/>
                <w:color w:val="000000"/>
              </w:rPr>
              <w:t> </w:t>
            </w:r>
            <w:r w:rsidRPr="003B049A">
              <w:rPr>
                <w:rStyle w:val="Strong"/>
                <w:b w:val="0"/>
                <w:bCs w:val="0"/>
                <w:color w:val="000000"/>
              </w:rPr>
              <w:t>emotional and environmental stressors</w:t>
            </w:r>
            <w:r w:rsidRPr="003B049A">
              <w:rPr>
                <w:b/>
                <w:bCs/>
                <w:color w:val="000000"/>
              </w:rPr>
              <w:t>,</w:t>
            </w:r>
            <w:r>
              <w:rPr>
                <w:color w:val="000000"/>
              </w:rPr>
              <w:t xml:space="preserve"> such as stress, anxiety, or time pressure, which are known to impact performance in healthcare settings</w:t>
            </w:r>
            <w:r w:rsidR="00170AD2">
              <w:rPr>
                <w:color w:val="000000"/>
              </w:rPr>
              <w:t xml:space="preserve"> (Al-Ghareeb et al., 2017)</w:t>
            </w:r>
            <w:r>
              <w:rPr>
                <w:color w:val="000000"/>
              </w:rPr>
              <w:t>. While these factors may indirectly affect working memory capacity, they are not explicitly incorporated into the theoretical framework.</w:t>
            </w:r>
          </w:p>
          <w:p w14:paraId="3FA46EE0" w14:textId="495F1122" w:rsidR="003B049A" w:rsidRDefault="003B049A" w:rsidP="00D320AE">
            <w:pPr>
              <w:pStyle w:val="NormalWeb"/>
              <w:spacing w:line="480" w:lineRule="auto"/>
              <w:ind w:firstLine="720"/>
              <w:rPr>
                <w:color w:val="000000"/>
              </w:rPr>
            </w:pPr>
            <w:r>
              <w:rPr>
                <w:color w:val="000000"/>
              </w:rPr>
              <w:t>Finally, there are limitations in applying the theory to intervention design</w:t>
            </w:r>
            <w:r w:rsidR="00170AD2">
              <w:rPr>
                <w:color w:val="000000"/>
              </w:rPr>
              <w:t xml:space="preserve"> (Bilda, 2007)</w:t>
            </w:r>
            <w:r>
              <w:rPr>
                <w:color w:val="000000"/>
              </w:rPr>
              <w:t>. Although reducing cognitive load and supporting attentional processes may decrease the likelihood of errors, such strategies alone may not fully eliminate risk. Systemic issues, such as understaffing or organisational constraints, may continue to contribute to errors even when cognitive demands are addressed.</w:t>
            </w:r>
          </w:p>
          <w:p w14:paraId="223E5A79" w14:textId="69B36646" w:rsidR="003B049A" w:rsidRDefault="003B049A" w:rsidP="00D320AE">
            <w:pPr>
              <w:pStyle w:val="NormalWeb"/>
              <w:spacing w:line="480" w:lineRule="auto"/>
              <w:ind w:firstLine="720"/>
              <w:rPr>
                <w:color w:val="000000"/>
              </w:rPr>
            </w:pPr>
            <w:r>
              <w:rPr>
                <w:color w:val="000000"/>
              </w:rPr>
              <w:t>Overall, while the Working Memory Model provides a strong explanation for the cognitive processes underlying errors in this scenario, it does not offer a complete account. A more comprehensive approach that integrates cognitive, organisational, and behavioural perspectives is likely to be more effective in addressing the complex factors contributing to failures in hand hygiene adherence</w:t>
            </w:r>
            <w:r w:rsidR="00D320AE">
              <w:rPr>
                <w:color w:val="000000"/>
              </w:rPr>
              <w:t>.</w:t>
            </w:r>
          </w:p>
          <w:p w14:paraId="7B9E843C" w14:textId="77777777" w:rsidR="00FA38A4" w:rsidRPr="003A798E" w:rsidRDefault="00FA38A4" w:rsidP="003B049A"/>
        </w:tc>
      </w:tr>
    </w:tbl>
    <w:p w14:paraId="0CF4EDF2" w14:textId="77777777" w:rsidR="00A24793" w:rsidRPr="003A798E" w:rsidRDefault="00A24793"/>
    <w:tbl>
      <w:tblPr>
        <w:tblW w:w="10508" w:type="dxa"/>
        <w:shd w:val="clear" w:color="auto" w:fill="00C1C7" w:themeFill="accent2"/>
        <w:tblLayout w:type="fixed"/>
        <w:tblLook w:val="0600" w:firstRow="0" w:lastRow="0" w:firstColumn="0" w:lastColumn="0" w:noHBand="1" w:noVBand="1"/>
      </w:tblPr>
      <w:tblGrid>
        <w:gridCol w:w="851"/>
        <w:gridCol w:w="8690"/>
        <w:gridCol w:w="967"/>
      </w:tblGrid>
      <w:tr w:rsidR="0031055C" w:rsidRPr="003A798E" w14:paraId="24F1484D" w14:textId="77777777" w:rsidTr="0098239A">
        <w:trPr>
          <w:trHeight w:val="373"/>
        </w:trPr>
        <w:tc>
          <w:tcPr>
            <w:tcW w:w="851" w:type="dxa"/>
            <w:vMerge w:val="restart"/>
            <w:shd w:val="clear" w:color="auto" w:fill="00C1C7" w:themeFill="accent2"/>
          </w:tcPr>
          <w:p w14:paraId="2B59145D" w14:textId="77777777" w:rsidR="0031055C" w:rsidRPr="003A798E" w:rsidRDefault="0031055C" w:rsidP="0031055C">
            <w:pPr>
              <w:pStyle w:val="GraphicAnchor"/>
            </w:pPr>
          </w:p>
        </w:tc>
        <w:tc>
          <w:tcPr>
            <w:tcW w:w="8690" w:type="dxa"/>
            <w:tcBorders>
              <w:bottom w:val="single" w:sz="36" w:space="0" w:color="123869" w:themeColor="accent1"/>
            </w:tcBorders>
            <w:shd w:val="clear" w:color="auto" w:fill="00C1C7" w:themeFill="accent2"/>
          </w:tcPr>
          <w:p w14:paraId="136EF726" w14:textId="77777777" w:rsidR="0031055C" w:rsidRPr="003A798E" w:rsidRDefault="0031055C" w:rsidP="0031055C"/>
        </w:tc>
        <w:tc>
          <w:tcPr>
            <w:tcW w:w="967" w:type="dxa"/>
            <w:vMerge w:val="restart"/>
            <w:shd w:val="clear" w:color="auto" w:fill="00C1C7" w:themeFill="accent2"/>
          </w:tcPr>
          <w:p w14:paraId="230C2B99" w14:textId="77777777" w:rsidR="0031055C" w:rsidRPr="003A798E" w:rsidRDefault="0031055C" w:rsidP="00D6375E"/>
        </w:tc>
      </w:tr>
      <w:tr w:rsidR="0031055C" w:rsidRPr="003A798E" w14:paraId="248C2EAF" w14:textId="77777777" w:rsidTr="0098239A">
        <w:trPr>
          <w:trHeight w:val="3502"/>
        </w:trPr>
        <w:tc>
          <w:tcPr>
            <w:tcW w:w="851" w:type="dxa"/>
            <w:vMerge/>
            <w:shd w:val="clear" w:color="auto" w:fill="00C1C7" w:themeFill="accent2"/>
          </w:tcPr>
          <w:p w14:paraId="576F82E5" w14:textId="77777777" w:rsidR="0031055C" w:rsidRPr="003A798E" w:rsidRDefault="0031055C" w:rsidP="00D6375E"/>
        </w:tc>
        <w:tc>
          <w:tcPr>
            <w:tcW w:w="8690" w:type="dxa"/>
            <w:tcBorders>
              <w:top w:val="single" w:sz="36" w:space="0" w:color="123869" w:themeColor="accent1"/>
              <w:bottom w:val="single" w:sz="36" w:space="0" w:color="123869" w:themeColor="accent1"/>
            </w:tcBorders>
            <w:shd w:val="clear" w:color="auto" w:fill="FFFFFF" w:themeFill="background1"/>
            <w:vAlign w:val="center"/>
          </w:tcPr>
          <w:p w14:paraId="6BFD6B9F" w14:textId="27387AFE" w:rsidR="0031055C" w:rsidRPr="0098239A" w:rsidRDefault="0098239A" w:rsidP="00A24793">
            <w:pPr>
              <w:pStyle w:val="Quote"/>
              <w:rPr>
                <w:sz w:val="72"/>
                <w:szCs w:val="22"/>
              </w:rPr>
            </w:pPr>
            <w:r w:rsidRPr="0098239A">
              <w:rPr>
                <w:sz w:val="72"/>
                <w:szCs w:val="22"/>
              </w:rPr>
              <w:t>CONCLUSION AND RECOMMENDATIONS</w:t>
            </w:r>
          </w:p>
        </w:tc>
        <w:tc>
          <w:tcPr>
            <w:tcW w:w="967" w:type="dxa"/>
            <w:vMerge/>
            <w:shd w:val="clear" w:color="auto" w:fill="00C1C7" w:themeFill="accent2"/>
          </w:tcPr>
          <w:p w14:paraId="7416AA32" w14:textId="77777777" w:rsidR="0031055C" w:rsidRPr="003A798E" w:rsidRDefault="0031055C" w:rsidP="00D6375E"/>
        </w:tc>
      </w:tr>
      <w:tr w:rsidR="0031055C" w:rsidRPr="003A798E" w14:paraId="5680728F" w14:textId="77777777" w:rsidTr="0098239A">
        <w:trPr>
          <w:trHeight w:val="9648"/>
        </w:trPr>
        <w:tc>
          <w:tcPr>
            <w:tcW w:w="851" w:type="dxa"/>
            <w:vMerge/>
            <w:shd w:val="clear" w:color="auto" w:fill="00C1C7" w:themeFill="accent2"/>
          </w:tcPr>
          <w:p w14:paraId="30E7C66B" w14:textId="77777777" w:rsidR="0031055C" w:rsidRPr="003A798E" w:rsidRDefault="0031055C" w:rsidP="00D6375E"/>
        </w:tc>
        <w:tc>
          <w:tcPr>
            <w:tcW w:w="8690" w:type="dxa"/>
            <w:tcBorders>
              <w:top w:val="single" w:sz="36" w:space="0" w:color="123869" w:themeColor="accent1"/>
            </w:tcBorders>
            <w:shd w:val="clear" w:color="auto" w:fill="00C1C7" w:themeFill="accent2"/>
          </w:tcPr>
          <w:p w14:paraId="43D04EC2" w14:textId="4F20498F" w:rsidR="000926D1" w:rsidRDefault="000926D1" w:rsidP="000926D1">
            <w:pPr>
              <w:pStyle w:val="NormalWeb"/>
              <w:spacing w:line="480" w:lineRule="auto"/>
              <w:ind w:firstLine="720"/>
            </w:pPr>
            <w:r>
              <w:t>The Working Memory Model was utilised in order to determine the reasons why the district nurses failed to adhere to the protocol concerning hand hygiene. In essence, cognitive overload, fatigue and attentional problems, but not insufficient knowledge or training, were revealed to be at fault.</w:t>
            </w:r>
          </w:p>
          <w:p w14:paraId="296A51FA" w14:textId="7CF97570" w:rsidR="000926D1" w:rsidRDefault="000926D1" w:rsidP="000926D1">
            <w:pPr>
              <w:pStyle w:val="NormalWeb"/>
              <w:spacing w:line="480" w:lineRule="auto"/>
              <w:ind w:firstLine="720"/>
            </w:pPr>
            <w:r>
              <w:t>Based on the findings above, a range of interventions can be proposed. For example, in terms of working memory overload, one should consider limiting it by decreasing workload. Moreover, to address problems related to attention and memory processes, it might be helpful to implement the use of reminders and checklists. Finally, as for fatigue-related issues, more balanced shift management should be considered. This will help minimise pressure on the central executive and decrease the chances of committing omission errors under stressful conditions.</w:t>
            </w:r>
          </w:p>
          <w:p w14:paraId="46B3BE5A" w14:textId="640DBD96" w:rsidR="002405D7" w:rsidRPr="003A798E" w:rsidRDefault="000926D1" w:rsidP="000926D1">
            <w:pPr>
              <w:pStyle w:val="NormalWeb"/>
              <w:spacing w:line="480" w:lineRule="auto"/>
              <w:ind w:firstLine="720"/>
            </w:pPr>
            <w:r>
              <w:t>However, it should be noted that the Working Memory Model itself does not suffice in explaining the reasons behind the nurses' non-compliance. It should be acknowledged that organisational, social and motivational issues play an important role here. Hence, the organisation should develop a comprehensive strategy, taking into consideration cognitive theories as well as others aimed at improving patient safety.</w:t>
            </w:r>
          </w:p>
        </w:tc>
        <w:tc>
          <w:tcPr>
            <w:tcW w:w="967" w:type="dxa"/>
            <w:vMerge/>
            <w:shd w:val="clear" w:color="auto" w:fill="00C1C7" w:themeFill="accent2"/>
          </w:tcPr>
          <w:p w14:paraId="789A6779" w14:textId="77777777" w:rsidR="0031055C" w:rsidRPr="003A798E" w:rsidRDefault="0031055C" w:rsidP="00D6375E"/>
        </w:tc>
      </w:tr>
    </w:tbl>
    <w:p w14:paraId="7CD2BC04" w14:textId="77777777" w:rsidR="0098239A" w:rsidRDefault="0098239A"/>
    <w:p w14:paraId="61F4C25D" w14:textId="77777777" w:rsidR="006B2F4E" w:rsidRDefault="006B2F4E" w:rsidP="0098239A">
      <w:pPr>
        <w:pStyle w:val="Heading2"/>
        <w:jc w:val="center"/>
        <w:rPr>
          <w:noProof/>
          <w:lang w:eastAsia="en-AU"/>
        </w:rPr>
      </w:pPr>
    </w:p>
    <w:p w14:paraId="35F23854" w14:textId="77777777" w:rsidR="009609AE" w:rsidRDefault="009609AE" w:rsidP="009609AE">
      <w:pPr>
        <w:pStyle w:val="Heading2"/>
        <w:spacing w:line="480" w:lineRule="auto"/>
        <w:ind w:left="720" w:hanging="720"/>
        <w:jc w:val="center"/>
        <w:rPr>
          <w:rFonts w:ascii="-webkit-standard" w:eastAsiaTheme="minorHAnsi" w:hAnsi="-webkit-standard" w:cstheme="minorBidi"/>
          <w:i w:val="0"/>
          <w:color w:val="000000"/>
          <w:sz w:val="27"/>
          <w:szCs w:val="27"/>
        </w:rPr>
      </w:pPr>
    </w:p>
    <w:p w14:paraId="568BC9F2" w14:textId="77777777" w:rsidR="009609AE" w:rsidRDefault="009609AE" w:rsidP="009609AE">
      <w:pPr>
        <w:pStyle w:val="Heading2"/>
        <w:spacing w:line="480" w:lineRule="auto"/>
        <w:ind w:left="720" w:hanging="720"/>
        <w:jc w:val="center"/>
        <w:rPr>
          <w:rFonts w:ascii="-webkit-standard" w:eastAsiaTheme="minorHAnsi" w:hAnsi="-webkit-standard" w:cstheme="minorBidi"/>
          <w:i w:val="0"/>
          <w:color w:val="000000"/>
          <w:sz w:val="27"/>
          <w:szCs w:val="27"/>
        </w:rPr>
      </w:pPr>
    </w:p>
    <w:p w14:paraId="401A70DB" w14:textId="77777777" w:rsidR="003B049A" w:rsidRDefault="003B049A" w:rsidP="009609AE">
      <w:pPr>
        <w:pStyle w:val="Heading2"/>
        <w:spacing w:line="480" w:lineRule="auto"/>
        <w:ind w:left="720" w:hanging="720"/>
        <w:jc w:val="center"/>
        <w:rPr>
          <w:rFonts w:ascii="-webkit-standard" w:eastAsiaTheme="minorHAnsi" w:hAnsi="-webkit-standard" w:cstheme="minorBidi"/>
          <w:b/>
          <w:bCs/>
          <w:i w:val="0"/>
          <w:color w:val="000000"/>
          <w:sz w:val="27"/>
          <w:szCs w:val="27"/>
        </w:rPr>
      </w:pPr>
    </w:p>
    <w:p w14:paraId="493B70F7" w14:textId="7A0A3DEB" w:rsidR="003B049A" w:rsidRDefault="00C66528" w:rsidP="009609AE">
      <w:pPr>
        <w:pStyle w:val="Heading2"/>
        <w:spacing w:line="480" w:lineRule="auto"/>
        <w:ind w:left="720" w:hanging="720"/>
        <w:jc w:val="center"/>
        <w:rPr>
          <w:rFonts w:ascii="-webkit-standard" w:eastAsiaTheme="minorHAnsi" w:hAnsi="-webkit-standard" w:cstheme="minorBidi"/>
          <w:b/>
          <w:bCs/>
          <w:i w:val="0"/>
          <w:color w:val="000000"/>
          <w:sz w:val="27"/>
          <w:szCs w:val="27"/>
        </w:rPr>
      </w:pPr>
      <w:r w:rsidRPr="007465E5">
        <w:rPr>
          <w:b/>
          <w:bCs/>
          <w:noProof/>
          <w:lang w:eastAsia="en-AU"/>
        </w:rPr>
        <mc:AlternateContent>
          <mc:Choice Requires="wps">
            <w:drawing>
              <wp:anchor distT="0" distB="0" distL="114300" distR="114300" simplePos="0" relativeHeight="251661312" behindDoc="1" locked="0" layoutInCell="1" allowOverlap="1" wp14:anchorId="6598AA6A" wp14:editId="1C28B894">
                <wp:simplePos x="0" y="0"/>
                <wp:positionH relativeFrom="column">
                  <wp:posOffset>-433449</wp:posOffset>
                </wp:positionH>
                <wp:positionV relativeFrom="paragraph">
                  <wp:posOffset>-8979487</wp:posOffset>
                </wp:positionV>
                <wp:extent cx="7771130" cy="11210307"/>
                <wp:effectExtent l="0" t="0" r="127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11210307"/>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06DB5D9D" id="Shape" o:spid="_x0000_s1026" alt="&quot;&quot;" style="position:absolute;margin-left:-34.15pt;margin-top:-707.05pt;width:611.9pt;height:882.7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" path="m,14678r,6922l21600,3032,21600,,17075,,,14678xe" fillcolor="#123869 [3204]" stroked="f" strokeweight="1pt">
                <v:stroke miterlimit="4" joinstyle="miter"/>
                <v:path arrowok="t" o:extrusionok="f" o:connecttype="custom" o:connectlocs="3885565,5605154;3885565,5605154;3885565,5605154;3885565,5605154" o:connectangles="0,90,180,270"/>
              </v:shape>
            </w:pict>
          </mc:Fallback>
        </mc:AlternateContent>
      </w:r>
    </w:p>
    <w:p w14:paraId="03F74795" w14:textId="77777777" w:rsidR="004C278B" w:rsidRDefault="004C278B" w:rsidP="004C278B">
      <w:pPr>
        <w:pStyle w:val="Heading2"/>
        <w:jc w:val="center"/>
        <w:rPr>
          <w:noProof/>
          <w:lang w:eastAsia="en-AU"/>
        </w:rPr>
      </w:pPr>
      <w:r>
        <w:tab/>
      </w:r>
      <w:r>
        <w:rPr>
          <w:noProof/>
          <w:lang w:eastAsia="en-AU"/>
        </w:rPr>
        <w:t>REFERENCE LIST</w:t>
      </w:r>
    </w:p>
    <w:p w14:paraId="4081E171" w14:textId="77777777" w:rsidR="004C278B" w:rsidRDefault="004C278B" w:rsidP="004C278B">
      <w:pPr>
        <w:pStyle w:val="Heading2"/>
        <w:spacing w:line="480" w:lineRule="auto"/>
        <w:ind w:left="720" w:hanging="720"/>
        <w:jc w:val="center"/>
        <w:rPr>
          <w:rFonts w:ascii="-webkit-standard" w:eastAsiaTheme="minorHAnsi" w:hAnsi="-webkit-standard" w:cstheme="minorBidi"/>
          <w:b/>
          <w:bCs/>
          <w:i w:val="0"/>
          <w:color w:val="000000"/>
          <w:sz w:val="27"/>
          <w:szCs w:val="27"/>
        </w:rPr>
      </w:pPr>
    </w:p>
    <w:p w14:paraId="51B27C60" w14:textId="77777777" w:rsidR="004C278B" w:rsidRDefault="004C278B" w:rsidP="004C278B">
      <w:pPr>
        <w:pStyle w:val="Heading2"/>
        <w:spacing w:line="480" w:lineRule="auto"/>
        <w:ind w:left="720" w:hanging="720"/>
        <w:jc w:val="center"/>
        <w:rPr>
          <w:rFonts w:ascii="-webkit-standard" w:eastAsiaTheme="minorHAnsi" w:hAnsi="-webkit-standard" w:cstheme="minorBidi"/>
          <w:b/>
          <w:bCs/>
          <w:i w:val="0"/>
          <w:color w:val="000000"/>
          <w:sz w:val="27"/>
          <w:szCs w:val="27"/>
        </w:rPr>
      </w:pPr>
    </w:p>
    <w:p w14:paraId="475A3DED" w14:textId="77777777" w:rsidR="004C278B" w:rsidRPr="00D320AE" w:rsidRDefault="004C278B" w:rsidP="004C278B">
      <w:pPr>
        <w:pStyle w:val="Heading2"/>
        <w:spacing w:line="480" w:lineRule="auto"/>
        <w:ind w:left="720" w:hanging="720"/>
        <w:jc w:val="center"/>
        <w:rPr>
          <w:rFonts w:ascii="-webkit-standard" w:eastAsiaTheme="minorHAnsi" w:hAnsi="-webkit-standard" w:cstheme="minorBidi"/>
          <w:i w:val="0"/>
          <w:color w:val="000000"/>
          <w:sz w:val="27"/>
          <w:szCs w:val="27"/>
        </w:rPr>
      </w:pPr>
    </w:p>
    <w:p w14:paraId="6C0678C6" w14:textId="77777777" w:rsidR="004C278B" w:rsidRPr="00D320AE" w:rsidRDefault="004C278B" w:rsidP="004C278B">
      <w:pPr>
        <w:pStyle w:val="Heading2"/>
        <w:spacing w:line="480" w:lineRule="auto"/>
        <w:ind w:left="720"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Al-Ghareeb, A. Z., Cooper, S. J., &amp; McKenna, L. G. (2017). Anxiety and clinical performance in simulated settings in undergraduate health professionals’ education: An integrative review. Clinical Simulation in Nursing, 13(10), 478-491.</w:t>
      </w:r>
    </w:p>
    <w:p w14:paraId="4F542F4D" w14:textId="77777777" w:rsidR="004C278B" w:rsidRPr="00D320AE" w:rsidRDefault="004C278B" w:rsidP="004C278B">
      <w:pPr>
        <w:pStyle w:val="Heading2"/>
        <w:spacing w:line="480" w:lineRule="auto"/>
        <w:ind w:left="720"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Bilda, Z., &amp; Gero, J. S. (2007). The impact of working memory limitations on the design process during conceptualisation. Design Studies, 28(4), 343-367.</w:t>
      </w:r>
    </w:p>
    <w:p w14:paraId="6BA7820C" w14:textId="77777777" w:rsidR="004C278B" w:rsidRDefault="004C278B" w:rsidP="004C278B">
      <w:pPr>
        <w:pStyle w:val="Heading2"/>
        <w:spacing w:line="480" w:lineRule="auto"/>
        <w:ind w:left="720" w:hanging="720"/>
        <w:jc w:val="center"/>
        <w:rPr>
          <w:rFonts w:ascii="-webkit-standard" w:eastAsiaTheme="minorHAnsi" w:hAnsi="-webkit-standard" w:cstheme="minorBidi"/>
          <w:i w:val="0"/>
          <w:color w:val="000000"/>
          <w:sz w:val="27"/>
          <w:szCs w:val="27"/>
        </w:rPr>
      </w:pPr>
    </w:p>
    <w:p w14:paraId="143507D7" w14:textId="77777777" w:rsidR="004C278B" w:rsidRPr="000236E4" w:rsidRDefault="004C278B" w:rsidP="004C278B">
      <w:pPr>
        <w:pStyle w:val="Heading2"/>
        <w:spacing w:line="480" w:lineRule="auto"/>
        <w:ind w:left="720" w:hanging="720"/>
        <w:jc w:val="center"/>
        <w:rPr>
          <w:rFonts w:ascii="-webkit-standard" w:eastAsiaTheme="minorHAnsi" w:hAnsi="-webkit-standard" w:cstheme="minorBidi"/>
          <w:i w:val="0"/>
          <w:color w:val="000000"/>
          <w:sz w:val="27"/>
          <w:szCs w:val="27"/>
        </w:rPr>
      </w:pPr>
      <w:r w:rsidRPr="000236E4">
        <w:rPr>
          <w:rFonts w:ascii="-webkit-standard" w:eastAsiaTheme="minorHAnsi" w:hAnsi="-webkit-standard" w:cstheme="minorBidi"/>
          <w:i w:val="0"/>
          <w:color w:val="000000"/>
          <w:sz w:val="27"/>
          <w:szCs w:val="27"/>
        </w:rPr>
        <w:t xml:space="preserve">Baddeley, A. (2000). The episodic buffer: a new component of working </w:t>
      </w:r>
      <w:proofErr w:type="gramStart"/>
      <w:r w:rsidRPr="000236E4">
        <w:rPr>
          <w:rFonts w:ascii="-webkit-standard" w:eastAsiaTheme="minorHAnsi" w:hAnsi="-webkit-standard" w:cstheme="minorBidi"/>
          <w:i w:val="0"/>
          <w:color w:val="000000"/>
          <w:sz w:val="27"/>
          <w:szCs w:val="27"/>
        </w:rPr>
        <w:t>memory?.</w:t>
      </w:r>
      <w:proofErr w:type="gramEnd"/>
      <w:r w:rsidRPr="000236E4">
        <w:rPr>
          <w:rFonts w:ascii="-webkit-standard" w:eastAsiaTheme="minorHAnsi" w:hAnsi="-webkit-standard" w:cstheme="minorBidi"/>
          <w:i w:val="0"/>
          <w:color w:val="000000"/>
          <w:sz w:val="27"/>
          <w:szCs w:val="27"/>
        </w:rPr>
        <w:t> Trends in cognitive sciences, 4(11), 417-423.</w:t>
      </w:r>
    </w:p>
    <w:p w14:paraId="517A71C9" w14:textId="77777777" w:rsidR="004C278B" w:rsidRPr="00D320AE" w:rsidRDefault="004C278B" w:rsidP="004C278B">
      <w:pPr>
        <w:pStyle w:val="Heading2"/>
        <w:spacing w:line="480" w:lineRule="auto"/>
        <w:ind w:left="720"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Baddeley, A. (2012). Working memory: Theories, models, and controversies. Annual review of psychology, 63(1), 1-29.</w:t>
      </w:r>
    </w:p>
    <w:p w14:paraId="616C0C13" w14:textId="77777777" w:rsidR="004C278B" w:rsidRPr="00D320AE" w:rsidRDefault="004C278B" w:rsidP="004C278B">
      <w:pPr>
        <w:pStyle w:val="Heading2"/>
        <w:spacing w:line="480" w:lineRule="auto"/>
        <w:ind w:left="720" w:hanging="720"/>
        <w:jc w:val="center"/>
        <w:rPr>
          <w:rFonts w:eastAsiaTheme="minorHAnsi" w:cstheme="minorBidi"/>
          <w:i w:val="0"/>
          <w:color w:val="000000"/>
          <w:sz w:val="24"/>
          <w:szCs w:val="24"/>
        </w:rPr>
      </w:pPr>
      <w:r w:rsidRPr="00D320AE">
        <w:rPr>
          <w:rFonts w:ascii="-webkit-standard" w:eastAsiaTheme="minorHAnsi" w:hAnsi="-webkit-standard" w:cstheme="minorBidi"/>
          <w:i w:val="0"/>
          <w:color w:val="000000"/>
          <w:sz w:val="27"/>
          <w:szCs w:val="27"/>
        </w:rPr>
        <w:t xml:space="preserve">Baddeley, A. (2020). Working memory. In </w:t>
      </w:r>
      <w:r w:rsidRPr="00D320AE">
        <w:rPr>
          <w:rFonts w:eastAsiaTheme="minorHAnsi" w:cstheme="minorBidi"/>
          <w:iCs/>
          <w:color w:val="000000"/>
          <w:sz w:val="24"/>
          <w:szCs w:val="24"/>
        </w:rPr>
        <w:t xml:space="preserve">Memory (pp 71-111) </w:t>
      </w:r>
      <w:r w:rsidRPr="00D320AE">
        <w:rPr>
          <w:rFonts w:eastAsiaTheme="minorHAnsi" w:cstheme="minorBidi"/>
          <w:i w:val="0"/>
          <w:color w:val="000000"/>
          <w:sz w:val="24"/>
          <w:szCs w:val="24"/>
        </w:rPr>
        <w:t>Routledge.</w:t>
      </w:r>
    </w:p>
    <w:p w14:paraId="09182FDD" w14:textId="77777777" w:rsidR="004C278B" w:rsidRPr="00D320AE" w:rsidRDefault="004C278B" w:rsidP="004C278B">
      <w:pPr>
        <w:pStyle w:val="Heading2"/>
        <w:spacing w:line="480" w:lineRule="auto"/>
        <w:ind w:left="720"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lastRenderedPageBreak/>
        <w:t>Baddeley, A. D., &amp; Della Sala, S. (1996). Working memory and executive control. Philosophical Transactions of the Royal Society of London. Series B: Biological Sciences, 351(1346), 1397-1404.</w:t>
      </w:r>
      <w:r w:rsidRPr="00D320AE">
        <w:rPr>
          <w:rFonts w:eastAsiaTheme="minorHAnsi" w:cstheme="minorBidi"/>
          <w:i w:val="0"/>
          <w:color w:val="000000"/>
          <w:sz w:val="24"/>
          <w:szCs w:val="24"/>
        </w:rPr>
        <w:br/>
      </w:r>
    </w:p>
    <w:p w14:paraId="7FF0E788"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Byrne, M. D., &amp; Bovair, S. (1997). A working memory model of a common procedural error. Cognitive science, 21(1), 31-61.</w:t>
      </w:r>
    </w:p>
    <w:p w14:paraId="57EF39BA"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Camos, V., &amp; Barrulet, P. (2014). Attentional and non-attentional systems in the maintenance of verbal information in working memory: the executive and phonological loops. Frontiers in human neuroscience, 8, 900.</w:t>
      </w:r>
    </w:p>
    <w:p w14:paraId="0F866F03"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Chen, E. H., &amp; Bailey, D. H. (2021). Dual-task studies of working memory and arithmetic performance: A meta-analysis. Journal of Experimental Psychology: Learning, Memory, and Cognition, 47(2), 220.</w:t>
      </w:r>
    </w:p>
    <w:p w14:paraId="335D82C8" w14:textId="77777777" w:rsidR="004C278B"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Dettmer’s, J., Bamberg, E., &amp; Seffner, K. (2016). Characteristics of extended availability for work: The role of demands and resources. International Journal of Stress Management, 23(3), 276.</w:t>
      </w:r>
    </w:p>
    <w:p w14:paraId="256F1171" w14:textId="77777777" w:rsidR="004C278B" w:rsidRPr="001C73AD" w:rsidRDefault="004C278B" w:rsidP="004C278B">
      <w:pPr>
        <w:spacing w:line="480" w:lineRule="auto"/>
        <w:ind w:hanging="720"/>
        <w:jc w:val="center"/>
        <w:rPr>
          <w:rFonts w:ascii="-webkit-standard" w:hAnsi="-webkit-standard"/>
          <w:color w:val="000000"/>
          <w:sz w:val="27"/>
          <w:szCs w:val="27"/>
        </w:rPr>
      </w:pPr>
      <w:proofErr w:type="spellStart"/>
      <w:r w:rsidRPr="001C73AD">
        <w:rPr>
          <w:rFonts w:ascii="-webkit-standard" w:hAnsi="-webkit-standard"/>
          <w:color w:val="000000"/>
          <w:sz w:val="27"/>
          <w:szCs w:val="27"/>
        </w:rPr>
        <w:t>Egner</w:t>
      </w:r>
      <w:proofErr w:type="spellEnd"/>
      <w:r w:rsidRPr="001C73AD">
        <w:rPr>
          <w:rFonts w:ascii="-webkit-standard" w:hAnsi="-webkit-standard"/>
          <w:color w:val="000000"/>
          <w:sz w:val="27"/>
          <w:szCs w:val="27"/>
        </w:rPr>
        <w:t>, T. (2023). Principles of cognitive control over task focus and task switching. Nature Reviews Psychology, 2(11), 702-714</w:t>
      </w:r>
    </w:p>
    <w:p w14:paraId="30FCED46" w14:textId="77777777" w:rsidR="004C278B" w:rsidRDefault="004C278B" w:rsidP="004C278B">
      <w:pPr>
        <w:spacing w:line="480" w:lineRule="auto"/>
        <w:ind w:hanging="720"/>
      </w:pPr>
    </w:p>
    <w:p w14:paraId="72276C5F" w14:textId="77777777" w:rsidR="004C278B" w:rsidRPr="001C73AD" w:rsidRDefault="004C278B" w:rsidP="004C278B">
      <w:pPr>
        <w:spacing w:line="480" w:lineRule="auto"/>
        <w:ind w:hanging="720"/>
      </w:pPr>
    </w:p>
    <w:p w14:paraId="6D755F76" w14:textId="77777777" w:rsidR="004C278B" w:rsidRPr="00D320AE" w:rsidRDefault="004C278B" w:rsidP="004C278B">
      <w:pPr>
        <w:spacing w:line="480" w:lineRule="auto"/>
        <w:ind w:hanging="720"/>
        <w:jc w:val="center"/>
        <w:rPr>
          <w:rFonts w:ascii="-webkit-standard" w:hAnsi="-webkit-standard"/>
          <w:color w:val="000000"/>
          <w:sz w:val="27"/>
          <w:szCs w:val="27"/>
        </w:rPr>
      </w:pPr>
      <w:r w:rsidRPr="00D320AE">
        <w:rPr>
          <w:rFonts w:ascii="-webkit-standard" w:hAnsi="-webkit-standard"/>
          <w:color w:val="000000"/>
          <w:sz w:val="27"/>
          <w:szCs w:val="27"/>
        </w:rPr>
        <w:t xml:space="preserve">Farrell, T. W., Francis, L., Brown, T., Ferrante, L. E., </w:t>
      </w:r>
      <w:proofErr w:type="spellStart"/>
      <w:r w:rsidRPr="00D320AE">
        <w:rPr>
          <w:rFonts w:ascii="-webkit-standard" w:hAnsi="-webkit-standard"/>
          <w:color w:val="000000"/>
          <w:sz w:val="27"/>
          <w:szCs w:val="27"/>
        </w:rPr>
        <w:t>Widera</w:t>
      </w:r>
      <w:proofErr w:type="spellEnd"/>
      <w:r w:rsidRPr="00D320AE">
        <w:rPr>
          <w:rFonts w:ascii="-webkit-standard" w:hAnsi="-webkit-standard"/>
          <w:color w:val="000000"/>
          <w:sz w:val="27"/>
          <w:szCs w:val="27"/>
        </w:rPr>
        <w:t xml:space="preserve">, E., Rhodes, R., ... &amp; </w:t>
      </w:r>
      <w:proofErr w:type="spellStart"/>
      <w:r w:rsidRPr="00D320AE">
        <w:rPr>
          <w:rFonts w:ascii="-webkit-standard" w:hAnsi="-webkit-standard"/>
          <w:color w:val="000000"/>
          <w:sz w:val="27"/>
          <w:szCs w:val="27"/>
        </w:rPr>
        <w:t>Saliba</w:t>
      </w:r>
      <w:proofErr w:type="spellEnd"/>
      <w:r w:rsidRPr="00D320AE">
        <w:rPr>
          <w:rFonts w:ascii="-webkit-standard" w:hAnsi="-webkit-standard"/>
          <w:color w:val="000000"/>
          <w:sz w:val="27"/>
          <w:szCs w:val="27"/>
        </w:rPr>
        <w:t>, D. (2020). Rationing limited healthcare resources in the COVID‐19 era and beyond: ethical considerations regarding older adults. Journal of the American Geriatrics Society, 68(6), 1143-1149.</w:t>
      </w:r>
    </w:p>
    <w:p w14:paraId="4ADC21BC" w14:textId="77777777" w:rsidR="004C278B" w:rsidRPr="00D320AE" w:rsidRDefault="004C278B" w:rsidP="004C278B">
      <w:pPr>
        <w:spacing w:line="480" w:lineRule="auto"/>
        <w:ind w:hanging="720"/>
        <w:jc w:val="center"/>
        <w:rPr>
          <w:rFonts w:ascii="-webkit-standard" w:hAnsi="-webkit-standard"/>
          <w:color w:val="000000"/>
          <w:sz w:val="27"/>
          <w:szCs w:val="27"/>
        </w:rPr>
      </w:pPr>
      <w:r w:rsidRPr="00D320AE">
        <w:rPr>
          <w:rFonts w:ascii="-webkit-standard" w:hAnsi="-webkit-standard"/>
          <w:color w:val="000000"/>
          <w:sz w:val="27"/>
          <w:szCs w:val="27"/>
        </w:rPr>
        <w:lastRenderedPageBreak/>
        <w:t xml:space="preserve">Harris, W. C., Hancock, P. A., Arthur, E. J., &amp; </w:t>
      </w:r>
      <w:proofErr w:type="spellStart"/>
      <w:r w:rsidRPr="00D320AE">
        <w:rPr>
          <w:rFonts w:ascii="-webkit-standard" w:hAnsi="-webkit-standard"/>
          <w:color w:val="000000"/>
          <w:sz w:val="27"/>
          <w:szCs w:val="27"/>
        </w:rPr>
        <w:t>Caird</w:t>
      </w:r>
      <w:proofErr w:type="spellEnd"/>
      <w:r w:rsidRPr="00D320AE">
        <w:rPr>
          <w:rFonts w:ascii="-webkit-standard" w:hAnsi="-webkit-standard"/>
          <w:color w:val="000000"/>
          <w:sz w:val="27"/>
          <w:szCs w:val="27"/>
        </w:rPr>
        <w:t>, J. K. (1995). Performance, workload, and fatigue changes associated with automation. The International Journal of Aviation Psychology, 5(2), 169-185.</w:t>
      </w:r>
    </w:p>
    <w:p w14:paraId="7A070A7A"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Hester, R., &amp; Garavan, H. (2005). Working memory and executive function: The influence of content and load on the control of attention. Memory &amp; cognition, 33(2), 221-233.</w:t>
      </w:r>
    </w:p>
    <w:p w14:paraId="7B29DAB6"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Jones, W. E., Benge, J. F., &amp; Scullin, M. K. (2021). Preserving prospective memory in daily life: A systematic review and meta-analysis of mnemonic strategy, cognitive training, external memory aid, and combination interventions. Neuropsychology, 35(1), 123.</w:t>
      </w:r>
    </w:p>
    <w:p w14:paraId="0FB863A4" w14:textId="77777777" w:rsidR="004C278B"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 xml:space="preserve">Joyce, E., Blumenthal, S., &amp; </w:t>
      </w:r>
      <w:proofErr w:type="spellStart"/>
      <w:r w:rsidRPr="00D320AE">
        <w:rPr>
          <w:rFonts w:ascii="-webkit-standard" w:eastAsiaTheme="minorHAnsi" w:hAnsi="-webkit-standard" w:cstheme="minorBidi"/>
          <w:i w:val="0"/>
          <w:color w:val="000000"/>
          <w:sz w:val="27"/>
          <w:szCs w:val="27"/>
        </w:rPr>
        <w:t>Wessely</w:t>
      </w:r>
      <w:proofErr w:type="spellEnd"/>
      <w:r w:rsidRPr="00D320AE">
        <w:rPr>
          <w:rFonts w:ascii="-webkit-standard" w:eastAsiaTheme="minorHAnsi" w:hAnsi="-webkit-standard" w:cstheme="minorBidi"/>
          <w:i w:val="0"/>
          <w:color w:val="000000"/>
          <w:sz w:val="27"/>
          <w:szCs w:val="27"/>
        </w:rPr>
        <w:t>, S. (1996). Memory, attention, and executive function in chronic fatigue syndrome. Journal of Neurology, Neurosurgery &amp; Psychiatry, 60(5), 495-503.</w:t>
      </w:r>
    </w:p>
    <w:p w14:paraId="2FD3573B" w14:textId="77777777" w:rsidR="004C278B" w:rsidRDefault="004C278B" w:rsidP="004C278B">
      <w:pPr>
        <w:spacing w:line="480" w:lineRule="auto"/>
        <w:ind w:hanging="720"/>
        <w:jc w:val="center"/>
        <w:rPr>
          <w:rFonts w:ascii="-webkit-standard" w:hAnsi="-webkit-standard"/>
          <w:color w:val="000000"/>
          <w:sz w:val="27"/>
          <w:szCs w:val="27"/>
        </w:rPr>
      </w:pPr>
      <w:proofErr w:type="spellStart"/>
      <w:r w:rsidRPr="001C73AD">
        <w:rPr>
          <w:rFonts w:ascii="-webkit-standard" w:hAnsi="-webkit-standard"/>
          <w:color w:val="000000"/>
          <w:sz w:val="27"/>
          <w:szCs w:val="27"/>
        </w:rPr>
        <w:t>Kliegel</w:t>
      </w:r>
      <w:proofErr w:type="spellEnd"/>
      <w:r w:rsidRPr="001C73AD">
        <w:rPr>
          <w:rFonts w:ascii="-webkit-standard" w:hAnsi="-webkit-standard"/>
          <w:color w:val="000000"/>
          <w:sz w:val="27"/>
          <w:szCs w:val="27"/>
        </w:rPr>
        <w:t>, M., Martin, M., McDaniel, M. A., &amp; Einstein, G. O. (2002). Complex prospective memory and executive control of working memory: A process model. Psychological Test and Assessment Model</w:t>
      </w:r>
      <w:r>
        <w:rPr>
          <w:rFonts w:ascii="-webkit-standard" w:hAnsi="-webkit-standard"/>
          <w:color w:val="000000"/>
          <w:sz w:val="27"/>
          <w:szCs w:val="27"/>
        </w:rPr>
        <w:t>l</w:t>
      </w:r>
      <w:r w:rsidRPr="001C73AD">
        <w:rPr>
          <w:rFonts w:ascii="-webkit-standard" w:hAnsi="-webkit-standard"/>
          <w:color w:val="000000"/>
          <w:sz w:val="27"/>
          <w:szCs w:val="27"/>
        </w:rPr>
        <w:t>ing, 44(2), 303.</w:t>
      </w:r>
    </w:p>
    <w:p w14:paraId="59C6454E" w14:textId="77777777" w:rsidR="004C278B" w:rsidRPr="001C73AD" w:rsidRDefault="004C278B" w:rsidP="004C278B">
      <w:pPr>
        <w:spacing w:line="480" w:lineRule="auto"/>
        <w:ind w:hanging="720"/>
      </w:pPr>
    </w:p>
    <w:p w14:paraId="265D9721"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lastRenderedPageBreak/>
        <w:t>Khan, A., Sharma, N. K., &amp; Dixit, S. (2008). Cognitive load and task condition in event-and time-based prospective memory: an experimental investigation. The Journal of psychology, 142(5), 517-532.</w:t>
      </w:r>
    </w:p>
    <w:p w14:paraId="6F7BA600"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 xml:space="preserve">Leone, C., </w:t>
      </w:r>
      <w:proofErr w:type="spellStart"/>
      <w:r w:rsidRPr="00D320AE">
        <w:rPr>
          <w:rFonts w:ascii="-webkit-standard" w:eastAsiaTheme="minorHAnsi" w:hAnsi="-webkit-standard" w:cstheme="minorBidi"/>
          <w:i w:val="0"/>
          <w:color w:val="000000"/>
          <w:sz w:val="27"/>
          <w:szCs w:val="27"/>
        </w:rPr>
        <w:t>Feys</w:t>
      </w:r>
      <w:proofErr w:type="spellEnd"/>
      <w:r w:rsidRPr="00D320AE">
        <w:rPr>
          <w:rFonts w:ascii="-webkit-standard" w:eastAsiaTheme="minorHAnsi" w:hAnsi="-webkit-standard" w:cstheme="minorBidi"/>
          <w:i w:val="0"/>
          <w:color w:val="000000"/>
          <w:sz w:val="27"/>
          <w:szCs w:val="27"/>
        </w:rPr>
        <w:t xml:space="preserve">, P., </w:t>
      </w:r>
      <w:proofErr w:type="spellStart"/>
      <w:r w:rsidRPr="00D320AE">
        <w:rPr>
          <w:rFonts w:ascii="-webkit-standard" w:eastAsiaTheme="minorHAnsi" w:hAnsi="-webkit-standard" w:cstheme="minorBidi"/>
          <w:i w:val="0"/>
          <w:color w:val="000000"/>
          <w:sz w:val="27"/>
          <w:szCs w:val="27"/>
        </w:rPr>
        <w:t>Moumdjian</w:t>
      </w:r>
      <w:proofErr w:type="spellEnd"/>
      <w:r w:rsidRPr="00D320AE">
        <w:rPr>
          <w:rFonts w:ascii="-webkit-standard" w:eastAsiaTheme="minorHAnsi" w:hAnsi="-webkit-standard" w:cstheme="minorBidi"/>
          <w:i w:val="0"/>
          <w:color w:val="000000"/>
          <w:sz w:val="27"/>
          <w:szCs w:val="27"/>
        </w:rPr>
        <w:t xml:space="preserve">, L., D’Amico, E., </w:t>
      </w:r>
      <w:proofErr w:type="spellStart"/>
      <w:r w:rsidRPr="00D320AE">
        <w:rPr>
          <w:rFonts w:ascii="-webkit-standard" w:eastAsiaTheme="minorHAnsi" w:hAnsi="-webkit-standard" w:cstheme="minorBidi"/>
          <w:i w:val="0"/>
          <w:color w:val="000000"/>
          <w:sz w:val="27"/>
          <w:szCs w:val="27"/>
        </w:rPr>
        <w:t>Zappia</w:t>
      </w:r>
      <w:proofErr w:type="spellEnd"/>
      <w:r w:rsidRPr="00D320AE">
        <w:rPr>
          <w:rFonts w:ascii="-webkit-standard" w:eastAsiaTheme="minorHAnsi" w:hAnsi="-webkit-standard" w:cstheme="minorBidi"/>
          <w:i w:val="0"/>
          <w:color w:val="000000"/>
          <w:sz w:val="27"/>
          <w:szCs w:val="27"/>
        </w:rPr>
        <w:t>, M., &amp; Patti, F. (2017). Cognitive-motor dual-task interference: a systematic review of neural correlates. Neuroscience &amp; Biobehavioral Reviews, 75, 348-360.</w:t>
      </w:r>
    </w:p>
    <w:p w14:paraId="759C461B"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McAfoose, J., &amp; Baune, B. T. (2009). Exploring visual–spatial working memory: A critical review of concepts and models. Neuropsychology review, 19(1), 130-142.</w:t>
      </w:r>
      <w:r w:rsidRPr="00D320AE">
        <w:rPr>
          <w:rFonts w:eastAsiaTheme="minorHAnsi" w:cstheme="minorBidi"/>
          <w:i w:val="0"/>
          <w:color w:val="000000"/>
          <w:sz w:val="24"/>
          <w:szCs w:val="24"/>
        </w:rPr>
        <w:br/>
      </w:r>
      <w:r w:rsidRPr="00D320AE">
        <w:rPr>
          <w:rFonts w:ascii="-webkit-standard" w:eastAsiaTheme="minorHAnsi" w:hAnsi="-webkit-standard" w:cstheme="minorBidi"/>
          <w:i w:val="0"/>
          <w:color w:val="000000"/>
          <w:sz w:val="27"/>
          <w:szCs w:val="27"/>
        </w:rPr>
        <w:t>RN, O. D., Jones, D., Martello, M., Biron, A., &amp; Lavoie‐Tremblay, M. (2017). A systematic review on the effectiveness of interventions to improve hand hygiene compliance of nurses in the hospital setting. Journal of Nursing Scholarship, 49(2), 143-152.</w:t>
      </w:r>
    </w:p>
    <w:p w14:paraId="073A809C"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McDougall, R. J., Gillam, L., Ko, D., Holmes, I., &amp; Delany, C. (2021). Balancing health worker well-being and duty to care: an ethical approach to staff safety in COVID-19 and beyond. Journal of Medical Ethics, 47(5), 318-323</w:t>
      </w:r>
    </w:p>
    <w:p w14:paraId="6A648B74"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Reason, J. (1990). </w:t>
      </w:r>
      <w:r w:rsidRPr="00D320AE">
        <w:rPr>
          <w:rFonts w:eastAsiaTheme="minorHAnsi" w:cstheme="minorBidi"/>
          <w:iCs/>
          <w:color w:val="000000"/>
          <w:sz w:val="24"/>
          <w:szCs w:val="24"/>
        </w:rPr>
        <w:t>Human Error</w:t>
      </w:r>
      <w:r w:rsidRPr="00D320AE">
        <w:rPr>
          <w:rFonts w:ascii="-webkit-standard" w:eastAsiaTheme="minorHAnsi" w:hAnsi="-webkit-standard" w:cstheme="minorBidi"/>
          <w:i w:val="0"/>
          <w:color w:val="000000"/>
          <w:sz w:val="27"/>
          <w:szCs w:val="27"/>
        </w:rPr>
        <w:t>. Cambridge University Press</w:t>
      </w:r>
    </w:p>
    <w:p w14:paraId="2E46D67B"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 xml:space="preserve">Schaffer, C., </w:t>
      </w:r>
      <w:proofErr w:type="spellStart"/>
      <w:r w:rsidRPr="00D320AE">
        <w:rPr>
          <w:rFonts w:ascii="-webkit-standard" w:eastAsiaTheme="minorHAnsi" w:hAnsi="-webkit-standard" w:cstheme="minorBidi"/>
          <w:i w:val="0"/>
          <w:color w:val="000000"/>
          <w:sz w:val="27"/>
          <w:szCs w:val="27"/>
        </w:rPr>
        <w:t>Goldart</w:t>
      </w:r>
      <w:proofErr w:type="spellEnd"/>
      <w:r w:rsidRPr="00D320AE">
        <w:rPr>
          <w:rFonts w:ascii="-webkit-standard" w:eastAsiaTheme="minorHAnsi" w:hAnsi="-webkit-standard" w:cstheme="minorBidi"/>
          <w:i w:val="0"/>
          <w:color w:val="000000"/>
          <w:sz w:val="27"/>
          <w:szCs w:val="27"/>
        </w:rPr>
        <w:t xml:space="preserve">, E., </w:t>
      </w:r>
      <w:proofErr w:type="spellStart"/>
      <w:r w:rsidRPr="00D320AE">
        <w:rPr>
          <w:rFonts w:ascii="-webkit-standard" w:eastAsiaTheme="minorHAnsi" w:hAnsi="-webkit-standard" w:cstheme="minorBidi"/>
          <w:i w:val="0"/>
          <w:color w:val="000000"/>
          <w:sz w:val="27"/>
          <w:szCs w:val="27"/>
        </w:rPr>
        <w:t>Ligsay</w:t>
      </w:r>
      <w:proofErr w:type="spellEnd"/>
      <w:r w:rsidRPr="00D320AE">
        <w:rPr>
          <w:rFonts w:ascii="-webkit-standard" w:eastAsiaTheme="minorHAnsi" w:hAnsi="-webkit-standard" w:cstheme="minorBidi"/>
          <w:i w:val="0"/>
          <w:color w:val="000000"/>
          <w:sz w:val="27"/>
          <w:szCs w:val="27"/>
        </w:rPr>
        <w:t xml:space="preserve">, A., </w:t>
      </w:r>
      <w:proofErr w:type="spellStart"/>
      <w:r w:rsidRPr="00D320AE">
        <w:rPr>
          <w:rFonts w:ascii="-webkit-standard" w:eastAsiaTheme="minorHAnsi" w:hAnsi="-webkit-standard" w:cstheme="minorBidi"/>
          <w:i w:val="0"/>
          <w:color w:val="000000"/>
          <w:sz w:val="27"/>
          <w:szCs w:val="27"/>
        </w:rPr>
        <w:t>Mazwi</w:t>
      </w:r>
      <w:proofErr w:type="spellEnd"/>
      <w:r w:rsidRPr="00D320AE">
        <w:rPr>
          <w:rFonts w:ascii="-webkit-standard" w:eastAsiaTheme="minorHAnsi" w:hAnsi="-webkit-standard" w:cstheme="minorBidi"/>
          <w:i w:val="0"/>
          <w:color w:val="000000"/>
          <w:sz w:val="27"/>
          <w:szCs w:val="27"/>
        </w:rPr>
        <w:t xml:space="preserve">, M., Gallant, S., &amp; </w:t>
      </w:r>
      <w:proofErr w:type="spellStart"/>
      <w:r w:rsidRPr="00D320AE">
        <w:rPr>
          <w:rFonts w:ascii="-webkit-standard" w:eastAsiaTheme="minorHAnsi" w:hAnsi="-webkit-standard" w:cstheme="minorBidi"/>
          <w:i w:val="0"/>
          <w:color w:val="000000"/>
          <w:sz w:val="27"/>
          <w:szCs w:val="27"/>
        </w:rPr>
        <w:t>Ehrmann</w:t>
      </w:r>
      <w:proofErr w:type="spellEnd"/>
      <w:r w:rsidRPr="00D320AE">
        <w:rPr>
          <w:rFonts w:ascii="-webkit-standard" w:eastAsiaTheme="minorHAnsi" w:hAnsi="-webkit-standard" w:cstheme="minorBidi"/>
          <w:i w:val="0"/>
          <w:color w:val="000000"/>
          <w:sz w:val="27"/>
          <w:szCs w:val="27"/>
        </w:rPr>
        <w:t xml:space="preserve">, D. (2023). Take a load off: understanding, measuring, and reducing cognitive load for cardiologists in high-stakes care environments. Current Treatment Options in </w:t>
      </w:r>
      <w:proofErr w:type="spellStart"/>
      <w:r w:rsidRPr="00D320AE">
        <w:rPr>
          <w:rFonts w:ascii="-webkit-standard" w:eastAsiaTheme="minorHAnsi" w:hAnsi="-webkit-standard" w:cstheme="minorBidi"/>
          <w:i w:val="0"/>
          <w:color w:val="000000"/>
          <w:sz w:val="27"/>
          <w:szCs w:val="27"/>
        </w:rPr>
        <w:t>Paediatrics</w:t>
      </w:r>
      <w:proofErr w:type="spellEnd"/>
      <w:r w:rsidRPr="00D320AE">
        <w:rPr>
          <w:rFonts w:ascii="-webkit-standard" w:eastAsiaTheme="minorHAnsi" w:hAnsi="-webkit-standard" w:cstheme="minorBidi"/>
          <w:i w:val="0"/>
          <w:color w:val="000000"/>
          <w:sz w:val="27"/>
          <w:szCs w:val="27"/>
        </w:rPr>
        <w:t>, 9(3), 122-135.</w:t>
      </w:r>
    </w:p>
    <w:p w14:paraId="6E9EF164"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 xml:space="preserve">Schneider, W., </w:t>
      </w:r>
      <w:proofErr w:type="spellStart"/>
      <w:r w:rsidRPr="00D320AE">
        <w:rPr>
          <w:rFonts w:ascii="-webkit-standard" w:eastAsiaTheme="minorHAnsi" w:hAnsi="-webkit-standard" w:cstheme="minorBidi"/>
          <w:i w:val="0"/>
          <w:color w:val="000000"/>
          <w:sz w:val="27"/>
          <w:szCs w:val="27"/>
        </w:rPr>
        <w:t>Dumais</w:t>
      </w:r>
      <w:proofErr w:type="spellEnd"/>
      <w:r w:rsidRPr="00D320AE">
        <w:rPr>
          <w:rFonts w:ascii="-webkit-standard" w:eastAsiaTheme="minorHAnsi" w:hAnsi="-webkit-standard" w:cstheme="minorBidi"/>
          <w:i w:val="0"/>
          <w:color w:val="000000"/>
          <w:sz w:val="27"/>
          <w:szCs w:val="27"/>
        </w:rPr>
        <w:t>, S. T., &amp; Shiffrin, R. M. (1982). Automatic/Control Processing and Attention (No. HARLONR8104).</w:t>
      </w:r>
    </w:p>
    <w:p w14:paraId="629F78D2"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Schunk, D. H., &amp; Usher, E. L. (2012). Social cognitive theory and motivation. The Oxford Handbook of Human Motivation, 2, 11-26</w:t>
      </w:r>
    </w:p>
    <w:p w14:paraId="1AEAF4EC"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lastRenderedPageBreak/>
        <w:t xml:space="preserve">Thomson, D. R., </w:t>
      </w:r>
      <w:proofErr w:type="spellStart"/>
      <w:r w:rsidRPr="00D320AE">
        <w:rPr>
          <w:rFonts w:ascii="-webkit-standard" w:eastAsiaTheme="minorHAnsi" w:hAnsi="-webkit-standard" w:cstheme="minorBidi"/>
          <w:i w:val="0"/>
          <w:color w:val="000000"/>
          <w:sz w:val="27"/>
          <w:szCs w:val="27"/>
        </w:rPr>
        <w:t>Besner</w:t>
      </w:r>
      <w:proofErr w:type="spellEnd"/>
      <w:r w:rsidRPr="00D320AE">
        <w:rPr>
          <w:rFonts w:ascii="-webkit-standard" w:eastAsiaTheme="minorHAnsi" w:hAnsi="-webkit-standard" w:cstheme="minorBidi"/>
          <w:i w:val="0"/>
          <w:color w:val="000000"/>
          <w:sz w:val="27"/>
          <w:szCs w:val="27"/>
        </w:rPr>
        <w:t xml:space="preserve">, D., &amp; </w:t>
      </w:r>
      <w:proofErr w:type="spellStart"/>
      <w:r w:rsidRPr="00D320AE">
        <w:rPr>
          <w:rFonts w:ascii="-webkit-standard" w:eastAsiaTheme="minorHAnsi" w:hAnsi="-webkit-standard" w:cstheme="minorBidi"/>
          <w:i w:val="0"/>
          <w:color w:val="000000"/>
          <w:sz w:val="27"/>
          <w:szCs w:val="27"/>
        </w:rPr>
        <w:t>Smilek</w:t>
      </w:r>
      <w:proofErr w:type="spellEnd"/>
      <w:r w:rsidRPr="00D320AE">
        <w:rPr>
          <w:rFonts w:ascii="-webkit-standard" w:eastAsiaTheme="minorHAnsi" w:hAnsi="-webkit-standard" w:cstheme="minorBidi"/>
          <w:i w:val="0"/>
          <w:color w:val="000000"/>
          <w:sz w:val="27"/>
          <w:szCs w:val="27"/>
        </w:rPr>
        <w:t>, D. (2015). A resource-control account of sustained attention: Evidence from mind-wandering and vigilance paradigms. Perspectives on psychological science, 10(1), 82-96.</w:t>
      </w:r>
    </w:p>
    <w:p w14:paraId="42C2B30A" w14:textId="77777777" w:rsidR="004C278B" w:rsidRPr="00D320AE" w:rsidRDefault="004C278B" w:rsidP="004C278B">
      <w:pPr>
        <w:pStyle w:val="Heading2"/>
        <w:spacing w:line="480" w:lineRule="auto"/>
        <w:ind w:hanging="720"/>
        <w:jc w:val="center"/>
        <w:rPr>
          <w:rFonts w:ascii="-webkit-standard" w:eastAsiaTheme="minorHAnsi" w:hAnsi="-webkit-standard" w:cstheme="minorBidi"/>
          <w:i w:val="0"/>
          <w:color w:val="000000"/>
          <w:sz w:val="27"/>
          <w:szCs w:val="27"/>
        </w:rPr>
      </w:pPr>
      <w:r w:rsidRPr="00D320AE">
        <w:rPr>
          <w:rFonts w:ascii="-webkit-standard" w:eastAsiaTheme="minorHAnsi" w:hAnsi="-webkit-standard" w:cstheme="minorBidi"/>
          <w:i w:val="0"/>
          <w:color w:val="000000"/>
          <w:sz w:val="27"/>
          <w:szCs w:val="27"/>
        </w:rPr>
        <w:t>Treadwell, J. R., Lucas, S., &amp; Tsou, A. Y. (2014). Surgical checklists: a systematic review of impacts and implementation. BMJ quality &amp; safety, 23(4), 299-318.</w:t>
      </w:r>
    </w:p>
    <w:p w14:paraId="425B4E0A" w14:textId="77777777" w:rsidR="004C278B" w:rsidRPr="001C73AD" w:rsidRDefault="004C278B" w:rsidP="004C278B">
      <w:pPr>
        <w:spacing w:line="480" w:lineRule="auto"/>
        <w:ind w:hanging="720"/>
        <w:jc w:val="center"/>
        <w:rPr>
          <w:rFonts w:ascii="-webkit-standard" w:hAnsi="-webkit-standard"/>
          <w:color w:val="000000"/>
          <w:sz w:val="27"/>
          <w:szCs w:val="27"/>
        </w:rPr>
      </w:pPr>
      <w:r w:rsidRPr="00D320AE">
        <w:rPr>
          <w:rFonts w:ascii="-webkit-standard" w:hAnsi="-webkit-standard"/>
          <w:i/>
          <w:color w:val="000000"/>
          <w:sz w:val="27"/>
          <w:szCs w:val="27"/>
        </w:rPr>
        <w:t xml:space="preserve">Westbrook, J. I., </w:t>
      </w:r>
      <w:proofErr w:type="spellStart"/>
      <w:r w:rsidRPr="00D320AE">
        <w:rPr>
          <w:rFonts w:ascii="-webkit-standard" w:hAnsi="-webkit-standard"/>
          <w:i/>
          <w:color w:val="000000"/>
          <w:sz w:val="27"/>
          <w:szCs w:val="27"/>
        </w:rPr>
        <w:t>Raban</w:t>
      </w:r>
      <w:proofErr w:type="spellEnd"/>
      <w:r w:rsidRPr="00D320AE">
        <w:rPr>
          <w:rFonts w:ascii="-webkit-standard" w:hAnsi="-webkit-standard"/>
          <w:i/>
          <w:color w:val="000000"/>
          <w:sz w:val="27"/>
          <w:szCs w:val="27"/>
        </w:rPr>
        <w:t>, M. Z., Walter, S. R., &amp; Douglas, H. (2018). Task errors by emergency physicians are associated with interruptions, multitasking, fatigue, and working memory capacity: a prospective, direct-observation study. BMJ quality &amp; safety, 27(8), 655-663.</w:t>
      </w:r>
    </w:p>
    <w:p w14:paraId="18B7BD7B" w14:textId="7DAB36D1" w:rsidR="00A81248" w:rsidRPr="003A798E" w:rsidRDefault="00A81248" w:rsidP="004C278B">
      <w:pPr>
        <w:pStyle w:val="Heading2"/>
        <w:spacing w:line="480" w:lineRule="auto"/>
        <w:ind w:hanging="720"/>
        <w:jc w:val="center"/>
      </w:pPr>
    </w:p>
    <w:sectPr w:rsidR="00A81248" w:rsidRPr="003A798E" w:rsidSect="00A24793">
      <w:footerReference w:type="even" r:id="rId10"/>
      <w:footerReference w:type="default" r:id="rId11"/>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F2DA2" w14:textId="77777777" w:rsidR="00B63624" w:rsidRDefault="00B63624" w:rsidP="001205A1">
      <w:r>
        <w:separator/>
      </w:r>
    </w:p>
  </w:endnote>
  <w:endnote w:type="continuationSeparator" w:id="0">
    <w:p w14:paraId="5CFAEFB0" w14:textId="77777777" w:rsidR="00B63624" w:rsidRDefault="00B63624"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webkit-standard">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Content>
      <w:p w14:paraId="198F700F"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2ECA9D28"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358343"/>
      <w:docPartObj>
        <w:docPartGallery w:val="Page Numbers (Bottom of Page)"/>
        <w:docPartUnique/>
      </w:docPartObj>
    </w:sdtPr>
    <w:sdtContent>
      <w:p w14:paraId="31DC9860"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21EEB6C5" w14:textId="77777777" w:rsidTr="005F4F46">
      <w:tc>
        <w:tcPr>
          <w:tcW w:w="5395" w:type="dxa"/>
        </w:tcPr>
        <w:p w14:paraId="76CE729D" w14:textId="63E679B3" w:rsidR="001205A1" w:rsidRPr="001205A1" w:rsidRDefault="000A2B5E" w:rsidP="00C66528">
          <w:pPr>
            <w:pStyle w:val="Footer"/>
          </w:pPr>
          <w:r>
            <w:rPr>
              <w:color w:val="7F7F7F" w:themeColor="text1" w:themeTint="80"/>
            </w:rPr>
            <w:t>CASE REPORT</w:t>
          </w:r>
        </w:p>
      </w:tc>
      <w:tc>
        <w:tcPr>
          <w:tcW w:w="5395" w:type="dxa"/>
        </w:tcPr>
        <w:p w14:paraId="690FE5C5" w14:textId="77777777" w:rsidR="001205A1" w:rsidRPr="001205A1" w:rsidRDefault="001205A1" w:rsidP="001205A1">
          <w:pPr>
            <w:pStyle w:val="Footer"/>
          </w:pPr>
          <w:r w:rsidRPr="001205A1">
            <w:t xml:space="preserve">   </w:t>
          </w:r>
        </w:p>
      </w:tc>
    </w:tr>
  </w:tbl>
  <w:p w14:paraId="5DE6753D"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039DE" w14:textId="77777777" w:rsidR="00B63624" w:rsidRDefault="00B63624" w:rsidP="001205A1">
      <w:r>
        <w:separator/>
      </w:r>
    </w:p>
  </w:footnote>
  <w:footnote w:type="continuationSeparator" w:id="0">
    <w:p w14:paraId="753EEEA6" w14:textId="77777777" w:rsidR="00B63624" w:rsidRDefault="00B63624"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87EE9"/>
    <w:multiLevelType w:val="hybridMultilevel"/>
    <w:tmpl w:val="BC2208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6056E1"/>
    <w:multiLevelType w:val="hybridMultilevel"/>
    <w:tmpl w:val="8B00E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85483"/>
    <w:multiLevelType w:val="hybridMultilevel"/>
    <w:tmpl w:val="BA747C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D5AEB"/>
    <w:multiLevelType w:val="hybridMultilevel"/>
    <w:tmpl w:val="4EA4502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B5A5294"/>
    <w:multiLevelType w:val="hybridMultilevel"/>
    <w:tmpl w:val="7EAE4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013202"/>
    <w:multiLevelType w:val="hybridMultilevel"/>
    <w:tmpl w:val="702E34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B65D60"/>
    <w:multiLevelType w:val="hybridMultilevel"/>
    <w:tmpl w:val="C8669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716D00"/>
    <w:multiLevelType w:val="hybridMultilevel"/>
    <w:tmpl w:val="B03A5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BD5EEA"/>
    <w:multiLevelType w:val="hybridMultilevel"/>
    <w:tmpl w:val="FD72989A"/>
    <w:lvl w:ilvl="0" w:tplc="08090005">
      <w:start w:val="1"/>
      <w:numFmt w:val="bullet"/>
      <w:lvlText w:val=""/>
      <w:lvlJc w:val="left"/>
      <w:pPr>
        <w:ind w:left="1909" w:hanging="360"/>
      </w:pPr>
      <w:rPr>
        <w:rFonts w:ascii="Wingdings" w:hAnsi="Wingdings" w:hint="default"/>
      </w:rPr>
    </w:lvl>
    <w:lvl w:ilvl="1" w:tplc="08090003" w:tentative="1">
      <w:start w:val="1"/>
      <w:numFmt w:val="bullet"/>
      <w:lvlText w:val="o"/>
      <w:lvlJc w:val="left"/>
      <w:pPr>
        <w:ind w:left="2629" w:hanging="360"/>
      </w:pPr>
      <w:rPr>
        <w:rFonts w:ascii="Courier New" w:hAnsi="Courier New" w:cs="Courier New" w:hint="default"/>
      </w:rPr>
    </w:lvl>
    <w:lvl w:ilvl="2" w:tplc="08090005" w:tentative="1">
      <w:start w:val="1"/>
      <w:numFmt w:val="bullet"/>
      <w:lvlText w:val=""/>
      <w:lvlJc w:val="left"/>
      <w:pPr>
        <w:ind w:left="3349" w:hanging="360"/>
      </w:pPr>
      <w:rPr>
        <w:rFonts w:ascii="Wingdings" w:hAnsi="Wingdings" w:hint="default"/>
      </w:rPr>
    </w:lvl>
    <w:lvl w:ilvl="3" w:tplc="08090001" w:tentative="1">
      <w:start w:val="1"/>
      <w:numFmt w:val="bullet"/>
      <w:lvlText w:val=""/>
      <w:lvlJc w:val="left"/>
      <w:pPr>
        <w:ind w:left="4069" w:hanging="360"/>
      </w:pPr>
      <w:rPr>
        <w:rFonts w:ascii="Symbol" w:hAnsi="Symbol" w:hint="default"/>
      </w:rPr>
    </w:lvl>
    <w:lvl w:ilvl="4" w:tplc="08090003" w:tentative="1">
      <w:start w:val="1"/>
      <w:numFmt w:val="bullet"/>
      <w:lvlText w:val="o"/>
      <w:lvlJc w:val="left"/>
      <w:pPr>
        <w:ind w:left="4789" w:hanging="360"/>
      </w:pPr>
      <w:rPr>
        <w:rFonts w:ascii="Courier New" w:hAnsi="Courier New" w:cs="Courier New" w:hint="default"/>
      </w:rPr>
    </w:lvl>
    <w:lvl w:ilvl="5" w:tplc="08090005" w:tentative="1">
      <w:start w:val="1"/>
      <w:numFmt w:val="bullet"/>
      <w:lvlText w:val=""/>
      <w:lvlJc w:val="left"/>
      <w:pPr>
        <w:ind w:left="5509" w:hanging="360"/>
      </w:pPr>
      <w:rPr>
        <w:rFonts w:ascii="Wingdings" w:hAnsi="Wingdings" w:hint="default"/>
      </w:rPr>
    </w:lvl>
    <w:lvl w:ilvl="6" w:tplc="08090001" w:tentative="1">
      <w:start w:val="1"/>
      <w:numFmt w:val="bullet"/>
      <w:lvlText w:val=""/>
      <w:lvlJc w:val="left"/>
      <w:pPr>
        <w:ind w:left="6229" w:hanging="360"/>
      </w:pPr>
      <w:rPr>
        <w:rFonts w:ascii="Symbol" w:hAnsi="Symbol" w:hint="default"/>
      </w:rPr>
    </w:lvl>
    <w:lvl w:ilvl="7" w:tplc="08090003" w:tentative="1">
      <w:start w:val="1"/>
      <w:numFmt w:val="bullet"/>
      <w:lvlText w:val="o"/>
      <w:lvlJc w:val="left"/>
      <w:pPr>
        <w:ind w:left="6949" w:hanging="360"/>
      </w:pPr>
      <w:rPr>
        <w:rFonts w:ascii="Courier New" w:hAnsi="Courier New" w:cs="Courier New" w:hint="default"/>
      </w:rPr>
    </w:lvl>
    <w:lvl w:ilvl="8" w:tplc="08090005" w:tentative="1">
      <w:start w:val="1"/>
      <w:numFmt w:val="bullet"/>
      <w:lvlText w:val=""/>
      <w:lvlJc w:val="left"/>
      <w:pPr>
        <w:ind w:left="7669" w:hanging="360"/>
      </w:pPr>
      <w:rPr>
        <w:rFonts w:ascii="Wingdings" w:hAnsi="Wingdings" w:hint="default"/>
      </w:rPr>
    </w:lvl>
  </w:abstractNum>
  <w:abstractNum w:abstractNumId="9" w15:restartNumberingAfterBreak="0">
    <w:nsid w:val="6A394834"/>
    <w:multiLevelType w:val="hybridMultilevel"/>
    <w:tmpl w:val="90BE6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E21E39"/>
    <w:multiLevelType w:val="hybridMultilevel"/>
    <w:tmpl w:val="A71C4A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4E0E3F"/>
    <w:multiLevelType w:val="hybridMultilevel"/>
    <w:tmpl w:val="7BC484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A77B9E"/>
    <w:multiLevelType w:val="hybridMultilevel"/>
    <w:tmpl w:val="6868E7FC"/>
    <w:lvl w:ilvl="0" w:tplc="08090005">
      <w:start w:val="1"/>
      <w:numFmt w:val="bullet"/>
      <w:lvlText w:val=""/>
      <w:lvlJc w:val="left"/>
      <w:pPr>
        <w:ind w:left="1589" w:hanging="360"/>
      </w:pPr>
      <w:rPr>
        <w:rFonts w:ascii="Wingdings" w:hAnsi="Wingdings" w:hint="default"/>
      </w:rPr>
    </w:lvl>
    <w:lvl w:ilvl="1" w:tplc="08090003" w:tentative="1">
      <w:start w:val="1"/>
      <w:numFmt w:val="bullet"/>
      <w:lvlText w:val="o"/>
      <w:lvlJc w:val="left"/>
      <w:pPr>
        <w:ind w:left="2309" w:hanging="360"/>
      </w:pPr>
      <w:rPr>
        <w:rFonts w:ascii="Courier New" w:hAnsi="Courier New" w:cs="Courier New" w:hint="default"/>
      </w:rPr>
    </w:lvl>
    <w:lvl w:ilvl="2" w:tplc="08090005" w:tentative="1">
      <w:start w:val="1"/>
      <w:numFmt w:val="bullet"/>
      <w:lvlText w:val=""/>
      <w:lvlJc w:val="left"/>
      <w:pPr>
        <w:ind w:left="3029" w:hanging="360"/>
      </w:pPr>
      <w:rPr>
        <w:rFonts w:ascii="Wingdings" w:hAnsi="Wingdings" w:hint="default"/>
      </w:rPr>
    </w:lvl>
    <w:lvl w:ilvl="3" w:tplc="08090001" w:tentative="1">
      <w:start w:val="1"/>
      <w:numFmt w:val="bullet"/>
      <w:lvlText w:val=""/>
      <w:lvlJc w:val="left"/>
      <w:pPr>
        <w:ind w:left="3749" w:hanging="360"/>
      </w:pPr>
      <w:rPr>
        <w:rFonts w:ascii="Symbol" w:hAnsi="Symbol" w:hint="default"/>
      </w:rPr>
    </w:lvl>
    <w:lvl w:ilvl="4" w:tplc="08090003" w:tentative="1">
      <w:start w:val="1"/>
      <w:numFmt w:val="bullet"/>
      <w:lvlText w:val="o"/>
      <w:lvlJc w:val="left"/>
      <w:pPr>
        <w:ind w:left="4469" w:hanging="360"/>
      </w:pPr>
      <w:rPr>
        <w:rFonts w:ascii="Courier New" w:hAnsi="Courier New" w:cs="Courier New" w:hint="default"/>
      </w:rPr>
    </w:lvl>
    <w:lvl w:ilvl="5" w:tplc="08090005" w:tentative="1">
      <w:start w:val="1"/>
      <w:numFmt w:val="bullet"/>
      <w:lvlText w:val=""/>
      <w:lvlJc w:val="left"/>
      <w:pPr>
        <w:ind w:left="5189" w:hanging="360"/>
      </w:pPr>
      <w:rPr>
        <w:rFonts w:ascii="Wingdings" w:hAnsi="Wingdings" w:hint="default"/>
      </w:rPr>
    </w:lvl>
    <w:lvl w:ilvl="6" w:tplc="08090001" w:tentative="1">
      <w:start w:val="1"/>
      <w:numFmt w:val="bullet"/>
      <w:lvlText w:val=""/>
      <w:lvlJc w:val="left"/>
      <w:pPr>
        <w:ind w:left="5909" w:hanging="360"/>
      </w:pPr>
      <w:rPr>
        <w:rFonts w:ascii="Symbol" w:hAnsi="Symbol" w:hint="default"/>
      </w:rPr>
    </w:lvl>
    <w:lvl w:ilvl="7" w:tplc="08090003" w:tentative="1">
      <w:start w:val="1"/>
      <w:numFmt w:val="bullet"/>
      <w:lvlText w:val="o"/>
      <w:lvlJc w:val="left"/>
      <w:pPr>
        <w:ind w:left="6629" w:hanging="360"/>
      </w:pPr>
      <w:rPr>
        <w:rFonts w:ascii="Courier New" w:hAnsi="Courier New" w:cs="Courier New" w:hint="default"/>
      </w:rPr>
    </w:lvl>
    <w:lvl w:ilvl="8" w:tplc="08090005" w:tentative="1">
      <w:start w:val="1"/>
      <w:numFmt w:val="bullet"/>
      <w:lvlText w:val=""/>
      <w:lvlJc w:val="left"/>
      <w:pPr>
        <w:ind w:left="7349" w:hanging="360"/>
      </w:pPr>
      <w:rPr>
        <w:rFonts w:ascii="Wingdings" w:hAnsi="Wingdings" w:hint="default"/>
      </w:rPr>
    </w:lvl>
  </w:abstractNum>
  <w:abstractNum w:abstractNumId="13" w15:restartNumberingAfterBreak="0">
    <w:nsid w:val="7DF02B78"/>
    <w:multiLevelType w:val="hybridMultilevel"/>
    <w:tmpl w:val="994C9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8266B1"/>
    <w:multiLevelType w:val="hybridMultilevel"/>
    <w:tmpl w:val="0DB0694A"/>
    <w:lvl w:ilvl="0" w:tplc="08090005">
      <w:start w:val="1"/>
      <w:numFmt w:val="bullet"/>
      <w:lvlText w:val=""/>
      <w:lvlJc w:val="left"/>
      <w:pPr>
        <w:ind w:left="2000" w:hanging="360"/>
      </w:pPr>
      <w:rPr>
        <w:rFonts w:ascii="Wingdings" w:hAnsi="Wingdings" w:hint="default"/>
      </w:rPr>
    </w:lvl>
    <w:lvl w:ilvl="1" w:tplc="08090003" w:tentative="1">
      <w:start w:val="1"/>
      <w:numFmt w:val="bullet"/>
      <w:lvlText w:val="o"/>
      <w:lvlJc w:val="left"/>
      <w:pPr>
        <w:ind w:left="2720" w:hanging="360"/>
      </w:pPr>
      <w:rPr>
        <w:rFonts w:ascii="Courier New" w:hAnsi="Courier New" w:cs="Courier New" w:hint="default"/>
      </w:rPr>
    </w:lvl>
    <w:lvl w:ilvl="2" w:tplc="08090005" w:tentative="1">
      <w:start w:val="1"/>
      <w:numFmt w:val="bullet"/>
      <w:lvlText w:val=""/>
      <w:lvlJc w:val="left"/>
      <w:pPr>
        <w:ind w:left="3440" w:hanging="360"/>
      </w:pPr>
      <w:rPr>
        <w:rFonts w:ascii="Wingdings" w:hAnsi="Wingdings" w:hint="default"/>
      </w:rPr>
    </w:lvl>
    <w:lvl w:ilvl="3" w:tplc="08090001" w:tentative="1">
      <w:start w:val="1"/>
      <w:numFmt w:val="bullet"/>
      <w:lvlText w:val=""/>
      <w:lvlJc w:val="left"/>
      <w:pPr>
        <w:ind w:left="4160" w:hanging="360"/>
      </w:pPr>
      <w:rPr>
        <w:rFonts w:ascii="Symbol" w:hAnsi="Symbol" w:hint="default"/>
      </w:rPr>
    </w:lvl>
    <w:lvl w:ilvl="4" w:tplc="08090003" w:tentative="1">
      <w:start w:val="1"/>
      <w:numFmt w:val="bullet"/>
      <w:lvlText w:val="o"/>
      <w:lvlJc w:val="left"/>
      <w:pPr>
        <w:ind w:left="4880" w:hanging="360"/>
      </w:pPr>
      <w:rPr>
        <w:rFonts w:ascii="Courier New" w:hAnsi="Courier New" w:cs="Courier New" w:hint="default"/>
      </w:rPr>
    </w:lvl>
    <w:lvl w:ilvl="5" w:tplc="08090005" w:tentative="1">
      <w:start w:val="1"/>
      <w:numFmt w:val="bullet"/>
      <w:lvlText w:val=""/>
      <w:lvlJc w:val="left"/>
      <w:pPr>
        <w:ind w:left="5600" w:hanging="360"/>
      </w:pPr>
      <w:rPr>
        <w:rFonts w:ascii="Wingdings" w:hAnsi="Wingdings" w:hint="default"/>
      </w:rPr>
    </w:lvl>
    <w:lvl w:ilvl="6" w:tplc="08090001" w:tentative="1">
      <w:start w:val="1"/>
      <w:numFmt w:val="bullet"/>
      <w:lvlText w:val=""/>
      <w:lvlJc w:val="left"/>
      <w:pPr>
        <w:ind w:left="6320" w:hanging="360"/>
      </w:pPr>
      <w:rPr>
        <w:rFonts w:ascii="Symbol" w:hAnsi="Symbol" w:hint="default"/>
      </w:rPr>
    </w:lvl>
    <w:lvl w:ilvl="7" w:tplc="08090003" w:tentative="1">
      <w:start w:val="1"/>
      <w:numFmt w:val="bullet"/>
      <w:lvlText w:val="o"/>
      <w:lvlJc w:val="left"/>
      <w:pPr>
        <w:ind w:left="7040" w:hanging="360"/>
      </w:pPr>
      <w:rPr>
        <w:rFonts w:ascii="Courier New" w:hAnsi="Courier New" w:cs="Courier New" w:hint="default"/>
      </w:rPr>
    </w:lvl>
    <w:lvl w:ilvl="8" w:tplc="08090005" w:tentative="1">
      <w:start w:val="1"/>
      <w:numFmt w:val="bullet"/>
      <w:lvlText w:val=""/>
      <w:lvlJc w:val="left"/>
      <w:pPr>
        <w:ind w:left="7760" w:hanging="360"/>
      </w:pPr>
      <w:rPr>
        <w:rFonts w:ascii="Wingdings" w:hAnsi="Wingdings" w:hint="default"/>
      </w:rPr>
    </w:lvl>
  </w:abstractNum>
  <w:num w:numId="1" w16cid:durableId="1578594530">
    <w:abstractNumId w:val="9"/>
  </w:num>
  <w:num w:numId="2" w16cid:durableId="2086219050">
    <w:abstractNumId w:val="7"/>
  </w:num>
  <w:num w:numId="3" w16cid:durableId="1312060213">
    <w:abstractNumId w:val="1"/>
  </w:num>
  <w:num w:numId="4" w16cid:durableId="697047017">
    <w:abstractNumId w:val="0"/>
  </w:num>
  <w:num w:numId="5" w16cid:durableId="2129658764">
    <w:abstractNumId w:val="6"/>
  </w:num>
  <w:num w:numId="6" w16cid:durableId="422651225">
    <w:abstractNumId w:val="13"/>
  </w:num>
  <w:num w:numId="7" w16cid:durableId="750347087">
    <w:abstractNumId w:val="3"/>
  </w:num>
  <w:num w:numId="8" w16cid:durableId="1327591911">
    <w:abstractNumId w:val="10"/>
  </w:num>
  <w:num w:numId="9" w16cid:durableId="92827726">
    <w:abstractNumId w:val="4"/>
  </w:num>
  <w:num w:numId="10" w16cid:durableId="1293974582">
    <w:abstractNumId w:val="8"/>
  </w:num>
  <w:num w:numId="11" w16cid:durableId="378820539">
    <w:abstractNumId w:val="11"/>
  </w:num>
  <w:num w:numId="12" w16cid:durableId="2118481944">
    <w:abstractNumId w:val="14"/>
  </w:num>
  <w:num w:numId="13" w16cid:durableId="240336162">
    <w:abstractNumId w:val="12"/>
  </w:num>
  <w:num w:numId="14" w16cid:durableId="261452304">
    <w:abstractNumId w:val="5"/>
  </w:num>
  <w:num w:numId="15" w16cid:durableId="4085041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removePersonalInformation/>
  <w:removeDateAndTime/>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F9A"/>
    <w:rsid w:val="000061A3"/>
    <w:rsid w:val="00027BE4"/>
    <w:rsid w:val="00043F2C"/>
    <w:rsid w:val="00072482"/>
    <w:rsid w:val="000926D1"/>
    <w:rsid w:val="000A2B5E"/>
    <w:rsid w:val="000B0A4E"/>
    <w:rsid w:val="000B4355"/>
    <w:rsid w:val="000C4ED1"/>
    <w:rsid w:val="000D5641"/>
    <w:rsid w:val="000E131D"/>
    <w:rsid w:val="000F0CE7"/>
    <w:rsid w:val="001205A1"/>
    <w:rsid w:val="00170AD2"/>
    <w:rsid w:val="00190FA9"/>
    <w:rsid w:val="00191507"/>
    <w:rsid w:val="001A5D89"/>
    <w:rsid w:val="001E4592"/>
    <w:rsid w:val="002405D7"/>
    <w:rsid w:val="002506D8"/>
    <w:rsid w:val="002803FF"/>
    <w:rsid w:val="002877E8"/>
    <w:rsid w:val="002E7C4E"/>
    <w:rsid w:val="003068C1"/>
    <w:rsid w:val="0031055C"/>
    <w:rsid w:val="0034143E"/>
    <w:rsid w:val="00356039"/>
    <w:rsid w:val="00371EE1"/>
    <w:rsid w:val="00387389"/>
    <w:rsid w:val="003A798E"/>
    <w:rsid w:val="003B049A"/>
    <w:rsid w:val="004258AC"/>
    <w:rsid w:val="00425A99"/>
    <w:rsid w:val="00450684"/>
    <w:rsid w:val="004C278B"/>
    <w:rsid w:val="005228C0"/>
    <w:rsid w:val="00540AEE"/>
    <w:rsid w:val="005820E2"/>
    <w:rsid w:val="005B2393"/>
    <w:rsid w:val="005E534E"/>
    <w:rsid w:val="005E6B25"/>
    <w:rsid w:val="005F4F46"/>
    <w:rsid w:val="00605AF1"/>
    <w:rsid w:val="00695A86"/>
    <w:rsid w:val="006B2F4E"/>
    <w:rsid w:val="006B7872"/>
    <w:rsid w:val="006C2709"/>
    <w:rsid w:val="006C60E6"/>
    <w:rsid w:val="006D43DD"/>
    <w:rsid w:val="006F086F"/>
    <w:rsid w:val="007465E5"/>
    <w:rsid w:val="00766C02"/>
    <w:rsid w:val="00784E47"/>
    <w:rsid w:val="007B0740"/>
    <w:rsid w:val="007C1BAB"/>
    <w:rsid w:val="00871889"/>
    <w:rsid w:val="00913380"/>
    <w:rsid w:val="00936CF3"/>
    <w:rsid w:val="009609AE"/>
    <w:rsid w:val="0098239A"/>
    <w:rsid w:val="009B4F9A"/>
    <w:rsid w:val="00A15CF7"/>
    <w:rsid w:val="00A24793"/>
    <w:rsid w:val="00A415DC"/>
    <w:rsid w:val="00A65495"/>
    <w:rsid w:val="00A81248"/>
    <w:rsid w:val="00AA5BD2"/>
    <w:rsid w:val="00AB1151"/>
    <w:rsid w:val="00B4742A"/>
    <w:rsid w:val="00B63624"/>
    <w:rsid w:val="00B65148"/>
    <w:rsid w:val="00B85A50"/>
    <w:rsid w:val="00C56F84"/>
    <w:rsid w:val="00C66528"/>
    <w:rsid w:val="00C6750B"/>
    <w:rsid w:val="00C915F0"/>
    <w:rsid w:val="00D320AE"/>
    <w:rsid w:val="00D32C74"/>
    <w:rsid w:val="00D53F12"/>
    <w:rsid w:val="00D720ED"/>
    <w:rsid w:val="00D85874"/>
    <w:rsid w:val="00DD258C"/>
    <w:rsid w:val="00E15A9D"/>
    <w:rsid w:val="00E323A5"/>
    <w:rsid w:val="00E904C6"/>
    <w:rsid w:val="00E90514"/>
    <w:rsid w:val="00ED2DC4"/>
    <w:rsid w:val="00F00899"/>
    <w:rsid w:val="00F21281"/>
    <w:rsid w:val="00F263EB"/>
    <w:rsid w:val="00F454ED"/>
    <w:rsid w:val="00F72E3E"/>
    <w:rsid w:val="00F95970"/>
    <w:rsid w:val="00FA38A4"/>
    <w:rsid w:val="00FB65B8"/>
    <w:rsid w:val="00FC49AE"/>
    <w:rsid w:val="00FD2FC3"/>
    <w:rsid w:val="00FF29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9D5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C6750B"/>
    <w:pPr>
      <w:ind w:left="720"/>
      <w:contextualSpacing/>
    </w:pPr>
  </w:style>
  <w:style w:type="character" w:customStyle="1" w:styleId="apple-converted-space">
    <w:name w:val="apple-converted-space"/>
    <w:basedOn w:val="DefaultParagraphFont"/>
    <w:rsid w:val="009609AE"/>
  </w:style>
  <w:style w:type="paragraph" w:styleId="NormalWeb">
    <w:name w:val="Normal (Web)"/>
    <w:basedOn w:val="Normal"/>
    <w:uiPriority w:val="99"/>
    <w:unhideWhenUsed/>
    <w:rsid w:val="003B049A"/>
    <w:pPr>
      <w:spacing w:before="100" w:beforeAutospacing="1" w:after="100" w:afterAutospacing="1"/>
    </w:pPr>
    <w:rPr>
      <w:rFonts w:ascii="Times New Roman" w:eastAsia="Times New Roman" w:hAnsi="Times New Roman" w:cs="Times New Roman"/>
      <w:lang w:val="en-GB" w:eastAsia="en-GB"/>
    </w:rPr>
  </w:style>
  <w:style w:type="character" w:customStyle="1" w:styleId="whitespace-normal">
    <w:name w:val="whitespace-normal"/>
    <w:basedOn w:val="DefaultParagraphFont"/>
    <w:rsid w:val="003B049A"/>
  </w:style>
  <w:style w:type="character" w:styleId="Strong">
    <w:name w:val="Strong"/>
    <w:basedOn w:val="DefaultParagraphFont"/>
    <w:uiPriority w:val="22"/>
    <w:qFormat/>
    <w:rsid w:val="003B04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kw\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EF425F07-5221-4468-81DD-0F0C28E7FD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C:\Users\edu-kw\AppData\Roaming\Microsoft\Templates\Jazzy student report.dotx</Template>
  <TotalTime>0</TotalTime>
  <Pages>19</Pages>
  <Words>3148</Words>
  <Characters>17946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2026-04-21T19:08:00Z</dcterms:created>
  <dcterms:modified xsi:type="dcterms:W3CDTF">2026-04-26T16:35:00Z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