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0E65" w:rsidRDefault="00DA0E65" w:rsidP="00DA0E65">
      <w:pPr>
        <w:jc w:val="center"/>
        <w:rPr>
          <w:b/>
        </w:rPr>
      </w:pPr>
    </w:p>
    <w:p w:rsidR="00DA0E65" w:rsidRDefault="00DA0E65" w:rsidP="00DA0E65">
      <w:pPr>
        <w:jc w:val="center"/>
        <w:rPr>
          <w:b/>
        </w:rPr>
      </w:pPr>
    </w:p>
    <w:p w:rsidR="00DA0E65" w:rsidRDefault="00DA0E65" w:rsidP="00DA0E65">
      <w:pPr>
        <w:jc w:val="center"/>
        <w:rPr>
          <w:b/>
        </w:rPr>
      </w:pPr>
    </w:p>
    <w:p w:rsidR="00DA0E65" w:rsidRDefault="00DA0E65" w:rsidP="00DA0E65">
      <w:pPr>
        <w:jc w:val="center"/>
        <w:rPr>
          <w:b/>
        </w:rPr>
      </w:pPr>
    </w:p>
    <w:p w:rsidR="00DA0E65" w:rsidRDefault="00DA0E65" w:rsidP="00DA0E65">
      <w:pPr>
        <w:jc w:val="center"/>
        <w:rPr>
          <w:b/>
        </w:rPr>
      </w:pPr>
    </w:p>
    <w:p w:rsidR="00DA0E65" w:rsidRDefault="00DA0E65" w:rsidP="00DA0E65">
      <w:pPr>
        <w:jc w:val="center"/>
        <w:rPr>
          <w:b/>
        </w:rPr>
      </w:pPr>
    </w:p>
    <w:p w:rsidR="00DA0E65" w:rsidRDefault="00DA0E65" w:rsidP="00DA0E65">
      <w:pPr>
        <w:jc w:val="center"/>
        <w:rPr>
          <w:b/>
        </w:rPr>
      </w:pPr>
    </w:p>
    <w:p w:rsidR="00DA0E65" w:rsidRDefault="00DA0E65" w:rsidP="00DA0E65">
      <w:pPr>
        <w:jc w:val="center"/>
        <w:rPr>
          <w:b/>
        </w:rPr>
      </w:pPr>
    </w:p>
    <w:p w:rsidR="00DA0E65" w:rsidRDefault="00DA0E65" w:rsidP="00DA0E65">
      <w:pPr>
        <w:jc w:val="center"/>
        <w:rPr>
          <w:b/>
        </w:rPr>
      </w:pPr>
    </w:p>
    <w:p w:rsidR="00DA0E65" w:rsidRDefault="000E0278" w:rsidP="00DA0E65">
      <w:pPr>
        <w:jc w:val="center"/>
        <w:rPr>
          <w:b/>
          <w:sz w:val="32"/>
        </w:rPr>
      </w:pPr>
      <w:r w:rsidRPr="000E0278">
        <w:rPr>
          <w:b/>
          <w:sz w:val="32"/>
        </w:rPr>
        <w:t>ACADEMIC AND EMPLOYABILITY SKILLS</w:t>
      </w:r>
      <w:bookmarkStart w:id="0" w:name="_GoBack"/>
      <w:bookmarkEnd w:id="0"/>
    </w:p>
    <w:p w:rsidR="00DA0E65" w:rsidRDefault="00DA0E65" w:rsidP="00DA0E65">
      <w:pPr>
        <w:jc w:val="center"/>
        <w:rPr>
          <w:b/>
          <w:sz w:val="32"/>
        </w:rPr>
      </w:pPr>
    </w:p>
    <w:p w:rsidR="00EE276C" w:rsidRDefault="00DA0E65" w:rsidP="00DA0E65">
      <w:pPr>
        <w:jc w:val="center"/>
        <w:rPr>
          <w:b/>
          <w:sz w:val="32"/>
        </w:rPr>
      </w:pPr>
      <w:r w:rsidRPr="00DA0E65">
        <w:rPr>
          <w:b/>
          <w:sz w:val="32"/>
        </w:rPr>
        <w:t>REFLECTIVE ACCOUNT</w:t>
      </w:r>
    </w:p>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Pr>
        <w:jc w:val="center"/>
        <w:rPr>
          <w:b/>
        </w:rPr>
      </w:pPr>
      <w:r w:rsidRPr="00DA0E65">
        <w:rPr>
          <w:b/>
        </w:rPr>
        <w:lastRenderedPageBreak/>
        <w:t>Table of Content</w:t>
      </w:r>
    </w:p>
    <w:p w:rsidR="00DA0E65" w:rsidRDefault="00DA0E65" w:rsidP="00DA0E65"/>
    <w:p w:rsidR="00AA4CE9" w:rsidRDefault="00AA4CE9">
      <w:pPr>
        <w:pStyle w:val="TableofFigures"/>
        <w:tabs>
          <w:tab w:val="right" w:leader="dot" w:pos="9350"/>
        </w:tabs>
        <w:rPr>
          <w:rFonts w:asciiTheme="minorHAnsi" w:eastAsiaTheme="minorEastAsia" w:hAnsiTheme="minorHAnsi"/>
          <w:noProof/>
          <w:sz w:val="22"/>
          <w:lang w:eastAsia="en-GB"/>
        </w:rPr>
      </w:pPr>
      <w:r>
        <w:fldChar w:fldCharType="begin"/>
      </w:r>
      <w:r>
        <w:instrText xml:space="preserve"> TOC \h \z \t "Heading 1" \c </w:instrText>
      </w:r>
      <w:r>
        <w:fldChar w:fldCharType="separate"/>
      </w:r>
      <w:hyperlink w:anchor="_Toc521484765" w:history="1">
        <w:r w:rsidRPr="0072397D">
          <w:rPr>
            <w:rStyle w:val="Hyperlink"/>
            <w:noProof/>
          </w:rPr>
          <w:t>Introduction</w:t>
        </w:r>
        <w:r>
          <w:rPr>
            <w:noProof/>
            <w:webHidden/>
          </w:rPr>
          <w:tab/>
        </w:r>
        <w:r>
          <w:rPr>
            <w:noProof/>
            <w:webHidden/>
          </w:rPr>
          <w:fldChar w:fldCharType="begin"/>
        </w:r>
        <w:r>
          <w:rPr>
            <w:noProof/>
            <w:webHidden/>
          </w:rPr>
          <w:instrText xml:space="preserve"> PAGEREF _Toc521484765 \h </w:instrText>
        </w:r>
        <w:r>
          <w:rPr>
            <w:noProof/>
            <w:webHidden/>
          </w:rPr>
        </w:r>
        <w:r>
          <w:rPr>
            <w:noProof/>
            <w:webHidden/>
          </w:rPr>
          <w:fldChar w:fldCharType="separate"/>
        </w:r>
        <w:r>
          <w:rPr>
            <w:noProof/>
            <w:webHidden/>
          </w:rPr>
          <w:t>3</w:t>
        </w:r>
        <w:r>
          <w:rPr>
            <w:noProof/>
            <w:webHidden/>
          </w:rPr>
          <w:fldChar w:fldCharType="end"/>
        </w:r>
      </w:hyperlink>
    </w:p>
    <w:p w:rsidR="00AA4CE9" w:rsidRDefault="007725FA">
      <w:pPr>
        <w:pStyle w:val="TableofFigures"/>
        <w:tabs>
          <w:tab w:val="right" w:leader="dot" w:pos="9350"/>
        </w:tabs>
        <w:rPr>
          <w:rFonts w:asciiTheme="minorHAnsi" w:eastAsiaTheme="minorEastAsia" w:hAnsiTheme="minorHAnsi"/>
          <w:noProof/>
          <w:sz w:val="22"/>
          <w:lang w:eastAsia="en-GB"/>
        </w:rPr>
      </w:pPr>
      <w:hyperlink w:anchor="_Toc521484766" w:history="1">
        <w:r w:rsidR="00AA4CE9" w:rsidRPr="0072397D">
          <w:rPr>
            <w:rStyle w:val="Hyperlink"/>
            <w:noProof/>
          </w:rPr>
          <w:t>Academic and employability skills</w:t>
        </w:r>
        <w:r w:rsidR="00AA4CE9">
          <w:rPr>
            <w:noProof/>
            <w:webHidden/>
          </w:rPr>
          <w:tab/>
        </w:r>
        <w:r w:rsidR="00AA4CE9">
          <w:rPr>
            <w:noProof/>
            <w:webHidden/>
          </w:rPr>
          <w:fldChar w:fldCharType="begin"/>
        </w:r>
        <w:r w:rsidR="00AA4CE9">
          <w:rPr>
            <w:noProof/>
            <w:webHidden/>
          </w:rPr>
          <w:instrText xml:space="preserve"> PAGEREF _Toc521484766 \h </w:instrText>
        </w:r>
        <w:r w:rsidR="00AA4CE9">
          <w:rPr>
            <w:noProof/>
            <w:webHidden/>
          </w:rPr>
        </w:r>
        <w:r w:rsidR="00AA4CE9">
          <w:rPr>
            <w:noProof/>
            <w:webHidden/>
          </w:rPr>
          <w:fldChar w:fldCharType="separate"/>
        </w:r>
        <w:r w:rsidR="00AA4CE9">
          <w:rPr>
            <w:noProof/>
            <w:webHidden/>
          </w:rPr>
          <w:t>4</w:t>
        </w:r>
        <w:r w:rsidR="00AA4CE9">
          <w:rPr>
            <w:noProof/>
            <w:webHidden/>
          </w:rPr>
          <w:fldChar w:fldCharType="end"/>
        </w:r>
      </w:hyperlink>
    </w:p>
    <w:p w:rsidR="00AA4CE9" w:rsidRDefault="007725FA">
      <w:pPr>
        <w:pStyle w:val="TableofFigures"/>
        <w:tabs>
          <w:tab w:val="right" w:leader="dot" w:pos="9350"/>
        </w:tabs>
        <w:rPr>
          <w:rFonts w:asciiTheme="minorHAnsi" w:eastAsiaTheme="minorEastAsia" w:hAnsiTheme="minorHAnsi"/>
          <w:noProof/>
          <w:sz w:val="22"/>
          <w:lang w:eastAsia="en-GB"/>
        </w:rPr>
      </w:pPr>
      <w:hyperlink w:anchor="_Toc521484767" w:history="1">
        <w:r w:rsidR="00AA4CE9" w:rsidRPr="0072397D">
          <w:rPr>
            <w:rStyle w:val="Hyperlink"/>
            <w:noProof/>
          </w:rPr>
          <w:t>Skill gaps and plans for improvement</w:t>
        </w:r>
        <w:r w:rsidR="00AA4CE9">
          <w:rPr>
            <w:noProof/>
            <w:webHidden/>
          </w:rPr>
          <w:tab/>
        </w:r>
        <w:r w:rsidR="00AA4CE9">
          <w:rPr>
            <w:noProof/>
            <w:webHidden/>
          </w:rPr>
          <w:fldChar w:fldCharType="begin"/>
        </w:r>
        <w:r w:rsidR="00AA4CE9">
          <w:rPr>
            <w:noProof/>
            <w:webHidden/>
          </w:rPr>
          <w:instrText xml:space="preserve"> PAGEREF _Toc521484767 \h </w:instrText>
        </w:r>
        <w:r w:rsidR="00AA4CE9">
          <w:rPr>
            <w:noProof/>
            <w:webHidden/>
          </w:rPr>
        </w:r>
        <w:r w:rsidR="00AA4CE9">
          <w:rPr>
            <w:noProof/>
            <w:webHidden/>
          </w:rPr>
          <w:fldChar w:fldCharType="separate"/>
        </w:r>
        <w:r w:rsidR="00AA4CE9">
          <w:rPr>
            <w:noProof/>
            <w:webHidden/>
          </w:rPr>
          <w:t>7</w:t>
        </w:r>
        <w:r w:rsidR="00AA4CE9">
          <w:rPr>
            <w:noProof/>
            <w:webHidden/>
          </w:rPr>
          <w:fldChar w:fldCharType="end"/>
        </w:r>
      </w:hyperlink>
    </w:p>
    <w:p w:rsidR="00AA4CE9" w:rsidRDefault="007725FA">
      <w:pPr>
        <w:pStyle w:val="TableofFigures"/>
        <w:tabs>
          <w:tab w:val="right" w:leader="dot" w:pos="9350"/>
        </w:tabs>
        <w:rPr>
          <w:rFonts w:asciiTheme="minorHAnsi" w:eastAsiaTheme="minorEastAsia" w:hAnsiTheme="minorHAnsi"/>
          <w:noProof/>
          <w:sz w:val="22"/>
          <w:lang w:eastAsia="en-GB"/>
        </w:rPr>
      </w:pPr>
      <w:hyperlink w:anchor="_Toc521484768" w:history="1">
        <w:r w:rsidR="00AA4CE9" w:rsidRPr="0072397D">
          <w:rPr>
            <w:rStyle w:val="Hyperlink"/>
            <w:noProof/>
          </w:rPr>
          <w:t>Conclusion</w:t>
        </w:r>
        <w:r w:rsidR="00AA4CE9">
          <w:rPr>
            <w:noProof/>
            <w:webHidden/>
          </w:rPr>
          <w:tab/>
        </w:r>
        <w:r w:rsidR="00AA4CE9">
          <w:rPr>
            <w:noProof/>
            <w:webHidden/>
          </w:rPr>
          <w:fldChar w:fldCharType="begin"/>
        </w:r>
        <w:r w:rsidR="00AA4CE9">
          <w:rPr>
            <w:noProof/>
            <w:webHidden/>
          </w:rPr>
          <w:instrText xml:space="preserve"> PAGEREF _Toc521484768 \h </w:instrText>
        </w:r>
        <w:r w:rsidR="00AA4CE9">
          <w:rPr>
            <w:noProof/>
            <w:webHidden/>
          </w:rPr>
        </w:r>
        <w:r w:rsidR="00AA4CE9">
          <w:rPr>
            <w:noProof/>
            <w:webHidden/>
          </w:rPr>
          <w:fldChar w:fldCharType="separate"/>
        </w:r>
        <w:r w:rsidR="00AA4CE9">
          <w:rPr>
            <w:noProof/>
            <w:webHidden/>
          </w:rPr>
          <w:t>8</w:t>
        </w:r>
        <w:r w:rsidR="00AA4CE9">
          <w:rPr>
            <w:noProof/>
            <w:webHidden/>
          </w:rPr>
          <w:fldChar w:fldCharType="end"/>
        </w:r>
      </w:hyperlink>
    </w:p>
    <w:p w:rsidR="00AA4CE9" w:rsidRDefault="007725FA">
      <w:pPr>
        <w:pStyle w:val="TableofFigures"/>
        <w:tabs>
          <w:tab w:val="right" w:leader="dot" w:pos="9350"/>
        </w:tabs>
        <w:rPr>
          <w:rFonts w:asciiTheme="minorHAnsi" w:eastAsiaTheme="minorEastAsia" w:hAnsiTheme="minorHAnsi"/>
          <w:noProof/>
          <w:sz w:val="22"/>
          <w:lang w:eastAsia="en-GB"/>
        </w:rPr>
      </w:pPr>
      <w:hyperlink w:anchor="_Toc521484769" w:history="1">
        <w:r w:rsidR="00AA4CE9" w:rsidRPr="0072397D">
          <w:rPr>
            <w:rStyle w:val="Hyperlink"/>
            <w:noProof/>
          </w:rPr>
          <w:t>Reference List</w:t>
        </w:r>
        <w:r w:rsidR="00AA4CE9">
          <w:rPr>
            <w:noProof/>
            <w:webHidden/>
          </w:rPr>
          <w:tab/>
        </w:r>
        <w:r w:rsidR="00AA4CE9">
          <w:rPr>
            <w:noProof/>
            <w:webHidden/>
          </w:rPr>
          <w:fldChar w:fldCharType="begin"/>
        </w:r>
        <w:r w:rsidR="00AA4CE9">
          <w:rPr>
            <w:noProof/>
            <w:webHidden/>
          </w:rPr>
          <w:instrText xml:space="preserve"> PAGEREF _Toc521484769 \h </w:instrText>
        </w:r>
        <w:r w:rsidR="00AA4CE9">
          <w:rPr>
            <w:noProof/>
            <w:webHidden/>
          </w:rPr>
        </w:r>
        <w:r w:rsidR="00AA4CE9">
          <w:rPr>
            <w:noProof/>
            <w:webHidden/>
          </w:rPr>
          <w:fldChar w:fldCharType="separate"/>
        </w:r>
        <w:r w:rsidR="00AA4CE9">
          <w:rPr>
            <w:noProof/>
            <w:webHidden/>
          </w:rPr>
          <w:t>9</w:t>
        </w:r>
        <w:r w:rsidR="00AA4CE9">
          <w:rPr>
            <w:noProof/>
            <w:webHidden/>
          </w:rPr>
          <w:fldChar w:fldCharType="end"/>
        </w:r>
      </w:hyperlink>
    </w:p>
    <w:p w:rsidR="00DA0E65" w:rsidRDefault="00AA4CE9" w:rsidP="00DA0E65">
      <w:r>
        <w:fldChar w:fldCharType="end"/>
      </w:r>
    </w:p>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Default="00DA0E65" w:rsidP="00DA0E65"/>
    <w:p w:rsidR="00DA0E65" w:rsidRPr="00DA0E65" w:rsidRDefault="00DA0E65" w:rsidP="00DA0E65"/>
    <w:p w:rsidR="00DA0E65" w:rsidRDefault="00DA0E65" w:rsidP="00DA0E65"/>
    <w:p w:rsidR="00A21878" w:rsidRPr="00DA0E65" w:rsidRDefault="003A3894" w:rsidP="00DA0E65">
      <w:pPr>
        <w:pStyle w:val="Heading1"/>
      </w:pPr>
      <w:bookmarkStart w:id="1" w:name="_Toc521484765"/>
      <w:r>
        <w:lastRenderedPageBreak/>
        <w:t>Introduction</w:t>
      </w:r>
      <w:bookmarkEnd w:id="1"/>
    </w:p>
    <w:p w:rsidR="003A3894" w:rsidRDefault="003A3894">
      <w:r>
        <w:t>While, possessing work experience is important from a career perspective, key skills or attributes that make an individual employable is much more vital. Individuals who possess these skills are seen to be more suitable for the job, primarily because they are more likely to learn, adapt and evolve according to organisational needs (</w:t>
      </w:r>
      <w:proofErr w:type="spellStart"/>
      <w:r>
        <w:t>Bridgstock</w:t>
      </w:r>
      <w:proofErr w:type="spellEnd"/>
      <w:r>
        <w:t>, 2009).</w:t>
      </w:r>
    </w:p>
    <w:p w:rsidR="00A301CC" w:rsidRDefault="00F92ED7">
      <w:r>
        <w:t xml:space="preserve">In order to construct this reflective report in a concise and effective manner, I have chosen to employ Gibbs’ theory on reflective thinking. The theory popularly known as the </w:t>
      </w:r>
      <w:r w:rsidRPr="00F92ED7">
        <w:rPr>
          <w:b/>
        </w:rPr>
        <w:t xml:space="preserve">Gibbs’ </w:t>
      </w:r>
      <w:r w:rsidR="00652584">
        <w:rPr>
          <w:b/>
        </w:rPr>
        <w:t>R</w:t>
      </w:r>
      <w:r w:rsidRPr="00F92ED7">
        <w:rPr>
          <w:b/>
        </w:rPr>
        <w:t xml:space="preserve">eflective </w:t>
      </w:r>
      <w:r w:rsidR="00652584">
        <w:rPr>
          <w:b/>
        </w:rPr>
        <w:t>C</w:t>
      </w:r>
      <w:r w:rsidRPr="00F92ED7">
        <w:rPr>
          <w:b/>
        </w:rPr>
        <w:t>ycle</w:t>
      </w:r>
      <w:r>
        <w:rPr>
          <w:b/>
        </w:rPr>
        <w:t xml:space="preserve"> </w:t>
      </w:r>
      <w:r>
        <w:t xml:space="preserve">will encourage me to think systematically regarding various phases of an activity or experience, with regard to the module. I believe that the six stages of reflection listed by the Gibbs’ cycle is simple yet detailed enough to build an accurate and detailed </w:t>
      </w:r>
      <w:r w:rsidR="006B01CE">
        <w:t>report</w:t>
      </w:r>
      <w:r w:rsidR="002D7651">
        <w:t xml:space="preserve"> (Willis, </w:t>
      </w:r>
      <w:r w:rsidR="002D7651" w:rsidRPr="004F4F05">
        <w:t>2010</w:t>
      </w:r>
      <w:r w:rsidR="002D7651">
        <w:t>)</w:t>
      </w:r>
      <w:r w:rsidR="006B01CE">
        <w:t xml:space="preserve">. </w:t>
      </w:r>
      <w:r w:rsidR="00C54837">
        <w:t xml:space="preserve">According to the theory, learning through reflection requires six stages. These are </w:t>
      </w:r>
      <w:r w:rsidR="00C54837" w:rsidRPr="00C54837">
        <w:rPr>
          <w:i/>
        </w:rPr>
        <w:t>‘description’</w:t>
      </w:r>
      <w:r w:rsidR="00C54837">
        <w:t xml:space="preserve">, </w:t>
      </w:r>
      <w:r w:rsidR="00652584" w:rsidRPr="00652584">
        <w:rPr>
          <w:i/>
        </w:rPr>
        <w:t>‘feelings’</w:t>
      </w:r>
      <w:r w:rsidR="00652584">
        <w:t xml:space="preserve">, </w:t>
      </w:r>
      <w:r w:rsidR="00652584" w:rsidRPr="00652584">
        <w:rPr>
          <w:i/>
        </w:rPr>
        <w:t>‘evaluation’</w:t>
      </w:r>
      <w:r w:rsidR="00652584">
        <w:t xml:space="preserve">, </w:t>
      </w:r>
      <w:r w:rsidR="00652584" w:rsidRPr="00652584">
        <w:rPr>
          <w:i/>
        </w:rPr>
        <w:t>‘analysis’</w:t>
      </w:r>
      <w:r w:rsidR="00652584">
        <w:t xml:space="preserve">, </w:t>
      </w:r>
      <w:r w:rsidR="00652584" w:rsidRPr="00652584">
        <w:rPr>
          <w:i/>
        </w:rPr>
        <w:t>‘conclusion’</w:t>
      </w:r>
      <w:r w:rsidR="00652584">
        <w:t xml:space="preserve"> and </w:t>
      </w:r>
      <w:r w:rsidR="00652584" w:rsidRPr="00652584">
        <w:rPr>
          <w:i/>
        </w:rPr>
        <w:t>‘action plan’</w:t>
      </w:r>
      <w:r w:rsidR="00652584">
        <w:rPr>
          <w:i/>
        </w:rPr>
        <w:t xml:space="preserve">, </w:t>
      </w:r>
      <w:r w:rsidR="00652584" w:rsidRPr="00652584">
        <w:t xml:space="preserve">as shown in </w:t>
      </w:r>
      <w:r w:rsidR="00652584" w:rsidRPr="00652584">
        <w:rPr>
          <w:b/>
        </w:rPr>
        <w:t>figure 1</w:t>
      </w:r>
      <w:r w:rsidR="00652584" w:rsidRPr="00652584">
        <w:t xml:space="preserve"> below</w:t>
      </w:r>
      <w:r w:rsidR="00652584">
        <w:t>.</w:t>
      </w:r>
    </w:p>
    <w:p w:rsidR="00652584" w:rsidRPr="00F92ED7" w:rsidRDefault="004D7600" w:rsidP="00652584">
      <w:pPr>
        <w:jc w:val="center"/>
      </w:pPr>
      <w:r>
        <w:rPr>
          <w:noProof/>
          <w:lang w:val="en-US"/>
        </w:rPr>
        <w:drawing>
          <wp:inline distT="0" distB="0" distL="0" distR="0">
            <wp:extent cx="3226944" cy="27441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4678" cy="2767694"/>
                    </a:xfrm>
                    <a:prstGeom prst="rect">
                      <a:avLst/>
                    </a:prstGeom>
                    <a:noFill/>
                    <a:ln>
                      <a:noFill/>
                    </a:ln>
                  </pic:spPr>
                </pic:pic>
              </a:graphicData>
            </a:graphic>
          </wp:inline>
        </w:drawing>
      </w:r>
    </w:p>
    <w:p w:rsidR="00A301CC" w:rsidRDefault="00652584" w:rsidP="00652584">
      <w:pPr>
        <w:jc w:val="center"/>
      </w:pPr>
      <w:r w:rsidRPr="00652584">
        <w:rPr>
          <w:b/>
        </w:rPr>
        <w:t xml:space="preserve">Figure 1: Gibbs Reflective Cycle </w:t>
      </w:r>
      <w:r>
        <w:rPr>
          <w:b/>
        </w:rPr>
        <w:br/>
      </w:r>
      <w:r w:rsidRPr="00652584">
        <w:t xml:space="preserve">(Source: </w:t>
      </w:r>
      <w:r w:rsidR="00731366">
        <w:t xml:space="preserve">Gibbs, </w:t>
      </w:r>
      <w:r w:rsidR="00731366" w:rsidRPr="004F4F05">
        <w:t>1988</w:t>
      </w:r>
      <w:r w:rsidRPr="00652584">
        <w:t>)</w:t>
      </w:r>
    </w:p>
    <w:p w:rsidR="00652584" w:rsidRDefault="004D7600" w:rsidP="004D7600">
      <w:r>
        <w:t xml:space="preserve">In the description phase, the user is expected to recount details of what exactly happened. This is followed by a reflection on user experience or in other </w:t>
      </w:r>
      <w:r w:rsidR="00C40733">
        <w:t>words,</w:t>
      </w:r>
      <w:r>
        <w:t xml:space="preserve"> what the user felt or thought about the experience. </w:t>
      </w:r>
      <w:r w:rsidR="009B08D4">
        <w:t xml:space="preserve">In the third phase of the user evaluates whether the experience was a good or bad one. In the analysis phase, the user makes sense of the situation. The fifth phase of the cycle </w:t>
      </w:r>
      <w:r w:rsidR="009B08D4">
        <w:lastRenderedPageBreak/>
        <w:t xml:space="preserve">concentrates mostly on </w:t>
      </w:r>
      <w:r w:rsidR="00EF1771">
        <w:t>what could be improved from the experience. Lastly, the user makes an action plan for improving in the future</w:t>
      </w:r>
      <w:r w:rsidR="002D7651">
        <w:t xml:space="preserve"> (</w:t>
      </w:r>
      <w:proofErr w:type="spellStart"/>
      <w:r w:rsidR="002D7651" w:rsidRPr="004F4F05">
        <w:t>Qualters</w:t>
      </w:r>
      <w:proofErr w:type="spellEnd"/>
      <w:r w:rsidR="002D7651" w:rsidRPr="004F4F05">
        <w:t>, 2010</w:t>
      </w:r>
      <w:r w:rsidR="002D7651">
        <w:t>)</w:t>
      </w:r>
      <w:r w:rsidR="00EF1771">
        <w:t>.</w:t>
      </w:r>
    </w:p>
    <w:p w:rsidR="002D1F9B" w:rsidRDefault="002D1F9B" w:rsidP="00DA0E65">
      <w:pPr>
        <w:pStyle w:val="Heading1"/>
      </w:pPr>
      <w:bookmarkStart w:id="2" w:name="_Toc521484766"/>
      <w:r>
        <w:t>Academic and employability skills</w:t>
      </w:r>
      <w:bookmarkEnd w:id="2"/>
    </w:p>
    <w:p w:rsidR="007A0B27" w:rsidRDefault="0046705A" w:rsidP="00652584">
      <w:r>
        <w:t xml:space="preserve">The module put forward a discussion on </w:t>
      </w:r>
      <w:r w:rsidRPr="0046705A">
        <w:rPr>
          <w:i/>
        </w:rPr>
        <w:t>‘learning styles’</w:t>
      </w:r>
      <w:r>
        <w:t xml:space="preserve">, which at first did not seem </w:t>
      </w:r>
      <w:r w:rsidR="00856E69">
        <w:t xml:space="preserve">important to me from an academic or professional context. I held a notion that as long as I was able to learn, it was sufficient. However, theories by </w:t>
      </w:r>
      <w:r w:rsidR="00856E69" w:rsidRPr="00856E69">
        <w:t>Honey &amp; Mumford (1995)</w:t>
      </w:r>
      <w:r w:rsidR="00856E69">
        <w:t xml:space="preserve">, </w:t>
      </w:r>
      <w:r w:rsidR="00856E69" w:rsidRPr="00856E69">
        <w:t>Felder &amp; Silverman (1988</w:t>
      </w:r>
      <w:r w:rsidR="00856E69">
        <w:t>), Gardner (1983), Perry (1968) and Kolb (1984)</w:t>
      </w:r>
      <w:r w:rsidR="00C7646C">
        <w:t xml:space="preserve"> portrayed that </w:t>
      </w:r>
      <w:r w:rsidR="009746BD">
        <w:t xml:space="preserve">learning is a complex and highly individualised </w:t>
      </w:r>
      <w:r w:rsidR="00480A6B">
        <w:t>process that</w:t>
      </w:r>
      <w:r w:rsidR="009746BD">
        <w:t xml:space="preserve"> varies </w:t>
      </w:r>
      <w:r w:rsidR="005226F6">
        <w:t>from person to person. This means different people tend to prefer different learning styles; hence, it becomes vital to know one’s own preferred style</w:t>
      </w:r>
      <w:r w:rsidR="002D7651">
        <w:t xml:space="preserve"> (</w:t>
      </w:r>
      <w:r w:rsidR="002D7651" w:rsidRPr="004F4F05">
        <w:t>Cass</w:t>
      </w:r>
      <w:r w:rsidR="002D7651">
        <w:t>idy</w:t>
      </w:r>
      <w:r w:rsidR="002D7651" w:rsidRPr="004F4F05">
        <w:t>, 2004</w:t>
      </w:r>
      <w:r w:rsidR="002D7651">
        <w:t>)</w:t>
      </w:r>
      <w:r w:rsidR="005226F6">
        <w:t xml:space="preserve">. </w:t>
      </w:r>
      <w:r w:rsidR="001166FE">
        <w:t xml:space="preserve">Hence, in order to maximise my learning capabilities it was imperative </w:t>
      </w:r>
      <w:r w:rsidR="00654A39">
        <w:t xml:space="preserve">to </w:t>
      </w:r>
      <w:r w:rsidR="007739A5">
        <w:t>determine the type of learner I am.</w:t>
      </w:r>
      <w:r w:rsidR="00BC2D06">
        <w:t xml:space="preserve"> </w:t>
      </w:r>
    </w:p>
    <w:p w:rsidR="0046705A" w:rsidRDefault="007A0B27" w:rsidP="00652584">
      <w:r>
        <w:t>Among the various learning theories discussed</w:t>
      </w:r>
      <w:r w:rsidR="00B40FE2">
        <w:t xml:space="preserve"> in the module,</w:t>
      </w:r>
      <w:r w:rsidR="00625838">
        <w:t xml:space="preserve"> </w:t>
      </w:r>
      <w:r w:rsidR="00B550DF">
        <w:t xml:space="preserve">I felt that </w:t>
      </w:r>
      <w:r w:rsidR="00B40FE2" w:rsidRPr="00B40FE2">
        <w:rPr>
          <w:b/>
        </w:rPr>
        <w:t>‘</w:t>
      </w:r>
      <w:r w:rsidR="00B550DF" w:rsidRPr="00B40FE2">
        <w:rPr>
          <w:b/>
        </w:rPr>
        <w:t>Kolb’s learning theory</w:t>
      </w:r>
      <w:r w:rsidR="00B40FE2" w:rsidRPr="00B40FE2">
        <w:rPr>
          <w:b/>
        </w:rPr>
        <w:t>’</w:t>
      </w:r>
      <w:r w:rsidR="00B550DF">
        <w:t xml:space="preserve"> was the most effective in helping me determining my learning style.</w:t>
      </w:r>
      <w:r w:rsidR="003455EF">
        <w:t xml:space="preserve"> Kolb’s theory puts forward four learning styles, which are a result of two variables or choices</w:t>
      </w:r>
      <w:r w:rsidR="002D7651">
        <w:t xml:space="preserve"> (</w:t>
      </w:r>
      <w:r w:rsidR="002D7651" w:rsidRPr="004F4F05">
        <w:t>Chan, 2012</w:t>
      </w:r>
      <w:r w:rsidR="002D7651">
        <w:t>)</w:t>
      </w:r>
      <w:r w:rsidR="003455EF">
        <w:t xml:space="preserve">. </w:t>
      </w:r>
    </w:p>
    <w:p w:rsidR="003455EF" w:rsidRPr="0046705A" w:rsidRDefault="003455EF" w:rsidP="003455EF">
      <w:pPr>
        <w:jc w:val="center"/>
      </w:pPr>
      <w:r>
        <w:rPr>
          <w:noProof/>
          <w:lang w:val="en-US"/>
        </w:rPr>
        <w:drawing>
          <wp:inline distT="0" distB="0" distL="0" distR="0">
            <wp:extent cx="5090856" cy="315787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5503" cy="3210377"/>
                    </a:xfrm>
                    <a:prstGeom prst="rect">
                      <a:avLst/>
                    </a:prstGeom>
                    <a:noFill/>
                    <a:ln>
                      <a:noFill/>
                    </a:ln>
                  </pic:spPr>
                </pic:pic>
              </a:graphicData>
            </a:graphic>
          </wp:inline>
        </w:drawing>
      </w:r>
    </w:p>
    <w:p w:rsidR="00043683" w:rsidRPr="003455EF" w:rsidRDefault="003455EF" w:rsidP="003455EF">
      <w:pPr>
        <w:jc w:val="center"/>
        <w:rPr>
          <w:b/>
        </w:rPr>
      </w:pPr>
      <w:r w:rsidRPr="003455EF">
        <w:rPr>
          <w:b/>
        </w:rPr>
        <w:t xml:space="preserve">Figure 2: Kolb’s learning styles </w:t>
      </w:r>
      <w:r>
        <w:rPr>
          <w:b/>
        </w:rPr>
        <w:br/>
      </w:r>
      <w:r w:rsidRPr="003455EF">
        <w:t>(</w:t>
      </w:r>
      <w:r w:rsidR="00725BFF">
        <w:t>Source: Kolb, 2014</w:t>
      </w:r>
      <w:r w:rsidRPr="003455EF">
        <w:t>)</w:t>
      </w:r>
    </w:p>
    <w:p w:rsidR="00043683" w:rsidRDefault="003455EF" w:rsidP="00652584">
      <w:r>
        <w:lastRenderedPageBreak/>
        <w:t xml:space="preserve">This meant that based on how an individual perceived and processed information, a unique learning style emerged. Based on user choices, learning styles like accommodating, diverging, assimilating and converging manifest. Using this insight, I was able to identify my preferred learning style as being </w:t>
      </w:r>
      <w:r w:rsidRPr="003455EF">
        <w:rPr>
          <w:b/>
        </w:rPr>
        <w:t>‘accommodating’</w:t>
      </w:r>
      <w:r>
        <w:t xml:space="preserve">. </w:t>
      </w:r>
      <w:r w:rsidR="00E57E24">
        <w:t>In other words, my preferred method of learning is through active experimentation and concrete experience. This explains why I do well in practical tasks or activities</w:t>
      </w:r>
      <w:r w:rsidR="002B769C">
        <w:t xml:space="preserve"> within class</w:t>
      </w:r>
      <w:r w:rsidR="00E57E24">
        <w:t xml:space="preserve"> that require an element touch or feel. This analysis also points out a weakness of mine, which is my limited capability to learn through watching. In terms of my career, these weaknesses may turn out to be a major hindrance, as learning through observation is common a practice within </w:t>
      </w:r>
      <w:r w:rsidR="00F553A8">
        <w:t>most</w:t>
      </w:r>
      <w:r w:rsidR="00E57E24">
        <w:t xml:space="preserve"> workp</w:t>
      </w:r>
      <w:r w:rsidR="00F0021D">
        <w:t>l</w:t>
      </w:r>
      <w:r w:rsidR="00E57E24">
        <w:t>ace</w:t>
      </w:r>
      <w:r w:rsidR="00F553A8">
        <w:t>s</w:t>
      </w:r>
      <w:r w:rsidR="00E57E24">
        <w:t>.</w:t>
      </w:r>
      <w:r w:rsidR="0041216D">
        <w:t xml:space="preserve"> Hence, I will treat my limited learning capacity with regard to observing</w:t>
      </w:r>
      <w:r w:rsidR="005D1371">
        <w:t xml:space="preserve"> as</w:t>
      </w:r>
      <w:r w:rsidR="0041216D">
        <w:t xml:space="preserve"> a potential skill gap</w:t>
      </w:r>
      <w:r w:rsidR="00725BFF">
        <w:t xml:space="preserve"> (</w:t>
      </w:r>
      <w:r w:rsidR="00725BFF" w:rsidRPr="004F4F05">
        <w:t>Sadler</w:t>
      </w:r>
      <w:r w:rsidR="00725BFF" w:rsidRPr="004F4F05">
        <w:rPr>
          <w:rFonts w:ascii="Cambria Math" w:hAnsi="Cambria Math" w:cs="Cambria Math"/>
        </w:rPr>
        <w:t>‐</w:t>
      </w:r>
      <w:r w:rsidR="00725BFF">
        <w:t>Smith</w:t>
      </w:r>
      <w:r w:rsidR="00725BFF" w:rsidRPr="004F4F05">
        <w:t xml:space="preserve"> &amp; </w:t>
      </w:r>
      <w:r w:rsidR="00725BFF">
        <w:t xml:space="preserve">Smith, </w:t>
      </w:r>
      <w:r w:rsidR="00725BFF" w:rsidRPr="004F4F05">
        <w:t>2004</w:t>
      </w:r>
      <w:r w:rsidR="00725BFF">
        <w:t>)</w:t>
      </w:r>
      <w:r w:rsidR="0041216D">
        <w:t>.</w:t>
      </w:r>
    </w:p>
    <w:p w:rsidR="00C36F7B" w:rsidRDefault="00C36F7B" w:rsidP="00652584">
      <w:r>
        <w:t xml:space="preserve">Apart from learning styles, the module also taught me the importance of key or personal skills. These can also be referred to as being </w:t>
      </w:r>
      <w:r w:rsidRPr="00C36F7B">
        <w:rPr>
          <w:b/>
        </w:rPr>
        <w:t>‘employability skills’</w:t>
      </w:r>
      <w:r>
        <w:rPr>
          <w:b/>
        </w:rPr>
        <w:t>,</w:t>
      </w:r>
      <w:r>
        <w:t xml:space="preserve"> due to their relevance at the workplace. These skills may include communication, teamwork, </w:t>
      </w:r>
      <w:r w:rsidR="0057255E">
        <w:t>problem-solving,</w:t>
      </w:r>
      <w:r>
        <w:t xml:space="preserve"> </w:t>
      </w:r>
      <w:proofErr w:type="gramStart"/>
      <w:r>
        <w:t>planning/organisation</w:t>
      </w:r>
      <w:proofErr w:type="gramEnd"/>
      <w:r>
        <w:t>, self-management, learning and technology adeptness.</w:t>
      </w:r>
      <w:r w:rsidR="00DD64E9">
        <w:t xml:space="preserve"> I undertook a self-assessment to address how well my abilities match up to these skills. </w:t>
      </w:r>
      <w:r w:rsidR="007B7434">
        <w:t xml:space="preserve">Key findings from the assessment include the following. </w:t>
      </w:r>
      <w:r w:rsidR="007B7434" w:rsidRPr="004C4140">
        <w:rPr>
          <w:i/>
        </w:rPr>
        <w:t>Firstly</w:t>
      </w:r>
      <w:r w:rsidR="007B7434">
        <w:t xml:space="preserve">, my communication skills are mediocre, where I excel in non-verbal written communication but lag behind in direct verbal communication. In addition, I often rush to put my idea or suggestion forward, without considering the receiver’s position. </w:t>
      </w:r>
      <w:r w:rsidR="004C4140">
        <w:t xml:space="preserve">As a result, miscommunication could occur occasionally. </w:t>
      </w:r>
      <w:r w:rsidR="004C4140" w:rsidRPr="004C4140">
        <w:rPr>
          <w:i/>
        </w:rPr>
        <w:t>Secondly</w:t>
      </w:r>
      <w:r w:rsidR="004C4140">
        <w:t xml:space="preserve">, with regard to teamwork, I tend to prefer working alone or in smaller groups of three to four people, While, larger groups tend to make me feel uncomfortable. </w:t>
      </w:r>
      <w:r w:rsidR="005D1371" w:rsidRPr="005D1371">
        <w:rPr>
          <w:i/>
        </w:rPr>
        <w:t>Thirdly</w:t>
      </w:r>
      <w:r w:rsidR="005D1371">
        <w:t xml:space="preserve">, </w:t>
      </w:r>
      <w:r w:rsidR="005D1371" w:rsidRPr="005D1371">
        <w:t>problem solving</w:t>
      </w:r>
      <w:r w:rsidR="005D1371">
        <w:t xml:space="preserve"> is a major strength of mine. I can easily do research on any subject, find relevant data and compile it into meaningful information. Similarly, I often find myself figuring out solutions for </w:t>
      </w:r>
      <w:r w:rsidR="0057255E">
        <w:t xml:space="preserve">friends and family. I believe my ability to address a single problem through multiple solutions makes me extremely effective. </w:t>
      </w:r>
      <w:r w:rsidR="0057255E" w:rsidRPr="0057255E">
        <w:rPr>
          <w:i/>
        </w:rPr>
        <w:t>Fourthly</w:t>
      </w:r>
      <w:r w:rsidR="0057255E">
        <w:t xml:space="preserve">, </w:t>
      </w:r>
      <w:r w:rsidR="00920784">
        <w:t xml:space="preserve">planning has never been a strong point of mine. I rarely adhere to timelines or timetables and often find myself lagging behind. This creates a situation where I am often overburdened with tasks or activities. </w:t>
      </w:r>
      <w:r w:rsidR="00920784" w:rsidRPr="00920784">
        <w:rPr>
          <w:i/>
        </w:rPr>
        <w:t>Fifthly</w:t>
      </w:r>
      <w:r w:rsidR="00920784">
        <w:t xml:space="preserve">, </w:t>
      </w:r>
      <w:r w:rsidR="00920784" w:rsidRPr="00920784">
        <w:t>self-management</w:t>
      </w:r>
      <w:r w:rsidR="00920784">
        <w:t xml:space="preserve"> or the skill to carry out tasks without needing supervision. Since, I am a person who prefers to work alone; self-management is a skill that comes naturally to me. I rarely need supervision </w:t>
      </w:r>
      <w:r w:rsidR="00F80D69">
        <w:t xml:space="preserve">and often undertake the majority of tasks by myself. </w:t>
      </w:r>
      <w:r w:rsidR="00DC0D3F" w:rsidRPr="00DC0D3F">
        <w:rPr>
          <w:i/>
        </w:rPr>
        <w:t>Sixthly</w:t>
      </w:r>
      <w:r w:rsidR="00DC0D3F">
        <w:t xml:space="preserve">, the assessment on learning shows that I prefer a “hands-on” approach to learning over plain text or visual aids. Once, again this bears striking similarity to </w:t>
      </w:r>
      <w:r w:rsidR="00932B46">
        <w:t>my</w:t>
      </w:r>
      <w:r w:rsidR="00DC0D3F">
        <w:t xml:space="preserve"> results from </w:t>
      </w:r>
      <w:r w:rsidR="00932B46">
        <w:t xml:space="preserve">Kolb’s learning cycle. </w:t>
      </w:r>
      <w:r w:rsidR="00932B46" w:rsidRPr="00932B46">
        <w:rPr>
          <w:i/>
        </w:rPr>
        <w:t>Lastly</w:t>
      </w:r>
      <w:r w:rsidR="00932B46">
        <w:t xml:space="preserve">, my familiarity </w:t>
      </w:r>
      <w:r w:rsidR="00932B46">
        <w:lastRenderedPageBreak/>
        <w:t xml:space="preserve">with technology is extremely good, which is common among youngsters of my age. While, this may be a strength, I do not feel it would deliver a </w:t>
      </w:r>
      <w:r w:rsidR="001F164C">
        <w:t xml:space="preserve">substantial </w:t>
      </w:r>
      <w:r w:rsidR="00932B46">
        <w:t>competitive edge</w:t>
      </w:r>
      <w:r w:rsidR="00725BFF">
        <w:t xml:space="preserve"> (</w:t>
      </w:r>
      <w:r w:rsidR="00725BFF" w:rsidRPr="004F4F05">
        <w:t>Mason,</w:t>
      </w:r>
      <w:r w:rsidR="00725BFF">
        <w:t xml:space="preserve"> Williams &amp; Cranmer, </w:t>
      </w:r>
      <w:r w:rsidR="00725BFF" w:rsidRPr="004F4F05">
        <w:t>2009</w:t>
      </w:r>
      <w:r w:rsidR="00725BFF">
        <w:t>)</w:t>
      </w:r>
      <w:r w:rsidR="00932B46">
        <w:t>.</w:t>
      </w:r>
      <w:r w:rsidR="00281A02">
        <w:t xml:space="preserve"> </w:t>
      </w:r>
    </w:p>
    <w:p w:rsidR="00281A02" w:rsidRDefault="00281A02" w:rsidP="00652584">
      <w:r>
        <w:t xml:space="preserve">The module introduced me to the SWOT tool, which helped me identify my weaknesses and strengths, while also suggesting possible opportunities and threats that may await. Although used primarily in business research, the versatility of the swot tool makes it applicable in almost every scenario. From </w:t>
      </w:r>
      <w:r w:rsidR="004A3E85">
        <w:t>an</w:t>
      </w:r>
      <w:r>
        <w:t xml:space="preserve"> individual’s perspective, I fel</w:t>
      </w:r>
      <w:r w:rsidR="004A3E85">
        <w:t xml:space="preserve">t that the swot analysis help give direction towards my development programme. A guide on preparing an individualised PDP or </w:t>
      </w:r>
      <w:r w:rsidR="004A3E85" w:rsidRPr="004A3E85">
        <w:rPr>
          <w:b/>
        </w:rPr>
        <w:t>‘personal development plan’</w:t>
      </w:r>
      <w:r w:rsidR="004A3E85">
        <w:rPr>
          <w:b/>
        </w:rPr>
        <w:t xml:space="preserve"> </w:t>
      </w:r>
      <w:r w:rsidR="004A3E85">
        <w:t xml:space="preserve">further simplified my development path. As instructed I used findings from the SWOT results, learning styles and employability skills to create goals. Each of these goals targeted development needs, which would further both my academic and career prospects. </w:t>
      </w:r>
      <w:r w:rsidR="00A2278A">
        <w:t>Moreover, using the ‘SMART’ guidelines, I ensured maximum feasibility and practicality of my personal and professional goals</w:t>
      </w:r>
      <w:r w:rsidR="00725BFF">
        <w:t xml:space="preserve"> (Cottrell, 2015)</w:t>
      </w:r>
      <w:r w:rsidR="00A2278A">
        <w:t>.</w:t>
      </w:r>
    </w:p>
    <w:p w:rsidR="007B5C88" w:rsidRDefault="007B5C88" w:rsidP="00652584">
      <w:r>
        <w:t xml:space="preserve">The module’s detailed discussion over </w:t>
      </w:r>
      <w:r w:rsidR="0034339E" w:rsidRPr="0034339E">
        <w:rPr>
          <w:b/>
        </w:rPr>
        <w:t>‘understanding the organisation’</w:t>
      </w:r>
      <w:r w:rsidR="0034339E">
        <w:t xml:space="preserve"> contributed significantly towards becoming a positive and effective employee in the future. The importance of induction programmes was stressed, as it plays the vital role of introducing the employee to the organisation. Inductions usually involve discussions on working hours, leave procedures, indoor facilities, services, safety procedures, health measures and </w:t>
      </w:r>
      <w:r w:rsidR="003313DF">
        <w:t>rules/</w:t>
      </w:r>
      <w:r w:rsidR="0034339E">
        <w:t>regulations.</w:t>
      </w:r>
      <w:r w:rsidR="00E14BE0">
        <w:t xml:space="preserve"> </w:t>
      </w:r>
      <w:r w:rsidR="00A1788E">
        <w:t xml:space="preserve">All employees are expected to understand the basics of the organisation; i.e. how the firm functions, what are employee responsibilities and so forth. I know understand that those who do not attend induction are unlikely to familiarise themselves with the firm’s culture and structure later on during employment. The discussion taught me that the understanding the organisation can help align personal goals with company goals, resulting in mutual benefits for both company and </w:t>
      </w:r>
      <w:r w:rsidR="00FB1283">
        <w:t>employee</w:t>
      </w:r>
      <w:r w:rsidR="00725BFF">
        <w:t xml:space="preserve"> (</w:t>
      </w:r>
      <w:r w:rsidR="00725BFF" w:rsidRPr="004F4F05">
        <w:t>Snell, 2006</w:t>
      </w:r>
      <w:r w:rsidR="00725BFF">
        <w:t>)</w:t>
      </w:r>
      <w:r w:rsidR="00A1788E">
        <w:t xml:space="preserve">. </w:t>
      </w:r>
    </w:p>
    <w:p w:rsidR="006E6ADA" w:rsidRPr="0034339E" w:rsidRDefault="006549DE" w:rsidP="00652584">
      <w:r>
        <w:t xml:space="preserve">The module also helped improve my </w:t>
      </w:r>
      <w:r w:rsidRPr="006549DE">
        <w:rPr>
          <w:b/>
        </w:rPr>
        <w:t>presentation skills</w:t>
      </w:r>
      <w:r>
        <w:t xml:space="preserve"> by highlighting the correct planning and delivery methodologies for students. More importantly, possessing good presentation skills will increase my employability, as team leaders or managers are often expected to use data, visual aids and charts in meetings. The discussion on presentations covered raised my awareness in five key areas; planning, structure, content, delivery and handling</w:t>
      </w:r>
      <w:r w:rsidR="00725BFF">
        <w:t xml:space="preserve"> (Fallows &amp; Steven, </w:t>
      </w:r>
      <w:r w:rsidR="00725BFF" w:rsidRPr="004F4F05">
        <w:t>2000</w:t>
      </w:r>
      <w:r w:rsidR="00725BFF">
        <w:t>)</w:t>
      </w:r>
      <w:r>
        <w:t>.</w:t>
      </w:r>
    </w:p>
    <w:p w:rsidR="00921D9A" w:rsidRDefault="00921D9A" w:rsidP="00652584">
      <w:pPr>
        <w:rPr>
          <w:b/>
        </w:rPr>
      </w:pPr>
    </w:p>
    <w:p w:rsidR="002B769C" w:rsidRDefault="00281A02" w:rsidP="00DA0E65">
      <w:pPr>
        <w:pStyle w:val="Heading1"/>
      </w:pPr>
      <w:bookmarkStart w:id="3" w:name="_Toc521484767"/>
      <w:r w:rsidRPr="00281A02">
        <w:lastRenderedPageBreak/>
        <w:t>Skill gaps</w:t>
      </w:r>
      <w:r w:rsidR="009771E9">
        <w:t xml:space="preserve"> and </w:t>
      </w:r>
      <w:r w:rsidR="00BF032B">
        <w:t>plans for improvement</w:t>
      </w:r>
      <w:bookmarkEnd w:id="3"/>
    </w:p>
    <w:p w:rsidR="0065052D" w:rsidRDefault="0059534B" w:rsidP="00652584">
      <w:r>
        <w:t xml:space="preserve">The personal development plan I adopted during the course of study was effective in addressing some issues, but eminent skills gaps continue to persist. In this section of the reflection, I will put forward an account of ongoing skill or attribute gaps that are vital for improving my employability in the future. </w:t>
      </w:r>
    </w:p>
    <w:p w:rsidR="0065052D" w:rsidRDefault="0059534B" w:rsidP="00652584">
      <w:r w:rsidRPr="00C92182">
        <w:rPr>
          <w:i/>
        </w:rPr>
        <w:t>Firstly</w:t>
      </w:r>
      <w:r>
        <w:t>, with regard to learning capabilities. As I have already mentioned earlier, my preferred learning style is physical or touch, which makes it difficult for me to learn new things through visual, auditory and text sources.</w:t>
      </w:r>
      <w:r w:rsidR="00C92182">
        <w:t xml:space="preserve"> Thankfully, I am good at researching and problem solving, which aids me a lot in such circumstances. That being said, having to research every concept or theory in more detail is highly time-consuming and tedious.</w:t>
      </w:r>
      <w:r w:rsidR="0065052D">
        <w:t xml:space="preserve"> I plan to incorporate physical and mental exercises in my routine, along with sufficient periods of downtime, which will help me stay relaxed. I believe by doing so it would help increase my concentration abilities, whilst keeping mental fatigue low, which in turn slowly improve my learning skills over time. </w:t>
      </w:r>
    </w:p>
    <w:p w:rsidR="0065052D" w:rsidRDefault="00C92182" w:rsidP="00652584">
      <w:r w:rsidRPr="00C92182">
        <w:rPr>
          <w:i/>
        </w:rPr>
        <w:t>Secondly</w:t>
      </w:r>
      <w:r>
        <w:t>, my time management continues to suffer, even after incorporating it in my development plan.</w:t>
      </w:r>
      <w:r w:rsidR="000701FD">
        <w:t xml:space="preserve"> I feel that I sometimes underestimate project or task deadlines, with the notion that I would be able to complete them on time, only to create unrealistic and cumbersome workloads. </w:t>
      </w:r>
      <w:r w:rsidR="00642244">
        <w:t xml:space="preserve">In order to reduce this skill gap, I plan to make schedules that prioritize key or difficult tasks over easy ones and take into consideration the possible occurrence good or bad distractions, which might eat into my plans. </w:t>
      </w:r>
    </w:p>
    <w:p w:rsidR="0065052D" w:rsidRDefault="000701FD" w:rsidP="00652584">
      <w:r w:rsidRPr="000701FD">
        <w:rPr>
          <w:i/>
        </w:rPr>
        <w:t>Thirdly</w:t>
      </w:r>
      <w:r>
        <w:t>, I believe I have “ironed out” most of my communication difficulties; however, body language is still a huge unknown for me.</w:t>
      </w:r>
      <w:r w:rsidR="000226CF">
        <w:t xml:space="preserve"> I not only struggle with maintaining the right body language, but also find it rather difficult to read it of other people. As I have never paid attention to the importance of body language, I understand little with regard to non-verbal gestures and cues. This</w:t>
      </w:r>
      <w:r>
        <w:t xml:space="preserve"> may be linked to my lack of observation in general, especially when I talk to people face-to-face.</w:t>
      </w:r>
      <w:r w:rsidR="00865901">
        <w:t xml:space="preserve"> </w:t>
      </w:r>
      <w:r w:rsidR="006E1359">
        <w:t>In order to minimise this gap I intend to read into literature, while practicing observations during social interaction.</w:t>
      </w:r>
    </w:p>
    <w:p w:rsidR="00281A02" w:rsidRDefault="00F0320E" w:rsidP="00652584">
      <w:r w:rsidRPr="00F0320E">
        <w:rPr>
          <w:i/>
        </w:rPr>
        <w:t>Lastly</w:t>
      </w:r>
      <w:r>
        <w:t xml:space="preserve">, I continue to find working in large groups rather difficult and awkward. My preference for autonomy and self-managed tasks is probably why my ability to work in a team </w:t>
      </w:r>
      <w:r w:rsidR="0065052D">
        <w:t>is slightly</w:t>
      </w:r>
      <w:r>
        <w:t xml:space="preserve"> lacking.</w:t>
      </w:r>
      <w:r w:rsidR="006E1359">
        <w:t xml:space="preserve"> I strongly believe that becoming an effective team worker is a vital requirement in the current </w:t>
      </w:r>
      <w:r w:rsidR="006E1359">
        <w:lastRenderedPageBreak/>
        <w:t xml:space="preserve">professional space. Companies are unlikely to hire candidates who exhibit difficulties working in groups, which prioritises the need to improve my collaboration and teamwork. </w:t>
      </w:r>
      <w:r w:rsidR="00B5613B">
        <w:t>While, there is no guaranteed method to improve my teamwork skills, research in the subject has taught me what makes a good team player. This includes leading by example, building respect/trust, increase socialising, engaging in open communication, understanding roles/responsibilities, share accountability and set well-defined goals.</w:t>
      </w:r>
      <w:r w:rsidR="007F4688">
        <w:t xml:space="preserve"> Such techniques will help minimise conflict</w:t>
      </w:r>
      <w:r w:rsidR="000730DA">
        <w:t>,</w:t>
      </w:r>
      <w:r w:rsidR="007F4688">
        <w:t xml:space="preserve"> whilst developing me into a positive and confident team player. </w:t>
      </w:r>
    </w:p>
    <w:p w:rsidR="00DA0E65" w:rsidRPr="00DA0E65" w:rsidRDefault="00DA0E65" w:rsidP="00DA0E65">
      <w:pPr>
        <w:pStyle w:val="Heading1"/>
      </w:pPr>
      <w:bookmarkStart w:id="4" w:name="_Toc521484768"/>
      <w:r w:rsidRPr="00DA0E65">
        <w:t>Conclusion</w:t>
      </w:r>
      <w:bookmarkEnd w:id="4"/>
    </w:p>
    <w:p w:rsidR="00DA336C" w:rsidRDefault="00DC7A0D" w:rsidP="00652584">
      <w:r>
        <w:t xml:space="preserve">I would like to end my reflection by stating that while the module was not extremely straightforward, it was simple to the degree where I could make sense of things. That being said, I believe time spent on the module has improved my personal skills from both an academic and employability point of view. </w:t>
      </w:r>
    </w:p>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652584"/>
    <w:p w:rsidR="00DA0E65" w:rsidRDefault="00DA0E65" w:rsidP="00DA0E65">
      <w:pPr>
        <w:pStyle w:val="Heading1"/>
      </w:pPr>
      <w:bookmarkStart w:id="5" w:name="_Toc521484769"/>
      <w:r>
        <w:t>Reference List</w:t>
      </w:r>
      <w:bookmarkEnd w:id="5"/>
    </w:p>
    <w:p w:rsidR="000F6D51" w:rsidRDefault="000F6D51" w:rsidP="000F6D51">
      <w:proofErr w:type="spellStart"/>
      <w:r w:rsidRPr="004F4F05">
        <w:t>Bridgstock</w:t>
      </w:r>
      <w:proofErr w:type="spellEnd"/>
      <w:r w:rsidRPr="004F4F05">
        <w:t xml:space="preserve">, R. (2009). The graduate attributes we’ve overlooked: Enhancing graduate employability through career management skills. </w:t>
      </w:r>
      <w:r w:rsidRPr="004F4F05">
        <w:rPr>
          <w:i/>
          <w:iCs/>
        </w:rPr>
        <w:t>Higher Education Research &amp; Development</w:t>
      </w:r>
      <w:r w:rsidRPr="004F4F05">
        <w:t xml:space="preserve">, </w:t>
      </w:r>
      <w:r w:rsidRPr="004F4F05">
        <w:rPr>
          <w:i/>
          <w:iCs/>
        </w:rPr>
        <w:t>28</w:t>
      </w:r>
      <w:r w:rsidRPr="004F4F05">
        <w:t>(1), 31-44.</w:t>
      </w:r>
    </w:p>
    <w:p w:rsidR="000F6D51" w:rsidRDefault="000F6D51" w:rsidP="000F6D51">
      <w:r w:rsidRPr="004F4F05">
        <w:t>Cass</w:t>
      </w:r>
      <w:r>
        <w:t>idy</w:t>
      </w:r>
      <w:r w:rsidRPr="004F4F05">
        <w:t xml:space="preserve">, S. (2004). Learning styles: An overview of theories, models, and measures. </w:t>
      </w:r>
      <w:r w:rsidRPr="004F4F05">
        <w:rPr>
          <w:i/>
          <w:iCs/>
        </w:rPr>
        <w:t>Educational psychology</w:t>
      </w:r>
      <w:r w:rsidRPr="004F4F05">
        <w:t xml:space="preserve">, </w:t>
      </w:r>
      <w:r w:rsidRPr="004F4F05">
        <w:rPr>
          <w:i/>
          <w:iCs/>
        </w:rPr>
        <w:t>24</w:t>
      </w:r>
      <w:r w:rsidRPr="004F4F05">
        <w:t>(4), 419-444.</w:t>
      </w:r>
    </w:p>
    <w:p w:rsidR="000F6D51" w:rsidRPr="004F4F05" w:rsidRDefault="000F6D51" w:rsidP="000F6D51">
      <w:r w:rsidRPr="004F4F05">
        <w:t xml:space="preserve">Chan, C. K. Y. (2012). Exploring an experiential learning project through Kolb's Learning Theory using a qualitative research method. </w:t>
      </w:r>
      <w:r w:rsidRPr="004F4F05">
        <w:rPr>
          <w:i/>
          <w:iCs/>
        </w:rPr>
        <w:t>European Journal of Engineering Education</w:t>
      </w:r>
      <w:r w:rsidRPr="004F4F05">
        <w:t xml:space="preserve">, </w:t>
      </w:r>
      <w:r w:rsidRPr="004F4F05">
        <w:rPr>
          <w:i/>
          <w:iCs/>
        </w:rPr>
        <w:t>37</w:t>
      </w:r>
      <w:r w:rsidRPr="004F4F05">
        <w:t>(4), 405-415.</w:t>
      </w:r>
    </w:p>
    <w:p w:rsidR="000F6D51" w:rsidRPr="004F4F05" w:rsidRDefault="000F6D51" w:rsidP="000F6D51">
      <w:r w:rsidRPr="004F4F05">
        <w:t xml:space="preserve">Cottrell, S. (2015). </w:t>
      </w:r>
      <w:r w:rsidRPr="004F4F05">
        <w:rPr>
          <w:i/>
          <w:iCs/>
        </w:rPr>
        <w:t>Skills for success: Personal development and employability</w:t>
      </w:r>
      <w:r w:rsidRPr="004F4F05">
        <w:t>. Macmillan International Higher Education.</w:t>
      </w:r>
    </w:p>
    <w:p w:rsidR="000F6D51" w:rsidRPr="004F4F05" w:rsidRDefault="000F6D51" w:rsidP="000F6D51">
      <w:r w:rsidRPr="004F4F05">
        <w:t xml:space="preserve">Fallows, S., &amp; Steven, C. (2000). Building employability skills into the higher education curriculum: A university-wide initiative. </w:t>
      </w:r>
      <w:r w:rsidRPr="004F4F05">
        <w:rPr>
          <w:i/>
          <w:iCs/>
        </w:rPr>
        <w:t>Education+ training</w:t>
      </w:r>
      <w:r w:rsidRPr="004F4F05">
        <w:t xml:space="preserve">, </w:t>
      </w:r>
      <w:r w:rsidRPr="004F4F05">
        <w:rPr>
          <w:i/>
          <w:iCs/>
        </w:rPr>
        <w:t>42</w:t>
      </w:r>
      <w:r w:rsidRPr="004F4F05">
        <w:t>(2), 75-83.</w:t>
      </w:r>
    </w:p>
    <w:p w:rsidR="000F6D51" w:rsidRPr="004F4F05" w:rsidRDefault="000F6D51" w:rsidP="000F6D51">
      <w:r w:rsidRPr="004F4F05">
        <w:t xml:space="preserve">Gibbs, G. (1988). The reflective cycle. </w:t>
      </w:r>
      <w:r w:rsidRPr="004F4F05">
        <w:rPr>
          <w:i/>
          <w:iCs/>
        </w:rPr>
        <w:t xml:space="preserve">Kitchen S (1999) </w:t>
      </w:r>
      <w:proofErr w:type="gramStart"/>
      <w:r w:rsidRPr="004F4F05">
        <w:rPr>
          <w:i/>
          <w:iCs/>
        </w:rPr>
        <w:t>An</w:t>
      </w:r>
      <w:proofErr w:type="gramEnd"/>
      <w:r w:rsidRPr="004F4F05">
        <w:rPr>
          <w:i/>
          <w:iCs/>
        </w:rPr>
        <w:t xml:space="preserve"> appraisal of methods of reflection and clinical supervision. Br J Theatre </w:t>
      </w:r>
      <w:proofErr w:type="spellStart"/>
      <w:r w:rsidRPr="004F4F05">
        <w:rPr>
          <w:i/>
          <w:iCs/>
        </w:rPr>
        <w:t>Nurs</w:t>
      </w:r>
      <w:proofErr w:type="spellEnd"/>
      <w:r w:rsidRPr="004F4F05">
        <w:t xml:space="preserve">, </w:t>
      </w:r>
      <w:r w:rsidRPr="004F4F05">
        <w:rPr>
          <w:i/>
          <w:iCs/>
        </w:rPr>
        <w:t>9</w:t>
      </w:r>
      <w:r w:rsidRPr="004F4F05">
        <w:t>(7), 313-7.</w:t>
      </w:r>
    </w:p>
    <w:p w:rsidR="000F6D51" w:rsidRPr="004F4F05" w:rsidRDefault="000F6D51" w:rsidP="000F6D51">
      <w:r w:rsidRPr="004F4F05">
        <w:t xml:space="preserve">Kolb, D. A. (2014). </w:t>
      </w:r>
      <w:r w:rsidRPr="004F4F05">
        <w:rPr>
          <w:i/>
          <w:iCs/>
        </w:rPr>
        <w:t>Experiential learning: Experience as the source of learning and development</w:t>
      </w:r>
      <w:r w:rsidRPr="004F4F05">
        <w:t>. FT press.</w:t>
      </w:r>
    </w:p>
    <w:p w:rsidR="000F6D51" w:rsidRPr="004F4F05" w:rsidRDefault="000F6D51" w:rsidP="000F6D51">
      <w:r w:rsidRPr="004F4F05">
        <w:t>Mason, G., Williams, G., &amp; Cranmer, S. (2009). Employability skills initiatives in higher education: what effects do they have on graduate labour market outcomes</w:t>
      </w:r>
      <w:proofErr w:type="gramStart"/>
      <w:r w:rsidRPr="004F4F05">
        <w:t>?.</w:t>
      </w:r>
      <w:proofErr w:type="gramEnd"/>
      <w:r w:rsidRPr="004F4F05">
        <w:t xml:space="preserve"> </w:t>
      </w:r>
      <w:r w:rsidRPr="004F4F05">
        <w:rPr>
          <w:i/>
          <w:iCs/>
        </w:rPr>
        <w:t>Education Economics</w:t>
      </w:r>
      <w:r w:rsidRPr="004F4F05">
        <w:t xml:space="preserve">, </w:t>
      </w:r>
      <w:r w:rsidRPr="004F4F05">
        <w:rPr>
          <w:i/>
          <w:iCs/>
        </w:rPr>
        <w:t>17</w:t>
      </w:r>
      <w:r w:rsidRPr="004F4F05">
        <w:t>(1), 1-30.</w:t>
      </w:r>
    </w:p>
    <w:p w:rsidR="000F6D51" w:rsidRPr="004F4F05" w:rsidRDefault="000F6D51" w:rsidP="000F6D51">
      <w:proofErr w:type="spellStart"/>
      <w:r w:rsidRPr="004F4F05">
        <w:t>Qualters</w:t>
      </w:r>
      <w:proofErr w:type="spellEnd"/>
      <w:r w:rsidRPr="004F4F05">
        <w:t xml:space="preserve">, D. M. (2010). Making the most of learning outside the classroom. </w:t>
      </w:r>
      <w:r w:rsidRPr="004F4F05">
        <w:rPr>
          <w:i/>
          <w:iCs/>
        </w:rPr>
        <w:t>New Directions for Teaching and Learning</w:t>
      </w:r>
      <w:r w:rsidRPr="004F4F05">
        <w:t xml:space="preserve">, </w:t>
      </w:r>
      <w:r w:rsidRPr="004F4F05">
        <w:rPr>
          <w:i/>
          <w:iCs/>
        </w:rPr>
        <w:t>2010</w:t>
      </w:r>
      <w:r w:rsidRPr="004F4F05">
        <w:t>(124), 95-99.</w:t>
      </w:r>
    </w:p>
    <w:p w:rsidR="000F6D51" w:rsidRPr="004F4F05" w:rsidRDefault="000F6D51" w:rsidP="000F6D51">
      <w:r w:rsidRPr="004F4F05">
        <w:t>Sadler</w:t>
      </w:r>
      <w:r w:rsidRPr="004F4F05">
        <w:rPr>
          <w:rFonts w:ascii="Cambria Math" w:hAnsi="Cambria Math" w:cs="Cambria Math"/>
        </w:rPr>
        <w:t>‐</w:t>
      </w:r>
      <w:r w:rsidRPr="004F4F05">
        <w:t>Smith, E., &amp; J. Smith, P. (2004). Strategies for accommodating individuals</w:t>
      </w:r>
      <w:r w:rsidRPr="004F4F05">
        <w:rPr>
          <w:rFonts w:cs="Times New Roman"/>
        </w:rPr>
        <w:t>’</w:t>
      </w:r>
      <w:r w:rsidRPr="004F4F05">
        <w:t xml:space="preserve"> styles and preferences in flexible learning programmes. </w:t>
      </w:r>
      <w:r w:rsidRPr="004F4F05">
        <w:rPr>
          <w:i/>
          <w:iCs/>
        </w:rPr>
        <w:t>British journal of educational technology</w:t>
      </w:r>
      <w:r w:rsidRPr="004F4F05">
        <w:t xml:space="preserve">, </w:t>
      </w:r>
      <w:r w:rsidRPr="004F4F05">
        <w:rPr>
          <w:i/>
          <w:iCs/>
        </w:rPr>
        <w:t>35</w:t>
      </w:r>
      <w:r w:rsidRPr="004F4F05">
        <w:t>(4), 395-412.</w:t>
      </w:r>
    </w:p>
    <w:p w:rsidR="000F6D51" w:rsidRPr="004F4F05" w:rsidRDefault="000F6D51" w:rsidP="000F6D51">
      <w:r w:rsidRPr="004F4F05">
        <w:lastRenderedPageBreak/>
        <w:t xml:space="preserve">Snell, A. (2006). Researching </w:t>
      </w:r>
      <w:proofErr w:type="spellStart"/>
      <w:r w:rsidRPr="004F4F05">
        <w:t>onboarding</w:t>
      </w:r>
      <w:proofErr w:type="spellEnd"/>
      <w:r w:rsidRPr="004F4F05">
        <w:t xml:space="preserve"> best practice: using research to connect </w:t>
      </w:r>
      <w:proofErr w:type="spellStart"/>
      <w:r w:rsidRPr="004F4F05">
        <w:t>onboarding</w:t>
      </w:r>
      <w:proofErr w:type="spellEnd"/>
      <w:r w:rsidRPr="004F4F05">
        <w:t xml:space="preserve"> processes with employee satisfaction. </w:t>
      </w:r>
      <w:r w:rsidRPr="004F4F05">
        <w:rPr>
          <w:i/>
          <w:iCs/>
        </w:rPr>
        <w:t>Strategic HR Review</w:t>
      </w:r>
      <w:r w:rsidRPr="004F4F05">
        <w:t xml:space="preserve">, </w:t>
      </w:r>
      <w:r w:rsidRPr="004F4F05">
        <w:rPr>
          <w:i/>
          <w:iCs/>
        </w:rPr>
        <w:t>5</w:t>
      </w:r>
      <w:r w:rsidRPr="004F4F05">
        <w:t>(6), 32-35.</w:t>
      </w:r>
    </w:p>
    <w:p w:rsidR="000F6D51" w:rsidRPr="004F4F05" w:rsidRDefault="000F6D51" w:rsidP="000F6D51">
      <w:r w:rsidRPr="004F4F05">
        <w:t xml:space="preserve">Willis, S. (2010). Becoming a reflective practitioner: frameworks for the </w:t>
      </w:r>
      <w:proofErr w:type="spellStart"/>
      <w:r w:rsidRPr="004F4F05">
        <w:t>prehospital</w:t>
      </w:r>
      <w:proofErr w:type="spellEnd"/>
      <w:r w:rsidRPr="004F4F05">
        <w:t xml:space="preserve"> professional. </w:t>
      </w:r>
      <w:r w:rsidRPr="004F4F05">
        <w:rPr>
          <w:i/>
          <w:iCs/>
        </w:rPr>
        <w:t>Journal of Paramedic Practice</w:t>
      </w:r>
      <w:r w:rsidRPr="004F4F05">
        <w:t xml:space="preserve">, </w:t>
      </w:r>
      <w:r w:rsidRPr="004F4F05">
        <w:rPr>
          <w:i/>
          <w:iCs/>
        </w:rPr>
        <w:t>2</w:t>
      </w:r>
      <w:r w:rsidRPr="004F4F05">
        <w:t>(5), 212-216.</w:t>
      </w:r>
    </w:p>
    <w:p w:rsidR="00DA0E65" w:rsidRDefault="00DA0E65" w:rsidP="00652584"/>
    <w:p w:rsidR="00DA0E65" w:rsidRDefault="00DA0E65" w:rsidP="00652584"/>
    <w:p w:rsidR="00DA0E65" w:rsidRDefault="00DA0E65" w:rsidP="00652584"/>
    <w:p w:rsidR="00DA0E65" w:rsidRPr="0059534B" w:rsidRDefault="00DA0E65" w:rsidP="00652584"/>
    <w:sectPr w:rsidR="00DA0E65" w:rsidRPr="0059534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25FA" w:rsidRDefault="007725FA" w:rsidP="00AA4CE9">
      <w:pPr>
        <w:spacing w:after="0" w:line="240" w:lineRule="auto"/>
      </w:pPr>
      <w:r>
        <w:separator/>
      </w:r>
    </w:p>
  </w:endnote>
  <w:endnote w:type="continuationSeparator" w:id="0">
    <w:p w:rsidR="007725FA" w:rsidRDefault="007725FA" w:rsidP="00AA4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8691924"/>
      <w:docPartObj>
        <w:docPartGallery w:val="Page Numbers (Bottom of Page)"/>
        <w:docPartUnique/>
      </w:docPartObj>
    </w:sdtPr>
    <w:sdtEndPr>
      <w:rPr>
        <w:color w:val="7F7F7F" w:themeColor="background1" w:themeShade="7F"/>
        <w:spacing w:val="60"/>
      </w:rPr>
    </w:sdtEndPr>
    <w:sdtContent>
      <w:p w:rsidR="00AA4CE9" w:rsidRDefault="00AA4CE9">
        <w:pPr>
          <w:pStyle w:val="Footer"/>
          <w:pBdr>
            <w:top w:val="single" w:sz="4" w:space="1" w:color="D9D9D9" w:themeColor="background1" w:themeShade="D9"/>
          </w:pBdr>
          <w:jc w:val="right"/>
        </w:pPr>
        <w:r>
          <w:fldChar w:fldCharType="begin"/>
        </w:r>
        <w:r>
          <w:instrText xml:space="preserve"> PAGE   \* MERGEFORMAT </w:instrText>
        </w:r>
        <w:r>
          <w:fldChar w:fldCharType="separate"/>
        </w:r>
        <w:r w:rsidR="000E0278">
          <w:rPr>
            <w:noProof/>
          </w:rPr>
          <w:t>10</w:t>
        </w:r>
        <w:r>
          <w:rPr>
            <w:noProof/>
          </w:rPr>
          <w:fldChar w:fldCharType="end"/>
        </w:r>
        <w:r>
          <w:t xml:space="preserve"> | </w:t>
        </w:r>
        <w:r>
          <w:rPr>
            <w:color w:val="7F7F7F" w:themeColor="background1" w:themeShade="7F"/>
            <w:spacing w:val="60"/>
          </w:rPr>
          <w:t>Page</w:t>
        </w:r>
      </w:p>
    </w:sdtContent>
  </w:sdt>
  <w:p w:rsidR="00AA4CE9" w:rsidRDefault="00AA4C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25FA" w:rsidRDefault="007725FA" w:rsidP="00AA4CE9">
      <w:pPr>
        <w:spacing w:after="0" w:line="240" w:lineRule="auto"/>
      </w:pPr>
      <w:r>
        <w:separator/>
      </w:r>
    </w:p>
  </w:footnote>
  <w:footnote w:type="continuationSeparator" w:id="0">
    <w:p w:rsidR="007725FA" w:rsidRDefault="007725FA" w:rsidP="00AA4C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1B21"/>
    <w:rsid w:val="000226CF"/>
    <w:rsid w:val="00043683"/>
    <w:rsid w:val="000701FD"/>
    <w:rsid w:val="000730DA"/>
    <w:rsid w:val="000E0278"/>
    <w:rsid w:val="000F6D51"/>
    <w:rsid w:val="001166FE"/>
    <w:rsid w:val="001F164C"/>
    <w:rsid w:val="00281A02"/>
    <w:rsid w:val="002B769C"/>
    <w:rsid w:val="002D1F9B"/>
    <w:rsid w:val="002D3169"/>
    <w:rsid w:val="002D7651"/>
    <w:rsid w:val="00311B21"/>
    <w:rsid w:val="0031413F"/>
    <w:rsid w:val="003313DF"/>
    <w:rsid w:val="0034339E"/>
    <w:rsid w:val="003455EF"/>
    <w:rsid w:val="003A3894"/>
    <w:rsid w:val="0041216D"/>
    <w:rsid w:val="0046705A"/>
    <w:rsid w:val="00480A6B"/>
    <w:rsid w:val="004A3E85"/>
    <w:rsid w:val="004C4140"/>
    <w:rsid w:val="004D7600"/>
    <w:rsid w:val="00513628"/>
    <w:rsid w:val="005226F6"/>
    <w:rsid w:val="0057255E"/>
    <w:rsid w:val="0059534B"/>
    <w:rsid w:val="005D1371"/>
    <w:rsid w:val="00625838"/>
    <w:rsid w:val="00642244"/>
    <w:rsid w:val="0065052D"/>
    <w:rsid w:val="00652584"/>
    <w:rsid w:val="006549DE"/>
    <w:rsid w:val="00654A39"/>
    <w:rsid w:val="006B01CE"/>
    <w:rsid w:val="006E1359"/>
    <w:rsid w:val="006E6ADA"/>
    <w:rsid w:val="00725BFF"/>
    <w:rsid w:val="00731366"/>
    <w:rsid w:val="007725FA"/>
    <w:rsid w:val="007739A5"/>
    <w:rsid w:val="00782544"/>
    <w:rsid w:val="007A0B27"/>
    <w:rsid w:val="007B5C88"/>
    <w:rsid w:val="007B7434"/>
    <w:rsid w:val="007D41B5"/>
    <w:rsid w:val="007F4688"/>
    <w:rsid w:val="00856E69"/>
    <w:rsid w:val="00865901"/>
    <w:rsid w:val="008918FA"/>
    <w:rsid w:val="008A5F96"/>
    <w:rsid w:val="00920784"/>
    <w:rsid w:val="00921D9A"/>
    <w:rsid w:val="00932B46"/>
    <w:rsid w:val="009746BD"/>
    <w:rsid w:val="009771E9"/>
    <w:rsid w:val="009B08D4"/>
    <w:rsid w:val="009C237E"/>
    <w:rsid w:val="00A1788E"/>
    <w:rsid w:val="00A2278A"/>
    <w:rsid w:val="00A301CC"/>
    <w:rsid w:val="00AA4CE9"/>
    <w:rsid w:val="00B02BD0"/>
    <w:rsid w:val="00B27246"/>
    <w:rsid w:val="00B40FE2"/>
    <w:rsid w:val="00B550DF"/>
    <w:rsid w:val="00B5613B"/>
    <w:rsid w:val="00B8654B"/>
    <w:rsid w:val="00BC2D06"/>
    <w:rsid w:val="00BF032B"/>
    <w:rsid w:val="00C36F7B"/>
    <w:rsid w:val="00C40733"/>
    <w:rsid w:val="00C54837"/>
    <w:rsid w:val="00C6110A"/>
    <w:rsid w:val="00C7646C"/>
    <w:rsid w:val="00C92182"/>
    <w:rsid w:val="00CB5A10"/>
    <w:rsid w:val="00D077C4"/>
    <w:rsid w:val="00D33EAA"/>
    <w:rsid w:val="00DA0E65"/>
    <w:rsid w:val="00DA336C"/>
    <w:rsid w:val="00DC0D3F"/>
    <w:rsid w:val="00DC7A0D"/>
    <w:rsid w:val="00DD64E9"/>
    <w:rsid w:val="00E14BE0"/>
    <w:rsid w:val="00E57E24"/>
    <w:rsid w:val="00EE276C"/>
    <w:rsid w:val="00EF1771"/>
    <w:rsid w:val="00F0021D"/>
    <w:rsid w:val="00F0320E"/>
    <w:rsid w:val="00F553A8"/>
    <w:rsid w:val="00F75E82"/>
    <w:rsid w:val="00F80D69"/>
    <w:rsid w:val="00F92ED7"/>
    <w:rsid w:val="00FB1283"/>
    <w:rsid w:val="00FE56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8CD031-B5BA-4110-8FA4-445C0429A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5E82"/>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31413F"/>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40FE2"/>
    <w:rPr>
      <w:sz w:val="16"/>
      <w:szCs w:val="16"/>
    </w:rPr>
  </w:style>
  <w:style w:type="paragraph" w:styleId="CommentText">
    <w:name w:val="annotation text"/>
    <w:basedOn w:val="Normal"/>
    <w:link w:val="CommentTextChar"/>
    <w:uiPriority w:val="99"/>
    <w:semiHidden/>
    <w:unhideWhenUsed/>
    <w:rsid w:val="00B40FE2"/>
    <w:pPr>
      <w:spacing w:line="240" w:lineRule="auto"/>
    </w:pPr>
    <w:rPr>
      <w:sz w:val="20"/>
      <w:szCs w:val="20"/>
    </w:rPr>
  </w:style>
  <w:style w:type="character" w:customStyle="1" w:styleId="CommentTextChar">
    <w:name w:val="Comment Text Char"/>
    <w:basedOn w:val="DefaultParagraphFont"/>
    <w:link w:val="CommentText"/>
    <w:uiPriority w:val="99"/>
    <w:semiHidden/>
    <w:rsid w:val="00B40FE2"/>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40FE2"/>
    <w:rPr>
      <w:b/>
      <w:bCs/>
    </w:rPr>
  </w:style>
  <w:style w:type="character" w:customStyle="1" w:styleId="CommentSubjectChar">
    <w:name w:val="Comment Subject Char"/>
    <w:basedOn w:val="CommentTextChar"/>
    <w:link w:val="CommentSubject"/>
    <w:uiPriority w:val="99"/>
    <w:semiHidden/>
    <w:rsid w:val="00B40FE2"/>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B40F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0FE2"/>
    <w:rPr>
      <w:rFonts w:ascii="Segoe UI" w:hAnsi="Segoe UI" w:cs="Segoe UI"/>
      <w:sz w:val="18"/>
      <w:szCs w:val="18"/>
      <w:lang w:val="en-GB"/>
    </w:rPr>
  </w:style>
  <w:style w:type="character" w:customStyle="1" w:styleId="Heading1Char">
    <w:name w:val="Heading 1 Char"/>
    <w:basedOn w:val="DefaultParagraphFont"/>
    <w:link w:val="Heading1"/>
    <w:uiPriority w:val="9"/>
    <w:rsid w:val="0031413F"/>
    <w:rPr>
      <w:rFonts w:ascii="Times New Roman" w:eastAsiaTheme="majorEastAsia" w:hAnsi="Times New Roman" w:cstheme="majorBidi"/>
      <w:b/>
      <w:color w:val="000000" w:themeColor="text1"/>
      <w:sz w:val="32"/>
      <w:szCs w:val="32"/>
      <w:lang w:val="en-GB"/>
    </w:rPr>
  </w:style>
  <w:style w:type="paragraph" w:styleId="Header">
    <w:name w:val="header"/>
    <w:basedOn w:val="Normal"/>
    <w:link w:val="HeaderChar"/>
    <w:uiPriority w:val="99"/>
    <w:unhideWhenUsed/>
    <w:rsid w:val="00AA4C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4CE9"/>
    <w:rPr>
      <w:rFonts w:ascii="Times New Roman" w:hAnsi="Times New Roman"/>
      <w:sz w:val="24"/>
      <w:lang w:val="en-GB"/>
    </w:rPr>
  </w:style>
  <w:style w:type="paragraph" w:styleId="Footer">
    <w:name w:val="footer"/>
    <w:basedOn w:val="Normal"/>
    <w:link w:val="FooterChar"/>
    <w:uiPriority w:val="99"/>
    <w:unhideWhenUsed/>
    <w:rsid w:val="00AA4C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4CE9"/>
    <w:rPr>
      <w:rFonts w:ascii="Times New Roman" w:hAnsi="Times New Roman"/>
      <w:sz w:val="24"/>
      <w:lang w:val="en-GB"/>
    </w:rPr>
  </w:style>
  <w:style w:type="paragraph" w:styleId="TableofFigures">
    <w:name w:val="table of figures"/>
    <w:basedOn w:val="Normal"/>
    <w:next w:val="Normal"/>
    <w:uiPriority w:val="99"/>
    <w:unhideWhenUsed/>
    <w:rsid w:val="00AA4CE9"/>
    <w:pPr>
      <w:spacing w:after="0"/>
    </w:pPr>
  </w:style>
  <w:style w:type="character" w:styleId="Hyperlink">
    <w:name w:val="Hyperlink"/>
    <w:basedOn w:val="DefaultParagraphFont"/>
    <w:uiPriority w:val="99"/>
    <w:unhideWhenUsed/>
    <w:rsid w:val="00AA4C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8AC5A-ACD6-40D4-BEAA-ECAF1D25E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10</Pages>
  <Words>2112</Words>
  <Characters>12040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origins mordor</dc:creator>
  <cp:keywords/>
  <dc:description/>
  <cp:lastModifiedBy>Arif</cp:lastModifiedBy>
  <cp:revision>118</cp:revision>
  <dcterms:created xsi:type="dcterms:W3CDTF">2018-08-07T14:49:00Z</dcterms:created>
  <dcterms:modified xsi:type="dcterms:W3CDTF">2018-08-11T07:23:00Z</dcterms:modified>
</cp:coreProperties>
</file>