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81C464" w14:textId="77777777" w:rsidR="009F2D5B" w:rsidRPr="00485321" w:rsidRDefault="009F2D5B" w:rsidP="009F2D5B">
      <w:pPr>
        <w:pStyle w:val="BodyText"/>
        <w:spacing w:line="360" w:lineRule="auto"/>
        <w:mirrorIndents/>
        <w:jc w:val="center"/>
        <w:rPr>
          <w:rFonts w:ascii="Times New Roman" w:hAnsi="Times New Roman" w:cs="Times New Roman"/>
          <w:sz w:val="20"/>
        </w:rPr>
      </w:pPr>
      <w:r w:rsidRPr="00485321">
        <w:rPr>
          <w:rFonts w:ascii="Times New Roman" w:hAnsi="Times New Roman" w:cs="Times New Roman"/>
          <w:noProof/>
        </w:rPr>
        <w:drawing>
          <wp:inline distT="0" distB="0" distL="0" distR="0" wp14:anchorId="05569C1B" wp14:editId="66AF636A">
            <wp:extent cx="3359150" cy="965200"/>
            <wp:effectExtent l="0" t="0" r="0" b="6350"/>
            <wp:docPr id="449986080"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59150" cy="965200"/>
                    </a:xfrm>
                    <a:prstGeom prst="rect">
                      <a:avLst/>
                    </a:prstGeom>
                    <a:noFill/>
                    <a:ln>
                      <a:noFill/>
                    </a:ln>
                  </pic:spPr>
                </pic:pic>
              </a:graphicData>
            </a:graphic>
          </wp:inline>
        </w:drawing>
      </w:r>
    </w:p>
    <w:p w14:paraId="4E57F3EA" w14:textId="77777777" w:rsidR="009F2D5B" w:rsidRPr="00485321" w:rsidRDefault="009F2D5B" w:rsidP="009F2D5B">
      <w:pPr>
        <w:pStyle w:val="BodyText"/>
        <w:spacing w:line="360" w:lineRule="auto"/>
        <w:mirrorIndents/>
        <w:rPr>
          <w:rFonts w:ascii="Times New Roman" w:hAnsi="Times New Roman" w:cs="Times New Roman"/>
          <w:sz w:val="20"/>
        </w:rPr>
      </w:pPr>
    </w:p>
    <w:p w14:paraId="1F352BB4" w14:textId="77777777" w:rsidR="009F2D5B" w:rsidRPr="00485321" w:rsidRDefault="009F2D5B" w:rsidP="009F2D5B">
      <w:pPr>
        <w:pStyle w:val="BodyText"/>
        <w:spacing w:line="360" w:lineRule="auto"/>
        <w:mirrorIndents/>
        <w:rPr>
          <w:rFonts w:ascii="Times New Roman" w:hAnsi="Times New Roman" w:cs="Times New Roman"/>
          <w:sz w:val="20"/>
        </w:rPr>
      </w:pPr>
    </w:p>
    <w:p w14:paraId="55DA6E1C" w14:textId="77777777" w:rsidR="009F2D5B" w:rsidRPr="00485321" w:rsidRDefault="009F2D5B" w:rsidP="009F2D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Times New Roman" w:hAnsi="Times New Roman" w:cs="Times New Roman"/>
          <w:b/>
          <w:sz w:val="40"/>
          <w:szCs w:val="40"/>
        </w:rPr>
      </w:pPr>
      <w:r w:rsidRPr="00485321">
        <w:rPr>
          <w:rFonts w:ascii="Times New Roman" w:hAnsi="Times New Roman" w:cs="Times New Roman"/>
          <w:b/>
          <w:sz w:val="40"/>
          <w:szCs w:val="40"/>
        </w:rPr>
        <w:t>The Association Between Binge Drinking Patterns and Earlier Onset of Type 2 Diabetes Among Adults Aged 18 years and above in the United Kingdom</w:t>
      </w:r>
    </w:p>
    <w:p w14:paraId="37BEFA38" w14:textId="77777777" w:rsidR="009F2D5B" w:rsidRPr="00485321" w:rsidRDefault="009F2D5B" w:rsidP="009F2D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hAnsi="Times New Roman" w:cs="Times New Roman"/>
          <w:b/>
          <w:sz w:val="80"/>
          <w:szCs w:val="80"/>
        </w:rPr>
      </w:pPr>
      <w:r w:rsidRPr="00485321">
        <w:rPr>
          <w:rFonts w:ascii="Times New Roman" w:hAnsi="Times New Roman" w:cs="Times New Roman"/>
          <w:b/>
          <w:sz w:val="80"/>
          <w:szCs w:val="80"/>
        </w:rPr>
        <w:t xml:space="preserve">            Grace Henshaw</w:t>
      </w:r>
    </w:p>
    <w:p w14:paraId="34920C36" w14:textId="77777777" w:rsidR="009F2D5B" w:rsidRPr="00485321" w:rsidRDefault="009F2D5B" w:rsidP="009F2D5B">
      <w:pPr>
        <w:shd w:val="clear" w:color="auto" w:fill="FFFFFF"/>
        <w:textAlignment w:val="baseline"/>
        <w:rPr>
          <w:rFonts w:ascii="Times New Roman" w:hAnsi="Times New Roman" w:cs="Times New Roman"/>
          <w:sz w:val="36"/>
          <w:szCs w:val="36"/>
        </w:rPr>
      </w:pPr>
      <w:r w:rsidRPr="00485321">
        <w:rPr>
          <w:rFonts w:ascii="Times New Roman" w:hAnsi="Times New Roman" w:cs="Times New Roman"/>
          <w:b/>
          <w:sz w:val="36"/>
          <w:szCs w:val="36"/>
        </w:rPr>
        <w:t>Supervisor’s name</w:t>
      </w:r>
      <w:r w:rsidRPr="00485321">
        <w:rPr>
          <w:rFonts w:ascii="Times New Roman" w:hAnsi="Times New Roman" w:cs="Times New Roman"/>
          <w:sz w:val="36"/>
          <w:szCs w:val="36"/>
        </w:rPr>
        <w:t>: Dr Laila Surani</w:t>
      </w:r>
    </w:p>
    <w:p w14:paraId="1BF30893" w14:textId="77777777" w:rsidR="009F2D5B" w:rsidRPr="00485321" w:rsidRDefault="009F2D5B" w:rsidP="009F2D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hAnsi="Times New Roman" w:cs="Times New Roman"/>
          <w:sz w:val="40"/>
          <w:szCs w:val="40"/>
        </w:rPr>
      </w:pPr>
    </w:p>
    <w:p w14:paraId="559CA9C5" w14:textId="77777777" w:rsidR="009F2D5B" w:rsidRPr="00485321" w:rsidRDefault="009F2D5B" w:rsidP="009F2D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Times New Roman" w:hAnsi="Times New Roman" w:cs="Times New Roman"/>
          <w:sz w:val="32"/>
          <w:szCs w:val="32"/>
        </w:rPr>
      </w:pPr>
      <w:r w:rsidRPr="00485321">
        <w:rPr>
          <w:rFonts w:ascii="Times New Roman" w:hAnsi="Times New Roman" w:cs="Times New Roman"/>
          <w:sz w:val="32"/>
          <w:szCs w:val="32"/>
        </w:rPr>
        <w:t xml:space="preserve">Dissertation submitted as part of the requirements for the award BSc (Hons) Health and Social Care </w:t>
      </w:r>
    </w:p>
    <w:p w14:paraId="7629D782" w14:textId="77777777" w:rsidR="009F2D5B" w:rsidRPr="00485321" w:rsidRDefault="009F2D5B" w:rsidP="009F2D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hAnsi="Times New Roman" w:cs="Times New Roman"/>
        </w:rPr>
      </w:pPr>
    </w:p>
    <w:p w14:paraId="3E3D9A7A" w14:textId="77777777" w:rsidR="009F2D5B" w:rsidRPr="00485321" w:rsidRDefault="009F2D5B" w:rsidP="009F2D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hAnsi="Times New Roman" w:cs="Times New Roman"/>
        </w:rPr>
      </w:pPr>
    </w:p>
    <w:p w14:paraId="5C5C04B9" w14:textId="77777777" w:rsidR="009F2D5B" w:rsidRPr="00485321" w:rsidRDefault="009F2D5B" w:rsidP="009F2D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Times New Roman" w:hAnsi="Times New Roman" w:cs="Times New Roman"/>
          <w:b/>
          <w:color w:val="0070C0"/>
          <w:sz w:val="36"/>
          <w:szCs w:val="36"/>
        </w:rPr>
      </w:pPr>
      <w:proofErr w:type="gramStart"/>
      <w:r w:rsidRPr="00485321">
        <w:rPr>
          <w:rFonts w:ascii="Times New Roman" w:hAnsi="Times New Roman" w:cs="Times New Roman"/>
          <w:b/>
          <w:color w:val="0070C0"/>
          <w:sz w:val="36"/>
          <w:szCs w:val="36"/>
        </w:rPr>
        <w:t>OCTOBER,</w:t>
      </w:r>
      <w:proofErr w:type="gramEnd"/>
      <w:r w:rsidRPr="00485321">
        <w:rPr>
          <w:rFonts w:ascii="Times New Roman" w:hAnsi="Times New Roman" w:cs="Times New Roman"/>
          <w:b/>
          <w:color w:val="0070C0"/>
          <w:sz w:val="36"/>
          <w:szCs w:val="36"/>
        </w:rPr>
        <w:t xml:space="preserve"> 2025</w:t>
      </w:r>
    </w:p>
    <w:p w14:paraId="512E1535" w14:textId="77777777" w:rsidR="009F2D5B" w:rsidRPr="00485321" w:rsidRDefault="009F2D5B" w:rsidP="009F2D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rPr>
      </w:pPr>
    </w:p>
    <w:p w14:paraId="6FF07096" w14:textId="77777777" w:rsidR="009F2D5B" w:rsidRPr="00485321" w:rsidRDefault="009F2D5B" w:rsidP="009F2D5B">
      <w:pPr>
        <w:rPr>
          <w:rFonts w:ascii="Times New Roman" w:eastAsia="Times New Roman" w:hAnsi="Times New Roman" w:cs="Times New Roman"/>
          <w:b/>
          <w:sz w:val="20"/>
          <w:szCs w:val="20"/>
        </w:rPr>
      </w:pPr>
      <w:r w:rsidRPr="00485321">
        <w:rPr>
          <w:rFonts w:ascii="Times New Roman" w:eastAsia="Times New Roman" w:hAnsi="Times New Roman" w:cs="Times New Roman"/>
          <w:b/>
          <w:sz w:val="20"/>
          <w:szCs w:val="20"/>
        </w:rPr>
        <w:br w:type="page"/>
      </w:r>
    </w:p>
    <w:p w14:paraId="761C1EA1" w14:textId="77777777" w:rsidR="009F2D5B" w:rsidRPr="00485321" w:rsidRDefault="009F2D5B" w:rsidP="009F2D5B">
      <w:pPr>
        <w:pStyle w:val="Heading1"/>
        <w:rPr>
          <w:rFonts w:ascii="Times New Roman" w:hAnsi="Times New Roman" w:cs="Times New Roman"/>
        </w:rPr>
      </w:pPr>
      <w:bookmarkStart w:id="0" w:name="_Toc216438661"/>
      <w:r w:rsidRPr="00485321">
        <w:rPr>
          <w:rFonts w:ascii="Times New Roman" w:hAnsi="Times New Roman" w:cs="Times New Roman"/>
        </w:rPr>
        <w:lastRenderedPageBreak/>
        <w:t>DECLARATION</w:t>
      </w:r>
      <w:bookmarkEnd w:id="0"/>
    </w:p>
    <w:p w14:paraId="2FCFF54F" w14:textId="77777777" w:rsidR="009F2D5B" w:rsidRPr="00485321" w:rsidRDefault="009F2D5B" w:rsidP="009F2D5B">
      <w:pPr>
        <w:spacing w:line="360" w:lineRule="auto"/>
        <w:mirrorIndents/>
        <w:rPr>
          <w:rFonts w:ascii="Times New Roman" w:eastAsia="Times New Roman" w:hAnsi="Times New Roman" w:cs="Times New Roman"/>
          <w:sz w:val="20"/>
          <w:szCs w:val="20"/>
        </w:rPr>
      </w:pPr>
    </w:p>
    <w:p w14:paraId="5802A40D" w14:textId="77777777" w:rsidR="009F2D5B" w:rsidRPr="00485321" w:rsidRDefault="009F2D5B" w:rsidP="009F2D5B">
      <w:pPr>
        <w:spacing w:line="360" w:lineRule="auto"/>
        <w:mirrorIndents/>
        <w:rPr>
          <w:rFonts w:ascii="Times New Roman" w:eastAsia="Times New Roman" w:hAnsi="Times New Roman" w:cs="Times New Roman"/>
          <w:sz w:val="24"/>
          <w:szCs w:val="24"/>
        </w:rPr>
      </w:pPr>
      <w:r w:rsidRPr="00485321">
        <w:rPr>
          <w:rFonts w:ascii="Times New Roman" w:eastAsia="Times New Roman" w:hAnsi="Times New Roman" w:cs="Times New Roman"/>
          <w:sz w:val="24"/>
          <w:szCs w:val="24"/>
        </w:rPr>
        <w:t>This work has not previously been accepted in substance for any degree and is not being concurrently submitted in candidature for any degree.</w:t>
      </w:r>
    </w:p>
    <w:p w14:paraId="785C6415" w14:textId="77777777" w:rsidR="009F2D5B" w:rsidRPr="00485321" w:rsidRDefault="009F2D5B" w:rsidP="009F2D5B">
      <w:pPr>
        <w:spacing w:line="360" w:lineRule="auto"/>
        <w:mirrorIndents/>
        <w:rPr>
          <w:rFonts w:ascii="Times New Roman" w:eastAsia="Times New Roman" w:hAnsi="Times New Roman" w:cs="Times New Roman"/>
          <w:sz w:val="24"/>
          <w:szCs w:val="24"/>
        </w:rPr>
      </w:pPr>
    </w:p>
    <w:p w14:paraId="0B785FE9" w14:textId="77777777" w:rsidR="009F2D5B" w:rsidRPr="00485321" w:rsidRDefault="009F2D5B" w:rsidP="009F2D5B">
      <w:pPr>
        <w:spacing w:line="360" w:lineRule="auto"/>
        <w:mirrorIndents/>
        <w:rPr>
          <w:rFonts w:ascii="Times New Roman" w:eastAsia="Times New Roman" w:hAnsi="Times New Roman" w:cs="Times New Roman"/>
          <w:sz w:val="24"/>
          <w:szCs w:val="24"/>
        </w:rPr>
      </w:pPr>
    </w:p>
    <w:p w14:paraId="24041EE0" w14:textId="11727020" w:rsidR="009F2D5B" w:rsidRPr="00485321" w:rsidRDefault="009F2D5B" w:rsidP="009F2D5B">
      <w:pPr>
        <w:spacing w:line="360" w:lineRule="auto"/>
        <w:mirrorIndents/>
        <w:rPr>
          <w:rFonts w:ascii="Times New Roman" w:eastAsia="Times New Roman" w:hAnsi="Times New Roman" w:cs="Times New Roman"/>
          <w:sz w:val="24"/>
          <w:szCs w:val="24"/>
        </w:rPr>
      </w:pPr>
      <w:r w:rsidRPr="00485321">
        <w:rPr>
          <w:rFonts w:ascii="Times New Roman" w:eastAsia="Times New Roman" w:hAnsi="Times New Roman" w:cs="Times New Roman"/>
          <w:sz w:val="24"/>
          <w:szCs w:val="24"/>
        </w:rPr>
        <w:t>Signed……</w:t>
      </w:r>
      <w:r w:rsidR="006237CF" w:rsidRPr="00485321">
        <w:rPr>
          <w:rFonts w:ascii="Times New Roman" w:eastAsia="Times New Roman" w:hAnsi="Times New Roman" w:cs="Times New Roman"/>
          <w:sz w:val="24"/>
          <w:szCs w:val="24"/>
        </w:rPr>
        <w:t>Grace Henshaw</w:t>
      </w:r>
      <w:r w:rsidRPr="00485321">
        <w:rPr>
          <w:rFonts w:ascii="Times New Roman" w:eastAsia="Times New Roman" w:hAnsi="Times New Roman" w:cs="Times New Roman"/>
          <w:sz w:val="24"/>
          <w:szCs w:val="24"/>
        </w:rPr>
        <w:t>………………………………………</w:t>
      </w:r>
    </w:p>
    <w:p w14:paraId="4D2137D0" w14:textId="77777777" w:rsidR="009F2D5B" w:rsidRPr="00485321" w:rsidRDefault="009F2D5B" w:rsidP="009F2D5B">
      <w:pPr>
        <w:spacing w:line="360" w:lineRule="auto"/>
        <w:mirrorIndents/>
        <w:rPr>
          <w:rFonts w:ascii="Times New Roman" w:eastAsia="Times New Roman" w:hAnsi="Times New Roman" w:cs="Times New Roman"/>
          <w:sz w:val="24"/>
          <w:szCs w:val="24"/>
        </w:rPr>
      </w:pPr>
    </w:p>
    <w:p w14:paraId="0E67087F" w14:textId="77777777" w:rsidR="009F2D5B" w:rsidRPr="00485321" w:rsidRDefault="009F2D5B" w:rsidP="009F2D5B">
      <w:pPr>
        <w:spacing w:line="360" w:lineRule="auto"/>
        <w:mirrorIndents/>
        <w:rPr>
          <w:rFonts w:ascii="Times New Roman" w:eastAsia="Times New Roman" w:hAnsi="Times New Roman" w:cs="Times New Roman"/>
          <w:sz w:val="24"/>
          <w:szCs w:val="24"/>
        </w:rPr>
      </w:pPr>
    </w:p>
    <w:p w14:paraId="21BDB320" w14:textId="0145A779" w:rsidR="009F2D5B" w:rsidRPr="00485321" w:rsidRDefault="009F2D5B" w:rsidP="009F2D5B">
      <w:pPr>
        <w:spacing w:line="360" w:lineRule="auto"/>
        <w:mirrorIndents/>
        <w:rPr>
          <w:rFonts w:ascii="Times New Roman" w:eastAsia="Times New Roman" w:hAnsi="Times New Roman" w:cs="Times New Roman"/>
          <w:sz w:val="24"/>
          <w:szCs w:val="24"/>
        </w:rPr>
      </w:pPr>
      <w:r w:rsidRPr="00485321">
        <w:rPr>
          <w:rFonts w:ascii="Times New Roman" w:eastAsia="Times New Roman" w:hAnsi="Times New Roman" w:cs="Times New Roman"/>
          <w:sz w:val="24"/>
          <w:szCs w:val="24"/>
        </w:rPr>
        <w:t>Date………</w:t>
      </w:r>
      <w:r w:rsidR="00321441" w:rsidRPr="00485321">
        <w:rPr>
          <w:rFonts w:ascii="Times New Roman" w:eastAsia="Times New Roman" w:hAnsi="Times New Roman" w:cs="Times New Roman"/>
          <w:sz w:val="24"/>
          <w:szCs w:val="24"/>
        </w:rPr>
        <w:t>14/12/2025</w:t>
      </w:r>
      <w:r w:rsidRPr="00485321">
        <w:rPr>
          <w:rFonts w:ascii="Times New Roman" w:eastAsia="Times New Roman" w:hAnsi="Times New Roman" w:cs="Times New Roman"/>
          <w:sz w:val="24"/>
          <w:szCs w:val="24"/>
        </w:rPr>
        <w:t>………………………………………</w:t>
      </w:r>
    </w:p>
    <w:p w14:paraId="058D94F1" w14:textId="77777777" w:rsidR="009F2D5B" w:rsidRPr="00485321" w:rsidRDefault="009F2D5B" w:rsidP="009F2D5B">
      <w:pPr>
        <w:rPr>
          <w:rFonts w:ascii="Times New Roman" w:hAnsi="Times New Roman" w:cs="Times New Roman"/>
          <w:sz w:val="24"/>
          <w:szCs w:val="24"/>
        </w:rPr>
      </w:pPr>
    </w:p>
    <w:p w14:paraId="23978B83" w14:textId="77777777" w:rsidR="009F2D5B" w:rsidRPr="00485321" w:rsidRDefault="009F2D5B" w:rsidP="009F2D5B">
      <w:pPr>
        <w:rPr>
          <w:rFonts w:ascii="Times New Roman" w:hAnsi="Times New Roman" w:cs="Times New Roman"/>
          <w:sz w:val="24"/>
          <w:szCs w:val="24"/>
        </w:rPr>
      </w:pPr>
    </w:p>
    <w:p w14:paraId="07CFEFA5" w14:textId="77777777" w:rsidR="009F2D5B" w:rsidRPr="00485321" w:rsidRDefault="009F2D5B" w:rsidP="009F2D5B">
      <w:pPr>
        <w:spacing w:line="360" w:lineRule="auto"/>
        <w:mirrorIndents/>
        <w:rPr>
          <w:rFonts w:ascii="Times New Roman" w:eastAsia="Times New Roman" w:hAnsi="Times New Roman" w:cs="Times New Roman"/>
          <w:bCs/>
          <w:kern w:val="32"/>
          <w:sz w:val="24"/>
          <w:szCs w:val="24"/>
        </w:rPr>
      </w:pPr>
      <w:r w:rsidRPr="00485321">
        <w:rPr>
          <w:rFonts w:ascii="Times New Roman" w:eastAsia="Times New Roman" w:hAnsi="Times New Roman" w:cs="Times New Roman"/>
          <w:b/>
          <w:sz w:val="24"/>
          <w:szCs w:val="24"/>
        </w:rPr>
        <w:t xml:space="preserve">STATEMENT 1 </w:t>
      </w:r>
    </w:p>
    <w:p w14:paraId="4F293241" w14:textId="77777777" w:rsidR="009F2D5B" w:rsidRPr="00485321" w:rsidRDefault="009F2D5B" w:rsidP="009F2D5B">
      <w:pPr>
        <w:spacing w:line="360" w:lineRule="auto"/>
        <w:mirrorIndents/>
        <w:rPr>
          <w:rFonts w:ascii="Times New Roman" w:eastAsia="Times New Roman" w:hAnsi="Times New Roman" w:cs="Times New Roman"/>
          <w:sz w:val="24"/>
          <w:szCs w:val="24"/>
        </w:rPr>
      </w:pPr>
      <w:r w:rsidRPr="00485321">
        <w:rPr>
          <w:rFonts w:ascii="Times New Roman" w:eastAsia="Times New Roman" w:hAnsi="Times New Roman" w:cs="Times New Roman"/>
          <w:sz w:val="24"/>
          <w:szCs w:val="24"/>
        </w:rPr>
        <w:t>This dissertation is being submitted in partial fulfilment of the requirements for the degree of BSc.</w:t>
      </w:r>
    </w:p>
    <w:p w14:paraId="7A79D2FB" w14:textId="77777777" w:rsidR="009F2D5B" w:rsidRPr="00485321" w:rsidRDefault="009F2D5B" w:rsidP="009F2D5B">
      <w:pPr>
        <w:rPr>
          <w:rFonts w:ascii="Times New Roman" w:hAnsi="Times New Roman" w:cs="Times New Roman"/>
          <w:sz w:val="24"/>
          <w:szCs w:val="24"/>
        </w:rPr>
      </w:pPr>
    </w:p>
    <w:p w14:paraId="2E9FF28D" w14:textId="4BA149A8" w:rsidR="009F2D5B" w:rsidRPr="00485321" w:rsidRDefault="009F2D5B" w:rsidP="009F2D5B">
      <w:pPr>
        <w:spacing w:line="360" w:lineRule="auto"/>
        <w:mirrorIndents/>
        <w:rPr>
          <w:rFonts w:ascii="Times New Roman" w:eastAsia="Times New Roman" w:hAnsi="Times New Roman" w:cs="Times New Roman"/>
          <w:sz w:val="24"/>
          <w:szCs w:val="24"/>
        </w:rPr>
      </w:pPr>
      <w:r w:rsidRPr="00485321">
        <w:rPr>
          <w:rFonts w:ascii="Times New Roman" w:eastAsia="Times New Roman" w:hAnsi="Times New Roman" w:cs="Times New Roman"/>
          <w:sz w:val="24"/>
          <w:szCs w:val="24"/>
        </w:rPr>
        <w:t>Signed………</w:t>
      </w:r>
      <w:r w:rsidR="006237CF" w:rsidRPr="00485321">
        <w:rPr>
          <w:rFonts w:ascii="Times New Roman" w:eastAsia="Times New Roman" w:hAnsi="Times New Roman" w:cs="Times New Roman"/>
          <w:sz w:val="24"/>
          <w:szCs w:val="24"/>
        </w:rPr>
        <w:t>Grace Henshaw</w:t>
      </w:r>
      <w:r w:rsidRPr="00485321">
        <w:rPr>
          <w:rFonts w:ascii="Times New Roman" w:eastAsia="Times New Roman" w:hAnsi="Times New Roman" w:cs="Times New Roman"/>
          <w:sz w:val="24"/>
          <w:szCs w:val="24"/>
        </w:rPr>
        <w:t xml:space="preserve">……………………………………. </w:t>
      </w:r>
    </w:p>
    <w:p w14:paraId="4928DF5E" w14:textId="77777777" w:rsidR="009F2D5B" w:rsidRPr="00485321" w:rsidRDefault="009F2D5B" w:rsidP="009F2D5B">
      <w:pPr>
        <w:spacing w:line="360" w:lineRule="auto"/>
        <w:mirrorIndents/>
        <w:rPr>
          <w:rFonts w:ascii="Times New Roman" w:eastAsia="Times New Roman" w:hAnsi="Times New Roman" w:cs="Times New Roman"/>
          <w:sz w:val="24"/>
          <w:szCs w:val="24"/>
        </w:rPr>
      </w:pPr>
    </w:p>
    <w:p w14:paraId="400DF250" w14:textId="77777777" w:rsidR="009F2D5B" w:rsidRPr="00485321" w:rsidRDefault="009F2D5B" w:rsidP="009F2D5B">
      <w:pPr>
        <w:spacing w:line="360" w:lineRule="auto"/>
        <w:mirrorIndents/>
        <w:rPr>
          <w:rFonts w:ascii="Times New Roman" w:eastAsia="Times New Roman" w:hAnsi="Times New Roman" w:cs="Times New Roman"/>
          <w:sz w:val="24"/>
          <w:szCs w:val="24"/>
        </w:rPr>
      </w:pPr>
    </w:p>
    <w:p w14:paraId="7215C6BE" w14:textId="2A28BAEE" w:rsidR="009F2D5B" w:rsidRPr="00485321" w:rsidRDefault="009F2D5B" w:rsidP="009F2D5B">
      <w:pPr>
        <w:spacing w:line="360" w:lineRule="auto"/>
        <w:mirrorIndents/>
        <w:rPr>
          <w:rFonts w:ascii="Times New Roman" w:eastAsia="Times New Roman" w:hAnsi="Times New Roman" w:cs="Times New Roman"/>
          <w:sz w:val="24"/>
          <w:szCs w:val="24"/>
        </w:rPr>
      </w:pPr>
      <w:r w:rsidRPr="00485321">
        <w:rPr>
          <w:rFonts w:ascii="Times New Roman" w:eastAsia="Times New Roman" w:hAnsi="Times New Roman" w:cs="Times New Roman"/>
          <w:sz w:val="24"/>
          <w:szCs w:val="24"/>
        </w:rPr>
        <w:t>Date…………</w:t>
      </w:r>
      <w:r w:rsidR="00321441" w:rsidRPr="00485321">
        <w:rPr>
          <w:rFonts w:ascii="Times New Roman" w:eastAsia="Times New Roman" w:hAnsi="Times New Roman" w:cs="Times New Roman"/>
          <w:sz w:val="24"/>
          <w:szCs w:val="24"/>
        </w:rPr>
        <w:t>14/12/2025</w:t>
      </w:r>
      <w:r w:rsidRPr="00485321">
        <w:rPr>
          <w:rFonts w:ascii="Times New Roman" w:eastAsia="Times New Roman" w:hAnsi="Times New Roman" w:cs="Times New Roman"/>
          <w:sz w:val="24"/>
          <w:szCs w:val="24"/>
        </w:rPr>
        <w:t>……………………………………</w:t>
      </w:r>
    </w:p>
    <w:p w14:paraId="48766581" w14:textId="77777777" w:rsidR="009F2D5B" w:rsidRPr="00485321" w:rsidRDefault="009F2D5B" w:rsidP="009F2D5B">
      <w:pPr>
        <w:spacing w:line="360" w:lineRule="auto"/>
        <w:mirrorIndents/>
        <w:rPr>
          <w:rFonts w:ascii="Times New Roman" w:eastAsia="Times New Roman" w:hAnsi="Times New Roman" w:cs="Times New Roman"/>
          <w:sz w:val="24"/>
          <w:szCs w:val="24"/>
        </w:rPr>
      </w:pPr>
    </w:p>
    <w:p w14:paraId="0120D0B9" w14:textId="77777777" w:rsidR="009F2D5B" w:rsidRPr="00485321" w:rsidRDefault="009F2D5B" w:rsidP="009F2D5B">
      <w:pPr>
        <w:spacing w:line="360" w:lineRule="auto"/>
        <w:mirrorIndents/>
        <w:rPr>
          <w:rFonts w:ascii="Times New Roman" w:eastAsia="Times New Roman" w:hAnsi="Times New Roman" w:cs="Times New Roman"/>
          <w:sz w:val="24"/>
          <w:szCs w:val="24"/>
        </w:rPr>
      </w:pPr>
    </w:p>
    <w:p w14:paraId="62F3E7ED" w14:textId="77777777" w:rsidR="009F2D5B" w:rsidRPr="00485321" w:rsidRDefault="009F2D5B" w:rsidP="009F2D5B">
      <w:pPr>
        <w:spacing w:line="360" w:lineRule="auto"/>
        <w:mirrorIndents/>
        <w:rPr>
          <w:rFonts w:ascii="Times New Roman" w:eastAsia="Times New Roman" w:hAnsi="Times New Roman" w:cs="Times New Roman"/>
          <w:sz w:val="24"/>
          <w:szCs w:val="24"/>
        </w:rPr>
      </w:pPr>
      <w:r w:rsidRPr="00485321">
        <w:rPr>
          <w:rFonts w:ascii="Times New Roman" w:eastAsia="Times New Roman" w:hAnsi="Times New Roman" w:cs="Times New Roman"/>
          <w:b/>
          <w:sz w:val="24"/>
          <w:szCs w:val="24"/>
        </w:rPr>
        <w:t>STATEMENT 2</w:t>
      </w:r>
    </w:p>
    <w:p w14:paraId="42155B12" w14:textId="77777777" w:rsidR="009F2D5B" w:rsidRPr="00485321" w:rsidRDefault="009F2D5B" w:rsidP="009F2D5B">
      <w:pPr>
        <w:spacing w:line="360" w:lineRule="auto"/>
        <w:mirrorIndents/>
        <w:rPr>
          <w:rFonts w:ascii="Times New Roman" w:eastAsia="Times New Roman" w:hAnsi="Times New Roman" w:cs="Times New Roman"/>
          <w:sz w:val="24"/>
          <w:szCs w:val="24"/>
        </w:rPr>
      </w:pPr>
      <w:r w:rsidRPr="00485321">
        <w:rPr>
          <w:rFonts w:ascii="Times New Roman" w:eastAsia="Times New Roman" w:hAnsi="Times New Roman" w:cs="Times New Roman"/>
          <w:sz w:val="24"/>
          <w:szCs w:val="24"/>
        </w:rPr>
        <w:t>This dissertation is the result of my own independent work/investigation, except where otherwise stated.</w:t>
      </w:r>
    </w:p>
    <w:p w14:paraId="48539D07" w14:textId="77777777" w:rsidR="009F2D5B" w:rsidRPr="00485321" w:rsidRDefault="009F2D5B" w:rsidP="009F2D5B">
      <w:pPr>
        <w:spacing w:line="360" w:lineRule="auto"/>
        <w:mirrorIndents/>
        <w:rPr>
          <w:rFonts w:ascii="Times New Roman" w:eastAsia="Times New Roman" w:hAnsi="Times New Roman" w:cs="Times New Roman"/>
          <w:sz w:val="24"/>
          <w:szCs w:val="24"/>
        </w:rPr>
      </w:pPr>
    </w:p>
    <w:p w14:paraId="4ABBE711" w14:textId="77777777" w:rsidR="009F2D5B" w:rsidRPr="00485321" w:rsidRDefault="009F2D5B" w:rsidP="009F2D5B">
      <w:pPr>
        <w:spacing w:line="360" w:lineRule="auto"/>
        <w:mirrorIndents/>
        <w:rPr>
          <w:rFonts w:ascii="Times New Roman" w:eastAsia="Times New Roman" w:hAnsi="Times New Roman" w:cs="Times New Roman"/>
          <w:sz w:val="24"/>
          <w:szCs w:val="24"/>
        </w:rPr>
      </w:pPr>
      <w:r w:rsidRPr="00485321">
        <w:rPr>
          <w:rFonts w:ascii="Times New Roman" w:eastAsia="Times New Roman" w:hAnsi="Times New Roman" w:cs="Times New Roman"/>
          <w:sz w:val="24"/>
          <w:szCs w:val="24"/>
        </w:rPr>
        <w:t>Other sources are acknowledged by footnotes giving explicit references.  A bibliography is appended.</w:t>
      </w:r>
    </w:p>
    <w:p w14:paraId="259C42A1" w14:textId="77777777" w:rsidR="009F2D5B" w:rsidRPr="00485321" w:rsidRDefault="009F2D5B" w:rsidP="009F2D5B">
      <w:pPr>
        <w:spacing w:line="360" w:lineRule="auto"/>
        <w:mirrorIndents/>
        <w:rPr>
          <w:rFonts w:ascii="Times New Roman" w:eastAsia="Times New Roman" w:hAnsi="Times New Roman" w:cs="Times New Roman"/>
          <w:sz w:val="24"/>
          <w:szCs w:val="24"/>
        </w:rPr>
      </w:pPr>
    </w:p>
    <w:p w14:paraId="76B4F0F4" w14:textId="77777777" w:rsidR="009F2D5B" w:rsidRPr="00485321" w:rsidRDefault="009F2D5B" w:rsidP="009F2D5B">
      <w:pPr>
        <w:spacing w:line="360" w:lineRule="auto"/>
        <w:mirrorIndents/>
        <w:rPr>
          <w:rFonts w:ascii="Times New Roman" w:eastAsia="Times New Roman" w:hAnsi="Times New Roman" w:cs="Times New Roman"/>
          <w:sz w:val="24"/>
          <w:szCs w:val="24"/>
        </w:rPr>
      </w:pPr>
    </w:p>
    <w:p w14:paraId="168CB203" w14:textId="05938CEC" w:rsidR="009F2D5B" w:rsidRPr="00485321" w:rsidRDefault="009F2D5B" w:rsidP="009F2D5B">
      <w:pPr>
        <w:spacing w:line="360" w:lineRule="auto"/>
        <w:mirrorIndents/>
        <w:rPr>
          <w:rFonts w:ascii="Times New Roman" w:eastAsia="Times New Roman" w:hAnsi="Times New Roman" w:cs="Times New Roman"/>
          <w:sz w:val="24"/>
          <w:szCs w:val="24"/>
        </w:rPr>
      </w:pPr>
      <w:r w:rsidRPr="00485321">
        <w:rPr>
          <w:rFonts w:ascii="Times New Roman" w:eastAsia="Times New Roman" w:hAnsi="Times New Roman" w:cs="Times New Roman"/>
          <w:sz w:val="24"/>
          <w:szCs w:val="24"/>
        </w:rPr>
        <w:t>Signed………</w:t>
      </w:r>
      <w:r w:rsidR="006237CF" w:rsidRPr="00485321">
        <w:rPr>
          <w:rFonts w:ascii="Times New Roman" w:eastAsia="Times New Roman" w:hAnsi="Times New Roman" w:cs="Times New Roman"/>
          <w:sz w:val="24"/>
          <w:szCs w:val="24"/>
        </w:rPr>
        <w:t>Grace Henshaw</w:t>
      </w:r>
      <w:r w:rsidRPr="00485321">
        <w:rPr>
          <w:rFonts w:ascii="Times New Roman" w:eastAsia="Times New Roman" w:hAnsi="Times New Roman" w:cs="Times New Roman"/>
          <w:sz w:val="24"/>
          <w:szCs w:val="24"/>
        </w:rPr>
        <w:t>……………………………………</w:t>
      </w:r>
    </w:p>
    <w:p w14:paraId="2E95C9D3" w14:textId="77777777" w:rsidR="009F2D5B" w:rsidRPr="00485321" w:rsidRDefault="009F2D5B" w:rsidP="009F2D5B">
      <w:pPr>
        <w:spacing w:line="360" w:lineRule="auto"/>
        <w:mirrorIndents/>
        <w:rPr>
          <w:rFonts w:ascii="Times New Roman" w:eastAsia="Times New Roman" w:hAnsi="Times New Roman" w:cs="Times New Roman"/>
          <w:sz w:val="24"/>
          <w:szCs w:val="24"/>
        </w:rPr>
      </w:pPr>
    </w:p>
    <w:p w14:paraId="436C67FD" w14:textId="77777777" w:rsidR="009F2D5B" w:rsidRPr="00485321" w:rsidRDefault="009F2D5B" w:rsidP="009F2D5B">
      <w:pPr>
        <w:spacing w:line="360" w:lineRule="auto"/>
        <w:mirrorIndents/>
        <w:rPr>
          <w:rFonts w:ascii="Times New Roman" w:eastAsia="Times New Roman" w:hAnsi="Times New Roman" w:cs="Times New Roman"/>
          <w:sz w:val="24"/>
          <w:szCs w:val="24"/>
        </w:rPr>
      </w:pPr>
    </w:p>
    <w:p w14:paraId="30DE2190" w14:textId="1F4D919F" w:rsidR="009F2D5B" w:rsidRPr="00485321" w:rsidRDefault="009F2D5B" w:rsidP="009F2D5B">
      <w:pPr>
        <w:spacing w:line="360" w:lineRule="auto"/>
        <w:mirrorIndents/>
        <w:rPr>
          <w:rFonts w:ascii="Times New Roman" w:eastAsia="Arial Unicode MS" w:hAnsi="Times New Roman" w:cs="Times New Roman"/>
          <w:b/>
          <w:sz w:val="28"/>
          <w:szCs w:val="28"/>
        </w:rPr>
      </w:pPr>
      <w:r w:rsidRPr="00485321">
        <w:rPr>
          <w:rFonts w:ascii="Times New Roman" w:eastAsia="Times New Roman" w:hAnsi="Times New Roman" w:cs="Times New Roman"/>
          <w:sz w:val="24"/>
          <w:szCs w:val="24"/>
        </w:rPr>
        <w:t>Date…………</w:t>
      </w:r>
      <w:r w:rsidR="00321441" w:rsidRPr="00485321">
        <w:rPr>
          <w:rFonts w:ascii="Times New Roman" w:eastAsia="Times New Roman" w:hAnsi="Times New Roman" w:cs="Times New Roman"/>
          <w:sz w:val="24"/>
          <w:szCs w:val="24"/>
        </w:rPr>
        <w:t>14/12/2025</w:t>
      </w:r>
      <w:r w:rsidRPr="00485321">
        <w:rPr>
          <w:rFonts w:ascii="Times New Roman" w:eastAsia="Times New Roman" w:hAnsi="Times New Roman" w:cs="Times New Roman"/>
          <w:sz w:val="24"/>
          <w:szCs w:val="24"/>
        </w:rPr>
        <w:t xml:space="preserve">…………………………………… </w:t>
      </w:r>
      <w:r w:rsidRPr="00485321">
        <w:rPr>
          <w:rFonts w:ascii="Times New Roman" w:eastAsia="Arial Unicode MS" w:hAnsi="Times New Roman" w:cs="Times New Roman"/>
          <w:b/>
          <w:sz w:val="28"/>
          <w:szCs w:val="28"/>
        </w:rPr>
        <w:br w:type="page"/>
      </w:r>
    </w:p>
    <w:p w14:paraId="54BA642F" w14:textId="77777777" w:rsidR="009F2D5B" w:rsidRPr="00485321" w:rsidRDefault="009F2D5B" w:rsidP="009F2D5B">
      <w:pPr>
        <w:pStyle w:val="Heading1"/>
        <w:rPr>
          <w:rFonts w:ascii="Times New Roman" w:hAnsi="Times New Roman" w:cs="Times New Roman"/>
        </w:rPr>
      </w:pPr>
      <w:bookmarkStart w:id="1" w:name="_Toc216438662"/>
      <w:r w:rsidRPr="00485321">
        <w:rPr>
          <w:rFonts w:ascii="Times New Roman" w:hAnsi="Times New Roman" w:cs="Times New Roman"/>
        </w:rPr>
        <w:lastRenderedPageBreak/>
        <w:t>ACKNOWLEDGEMENTS</w:t>
      </w:r>
      <w:bookmarkEnd w:id="1"/>
    </w:p>
    <w:p w14:paraId="13F3A882" w14:textId="77777777" w:rsidR="009F2D5B" w:rsidRPr="00485321" w:rsidRDefault="009F2D5B" w:rsidP="009F2D5B">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Times New Roman" w:eastAsia="Arial Unicode MS" w:hAnsi="Times New Roman" w:cs="Times New Roman"/>
          <w:b/>
          <w:sz w:val="24"/>
          <w:szCs w:val="24"/>
        </w:rPr>
      </w:pPr>
    </w:p>
    <w:p w14:paraId="2E84CC48" w14:textId="77777777" w:rsidR="00B5335F" w:rsidRPr="00485321" w:rsidRDefault="00B5335F" w:rsidP="00485321">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Times New Roman" w:hAnsi="Times New Roman" w:cs="Times New Roman"/>
          <w:color w:val="0070C0"/>
          <w:sz w:val="24"/>
          <w:szCs w:val="24"/>
          <w:lang w:bidi="ar-SA"/>
        </w:rPr>
      </w:pPr>
      <w:r w:rsidRPr="00485321">
        <w:rPr>
          <w:rFonts w:ascii="Times New Roman" w:eastAsia="Times New Roman" w:hAnsi="Times New Roman" w:cs="Times New Roman"/>
          <w:color w:val="0070C0"/>
          <w:sz w:val="24"/>
          <w:szCs w:val="24"/>
          <w:lang w:bidi="ar-SA"/>
        </w:rPr>
        <w:t>I am deeply indebted to my supervisor, Dr. Laila Surani, whose invaluable guidance, steadfast support, and thoughtful feedback have shaped every stage of this research. Her expertise and encouragement were pivotal in bringing this dissertation to completion.</w:t>
      </w:r>
    </w:p>
    <w:p w14:paraId="379DA0D3" w14:textId="77777777" w:rsidR="00B5335F" w:rsidRPr="00485321" w:rsidRDefault="00B5335F" w:rsidP="00485321">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Times New Roman" w:hAnsi="Times New Roman" w:cs="Times New Roman"/>
          <w:color w:val="0070C0"/>
          <w:sz w:val="24"/>
          <w:szCs w:val="24"/>
          <w:lang w:bidi="ar-SA"/>
        </w:rPr>
      </w:pPr>
    </w:p>
    <w:p w14:paraId="352FA11C" w14:textId="7236FED8" w:rsidR="00B5335F" w:rsidRDefault="00B5335F" w:rsidP="00485321">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Times New Roman" w:hAnsi="Times New Roman" w:cs="Times New Roman"/>
          <w:color w:val="0070C0"/>
          <w:sz w:val="24"/>
          <w:szCs w:val="24"/>
          <w:lang w:bidi="ar-SA"/>
        </w:rPr>
      </w:pPr>
      <w:r w:rsidRPr="00485321">
        <w:rPr>
          <w:rFonts w:ascii="Times New Roman" w:eastAsia="Times New Roman" w:hAnsi="Times New Roman" w:cs="Times New Roman"/>
          <w:color w:val="0070C0"/>
          <w:sz w:val="24"/>
          <w:szCs w:val="24"/>
          <w:lang w:bidi="ar-SA"/>
        </w:rPr>
        <w:t>My sincere appreciation</w:t>
      </w:r>
      <w:r w:rsidR="00827C38">
        <w:rPr>
          <w:rFonts w:ascii="Times New Roman" w:eastAsia="Times New Roman" w:hAnsi="Times New Roman" w:cs="Times New Roman"/>
          <w:color w:val="0070C0"/>
          <w:sz w:val="24"/>
          <w:szCs w:val="24"/>
          <w:lang w:bidi="ar-SA"/>
        </w:rPr>
        <w:t xml:space="preserve"> also</w:t>
      </w:r>
      <w:r w:rsidRPr="00485321">
        <w:rPr>
          <w:rFonts w:ascii="Times New Roman" w:eastAsia="Times New Roman" w:hAnsi="Times New Roman" w:cs="Times New Roman"/>
          <w:color w:val="0070C0"/>
          <w:sz w:val="24"/>
          <w:szCs w:val="24"/>
          <w:lang w:bidi="ar-SA"/>
        </w:rPr>
        <w:t xml:space="preserve"> goes to the Department of Health &amp; Social Care at the University of Wales Trinity Saint David, for fostering an engaging academic environment and providing the essential resources that made this study possible. I extend special gratitude to Dr. Jolly Nwamkwo, whose insightful teaching throughout the course greatly enriched my learning experience.</w:t>
      </w:r>
    </w:p>
    <w:p w14:paraId="1F59192A" w14:textId="77777777" w:rsidR="00827C38" w:rsidRDefault="00827C38" w:rsidP="00485321">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Times New Roman" w:hAnsi="Times New Roman" w:cs="Times New Roman"/>
          <w:color w:val="0070C0"/>
          <w:sz w:val="24"/>
          <w:szCs w:val="24"/>
          <w:lang w:bidi="ar-SA"/>
        </w:rPr>
      </w:pPr>
    </w:p>
    <w:p w14:paraId="7F447C92" w14:textId="5AAE31BF" w:rsidR="00B5335F" w:rsidRDefault="00827C38" w:rsidP="00485321">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Times New Roman" w:hAnsi="Times New Roman" w:cs="Times New Roman"/>
          <w:color w:val="0070C0"/>
          <w:sz w:val="24"/>
          <w:szCs w:val="24"/>
          <w:lang w:bidi="ar-SA"/>
        </w:rPr>
      </w:pPr>
      <w:r w:rsidRPr="00827C38">
        <w:rPr>
          <w:rFonts w:ascii="Times New Roman" w:eastAsia="Times New Roman" w:hAnsi="Times New Roman" w:cs="Times New Roman"/>
          <w:color w:val="0070C0"/>
          <w:sz w:val="24"/>
          <w:szCs w:val="24"/>
          <w:lang w:bidi="ar-SA"/>
        </w:rPr>
        <w:t>I</w:t>
      </w:r>
      <w:r>
        <w:rPr>
          <w:rFonts w:ascii="Times New Roman" w:eastAsia="Times New Roman" w:hAnsi="Times New Roman" w:cs="Times New Roman"/>
          <w:color w:val="0070C0"/>
          <w:sz w:val="24"/>
          <w:szCs w:val="24"/>
          <w:lang w:bidi="ar-SA"/>
        </w:rPr>
        <w:t>n addition, I</w:t>
      </w:r>
      <w:r w:rsidRPr="00827C38">
        <w:rPr>
          <w:rFonts w:ascii="Times New Roman" w:eastAsia="Times New Roman" w:hAnsi="Times New Roman" w:cs="Times New Roman"/>
          <w:color w:val="0070C0"/>
          <w:sz w:val="24"/>
          <w:szCs w:val="24"/>
          <w:lang w:bidi="ar-SA"/>
        </w:rPr>
        <w:t xml:space="preserve"> would also like to acknowledge my peers and comrades throughout the year</w:t>
      </w:r>
      <w:r w:rsidR="00BA25F1">
        <w:rPr>
          <w:rFonts w:ascii="Times New Roman" w:eastAsia="Times New Roman" w:hAnsi="Times New Roman" w:cs="Times New Roman"/>
          <w:color w:val="0070C0"/>
          <w:sz w:val="24"/>
          <w:szCs w:val="24"/>
          <w:lang w:bidi="ar-SA"/>
        </w:rPr>
        <w:t>s</w:t>
      </w:r>
      <w:r w:rsidRPr="00827C38">
        <w:rPr>
          <w:rFonts w:ascii="Times New Roman" w:eastAsia="Times New Roman" w:hAnsi="Times New Roman" w:cs="Times New Roman"/>
          <w:color w:val="0070C0"/>
          <w:sz w:val="24"/>
          <w:szCs w:val="24"/>
          <w:lang w:bidi="ar-SA"/>
        </w:rPr>
        <w:t>, whose collaboration, encouragement, and shared experiences made this academic journey both rewarding and memorable. Their companionship provided strength and inspiration during challenging times.</w:t>
      </w:r>
    </w:p>
    <w:p w14:paraId="50811F62" w14:textId="77777777" w:rsidR="00827C38" w:rsidRPr="00485321" w:rsidRDefault="00827C38" w:rsidP="00485321">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Times New Roman" w:hAnsi="Times New Roman" w:cs="Times New Roman"/>
          <w:color w:val="0070C0"/>
          <w:sz w:val="24"/>
          <w:szCs w:val="24"/>
          <w:lang w:bidi="ar-SA"/>
        </w:rPr>
      </w:pPr>
    </w:p>
    <w:p w14:paraId="5CDA6660" w14:textId="1EF01A52" w:rsidR="009F2D5B" w:rsidRPr="00485321" w:rsidRDefault="00485321" w:rsidP="0048532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bCs/>
          <w:iCs/>
        </w:rPr>
      </w:pPr>
      <w:r w:rsidRPr="00485321">
        <w:rPr>
          <w:rFonts w:ascii="Times New Roman" w:eastAsia="Times New Roman" w:hAnsi="Times New Roman" w:cs="Times New Roman"/>
          <w:color w:val="0070C0"/>
          <w:sz w:val="24"/>
          <w:szCs w:val="24"/>
          <w:lang w:bidi="ar-SA"/>
        </w:rPr>
        <w:t>Lastly, I owe heartfelt thanks to my family, whose unwavering encouragement and understanding formed the foundation of my academic journey. Their belief in me sustained the perseverance required to see this dissertation through to the end.</w:t>
      </w:r>
    </w:p>
    <w:p w14:paraId="41965727" w14:textId="77777777" w:rsidR="009F2D5B" w:rsidRPr="00485321" w:rsidRDefault="009F2D5B" w:rsidP="009F2D5B">
      <w:pPr>
        <w:spacing w:line="360" w:lineRule="auto"/>
        <w:mirrorIndents/>
        <w:rPr>
          <w:rFonts w:ascii="Times New Roman" w:eastAsia="Arial Unicode MS" w:hAnsi="Times New Roman" w:cs="Times New Roman"/>
          <w:b/>
          <w:sz w:val="28"/>
          <w:szCs w:val="28"/>
        </w:rPr>
      </w:pPr>
      <w:r w:rsidRPr="00485321">
        <w:rPr>
          <w:rFonts w:ascii="Times New Roman" w:eastAsia="Arial Unicode MS" w:hAnsi="Times New Roman" w:cs="Times New Roman"/>
          <w:b/>
          <w:sz w:val="28"/>
          <w:szCs w:val="28"/>
        </w:rPr>
        <w:br w:type="page"/>
      </w:r>
    </w:p>
    <w:p w14:paraId="3F9A4AAF" w14:textId="77777777" w:rsidR="009F2D5B" w:rsidRPr="00485321" w:rsidRDefault="009F2D5B" w:rsidP="009F2D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Times New Roman" w:eastAsia="Arial Unicode MS" w:hAnsi="Times New Roman" w:cs="Times New Roman"/>
          <w:i/>
        </w:rPr>
      </w:pPr>
      <w:r w:rsidRPr="00485321">
        <w:rPr>
          <w:rFonts w:ascii="Times New Roman" w:eastAsia="Arial Unicode MS" w:hAnsi="Times New Roman" w:cs="Times New Roman"/>
          <w:b/>
          <w:sz w:val="28"/>
          <w:szCs w:val="28"/>
        </w:rPr>
        <w:lastRenderedPageBreak/>
        <w:t>ABSTRACT</w:t>
      </w:r>
    </w:p>
    <w:p w14:paraId="1D2FFB69" w14:textId="77777777" w:rsidR="009F2D5B" w:rsidRPr="00485321" w:rsidRDefault="009F2D5B" w:rsidP="009F2D5B">
      <w:pPr>
        <w:jc w:val="both"/>
        <w:rPr>
          <w:rFonts w:ascii="Times New Roman" w:hAnsi="Times New Roman" w:cs="Times New Roman"/>
        </w:rPr>
      </w:pPr>
    </w:p>
    <w:p w14:paraId="54CCAAD5" w14:textId="77777777" w:rsidR="009F2D5B" w:rsidRPr="00485321" w:rsidRDefault="009F2D5B" w:rsidP="009F2D5B">
      <w:pPr>
        <w:spacing w:line="360" w:lineRule="auto"/>
        <w:jc w:val="both"/>
        <w:rPr>
          <w:rFonts w:ascii="Times New Roman" w:eastAsia="Arial Unicode MS" w:hAnsi="Times New Roman" w:cs="Times New Roman"/>
          <w:bCs/>
        </w:rPr>
      </w:pPr>
      <w:r w:rsidRPr="00485321">
        <w:rPr>
          <w:rFonts w:ascii="Times New Roman" w:eastAsia="Arial Unicode MS" w:hAnsi="Times New Roman" w:cs="Times New Roman"/>
          <w:b/>
        </w:rPr>
        <w:t xml:space="preserve">Aim and Objectives: </w:t>
      </w:r>
      <w:r w:rsidRPr="00485321">
        <w:rPr>
          <w:rFonts w:ascii="Times New Roman" w:eastAsia="Arial Unicode MS" w:hAnsi="Times New Roman" w:cs="Times New Roman"/>
          <w:bCs/>
        </w:rPr>
        <w:t>To investigate the association between binge drinking and type 2 diabetes mellitus (T2DM) among adults aged 18 years and above in the UK.</w:t>
      </w:r>
    </w:p>
    <w:p w14:paraId="4AC2965A" w14:textId="77777777" w:rsidR="009F2D5B" w:rsidRPr="00485321" w:rsidRDefault="009F2D5B" w:rsidP="009F2D5B">
      <w:pPr>
        <w:spacing w:line="360" w:lineRule="auto"/>
        <w:jc w:val="both"/>
        <w:rPr>
          <w:rFonts w:ascii="Times New Roman" w:eastAsia="Arial Unicode MS" w:hAnsi="Times New Roman" w:cs="Times New Roman"/>
          <w:bCs/>
        </w:rPr>
      </w:pPr>
      <w:r w:rsidRPr="00485321">
        <w:rPr>
          <w:rFonts w:ascii="Times New Roman" w:eastAsia="Arial Unicode MS" w:hAnsi="Times New Roman" w:cs="Times New Roman"/>
          <w:b/>
        </w:rPr>
        <w:t xml:space="preserve">Background: </w:t>
      </w:r>
      <w:r w:rsidRPr="00485321">
        <w:rPr>
          <w:rFonts w:ascii="Times New Roman" w:eastAsia="Arial Unicode MS" w:hAnsi="Times New Roman" w:cs="Times New Roman"/>
          <w:bCs/>
        </w:rPr>
        <w:t>Within the UK, T2DM and binge drinking remain pressing public health concerns. However, the relationship between alcohol consumption and T2DM risk has long been debated, thereby requiring targeted research examining this correlation.</w:t>
      </w:r>
    </w:p>
    <w:p w14:paraId="260EE6E5" w14:textId="77777777" w:rsidR="009F2D5B" w:rsidRPr="00485321" w:rsidRDefault="009F2D5B" w:rsidP="009F2D5B">
      <w:pPr>
        <w:spacing w:line="360" w:lineRule="auto"/>
        <w:jc w:val="both"/>
        <w:rPr>
          <w:rFonts w:ascii="Times New Roman" w:hAnsi="Times New Roman" w:cs="Times New Roman"/>
        </w:rPr>
      </w:pPr>
      <w:r w:rsidRPr="00485321">
        <w:rPr>
          <w:rFonts w:ascii="Times New Roman" w:eastAsia="Arial Unicode MS" w:hAnsi="Times New Roman" w:cs="Times New Roman"/>
          <w:b/>
        </w:rPr>
        <w:t xml:space="preserve">Methods: </w:t>
      </w:r>
      <w:r w:rsidRPr="00485321">
        <w:rPr>
          <w:rFonts w:ascii="Times New Roman" w:eastAsia="Arial Unicode MS" w:hAnsi="Times New Roman" w:cs="Times New Roman"/>
          <w:bCs/>
        </w:rPr>
        <w:t>Studies published between 2015 and 2025 were systematically identified through Medline, PubMed, and Web of Science. Ten eligible studies were reviewed, encompassing 3,876,352 participants, primarily from the UK Biobank and genome‑wide association study datasets. The primary exposure was binge drinking, with T2DM onset as the main outcome. Secondary outcomes included sex‑specific differences, socioeconomic factors, and lifestyle confounders</w:t>
      </w:r>
      <w:r w:rsidRPr="00485321">
        <w:rPr>
          <w:rFonts w:ascii="Times New Roman" w:hAnsi="Times New Roman" w:cs="Times New Roman"/>
        </w:rPr>
        <w:t>.</w:t>
      </w:r>
    </w:p>
    <w:p w14:paraId="24BC9DC2" w14:textId="77777777" w:rsidR="009F2D5B" w:rsidRPr="00485321" w:rsidRDefault="009F2D5B" w:rsidP="009F2D5B">
      <w:pPr>
        <w:spacing w:line="360" w:lineRule="auto"/>
        <w:jc w:val="both"/>
        <w:rPr>
          <w:rFonts w:ascii="Times New Roman" w:hAnsi="Times New Roman" w:cs="Times New Roman"/>
        </w:rPr>
      </w:pPr>
      <w:r w:rsidRPr="00485321">
        <w:rPr>
          <w:rFonts w:ascii="Times New Roman" w:hAnsi="Times New Roman" w:cs="Times New Roman"/>
          <w:b/>
          <w:bCs/>
        </w:rPr>
        <w:t>Main findings</w:t>
      </w:r>
      <w:r w:rsidRPr="00485321">
        <w:rPr>
          <w:rStyle w:val="Strong"/>
          <w:rFonts w:ascii="Times New Roman" w:hAnsi="Times New Roman" w:cs="Times New Roman"/>
        </w:rPr>
        <w:t>:</w:t>
      </w:r>
      <w:r w:rsidRPr="00485321">
        <w:rPr>
          <w:rFonts w:ascii="Times New Roman" w:hAnsi="Times New Roman" w:cs="Times New Roman"/>
        </w:rPr>
        <w:t xml:space="preserve"> Moderate alcohol consumption, particularly wine with meals, was associated with lower HbA1c, reduced inflammation, and higher HDL cholesterol. However, these associations were attenuated after adjustment for BMI and lifestyle factors, indicating confounding. Mendelian randomisation studies provided little evidence of protective effects, instead showing that higher intake increased fat mass, obesity, and fasting glucose. Beverage type influenced outcomes, with wine appearing less harmful than beer or spirits, though not protective at higher levels. Sex differences were notable, with women showing stronger associations between alcohol intake and diabetes risk. Individuals with alcohol use disorder experienced higher complication rates and elevated mental health burdens.</w:t>
      </w:r>
    </w:p>
    <w:p w14:paraId="72FCE8A6" w14:textId="77777777" w:rsidR="009F2D5B" w:rsidRPr="00485321" w:rsidRDefault="009F2D5B" w:rsidP="009F2D5B">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rPr>
      </w:pPr>
      <w:r w:rsidRPr="00485321">
        <w:rPr>
          <w:rStyle w:val="Strong"/>
          <w:rFonts w:ascii="Times New Roman" w:hAnsi="Times New Roman" w:cs="Times New Roman"/>
        </w:rPr>
        <w:t>Conclusions:</w:t>
      </w:r>
      <w:r w:rsidRPr="00485321">
        <w:rPr>
          <w:rFonts w:ascii="Times New Roman" w:hAnsi="Times New Roman" w:cs="Times New Roman"/>
        </w:rPr>
        <w:t xml:space="preserve"> Alcohol consumption is characterised as harmful or neutral with respect to T2DM risk. Public health strategies should discourage binge drinking and avoid promoting alcohol as protective for diabetes prevention.</w:t>
      </w:r>
    </w:p>
    <w:p w14:paraId="6B762BF4" w14:textId="77777777" w:rsidR="009F2D5B" w:rsidRPr="00485321" w:rsidRDefault="009F2D5B" w:rsidP="009F2D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Times New Roman" w:eastAsia="Arial Unicode MS" w:hAnsi="Times New Roman" w:cs="Times New Roman"/>
          <w:bCs/>
          <w:u w:val="single"/>
        </w:rPr>
      </w:pPr>
    </w:p>
    <w:p w14:paraId="2F810F07" w14:textId="77777777" w:rsidR="009F2D5B" w:rsidRPr="00485321" w:rsidRDefault="009F2D5B" w:rsidP="009F2D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Times New Roman" w:eastAsia="Arial Unicode MS" w:hAnsi="Times New Roman" w:cs="Times New Roman"/>
          <w:bCs/>
        </w:rPr>
      </w:pPr>
    </w:p>
    <w:p w14:paraId="052A3BDD" w14:textId="77777777" w:rsidR="009F2D5B" w:rsidRPr="00485321" w:rsidRDefault="009F2D5B" w:rsidP="009F2D5B">
      <w:pPr>
        <w:keepNext/>
        <w:pageBreakBefore/>
        <w:spacing w:after="180" w:line="360" w:lineRule="auto"/>
        <w:mirrorIndents/>
        <w:outlineLvl w:val="0"/>
        <w:rPr>
          <w:rFonts w:ascii="Times New Roman" w:eastAsia="Times New Roman" w:hAnsi="Times New Roman" w:cs="Times New Roman"/>
          <w:b/>
          <w:kern w:val="28"/>
          <w:sz w:val="32"/>
          <w:szCs w:val="20"/>
        </w:rPr>
      </w:pPr>
      <w:bookmarkStart w:id="2" w:name="_Toc536543204"/>
      <w:bookmarkStart w:id="3" w:name="_Toc536543433"/>
      <w:bookmarkStart w:id="4" w:name="_Toc15893759"/>
      <w:bookmarkStart w:id="5" w:name="_Toc299977276"/>
      <w:bookmarkStart w:id="6" w:name="_Toc216438663"/>
      <w:r w:rsidRPr="00485321">
        <w:rPr>
          <w:rFonts w:ascii="Times New Roman" w:eastAsia="Times New Roman" w:hAnsi="Times New Roman" w:cs="Times New Roman"/>
          <w:b/>
          <w:kern w:val="28"/>
          <w:sz w:val="32"/>
          <w:szCs w:val="20"/>
        </w:rPr>
        <w:lastRenderedPageBreak/>
        <w:t>Table of</w:t>
      </w:r>
      <w:r w:rsidRPr="00485321">
        <w:rPr>
          <w:rFonts w:ascii="Times New Roman" w:eastAsia="Times New Roman" w:hAnsi="Times New Roman" w:cs="Times New Roman"/>
          <w:bCs/>
          <w:kern w:val="28"/>
          <w:sz w:val="32"/>
          <w:szCs w:val="20"/>
        </w:rPr>
        <w:t xml:space="preserve"> </w:t>
      </w:r>
      <w:r w:rsidRPr="00485321">
        <w:rPr>
          <w:rFonts w:ascii="Times New Roman" w:eastAsia="Times New Roman" w:hAnsi="Times New Roman" w:cs="Times New Roman"/>
          <w:b/>
          <w:kern w:val="28"/>
          <w:sz w:val="32"/>
          <w:szCs w:val="20"/>
        </w:rPr>
        <w:t>Contents</w:t>
      </w:r>
      <w:bookmarkEnd w:id="2"/>
      <w:bookmarkEnd w:id="3"/>
      <w:bookmarkEnd w:id="4"/>
      <w:bookmarkEnd w:id="5"/>
      <w:bookmarkEnd w:id="6"/>
      <w:r w:rsidRPr="00485321">
        <w:rPr>
          <w:rFonts w:ascii="Times New Roman" w:eastAsia="Times New Roman" w:hAnsi="Times New Roman" w:cs="Times New Roman"/>
          <w:b/>
          <w:kern w:val="28"/>
          <w:sz w:val="32"/>
          <w:szCs w:val="20"/>
        </w:rPr>
        <w:t xml:space="preserve"> </w:t>
      </w:r>
    </w:p>
    <w:sdt>
      <w:sdtPr>
        <w:rPr>
          <w:rFonts w:ascii="Times New Roman" w:eastAsia="Calibri Light" w:hAnsi="Times New Roman" w:cs="Times New Roman"/>
          <w:color w:val="auto"/>
          <w:sz w:val="22"/>
          <w:szCs w:val="22"/>
          <w:lang w:val="en-GB"/>
        </w:rPr>
        <w:id w:val="-1377076632"/>
        <w:docPartObj>
          <w:docPartGallery w:val="Table of Contents"/>
          <w:docPartUnique/>
        </w:docPartObj>
      </w:sdtPr>
      <w:sdtEndPr>
        <w:rPr>
          <w:b/>
          <w:bCs/>
        </w:rPr>
      </w:sdtEndPr>
      <w:sdtContent>
        <w:p w14:paraId="4047493A" w14:textId="77777777" w:rsidR="009F2D5B" w:rsidRPr="00485321" w:rsidRDefault="009F2D5B" w:rsidP="009F2D5B">
          <w:pPr>
            <w:pStyle w:val="TOCHeading"/>
            <w:rPr>
              <w:rFonts w:ascii="Times New Roman" w:hAnsi="Times New Roman" w:cs="Times New Roman"/>
              <w:lang w:val="en-GB"/>
            </w:rPr>
          </w:pPr>
          <w:r w:rsidRPr="00485321">
            <w:rPr>
              <w:rFonts w:ascii="Times New Roman" w:hAnsi="Times New Roman" w:cs="Times New Roman"/>
              <w:lang w:val="en-GB"/>
            </w:rPr>
            <w:t>Contents</w:t>
          </w:r>
        </w:p>
        <w:p w14:paraId="09D11BE7" w14:textId="77777777" w:rsidR="009F2D5B" w:rsidRPr="00485321" w:rsidRDefault="009F2D5B" w:rsidP="009F2D5B">
          <w:pPr>
            <w:pStyle w:val="TOC1"/>
            <w:tabs>
              <w:tab w:val="right" w:leader="dot" w:pos="9016"/>
            </w:tabs>
            <w:rPr>
              <w:rFonts w:ascii="Times New Roman" w:eastAsiaTheme="minorEastAsia" w:hAnsi="Times New Roman" w:cs="Times New Roman"/>
              <w:noProof/>
              <w:kern w:val="2"/>
              <w:sz w:val="24"/>
              <w:szCs w:val="24"/>
              <w:lang w:val="en-US" w:eastAsia="zh-CN" w:bidi="ar-SA"/>
              <w14:ligatures w14:val="standardContextual"/>
            </w:rPr>
          </w:pPr>
          <w:r w:rsidRPr="00485321">
            <w:rPr>
              <w:rFonts w:ascii="Times New Roman" w:hAnsi="Times New Roman" w:cs="Times New Roman"/>
            </w:rPr>
            <w:fldChar w:fldCharType="begin"/>
          </w:r>
          <w:r w:rsidRPr="00485321">
            <w:rPr>
              <w:rFonts w:ascii="Times New Roman" w:hAnsi="Times New Roman" w:cs="Times New Roman"/>
            </w:rPr>
            <w:instrText xml:space="preserve"> TOC \o "1-3" \h \z \u </w:instrText>
          </w:r>
          <w:r w:rsidRPr="00485321">
            <w:rPr>
              <w:rFonts w:ascii="Times New Roman" w:hAnsi="Times New Roman" w:cs="Times New Roman"/>
            </w:rPr>
            <w:fldChar w:fldCharType="separate"/>
          </w:r>
          <w:hyperlink w:anchor="_Toc216438661" w:history="1">
            <w:r w:rsidRPr="00485321">
              <w:rPr>
                <w:rStyle w:val="Hyperlink"/>
                <w:rFonts w:ascii="Times New Roman" w:hAnsi="Times New Roman" w:cs="Times New Roman"/>
                <w:noProof/>
              </w:rPr>
              <w:t>DECLARATION</w:t>
            </w:r>
            <w:r w:rsidRPr="00485321">
              <w:rPr>
                <w:rFonts w:ascii="Times New Roman" w:hAnsi="Times New Roman" w:cs="Times New Roman"/>
                <w:noProof/>
                <w:webHidden/>
              </w:rPr>
              <w:tab/>
            </w:r>
            <w:r w:rsidRPr="00485321">
              <w:rPr>
                <w:rFonts w:ascii="Times New Roman" w:hAnsi="Times New Roman" w:cs="Times New Roman"/>
                <w:noProof/>
                <w:webHidden/>
              </w:rPr>
              <w:fldChar w:fldCharType="begin"/>
            </w:r>
            <w:r w:rsidRPr="00485321">
              <w:rPr>
                <w:rFonts w:ascii="Times New Roman" w:hAnsi="Times New Roman" w:cs="Times New Roman"/>
                <w:noProof/>
                <w:webHidden/>
              </w:rPr>
              <w:instrText xml:space="preserve"> PAGEREF _Toc216438661 \h </w:instrText>
            </w:r>
            <w:r w:rsidRPr="00485321">
              <w:rPr>
                <w:rFonts w:ascii="Times New Roman" w:hAnsi="Times New Roman" w:cs="Times New Roman"/>
                <w:noProof/>
                <w:webHidden/>
              </w:rPr>
            </w:r>
            <w:r w:rsidRPr="00485321">
              <w:rPr>
                <w:rFonts w:ascii="Times New Roman" w:hAnsi="Times New Roman" w:cs="Times New Roman"/>
                <w:noProof/>
                <w:webHidden/>
              </w:rPr>
              <w:fldChar w:fldCharType="separate"/>
            </w:r>
            <w:r w:rsidRPr="00485321">
              <w:rPr>
                <w:rFonts w:ascii="Times New Roman" w:hAnsi="Times New Roman" w:cs="Times New Roman"/>
                <w:noProof/>
                <w:webHidden/>
              </w:rPr>
              <w:t>2</w:t>
            </w:r>
            <w:r w:rsidRPr="00485321">
              <w:rPr>
                <w:rFonts w:ascii="Times New Roman" w:hAnsi="Times New Roman" w:cs="Times New Roman"/>
                <w:noProof/>
                <w:webHidden/>
              </w:rPr>
              <w:fldChar w:fldCharType="end"/>
            </w:r>
          </w:hyperlink>
        </w:p>
        <w:p w14:paraId="36281AA0" w14:textId="77777777" w:rsidR="009F2D5B" w:rsidRPr="00485321" w:rsidRDefault="009F2D5B" w:rsidP="009F2D5B">
          <w:pPr>
            <w:pStyle w:val="TOC1"/>
            <w:tabs>
              <w:tab w:val="right" w:leader="dot" w:pos="9016"/>
            </w:tabs>
            <w:rPr>
              <w:rFonts w:ascii="Times New Roman" w:eastAsiaTheme="minorEastAsia" w:hAnsi="Times New Roman" w:cs="Times New Roman"/>
              <w:noProof/>
              <w:kern w:val="2"/>
              <w:sz w:val="24"/>
              <w:szCs w:val="24"/>
              <w:lang w:val="en-US" w:eastAsia="zh-CN" w:bidi="ar-SA"/>
              <w14:ligatures w14:val="standardContextual"/>
            </w:rPr>
          </w:pPr>
          <w:hyperlink w:anchor="_Toc216438662" w:history="1">
            <w:r w:rsidRPr="00485321">
              <w:rPr>
                <w:rStyle w:val="Hyperlink"/>
                <w:rFonts w:ascii="Times New Roman" w:hAnsi="Times New Roman" w:cs="Times New Roman"/>
                <w:noProof/>
              </w:rPr>
              <w:t>ACKNOWLEDGEMENTS</w:t>
            </w:r>
            <w:r w:rsidRPr="00485321">
              <w:rPr>
                <w:rFonts w:ascii="Times New Roman" w:hAnsi="Times New Roman" w:cs="Times New Roman"/>
                <w:noProof/>
                <w:webHidden/>
              </w:rPr>
              <w:tab/>
            </w:r>
            <w:r w:rsidRPr="00485321">
              <w:rPr>
                <w:rFonts w:ascii="Times New Roman" w:hAnsi="Times New Roman" w:cs="Times New Roman"/>
                <w:noProof/>
                <w:webHidden/>
              </w:rPr>
              <w:fldChar w:fldCharType="begin"/>
            </w:r>
            <w:r w:rsidRPr="00485321">
              <w:rPr>
                <w:rFonts w:ascii="Times New Roman" w:hAnsi="Times New Roman" w:cs="Times New Roman"/>
                <w:noProof/>
                <w:webHidden/>
              </w:rPr>
              <w:instrText xml:space="preserve"> PAGEREF _Toc216438662 \h </w:instrText>
            </w:r>
            <w:r w:rsidRPr="00485321">
              <w:rPr>
                <w:rFonts w:ascii="Times New Roman" w:hAnsi="Times New Roman" w:cs="Times New Roman"/>
                <w:noProof/>
                <w:webHidden/>
              </w:rPr>
            </w:r>
            <w:r w:rsidRPr="00485321">
              <w:rPr>
                <w:rFonts w:ascii="Times New Roman" w:hAnsi="Times New Roman" w:cs="Times New Roman"/>
                <w:noProof/>
                <w:webHidden/>
              </w:rPr>
              <w:fldChar w:fldCharType="separate"/>
            </w:r>
            <w:r w:rsidRPr="00485321">
              <w:rPr>
                <w:rFonts w:ascii="Times New Roman" w:hAnsi="Times New Roman" w:cs="Times New Roman"/>
                <w:noProof/>
                <w:webHidden/>
              </w:rPr>
              <w:t>3</w:t>
            </w:r>
            <w:r w:rsidRPr="00485321">
              <w:rPr>
                <w:rFonts w:ascii="Times New Roman" w:hAnsi="Times New Roman" w:cs="Times New Roman"/>
                <w:noProof/>
                <w:webHidden/>
              </w:rPr>
              <w:fldChar w:fldCharType="end"/>
            </w:r>
          </w:hyperlink>
        </w:p>
        <w:p w14:paraId="3B923E52" w14:textId="77777777" w:rsidR="009F2D5B" w:rsidRPr="00485321" w:rsidRDefault="009F2D5B" w:rsidP="009F2D5B">
          <w:pPr>
            <w:pStyle w:val="TOC1"/>
            <w:tabs>
              <w:tab w:val="right" w:leader="dot" w:pos="9016"/>
            </w:tabs>
            <w:rPr>
              <w:rFonts w:ascii="Times New Roman" w:eastAsiaTheme="minorEastAsia" w:hAnsi="Times New Roman" w:cs="Times New Roman"/>
              <w:noProof/>
              <w:kern w:val="2"/>
              <w:sz w:val="24"/>
              <w:szCs w:val="24"/>
              <w:lang w:val="en-US" w:eastAsia="zh-CN" w:bidi="ar-SA"/>
              <w14:ligatures w14:val="standardContextual"/>
            </w:rPr>
          </w:pPr>
          <w:hyperlink w:anchor="_Toc216438663" w:history="1">
            <w:r w:rsidRPr="00485321">
              <w:rPr>
                <w:rStyle w:val="Hyperlink"/>
                <w:rFonts w:ascii="Times New Roman" w:eastAsia="Times New Roman" w:hAnsi="Times New Roman" w:cs="Times New Roman"/>
                <w:b/>
                <w:noProof/>
                <w:kern w:val="28"/>
              </w:rPr>
              <w:t>Table of</w:t>
            </w:r>
            <w:r w:rsidRPr="00485321">
              <w:rPr>
                <w:rStyle w:val="Hyperlink"/>
                <w:rFonts w:ascii="Times New Roman" w:eastAsia="Times New Roman" w:hAnsi="Times New Roman" w:cs="Times New Roman"/>
                <w:bCs/>
                <w:noProof/>
                <w:kern w:val="28"/>
              </w:rPr>
              <w:t xml:space="preserve"> </w:t>
            </w:r>
            <w:r w:rsidRPr="00485321">
              <w:rPr>
                <w:rStyle w:val="Hyperlink"/>
                <w:rFonts w:ascii="Times New Roman" w:eastAsia="Times New Roman" w:hAnsi="Times New Roman" w:cs="Times New Roman"/>
                <w:b/>
                <w:noProof/>
                <w:kern w:val="28"/>
              </w:rPr>
              <w:t>Contents</w:t>
            </w:r>
            <w:r w:rsidRPr="00485321">
              <w:rPr>
                <w:rFonts w:ascii="Times New Roman" w:hAnsi="Times New Roman" w:cs="Times New Roman"/>
                <w:noProof/>
                <w:webHidden/>
              </w:rPr>
              <w:tab/>
            </w:r>
            <w:r w:rsidRPr="00485321">
              <w:rPr>
                <w:rFonts w:ascii="Times New Roman" w:hAnsi="Times New Roman" w:cs="Times New Roman"/>
                <w:noProof/>
                <w:webHidden/>
              </w:rPr>
              <w:fldChar w:fldCharType="begin"/>
            </w:r>
            <w:r w:rsidRPr="00485321">
              <w:rPr>
                <w:rFonts w:ascii="Times New Roman" w:hAnsi="Times New Roman" w:cs="Times New Roman"/>
                <w:noProof/>
                <w:webHidden/>
              </w:rPr>
              <w:instrText xml:space="preserve"> PAGEREF _Toc216438663 \h </w:instrText>
            </w:r>
            <w:r w:rsidRPr="00485321">
              <w:rPr>
                <w:rFonts w:ascii="Times New Roman" w:hAnsi="Times New Roman" w:cs="Times New Roman"/>
                <w:noProof/>
                <w:webHidden/>
              </w:rPr>
            </w:r>
            <w:r w:rsidRPr="00485321">
              <w:rPr>
                <w:rFonts w:ascii="Times New Roman" w:hAnsi="Times New Roman" w:cs="Times New Roman"/>
                <w:noProof/>
                <w:webHidden/>
              </w:rPr>
              <w:fldChar w:fldCharType="separate"/>
            </w:r>
            <w:r w:rsidRPr="00485321">
              <w:rPr>
                <w:rFonts w:ascii="Times New Roman" w:hAnsi="Times New Roman" w:cs="Times New Roman"/>
                <w:noProof/>
                <w:webHidden/>
              </w:rPr>
              <w:t>5</w:t>
            </w:r>
            <w:r w:rsidRPr="00485321">
              <w:rPr>
                <w:rFonts w:ascii="Times New Roman" w:hAnsi="Times New Roman" w:cs="Times New Roman"/>
                <w:noProof/>
                <w:webHidden/>
              </w:rPr>
              <w:fldChar w:fldCharType="end"/>
            </w:r>
          </w:hyperlink>
        </w:p>
        <w:p w14:paraId="746DB397" w14:textId="77777777" w:rsidR="009F2D5B" w:rsidRPr="00485321" w:rsidRDefault="009F2D5B" w:rsidP="009F2D5B">
          <w:pPr>
            <w:pStyle w:val="TOC1"/>
            <w:tabs>
              <w:tab w:val="right" w:leader="dot" w:pos="9016"/>
            </w:tabs>
            <w:rPr>
              <w:rFonts w:ascii="Times New Roman" w:eastAsiaTheme="minorEastAsia" w:hAnsi="Times New Roman" w:cs="Times New Roman"/>
              <w:noProof/>
              <w:kern w:val="2"/>
              <w:sz w:val="24"/>
              <w:szCs w:val="24"/>
              <w:lang w:val="en-US" w:eastAsia="zh-CN" w:bidi="ar-SA"/>
              <w14:ligatures w14:val="standardContextual"/>
            </w:rPr>
          </w:pPr>
          <w:hyperlink w:anchor="_Toc216438664" w:history="1">
            <w:r w:rsidRPr="00485321">
              <w:rPr>
                <w:rStyle w:val="Hyperlink"/>
                <w:rFonts w:ascii="Times New Roman" w:hAnsi="Times New Roman" w:cs="Times New Roman"/>
                <w:noProof/>
              </w:rPr>
              <w:t>CHAPTER 1: INTRODUCTION</w:t>
            </w:r>
            <w:r w:rsidRPr="00485321">
              <w:rPr>
                <w:rFonts w:ascii="Times New Roman" w:hAnsi="Times New Roman" w:cs="Times New Roman"/>
                <w:noProof/>
                <w:webHidden/>
              </w:rPr>
              <w:tab/>
            </w:r>
            <w:r w:rsidRPr="00485321">
              <w:rPr>
                <w:rFonts w:ascii="Times New Roman" w:hAnsi="Times New Roman" w:cs="Times New Roman"/>
                <w:noProof/>
                <w:webHidden/>
              </w:rPr>
              <w:fldChar w:fldCharType="begin"/>
            </w:r>
            <w:r w:rsidRPr="00485321">
              <w:rPr>
                <w:rFonts w:ascii="Times New Roman" w:hAnsi="Times New Roman" w:cs="Times New Roman"/>
                <w:noProof/>
                <w:webHidden/>
              </w:rPr>
              <w:instrText xml:space="preserve"> PAGEREF _Toc216438664 \h </w:instrText>
            </w:r>
            <w:r w:rsidRPr="00485321">
              <w:rPr>
                <w:rFonts w:ascii="Times New Roman" w:hAnsi="Times New Roman" w:cs="Times New Roman"/>
                <w:noProof/>
                <w:webHidden/>
              </w:rPr>
            </w:r>
            <w:r w:rsidRPr="00485321">
              <w:rPr>
                <w:rFonts w:ascii="Times New Roman" w:hAnsi="Times New Roman" w:cs="Times New Roman"/>
                <w:noProof/>
                <w:webHidden/>
              </w:rPr>
              <w:fldChar w:fldCharType="separate"/>
            </w:r>
            <w:r w:rsidRPr="00485321">
              <w:rPr>
                <w:rFonts w:ascii="Times New Roman" w:hAnsi="Times New Roman" w:cs="Times New Roman"/>
                <w:noProof/>
                <w:webHidden/>
              </w:rPr>
              <w:t>6</w:t>
            </w:r>
            <w:r w:rsidRPr="00485321">
              <w:rPr>
                <w:rFonts w:ascii="Times New Roman" w:hAnsi="Times New Roman" w:cs="Times New Roman"/>
                <w:noProof/>
                <w:webHidden/>
              </w:rPr>
              <w:fldChar w:fldCharType="end"/>
            </w:r>
          </w:hyperlink>
        </w:p>
        <w:p w14:paraId="2F8FA5F6" w14:textId="77777777" w:rsidR="009F2D5B" w:rsidRPr="00485321" w:rsidRDefault="009F2D5B" w:rsidP="009F2D5B">
          <w:pPr>
            <w:pStyle w:val="TOC1"/>
            <w:tabs>
              <w:tab w:val="right" w:leader="dot" w:pos="9016"/>
            </w:tabs>
            <w:rPr>
              <w:rFonts w:ascii="Times New Roman" w:eastAsiaTheme="minorEastAsia" w:hAnsi="Times New Roman" w:cs="Times New Roman"/>
              <w:noProof/>
              <w:kern w:val="2"/>
              <w:sz w:val="24"/>
              <w:szCs w:val="24"/>
              <w:lang w:val="en-US" w:eastAsia="zh-CN" w:bidi="ar-SA"/>
              <w14:ligatures w14:val="standardContextual"/>
            </w:rPr>
          </w:pPr>
          <w:hyperlink w:anchor="_Toc216438665" w:history="1">
            <w:r w:rsidRPr="00485321">
              <w:rPr>
                <w:rStyle w:val="Hyperlink"/>
                <w:rFonts w:ascii="Times New Roman" w:hAnsi="Times New Roman" w:cs="Times New Roman"/>
                <w:noProof/>
              </w:rPr>
              <w:t>CHAPTER 2: BACKGROUND</w:t>
            </w:r>
            <w:r w:rsidRPr="00485321">
              <w:rPr>
                <w:rFonts w:ascii="Times New Roman" w:hAnsi="Times New Roman" w:cs="Times New Roman"/>
                <w:noProof/>
                <w:webHidden/>
              </w:rPr>
              <w:tab/>
            </w:r>
            <w:r w:rsidRPr="00485321">
              <w:rPr>
                <w:rFonts w:ascii="Times New Roman" w:hAnsi="Times New Roman" w:cs="Times New Roman"/>
                <w:noProof/>
                <w:webHidden/>
              </w:rPr>
              <w:fldChar w:fldCharType="begin"/>
            </w:r>
            <w:r w:rsidRPr="00485321">
              <w:rPr>
                <w:rFonts w:ascii="Times New Roman" w:hAnsi="Times New Roman" w:cs="Times New Roman"/>
                <w:noProof/>
                <w:webHidden/>
              </w:rPr>
              <w:instrText xml:space="preserve"> PAGEREF _Toc216438665 \h </w:instrText>
            </w:r>
            <w:r w:rsidRPr="00485321">
              <w:rPr>
                <w:rFonts w:ascii="Times New Roman" w:hAnsi="Times New Roman" w:cs="Times New Roman"/>
                <w:noProof/>
                <w:webHidden/>
              </w:rPr>
            </w:r>
            <w:r w:rsidRPr="00485321">
              <w:rPr>
                <w:rFonts w:ascii="Times New Roman" w:hAnsi="Times New Roman" w:cs="Times New Roman"/>
                <w:noProof/>
                <w:webHidden/>
              </w:rPr>
              <w:fldChar w:fldCharType="separate"/>
            </w:r>
            <w:r w:rsidRPr="00485321">
              <w:rPr>
                <w:rFonts w:ascii="Times New Roman" w:hAnsi="Times New Roman" w:cs="Times New Roman"/>
                <w:noProof/>
                <w:webHidden/>
              </w:rPr>
              <w:t>9</w:t>
            </w:r>
            <w:r w:rsidRPr="00485321">
              <w:rPr>
                <w:rFonts w:ascii="Times New Roman" w:hAnsi="Times New Roman" w:cs="Times New Roman"/>
                <w:noProof/>
                <w:webHidden/>
              </w:rPr>
              <w:fldChar w:fldCharType="end"/>
            </w:r>
          </w:hyperlink>
        </w:p>
        <w:p w14:paraId="34DE9CD1" w14:textId="77777777" w:rsidR="009F2D5B" w:rsidRPr="00485321" w:rsidRDefault="009F2D5B" w:rsidP="009F2D5B">
          <w:pPr>
            <w:pStyle w:val="TOC1"/>
            <w:tabs>
              <w:tab w:val="right" w:leader="dot" w:pos="9016"/>
            </w:tabs>
            <w:rPr>
              <w:rFonts w:ascii="Times New Roman" w:eastAsiaTheme="minorEastAsia" w:hAnsi="Times New Roman" w:cs="Times New Roman"/>
              <w:noProof/>
              <w:kern w:val="2"/>
              <w:sz w:val="24"/>
              <w:szCs w:val="24"/>
              <w:lang w:val="en-US" w:eastAsia="zh-CN" w:bidi="ar-SA"/>
              <w14:ligatures w14:val="standardContextual"/>
            </w:rPr>
          </w:pPr>
          <w:hyperlink w:anchor="_Toc216438666" w:history="1">
            <w:r w:rsidRPr="00485321">
              <w:rPr>
                <w:rStyle w:val="Hyperlink"/>
                <w:rFonts w:ascii="Times New Roman" w:hAnsi="Times New Roman" w:cs="Times New Roman"/>
                <w:noProof/>
              </w:rPr>
              <w:t>CHAPTER 3: METHODS</w:t>
            </w:r>
            <w:r w:rsidRPr="00485321">
              <w:rPr>
                <w:rFonts w:ascii="Times New Roman" w:hAnsi="Times New Roman" w:cs="Times New Roman"/>
                <w:noProof/>
                <w:webHidden/>
              </w:rPr>
              <w:tab/>
            </w:r>
            <w:r w:rsidRPr="00485321">
              <w:rPr>
                <w:rFonts w:ascii="Times New Roman" w:hAnsi="Times New Roman" w:cs="Times New Roman"/>
                <w:noProof/>
                <w:webHidden/>
              </w:rPr>
              <w:fldChar w:fldCharType="begin"/>
            </w:r>
            <w:r w:rsidRPr="00485321">
              <w:rPr>
                <w:rFonts w:ascii="Times New Roman" w:hAnsi="Times New Roman" w:cs="Times New Roman"/>
                <w:noProof/>
                <w:webHidden/>
              </w:rPr>
              <w:instrText xml:space="preserve"> PAGEREF _Toc216438666 \h </w:instrText>
            </w:r>
            <w:r w:rsidRPr="00485321">
              <w:rPr>
                <w:rFonts w:ascii="Times New Roman" w:hAnsi="Times New Roman" w:cs="Times New Roman"/>
                <w:noProof/>
                <w:webHidden/>
              </w:rPr>
            </w:r>
            <w:r w:rsidRPr="00485321">
              <w:rPr>
                <w:rFonts w:ascii="Times New Roman" w:hAnsi="Times New Roman" w:cs="Times New Roman"/>
                <w:noProof/>
                <w:webHidden/>
              </w:rPr>
              <w:fldChar w:fldCharType="separate"/>
            </w:r>
            <w:r w:rsidRPr="00485321">
              <w:rPr>
                <w:rFonts w:ascii="Times New Roman" w:hAnsi="Times New Roman" w:cs="Times New Roman"/>
                <w:noProof/>
                <w:webHidden/>
              </w:rPr>
              <w:t>14</w:t>
            </w:r>
            <w:r w:rsidRPr="00485321">
              <w:rPr>
                <w:rFonts w:ascii="Times New Roman" w:hAnsi="Times New Roman" w:cs="Times New Roman"/>
                <w:noProof/>
                <w:webHidden/>
              </w:rPr>
              <w:fldChar w:fldCharType="end"/>
            </w:r>
          </w:hyperlink>
        </w:p>
        <w:p w14:paraId="5B32DE95" w14:textId="77777777" w:rsidR="009F2D5B" w:rsidRPr="00485321" w:rsidRDefault="009F2D5B" w:rsidP="009F2D5B">
          <w:pPr>
            <w:pStyle w:val="TOC1"/>
            <w:tabs>
              <w:tab w:val="right" w:leader="dot" w:pos="9016"/>
            </w:tabs>
            <w:rPr>
              <w:rFonts w:ascii="Times New Roman" w:eastAsiaTheme="minorEastAsia" w:hAnsi="Times New Roman" w:cs="Times New Roman"/>
              <w:noProof/>
              <w:kern w:val="2"/>
              <w:sz w:val="24"/>
              <w:szCs w:val="24"/>
              <w:lang w:val="en-US" w:eastAsia="zh-CN" w:bidi="ar-SA"/>
              <w14:ligatures w14:val="standardContextual"/>
            </w:rPr>
          </w:pPr>
          <w:hyperlink w:anchor="_Toc216438667" w:history="1">
            <w:r w:rsidRPr="00485321">
              <w:rPr>
                <w:rStyle w:val="Hyperlink"/>
                <w:rFonts w:ascii="Times New Roman" w:hAnsi="Times New Roman" w:cs="Times New Roman"/>
                <w:noProof/>
              </w:rPr>
              <w:t>CHAPTER 4: RESULTS AND DISCUSSION</w:t>
            </w:r>
            <w:r w:rsidRPr="00485321">
              <w:rPr>
                <w:rFonts w:ascii="Times New Roman" w:hAnsi="Times New Roman" w:cs="Times New Roman"/>
                <w:noProof/>
                <w:webHidden/>
              </w:rPr>
              <w:tab/>
            </w:r>
            <w:r w:rsidRPr="00485321">
              <w:rPr>
                <w:rFonts w:ascii="Times New Roman" w:hAnsi="Times New Roman" w:cs="Times New Roman"/>
                <w:noProof/>
                <w:webHidden/>
              </w:rPr>
              <w:fldChar w:fldCharType="begin"/>
            </w:r>
            <w:r w:rsidRPr="00485321">
              <w:rPr>
                <w:rFonts w:ascii="Times New Roman" w:hAnsi="Times New Roman" w:cs="Times New Roman"/>
                <w:noProof/>
                <w:webHidden/>
              </w:rPr>
              <w:instrText xml:space="preserve"> PAGEREF _Toc216438667 \h </w:instrText>
            </w:r>
            <w:r w:rsidRPr="00485321">
              <w:rPr>
                <w:rFonts w:ascii="Times New Roman" w:hAnsi="Times New Roman" w:cs="Times New Roman"/>
                <w:noProof/>
                <w:webHidden/>
              </w:rPr>
            </w:r>
            <w:r w:rsidRPr="00485321">
              <w:rPr>
                <w:rFonts w:ascii="Times New Roman" w:hAnsi="Times New Roman" w:cs="Times New Roman"/>
                <w:noProof/>
                <w:webHidden/>
              </w:rPr>
              <w:fldChar w:fldCharType="separate"/>
            </w:r>
            <w:r w:rsidRPr="00485321">
              <w:rPr>
                <w:rFonts w:ascii="Times New Roman" w:hAnsi="Times New Roman" w:cs="Times New Roman"/>
                <w:noProof/>
                <w:webHidden/>
              </w:rPr>
              <w:t>17</w:t>
            </w:r>
            <w:r w:rsidRPr="00485321">
              <w:rPr>
                <w:rFonts w:ascii="Times New Roman" w:hAnsi="Times New Roman" w:cs="Times New Roman"/>
                <w:noProof/>
                <w:webHidden/>
              </w:rPr>
              <w:fldChar w:fldCharType="end"/>
            </w:r>
          </w:hyperlink>
        </w:p>
        <w:p w14:paraId="4991E01B" w14:textId="77777777" w:rsidR="009F2D5B" w:rsidRPr="00485321" w:rsidRDefault="009F2D5B" w:rsidP="009F2D5B">
          <w:pPr>
            <w:pStyle w:val="TOC1"/>
            <w:tabs>
              <w:tab w:val="right" w:leader="dot" w:pos="9016"/>
            </w:tabs>
            <w:rPr>
              <w:rFonts w:ascii="Times New Roman" w:eastAsiaTheme="minorEastAsia" w:hAnsi="Times New Roman" w:cs="Times New Roman"/>
              <w:noProof/>
              <w:kern w:val="2"/>
              <w:sz w:val="24"/>
              <w:szCs w:val="24"/>
              <w:lang w:val="en-US" w:eastAsia="zh-CN" w:bidi="ar-SA"/>
              <w14:ligatures w14:val="standardContextual"/>
            </w:rPr>
          </w:pPr>
          <w:hyperlink w:anchor="_Toc216438668" w:history="1">
            <w:r w:rsidRPr="00485321">
              <w:rPr>
                <w:rStyle w:val="Hyperlink"/>
                <w:rFonts w:ascii="Times New Roman" w:hAnsi="Times New Roman" w:cs="Times New Roman"/>
                <w:noProof/>
              </w:rPr>
              <w:t>CHAPTER 5: RECOMMENDATIONS AND CONCLUSION</w:t>
            </w:r>
            <w:r w:rsidRPr="00485321">
              <w:rPr>
                <w:rFonts w:ascii="Times New Roman" w:hAnsi="Times New Roman" w:cs="Times New Roman"/>
                <w:noProof/>
                <w:webHidden/>
              </w:rPr>
              <w:tab/>
            </w:r>
            <w:r w:rsidRPr="00485321">
              <w:rPr>
                <w:rFonts w:ascii="Times New Roman" w:hAnsi="Times New Roman" w:cs="Times New Roman"/>
                <w:noProof/>
                <w:webHidden/>
              </w:rPr>
              <w:fldChar w:fldCharType="begin"/>
            </w:r>
            <w:r w:rsidRPr="00485321">
              <w:rPr>
                <w:rFonts w:ascii="Times New Roman" w:hAnsi="Times New Roman" w:cs="Times New Roman"/>
                <w:noProof/>
                <w:webHidden/>
              </w:rPr>
              <w:instrText xml:space="preserve"> PAGEREF _Toc216438668 \h </w:instrText>
            </w:r>
            <w:r w:rsidRPr="00485321">
              <w:rPr>
                <w:rFonts w:ascii="Times New Roman" w:hAnsi="Times New Roman" w:cs="Times New Roman"/>
                <w:noProof/>
                <w:webHidden/>
              </w:rPr>
            </w:r>
            <w:r w:rsidRPr="00485321">
              <w:rPr>
                <w:rFonts w:ascii="Times New Roman" w:hAnsi="Times New Roman" w:cs="Times New Roman"/>
                <w:noProof/>
                <w:webHidden/>
              </w:rPr>
              <w:fldChar w:fldCharType="separate"/>
            </w:r>
            <w:r w:rsidRPr="00485321">
              <w:rPr>
                <w:rFonts w:ascii="Times New Roman" w:hAnsi="Times New Roman" w:cs="Times New Roman"/>
                <w:noProof/>
                <w:webHidden/>
              </w:rPr>
              <w:t>29</w:t>
            </w:r>
            <w:r w:rsidRPr="00485321">
              <w:rPr>
                <w:rFonts w:ascii="Times New Roman" w:hAnsi="Times New Roman" w:cs="Times New Roman"/>
                <w:noProof/>
                <w:webHidden/>
              </w:rPr>
              <w:fldChar w:fldCharType="end"/>
            </w:r>
          </w:hyperlink>
        </w:p>
        <w:p w14:paraId="7C4F4DD0" w14:textId="77777777" w:rsidR="009F2D5B" w:rsidRPr="00485321" w:rsidRDefault="009F2D5B" w:rsidP="009F2D5B">
          <w:pPr>
            <w:pStyle w:val="TOC1"/>
            <w:tabs>
              <w:tab w:val="right" w:leader="dot" w:pos="9016"/>
            </w:tabs>
            <w:rPr>
              <w:rFonts w:ascii="Times New Roman" w:eastAsiaTheme="minorEastAsia" w:hAnsi="Times New Roman" w:cs="Times New Roman"/>
              <w:noProof/>
              <w:kern w:val="2"/>
              <w:sz w:val="24"/>
              <w:szCs w:val="24"/>
              <w:lang w:val="en-US" w:eastAsia="zh-CN" w:bidi="ar-SA"/>
              <w14:ligatures w14:val="standardContextual"/>
            </w:rPr>
          </w:pPr>
          <w:hyperlink w:anchor="_Toc216438669" w:history="1">
            <w:r w:rsidRPr="00485321">
              <w:rPr>
                <w:rStyle w:val="Hyperlink"/>
                <w:rFonts w:ascii="Times New Roman" w:hAnsi="Times New Roman" w:cs="Times New Roman"/>
                <w:noProof/>
              </w:rPr>
              <w:t>REFERENCES</w:t>
            </w:r>
            <w:r w:rsidRPr="00485321">
              <w:rPr>
                <w:rFonts w:ascii="Times New Roman" w:hAnsi="Times New Roman" w:cs="Times New Roman"/>
                <w:noProof/>
                <w:webHidden/>
              </w:rPr>
              <w:tab/>
            </w:r>
            <w:r w:rsidRPr="00485321">
              <w:rPr>
                <w:rFonts w:ascii="Times New Roman" w:hAnsi="Times New Roman" w:cs="Times New Roman"/>
                <w:noProof/>
                <w:webHidden/>
              </w:rPr>
              <w:fldChar w:fldCharType="begin"/>
            </w:r>
            <w:r w:rsidRPr="00485321">
              <w:rPr>
                <w:rFonts w:ascii="Times New Roman" w:hAnsi="Times New Roman" w:cs="Times New Roman"/>
                <w:noProof/>
                <w:webHidden/>
              </w:rPr>
              <w:instrText xml:space="preserve"> PAGEREF _Toc216438669 \h </w:instrText>
            </w:r>
            <w:r w:rsidRPr="00485321">
              <w:rPr>
                <w:rFonts w:ascii="Times New Roman" w:hAnsi="Times New Roman" w:cs="Times New Roman"/>
                <w:noProof/>
                <w:webHidden/>
              </w:rPr>
            </w:r>
            <w:r w:rsidRPr="00485321">
              <w:rPr>
                <w:rFonts w:ascii="Times New Roman" w:hAnsi="Times New Roman" w:cs="Times New Roman"/>
                <w:noProof/>
                <w:webHidden/>
              </w:rPr>
              <w:fldChar w:fldCharType="separate"/>
            </w:r>
            <w:r w:rsidRPr="00485321">
              <w:rPr>
                <w:rFonts w:ascii="Times New Roman" w:hAnsi="Times New Roman" w:cs="Times New Roman"/>
                <w:noProof/>
                <w:webHidden/>
              </w:rPr>
              <w:t>33</w:t>
            </w:r>
            <w:r w:rsidRPr="00485321">
              <w:rPr>
                <w:rFonts w:ascii="Times New Roman" w:hAnsi="Times New Roman" w:cs="Times New Roman"/>
                <w:noProof/>
                <w:webHidden/>
              </w:rPr>
              <w:fldChar w:fldCharType="end"/>
            </w:r>
          </w:hyperlink>
        </w:p>
        <w:p w14:paraId="096914E2" w14:textId="77777777" w:rsidR="009F2D5B" w:rsidRPr="00485321" w:rsidRDefault="009F2D5B" w:rsidP="009F2D5B">
          <w:pPr>
            <w:pStyle w:val="TOC1"/>
            <w:tabs>
              <w:tab w:val="right" w:leader="dot" w:pos="9016"/>
            </w:tabs>
            <w:rPr>
              <w:rFonts w:ascii="Times New Roman" w:eastAsiaTheme="minorEastAsia" w:hAnsi="Times New Roman" w:cs="Times New Roman"/>
              <w:noProof/>
              <w:kern w:val="2"/>
              <w:sz w:val="24"/>
              <w:szCs w:val="24"/>
              <w:lang w:val="en-US" w:eastAsia="zh-CN" w:bidi="ar-SA"/>
              <w14:ligatures w14:val="standardContextual"/>
            </w:rPr>
          </w:pPr>
          <w:hyperlink w:anchor="_Toc216438670" w:history="1">
            <w:r w:rsidRPr="00485321">
              <w:rPr>
                <w:rStyle w:val="Hyperlink"/>
                <w:rFonts w:ascii="Times New Roman" w:hAnsi="Times New Roman" w:cs="Times New Roman"/>
                <w:noProof/>
              </w:rPr>
              <w:t>APPENDICES</w:t>
            </w:r>
            <w:r w:rsidRPr="00485321">
              <w:rPr>
                <w:rFonts w:ascii="Times New Roman" w:hAnsi="Times New Roman" w:cs="Times New Roman"/>
                <w:noProof/>
                <w:webHidden/>
              </w:rPr>
              <w:tab/>
            </w:r>
            <w:r w:rsidRPr="00485321">
              <w:rPr>
                <w:rFonts w:ascii="Times New Roman" w:hAnsi="Times New Roman" w:cs="Times New Roman"/>
                <w:noProof/>
                <w:webHidden/>
              </w:rPr>
              <w:fldChar w:fldCharType="begin"/>
            </w:r>
            <w:r w:rsidRPr="00485321">
              <w:rPr>
                <w:rFonts w:ascii="Times New Roman" w:hAnsi="Times New Roman" w:cs="Times New Roman"/>
                <w:noProof/>
                <w:webHidden/>
              </w:rPr>
              <w:instrText xml:space="preserve"> PAGEREF _Toc216438670 \h </w:instrText>
            </w:r>
            <w:r w:rsidRPr="00485321">
              <w:rPr>
                <w:rFonts w:ascii="Times New Roman" w:hAnsi="Times New Roman" w:cs="Times New Roman"/>
                <w:noProof/>
                <w:webHidden/>
              </w:rPr>
            </w:r>
            <w:r w:rsidRPr="00485321">
              <w:rPr>
                <w:rFonts w:ascii="Times New Roman" w:hAnsi="Times New Roman" w:cs="Times New Roman"/>
                <w:noProof/>
                <w:webHidden/>
              </w:rPr>
              <w:fldChar w:fldCharType="separate"/>
            </w:r>
            <w:r w:rsidRPr="00485321">
              <w:rPr>
                <w:rFonts w:ascii="Times New Roman" w:hAnsi="Times New Roman" w:cs="Times New Roman"/>
                <w:noProof/>
                <w:webHidden/>
              </w:rPr>
              <w:t>40</w:t>
            </w:r>
            <w:r w:rsidRPr="00485321">
              <w:rPr>
                <w:rFonts w:ascii="Times New Roman" w:hAnsi="Times New Roman" w:cs="Times New Roman"/>
                <w:noProof/>
                <w:webHidden/>
              </w:rPr>
              <w:fldChar w:fldCharType="end"/>
            </w:r>
          </w:hyperlink>
        </w:p>
        <w:p w14:paraId="1F52E05F" w14:textId="77777777" w:rsidR="009F2D5B" w:rsidRPr="00485321" w:rsidRDefault="009F2D5B" w:rsidP="009F2D5B">
          <w:pPr>
            <w:rPr>
              <w:rFonts w:ascii="Times New Roman" w:hAnsi="Times New Roman" w:cs="Times New Roman"/>
            </w:rPr>
          </w:pPr>
          <w:r w:rsidRPr="00485321">
            <w:rPr>
              <w:rFonts w:ascii="Times New Roman" w:hAnsi="Times New Roman" w:cs="Times New Roman"/>
              <w:b/>
              <w:bCs/>
            </w:rPr>
            <w:fldChar w:fldCharType="end"/>
          </w:r>
        </w:p>
      </w:sdtContent>
    </w:sdt>
    <w:p w14:paraId="49764DD0" w14:textId="77777777" w:rsidR="009F2D5B" w:rsidRPr="00485321" w:rsidRDefault="009F2D5B" w:rsidP="009F2D5B">
      <w:pPr>
        <w:spacing w:line="360" w:lineRule="auto"/>
        <w:mirrorIndents/>
        <w:rPr>
          <w:rFonts w:ascii="Times New Roman" w:eastAsia="Times New Roman" w:hAnsi="Times New Roman" w:cs="Times New Roman"/>
          <w:kern w:val="22"/>
          <w:szCs w:val="20"/>
        </w:rPr>
      </w:pPr>
    </w:p>
    <w:p w14:paraId="5A941255" w14:textId="77777777" w:rsidR="009F2D5B" w:rsidRPr="00485321" w:rsidRDefault="009F2D5B" w:rsidP="009F2D5B">
      <w:pPr>
        <w:spacing w:line="360" w:lineRule="auto"/>
        <w:mirrorIndents/>
        <w:rPr>
          <w:rFonts w:ascii="Times New Roman" w:eastAsia="Times New Roman" w:hAnsi="Times New Roman" w:cs="Times New Roman"/>
          <w:kern w:val="22"/>
          <w:szCs w:val="20"/>
        </w:rPr>
      </w:pPr>
    </w:p>
    <w:p w14:paraId="7D9024B0" w14:textId="77777777" w:rsidR="009F2D5B" w:rsidRPr="00485321" w:rsidRDefault="009F2D5B" w:rsidP="009F2D5B">
      <w:pPr>
        <w:spacing w:line="360" w:lineRule="auto"/>
        <w:mirrorIndents/>
        <w:rPr>
          <w:rFonts w:ascii="Times New Roman" w:eastAsia="Times New Roman" w:hAnsi="Times New Roman" w:cs="Times New Roman"/>
          <w:kern w:val="22"/>
          <w:szCs w:val="20"/>
        </w:rPr>
      </w:pPr>
    </w:p>
    <w:p w14:paraId="1DDC5DAA" w14:textId="77777777" w:rsidR="009F2D5B" w:rsidRPr="00485321" w:rsidRDefault="009F2D5B" w:rsidP="009F2D5B">
      <w:pPr>
        <w:spacing w:line="360" w:lineRule="auto"/>
        <w:mirrorIndents/>
        <w:rPr>
          <w:rFonts w:ascii="Times New Roman" w:eastAsia="Times New Roman" w:hAnsi="Times New Roman" w:cs="Times New Roman"/>
          <w:kern w:val="22"/>
          <w:szCs w:val="20"/>
        </w:rPr>
      </w:pPr>
    </w:p>
    <w:p w14:paraId="2A0201A0" w14:textId="77777777" w:rsidR="009F2D5B" w:rsidRPr="00485321" w:rsidRDefault="009F2D5B" w:rsidP="009F2D5B">
      <w:pPr>
        <w:spacing w:line="360" w:lineRule="auto"/>
        <w:mirrorIndents/>
        <w:rPr>
          <w:rFonts w:ascii="Times New Roman" w:eastAsia="Times New Roman" w:hAnsi="Times New Roman" w:cs="Times New Roman"/>
          <w:kern w:val="22"/>
          <w:szCs w:val="20"/>
        </w:rPr>
      </w:pPr>
    </w:p>
    <w:p w14:paraId="2A0519D0" w14:textId="77777777" w:rsidR="009F2D5B" w:rsidRPr="00485321" w:rsidRDefault="009F2D5B" w:rsidP="009F2D5B">
      <w:pPr>
        <w:spacing w:line="360" w:lineRule="auto"/>
        <w:mirrorIndents/>
        <w:rPr>
          <w:rFonts w:ascii="Times New Roman" w:eastAsia="Times New Roman" w:hAnsi="Times New Roman" w:cs="Times New Roman"/>
          <w:kern w:val="22"/>
          <w:szCs w:val="20"/>
        </w:rPr>
      </w:pPr>
      <w:r w:rsidRPr="00485321">
        <w:rPr>
          <w:rFonts w:ascii="Times New Roman" w:eastAsia="Times New Roman" w:hAnsi="Times New Roman" w:cs="Times New Roman"/>
          <w:kern w:val="22"/>
          <w:szCs w:val="20"/>
        </w:rPr>
        <w:br w:type="page"/>
      </w:r>
    </w:p>
    <w:p w14:paraId="20BC0D5E" w14:textId="77777777" w:rsidR="009F2D5B" w:rsidRPr="00485321" w:rsidRDefault="009F2D5B" w:rsidP="009F2D5B">
      <w:pPr>
        <w:pStyle w:val="Heading1"/>
        <w:spacing w:before="240" w:line="360" w:lineRule="auto"/>
        <w:mirrorIndents/>
        <w:jc w:val="center"/>
        <w:rPr>
          <w:rFonts w:ascii="Times New Roman" w:hAnsi="Times New Roman" w:cs="Times New Roman"/>
          <w:b/>
        </w:rPr>
      </w:pPr>
      <w:bookmarkStart w:id="7" w:name="_Toc216438664"/>
      <w:r w:rsidRPr="00485321">
        <w:rPr>
          <w:rFonts w:ascii="Times New Roman" w:hAnsi="Times New Roman" w:cs="Times New Roman"/>
        </w:rPr>
        <w:lastRenderedPageBreak/>
        <w:t>CHAPTER 1: INTRODUCTION</w:t>
      </w:r>
      <w:bookmarkEnd w:id="7"/>
      <w:r w:rsidRPr="00485321">
        <w:rPr>
          <w:rFonts w:ascii="Times New Roman" w:hAnsi="Times New Roman" w:cs="Times New Roman"/>
        </w:rPr>
        <w:t xml:space="preserve"> </w:t>
      </w:r>
    </w:p>
    <w:p w14:paraId="69598997" w14:textId="77777777" w:rsidR="009F2D5B" w:rsidRPr="00485321" w:rsidRDefault="009F2D5B" w:rsidP="009F2D5B">
      <w:pPr>
        <w:spacing w:before="240" w:line="360" w:lineRule="auto"/>
        <w:jc w:val="both"/>
        <w:rPr>
          <w:rFonts w:ascii="Times New Roman" w:hAnsi="Times New Roman" w:cs="Times New Roman"/>
          <w:b/>
          <w:bCs/>
          <w:sz w:val="28"/>
          <w:szCs w:val="28"/>
        </w:rPr>
      </w:pPr>
      <w:r w:rsidRPr="00485321">
        <w:rPr>
          <w:rFonts w:ascii="Times New Roman" w:hAnsi="Times New Roman" w:cs="Times New Roman"/>
          <w:b/>
          <w:bCs/>
          <w:sz w:val="28"/>
          <w:szCs w:val="28"/>
        </w:rPr>
        <w:t>Introduction</w:t>
      </w:r>
    </w:p>
    <w:p w14:paraId="2B0059C5" w14:textId="77777777" w:rsidR="009F2D5B" w:rsidRPr="00485321" w:rsidRDefault="009F2D5B" w:rsidP="009F2D5B">
      <w:pPr>
        <w:spacing w:before="240" w:line="360" w:lineRule="auto"/>
        <w:jc w:val="both"/>
        <w:rPr>
          <w:rFonts w:ascii="Times New Roman" w:hAnsi="Times New Roman" w:cs="Times New Roman"/>
          <w:color w:val="2E2E2E"/>
          <w:shd w:val="clear" w:color="auto" w:fill="FFFFFF"/>
        </w:rPr>
      </w:pPr>
      <w:r w:rsidRPr="00485321">
        <w:rPr>
          <w:rFonts w:ascii="Times New Roman" w:hAnsi="Times New Roman" w:cs="Times New Roman"/>
        </w:rPr>
        <w:t xml:space="preserve">Alcohol consumption has been described as one of the leading risk factors for morbidity and various other adverse health outcomes globally (Rosenberg et al. 2018). It accounts for several acute and chronic diseases. In the UK, drinking above the low-risk guidelines (i.e., &gt;14 units of alcohol per week) </w:t>
      </w:r>
      <w:proofErr w:type="gramStart"/>
      <w:r w:rsidRPr="00485321">
        <w:rPr>
          <w:rFonts w:ascii="Times New Roman" w:hAnsi="Times New Roman" w:cs="Times New Roman"/>
        </w:rPr>
        <w:t>has</w:t>
      </w:r>
      <w:proofErr w:type="gramEnd"/>
      <w:r w:rsidRPr="00485321">
        <w:rPr>
          <w:rFonts w:ascii="Times New Roman" w:hAnsi="Times New Roman" w:cs="Times New Roman"/>
        </w:rPr>
        <w:t xml:space="preserve"> been shown to be significantly associated with an increased risk of developing diabetes mellitus (Department of Health UK, 2016). This is due to alcohol’s impact on insulin sensitivity, liver function, and body weight regulation. Heavy drinking contributes to visceral fat accumulation and impairs glucose metabolism, both of which are key drivers of type 2 diabetes mellitus (T2DM). As reported by Kim and Kim (2012), chronic alcohol consumption disrupts glucose homeostasis and is associated with the development of insulin resistance. This outcome may therefore be regarded as a potential risk factor for the incidence of T2DM. </w:t>
      </w:r>
      <w:r w:rsidRPr="00485321">
        <w:rPr>
          <w:rFonts w:ascii="Times New Roman" w:hAnsi="Times New Roman" w:cs="Times New Roman"/>
          <w:shd w:val="clear" w:color="auto" w:fill="FFFFFF"/>
        </w:rPr>
        <w:t>By focusing on adults aged 18 years and above in the UK, this study aimed to provide an understanding of the correlation between binge drinking and T2DM development.</w:t>
      </w:r>
      <w:r w:rsidRPr="00485321">
        <w:rPr>
          <w:rFonts w:ascii="Times New Roman" w:hAnsi="Times New Roman" w:cs="Times New Roman"/>
          <w:color w:val="2E2E2E"/>
          <w:shd w:val="clear" w:color="auto" w:fill="FFFFFF"/>
        </w:rPr>
        <w:t xml:space="preserve"> </w:t>
      </w:r>
      <w:r w:rsidRPr="00485321">
        <w:rPr>
          <w:rFonts w:ascii="Times New Roman" w:hAnsi="Times New Roman" w:cs="Times New Roman"/>
        </w:rPr>
        <w:t>Findings from this study could inform more targeted public health strategies, especially in socioeconomically deprived populations where both binge drinking and diabetes diagnosis are higher.</w:t>
      </w:r>
    </w:p>
    <w:p w14:paraId="4780B455" w14:textId="77777777" w:rsidR="009F2D5B" w:rsidRPr="00485321" w:rsidRDefault="009F2D5B" w:rsidP="009F2D5B">
      <w:pPr>
        <w:spacing w:before="240" w:line="360" w:lineRule="auto"/>
        <w:jc w:val="both"/>
        <w:rPr>
          <w:rFonts w:ascii="Times New Roman" w:hAnsi="Times New Roman" w:cs="Times New Roman"/>
          <w:b/>
          <w:bCs/>
          <w:sz w:val="28"/>
          <w:szCs w:val="28"/>
        </w:rPr>
      </w:pPr>
      <w:r w:rsidRPr="00485321">
        <w:rPr>
          <w:rFonts w:ascii="Times New Roman" w:hAnsi="Times New Roman" w:cs="Times New Roman"/>
          <w:b/>
          <w:bCs/>
          <w:sz w:val="28"/>
          <w:szCs w:val="28"/>
        </w:rPr>
        <w:t>Key terminologies</w:t>
      </w:r>
    </w:p>
    <w:p w14:paraId="2F92EB95" w14:textId="77777777" w:rsidR="009F2D5B" w:rsidRPr="00485321" w:rsidRDefault="009F2D5B" w:rsidP="009F2D5B">
      <w:pPr>
        <w:spacing w:before="240" w:line="360" w:lineRule="auto"/>
        <w:jc w:val="both"/>
        <w:rPr>
          <w:rFonts w:ascii="Times New Roman" w:hAnsi="Times New Roman" w:cs="Times New Roman"/>
        </w:rPr>
      </w:pPr>
      <w:r w:rsidRPr="00485321">
        <w:rPr>
          <w:rFonts w:ascii="Times New Roman" w:hAnsi="Times New Roman" w:cs="Times New Roman"/>
          <w:b/>
          <w:bCs/>
        </w:rPr>
        <w:t>Diabetes mellitus:</w:t>
      </w:r>
      <w:r w:rsidRPr="00485321">
        <w:rPr>
          <w:rFonts w:ascii="Times New Roman" w:hAnsi="Times New Roman" w:cs="Times New Roman"/>
        </w:rPr>
        <w:t xml:space="preserve"> diabetes mellitus is defined as a group of heterogeneous metabolic diseases characterised by elevated blood glucose levels resulting from defects in insulin secretion and/or insulin action (Banday et al., 2020). </w:t>
      </w:r>
    </w:p>
    <w:p w14:paraId="326490A4" w14:textId="77777777" w:rsidR="009F2D5B" w:rsidRPr="00485321" w:rsidRDefault="009F2D5B" w:rsidP="009F2D5B">
      <w:pPr>
        <w:spacing w:before="240" w:line="360" w:lineRule="auto"/>
        <w:jc w:val="both"/>
        <w:rPr>
          <w:rFonts w:ascii="Times New Roman" w:hAnsi="Times New Roman" w:cs="Times New Roman"/>
        </w:rPr>
      </w:pPr>
      <w:r w:rsidRPr="00485321">
        <w:rPr>
          <w:rFonts w:ascii="Times New Roman" w:hAnsi="Times New Roman" w:cs="Times New Roman"/>
          <w:b/>
          <w:bCs/>
        </w:rPr>
        <w:t>T2DM</w:t>
      </w:r>
      <w:r w:rsidRPr="00485321">
        <w:rPr>
          <w:rFonts w:ascii="Times New Roman" w:hAnsi="Times New Roman" w:cs="Times New Roman"/>
        </w:rPr>
        <w:t>: T2DM remains one of the most common metabolic variants of diabetes mellitus, affecting individuals across nearly all age groups. It is caused by a combination of impaired insulin secretion by pancreatic β-cells and reduced responsiveness of insulin-sensitive tissues (Banday et al., 2020).</w:t>
      </w:r>
    </w:p>
    <w:p w14:paraId="570DB16D" w14:textId="77777777" w:rsidR="009F2D5B" w:rsidRPr="00485321" w:rsidRDefault="009F2D5B" w:rsidP="009F2D5B">
      <w:pPr>
        <w:spacing w:before="240" w:line="360" w:lineRule="auto"/>
        <w:jc w:val="both"/>
        <w:rPr>
          <w:rFonts w:ascii="Times New Roman" w:hAnsi="Times New Roman" w:cs="Times New Roman"/>
          <w:b/>
          <w:bCs/>
        </w:rPr>
      </w:pPr>
      <w:r w:rsidRPr="00485321">
        <w:rPr>
          <w:rFonts w:ascii="Times New Roman" w:hAnsi="Times New Roman" w:cs="Times New Roman"/>
          <w:b/>
          <w:bCs/>
        </w:rPr>
        <w:t>Binge drinking</w:t>
      </w:r>
      <w:r w:rsidRPr="00485321">
        <w:rPr>
          <w:rFonts w:ascii="Times New Roman" w:hAnsi="Times New Roman" w:cs="Times New Roman"/>
        </w:rPr>
        <w:t>: binge drinking refers to heavy episodic drinking or a drinking pattern characterised by the consumption of large amounts of alcohol within a short period of time, often leading to alcohol intoxication (</w:t>
      </w:r>
      <w:r w:rsidRPr="00485321">
        <w:rPr>
          <w:rFonts w:ascii="Times New Roman" w:hAnsi="Times New Roman" w:cs="Times New Roman"/>
          <w:lang w:val="en-US"/>
        </w:rPr>
        <w:t>Valencia Martín</w:t>
      </w:r>
      <w:r w:rsidRPr="00485321">
        <w:rPr>
          <w:rFonts w:ascii="Times New Roman" w:hAnsi="Times New Roman" w:cs="Times New Roman"/>
        </w:rPr>
        <w:t xml:space="preserve"> et al., 2020). </w:t>
      </w:r>
    </w:p>
    <w:p w14:paraId="435C983C" w14:textId="77777777" w:rsidR="009F2D5B" w:rsidRPr="00485321" w:rsidRDefault="009F2D5B" w:rsidP="009F2D5B">
      <w:pPr>
        <w:spacing w:before="240" w:line="360" w:lineRule="auto"/>
        <w:jc w:val="both"/>
        <w:rPr>
          <w:rFonts w:ascii="Times New Roman" w:hAnsi="Times New Roman" w:cs="Times New Roman"/>
          <w:b/>
          <w:bCs/>
          <w:sz w:val="28"/>
          <w:szCs w:val="28"/>
        </w:rPr>
      </w:pPr>
      <w:r w:rsidRPr="00485321">
        <w:rPr>
          <w:rFonts w:ascii="Times New Roman" w:hAnsi="Times New Roman" w:cs="Times New Roman"/>
          <w:b/>
          <w:bCs/>
          <w:sz w:val="28"/>
          <w:szCs w:val="28"/>
        </w:rPr>
        <w:t>Rationale for the study</w:t>
      </w:r>
    </w:p>
    <w:p w14:paraId="52491661" w14:textId="77777777" w:rsidR="009F2D5B" w:rsidRPr="00485321" w:rsidRDefault="009F2D5B" w:rsidP="009F2D5B">
      <w:pPr>
        <w:spacing w:before="240" w:line="360" w:lineRule="auto"/>
        <w:jc w:val="both"/>
        <w:rPr>
          <w:rFonts w:ascii="Times New Roman" w:hAnsi="Times New Roman" w:cs="Times New Roman"/>
          <w:color w:val="2E2E2E"/>
          <w:shd w:val="clear" w:color="auto" w:fill="FFFFFF"/>
        </w:rPr>
      </w:pPr>
      <w:r w:rsidRPr="00485321">
        <w:rPr>
          <w:rFonts w:ascii="Times New Roman" w:hAnsi="Times New Roman" w:cs="Times New Roman"/>
        </w:rPr>
        <w:t xml:space="preserve">Although studies have focused on the effects of chronic alcohol consumption and the mechanisms of tissue injury underlying alcoholic hepatitis and cirrhosis, there is a growing need to investigate its impact on diabetes mellitus development (Baliunas et al., 2009; Kim and Kim, 2012). This study focused on binge drinking because exploring the role of binge drinking in the development of T2DM is </w:t>
      </w:r>
      <w:r w:rsidRPr="00485321">
        <w:rPr>
          <w:rFonts w:ascii="Times New Roman" w:hAnsi="Times New Roman" w:cs="Times New Roman"/>
        </w:rPr>
        <w:lastRenderedPageBreak/>
        <w:t xml:space="preserve">essential to inform public health strategies and clinical interventions aimed at reducing alcohol-related metabolic disorders. Furthermore, the study explored the UK context because of the increasing prevalence of alcohol binge drinking in the UK (Viner et al., 2007). Further information on the relevance of this topic to the UK context is provided in the “Background” section. Although particularly prevalent among individuals aged 18–24 years, this trend has also been increasingly reported among older adults (Wang et al., 2022). However, the literature presents inconsistent findings regarding the metabolic impact of alcohol. While some studies identify alcohol consumption as a potential risk factor for the development of T2DM (Kim and Kim, 2012), other epidemiologic studies have observed a lower risk of T2DM among moderate drinkers (Baliunas et al., 2009). This disparity may have been influenced by several factors, including variations in drinking patterns, genetic predisposition, lifestyle behaviours, and comorbid conditions. Age particularly plays a crucial role in this. Middle-aged and older adults experience a natural decline in metabolic function, and the prevalence of pre-diabetes in this population is notably higher (Yan et al., 2023). This may accelerate the onset of T2DM when combined with heavy alcohol intake. Despite these risks, research specifically examining the relationship between alcohol consumption and T2DM in adults remains limited. Within the UK, where T2DM and binge drinking continue to pose a public health concern, there is a pressing need for targeted studies that explore the correlation between binge drinking and T2DM. </w:t>
      </w:r>
    </w:p>
    <w:p w14:paraId="58EC663F" w14:textId="77777777" w:rsidR="009F2D5B" w:rsidRPr="00485321" w:rsidRDefault="009F2D5B" w:rsidP="009F2D5B">
      <w:pPr>
        <w:spacing w:before="240" w:line="360" w:lineRule="auto"/>
        <w:jc w:val="both"/>
        <w:rPr>
          <w:rFonts w:ascii="Times New Roman" w:hAnsi="Times New Roman" w:cs="Times New Roman"/>
          <w:b/>
          <w:bCs/>
          <w:sz w:val="28"/>
          <w:szCs w:val="28"/>
        </w:rPr>
      </w:pPr>
      <w:r w:rsidRPr="00485321">
        <w:rPr>
          <w:rFonts w:ascii="Times New Roman" w:hAnsi="Times New Roman" w:cs="Times New Roman"/>
          <w:b/>
          <w:bCs/>
          <w:sz w:val="28"/>
          <w:szCs w:val="28"/>
        </w:rPr>
        <w:t>Aims and objectives</w:t>
      </w:r>
    </w:p>
    <w:p w14:paraId="001B6505" w14:textId="77777777" w:rsidR="009F2D5B" w:rsidRPr="00485321" w:rsidRDefault="009F2D5B" w:rsidP="009F2D5B">
      <w:pPr>
        <w:spacing w:before="240" w:line="360" w:lineRule="auto"/>
        <w:jc w:val="both"/>
        <w:rPr>
          <w:rFonts w:ascii="Times New Roman" w:hAnsi="Times New Roman" w:cs="Times New Roman"/>
          <w:b/>
          <w:bCs/>
        </w:rPr>
      </w:pPr>
      <w:r w:rsidRPr="00485321">
        <w:rPr>
          <w:rFonts w:ascii="Times New Roman" w:hAnsi="Times New Roman" w:cs="Times New Roman"/>
          <w:b/>
          <w:bCs/>
        </w:rPr>
        <w:t xml:space="preserve">Aim </w:t>
      </w:r>
    </w:p>
    <w:p w14:paraId="35FF1409" w14:textId="77777777" w:rsidR="009F2D5B" w:rsidRPr="00485321" w:rsidRDefault="009F2D5B" w:rsidP="009F2D5B">
      <w:pPr>
        <w:spacing w:before="240" w:line="360" w:lineRule="auto"/>
        <w:jc w:val="both"/>
        <w:rPr>
          <w:rFonts w:ascii="Times New Roman" w:hAnsi="Times New Roman" w:cs="Times New Roman"/>
        </w:rPr>
      </w:pPr>
      <w:r w:rsidRPr="00485321">
        <w:rPr>
          <w:rFonts w:ascii="Times New Roman" w:hAnsi="Times New Roman" w:cs="Times New Roman"/>
        </w:rPr>
        <w:t>To investigate the association between binge drinking and Type 2 Diabetes among adults aged 18 years and above in the UK.</w:t>
      </w:r>
    </w:p>
    <w:p w14:paraId="15B05EFC" w14:textId="77777777" w:rsidR="009F2D5B" w:rsidRPr="00485321" w:rsidRDefault="009F2D5B" w:rsidP="009F2D5B">
      <w:pPr>
        <w:spacing w:before="240" w:line="360" w:lineRule="auto"/>
        <w:jc w:val="both"/>
        <w:rPr>
          <w:rFonts w:ascii="Times New Roman" w:hAnsi="Times New Roman" w:cs="Times New Roman"/>
          <w:b/>
          <w:bCs/>
        </w:rPr>
      </w:pPr>
      <w:r w:rsidRPr="00485321">
        <w:rPr>
          <w:rFonts w:ascii="Times New Roman" w:hAnsi="Times New Roman" w:cs="Times New Roman"/>
          <w:b/>
          <w:bCs/>
        </w:rPr>
        <w:t xml:space="preserve">Objectives </w:t>
      </w:r>
    </w:p>
    <w:p w14:paraId="2A38B6E0" w14:textId="77777777" w:rsidR="009F2D5B" w:rsidRPr="00485321" w:rsidRDefault="009F2D5B" w:rsidP="009F2D5B">
      <w:pPr>
        <w:numPr>
          <w:ilvl w:val="0"/>
          <w:numId w:val="1"/>
        </w:numPr>
        <w:spacing w:before="240" w:line="360" w:lineRule="auto"/>
        <w:jc w:val="both"/>
        <w:rPr>
          <w:rFonts w:ascii="Times New Roman" w:hAnsi="Times New Roman" w:cs="Times New Roman"/>
        </w:rPr>
      </w:pPr>
      <w:r w:rsidRPr="00485321">
        <w:rPr>
          <w:rFonts w:ascii="Times New Roman" w:hAnsi="Times New Roman" w:cs="Times New Roman"/>
        </w:rPr>
        <w:t>To identify 10 primary articles that provide evidence-based data on the association between frequent binge drinking and the development of T2DM.</w:t>
      </w:r>
    </w:p>
    <w:p w14:paraId="5CCC743C" w14:textId="77777777" w:rsidR="009F2D5B" w:rsidRPr="00485321" w:rsidRDefault="009F2D5B" w:rsidP="009F2D5B">
      <w:pPr>
        <w:numPr>
          <w:ilvl w:val="0"/>
          <w:numId w:val="1"/>
        </w:numPr>
        <w:spacing w:before="240" w:line="360" w:lineRule="auto"/>
        <w:jc w:val="both"/>
        <w:rPr>
          <w:rFonts w:ascii="Times New Roman" w:hAnsi="Times New Roman" w:cs="Times New Roman"/>
        </w:rPr>
      </w:pPr>
      <w:r w:rsidRPr="00485321">
        <w:rPr>
          <w:rFonts w:ascii="Times New Roman" w:hAnsi="Times New Roman" w:cs="Times New Roman"/>
        </w:rPr>
        <w:t>To discover whether this association differs by sex and genetic variations.</w:t>
      </w:r>
    </w:p>
    <w:p w14:paraId="2A93F8DD" w14:textId="77777777" w:rsidR="009F2D5B" w:rsidRPr="00485321" w:rsidRDefault="009F2D5B" w:rsidP="009F2D5B">
      <w:pPr>
        <w:numPr>
          <w:ilvl w:val="0"/>
          <w:numId w:val="1"/>
        </w:numPr>
        <w:spacing w:before="240" w:line="360" w:lineRule="auto"/>
        <w:jc w:val="both"/>
        <w:rPr>
          <w:rFonts w:ascii="Times New Roman" w:hAnsi="Times New Roman" w:cs="Times New Roman"/>
        </w:rPr>
      </w:pPr>
      <w:r w:rsidRPr="00485321">
        <w:rPr>
          <w:rFonts w:ascii="Times New Roman" w:hAnsi="Times New Roman" w:cs="Times New Roman"/>
        </w:rPr>
        <w:t>To analyse data regarding lifestyle and health-related confounders such as diet quality, smoking history, physical activity levels, and body mass index (BMI).</w:t>
      </w:r>
    </w:p>
    <w:p w14:paraId="09BF12AD" w14:textId="77777777" w:rsidR="009F2D5B" w:rsidRPr="00485321" w:rsidRDefault="009F2D5B" w:rsidP="009F2D5B">
      <w:pPr>
        <w:spacing w:before="240" w:line="360" w:lineRule="auto"/>
        <w:jc w:val="both"/>
        <w:rPr>
          <w:rFonts w:ascii="Times New Roman" w:hAnsi="Times New Roman" w:cs="Times New Roman"/>
          <w:b/>
          <w:bCs/>
          <w:sz w:val="28"/>
          <w:szCs w:val="28"/>
        </w:rPr>
      </w:pPr>
      <w:r w:rsidRPr="00485321">
        <w:rPr>
          <w:rFonts w:ascii="Times New Roman" w:hAnsi="Times New Roman" w:cs="Times New Roman"/>
          <w:b/>
          <w:bCs/>
          <w:sz w:val="28"/>
          <w:szCs w:val="28"/>
        </w:rPr>
        <w:t xml:space="preserve">Dissertation structure </w:t>
      </w:r>
    </w:p>
    <w:p w14:paraId="023C28E7" w14:textId="77777777" w:rsidR="009F2D5B" w:rsidRPr="00485321" w:rsidRDefault="009F2D5B" w:rsidP="009F2D5B">
      <w:pPr>
        <w:spacing w:before="240" w:line="360" w:lineRule="auto"/>
        <w:jc w:val="both"/>
        <w:rPr>
          <w:rFonts w:ascii="Times New Roman" w:hAnsi="Times New Roman" w:cs="Times New Roman"/>
          <w:color w:val="2E2E2E"/>
          <w:shd w:val="clear" w:color="auto" w:fill="FFFFFF"/>
        </w:rPr>
      </w:pPr>
      <w:r w:rsidRPr="00485321">
        <w:rPr>
          <w:rFonts w:ascii="Times New Roman" w:hAnsi="Times New Roman" w:cs="Times New Roman"/>
          <w:b/>
          <w:bCs/>
          <w:color w:val="2E2E2E"/>
          <w:shd w:val="clear" w:color="auto" w:fill="FFFFFF"/>
        </w:rPr>
        <w:t>First chapter (introduction)</w:t>
      </w:r>
      <w:r w:rsidRPr="00485321">
        <w:rPr>
          <w:rFonts w:ascii="Times New Roman" w:hAnsi="Times New Roman" w:cs="Times New Roman"/>
          <w:color w:val="2E2E2E"/>
          <w:shd w:val="clear" w:color="auto" w:fill="FFFFFF"/>
        </w:rPr>
        <w:t xml:space="preserve">: This chapter discusses a general overview of the topic. Additionally, key terminologies, including diabetes mellitus, T2DM, and binge drinking, will be defined. Then, a rationale </w:t>
      </w:r>
      <w:r w:rsidRPr="00485321">
        <w:rPr>
          <w:rFonts w:ascii="Times New Roman" w:hAnsi="Times New Roman" w:cs="Times New Roman"/>
          <w:color w:val="2E2E2E"/>
          <w:shd w:val="clear" w:color="auto" w:fill="FFFFFF"/>
        </w:rPr>
        <w:lastRenderedPageBreak/>
        <w:t xml:space="preserve">for the study and potential benefits of the study will be highlighted. This will be followed by the aims and objectives of the study. The chapter will end with a discussion of the overall structure of the dissertation.  </w:t>
      </w:r>
    </w:p>
    <w:p w14:paraId="58F9E648" w14:textId="77777777" w:rsidR="009F2D5B" w:rsidRPr="00485321" w:rsidRDefault="009F2D5B" w:rsidP="009F2D5B">
      <w:pPr>
        <w:spacing w:before="240" w:line="360" w:lineRule="auto"/>
        <w:jc w:val="both"/>
        <w:rPr>
          <w:rFonts w:ascii="Times New Roman" w:hAnsi="Times New Roman" w:cs="Times New Roman"/>
          <w:color w:val="2E2E2E"/>
          <w:shd w:val="clear" w:color="auto" w:fill="FFFFFF"/>
        </w:rPr>
      </w:pPr>
      <w:r w:rsidRPr="00485321">
        <w:rPr>
          <w:rFonts w:ascii="Times New Roman" w:hAnsi="Times New Roman" w:cs="Times New Roman"/>
          <w:b/>
          <w:bCs/>
          <w:color w:val="2E2E2E"/>
          <w:shd w:val="clear" w:color="auto" w:fill="FFFFFF"/>
        </w:rPr>
        <w:t>Second chapter (literature review)</w:t>
      </w:r>
      <w:r w:rsidRPr="00485321">
        <w:rPr>
          <w:rFonts w:ascii="Times New Roman" w:hAnsi="Times New Roman" w:cs="Times New Roman"/>
          <w:color w:val="2E2E2E"/>
          <w:shd w:val="clear" w:color="auto" w:fill="FFFFFF"/>
        </w:rPr>
        <w:t xml:space="preserve">: This chapter provides a detailed background for the dissertation and a context for the topic. This chapter will feature an explanation historical and theoretical background for the association between diabetes mellitus and binge drinking in the adult population. Furthermore, the context and relevance of this topic globally will be explained. This represents the international context. Afterwards, the relevance in the UK will be explained, as the national or local context.  </w:t>
      </w:r>
    </w:p>
    <w:p w14:paraId="06043320" w14:textId="77777777" w:rsidR="009F2D5B" w:rsidRPr="00485321" w:rsidRDefault="009F2D5B" w:rsidP="009F2D5B">
      <w:pPr>
        <w:spacing w:before="240" w:line="360" w:lineRule="auto"/>
        <w:jc w:val="both"/>
        <w:rPr>
          <w:rFonts w:ascii="Times New Roman" w:hAnsi="Times New Roman" w:cs="Times New Roman"/>
          <w:color w:val="2E2E2E"/>
          <w:shd w:val="clear" w:color="auto" w:fill="FFFFFF"/>
        </w:rPr>
      </w:pPr>
      <w:r w:rsidRPr="00485321">
        <w:rPr>
          <w:rFonts w:ascii="Times New Roman" w:hAnsi="Times New Roman" w:cs="Times New Roman"/>
          <w:b/>
          <w:bCs/>
          <w:color w:val="2E2E2E"/>
          <w:shd w:val="clear" w:color="auto" w:fill="FFFFFF"/>
        </w:rPr>
        <w:t>Third chapter (methodology)</w:t>
      </w:r>
      <w:r w:rsidRPr="00485321">
        <w:rPr>
          <w:rFonts w:ascii="Times New Roman" w:hAnsi="Times New Roman" w:cs="Times New Roman"/>
          <w:color w:val="2E2E2E"/>
          <w:shd w:val="clear" w:color="auto" w:fill="FFFFFF"/>
        </w:rPr>
        <w:t xml:space="preserve">: This chapter discusses the processes involved in identifying the primary research articles that will be reviewed in this systematic review. Analysis of the data through a narrative analysis will also be discussed. A statement will be provided regarding the ethical considerations for the study. </w:t>
      </w:r>
    </w:p>
    <w:p w14:paraId="6A2A0A5F" w14:textId="77777777" w:rsidR="009F2D5B" w:rsidRPr="00485321" w:rsidRDefault="009F2D5B" w:rsidP="009F2D5B">
      <w:pPr>
        <w:spacing w:before="240" w:line="360" w:lineRule="auto"/>
        <w:jc w:val="both"/>
        <w:rPr>
          <w:rFonts w:ascii="Times New Roman" w:hAnsi="Times New Roman" w:cs="Times New Roman"/>
          <w:color w:val="2E2E2E"/>
          <w:shd w:val="clear" w:color="auto" w:fill="FFFFFF"/>
        </w:rPr>
      </w:pPr>
      <w:r w:rsidRPr="00485321">
        <w:rPr>
          <w:rFonts w:ascii="Times New Roman" w:hAnsi="Times New Roman" w:cs="Times New Roman"/>
          <w:b/>
          <w:bCs/>
          <w:color w:val="2E2E2E"/>
          <w:shd w:val="clear" w:color="auto" w:fill="FFFFFF"/>
        </w:rPr>
        <w:t>Fourth chapter (findings and discussion)</w:t>
      </w:r>
      <w:r w:rsidRPr="00485321">
        <w:rPr>
          <w:rFonts w:ascii="Times New Roman" w:hAnsi="Times New Roman" w:cs="Times New Roman"/>
          <w:color w:val="2E2E2E"/>
          <w:shd w:val="clear" w:color="auto" w:fill="FFFFFF"/>
        </w:rPr>
        <w:t>: This chapter discusses findings from the primary articles that are relevant to the topics. Findings will be discussed in themes and compared with findings in the existing literature. This chapter will end with a discussion of the study limitations.</w:t>
      </w:r>
    </w:p>
    <w:p w14:paraId="69DCBDBE" w14:textId="77777777" w:rsidR="009F2D5B" w:rsidRPr="00485321" w:rsidRDefault="009F2D5B" w:rsidP="009F2D5B">
      <w:pPr>
        <w:spacing w:before="240" w:line="360" w:lineRule="auto"/>
        <w:mirrorIndents/>
        <w:jc w:val="both"/>
        <w:rPr>
          <w:rFonts w:ascii="Times New Roman" w:eastAsia="Arial Unicode MS" w:hAnsi="Times New Roman" w:cs="Times New Roman"/>
          <w:b/>
          <w:u w:val="single"/>
        </w:rPr>
      </w:pPr>
      <w:r w:rsidRPr="00485321">
        <w:rPr>
          <w:rFonts w:ascii="Times New Roman" w:hAnsi="Times New Roman" w:cs="Times New Roman"/>
          <w:b/>
          <w:bCs/>
          <w:color w:val="2E2E2E"/>
          <w:shd w:val="clear" w:color="auto" w:fill="FFFFFF"/>
        </w:rPr>
        <w:t>Fifth chapter (conclusion and recommendations)</w:t>
      </w:r>
      <w:r w:rsidRPr="00485321">
        <w:rPr>
          <w:rFonts w:ascii="Times New Roman" w:hAnsi="Times New Roman" w:cs="Times New Roman"/>
          <w:color w:val="2E2E2E"/>
          <w:shd w:val="clear" w:color="auto" w:fill="FFFFFF"/>
        </w:rPr>
        <w:t>: This chapter discusses the overall findings regarding the impact of binge drinking and the development of diabetes. Based on this, recommendations will be provided for future interventions.</w:t>
      </w:r>
    </w:p>
    <w:p w14:paraId="54681D0E" w14:textId="77777777" w:rsidR="009F2D5B" w:rsidRPr="00485321" w:rsidRDefault="009F2D5B" w:rsidP="009F2D5B">
      <w:pPr>
        <w:spacing w:before="240" w:line="360" w:lineRule="auto"/>
        <w:mirrorIndents/>
        <w:rPr>
          <w:rFonts w:ascii="Times New Roman" w:hAnsi="Times New Roman" w:cs="Times New Roman"/>
          <w:b/>
          <w:sz w:val="32"/>
          <w:szCs w:val="32"/>
        </w:rPr>
      </w:pPr>
      <w:r w:rsidRPr="00485321">
        <w:rPr>
          <w:rFonts w:ascii="Times New Roman" w:hAnsi="Times New Roman" w:cs="Times New Roman"/>
        </w:rPr>
        <w:br w:type="page"/>
      </w:r>
    </w:p>
    <w:p w14:paraId="392F85AB" w14:textId="77777777" w:rsidR="009F2D5B" w:rsidRPr="00485321" w:rsidRDefault="009F2D5B" w:rsidP="009F2D5B">
      <w:pPr>
        <w:pStyle w:val="Heading1"/>
        <w:spacing w:line="360" w:lineRule="auto"/>
        <w:mirrorIndents/>
        <w:jc w:val="center"/>
        <w:rPr>
          <w:rFonts w:ascii="Times New Roman" w:hAnsi="Times New Roman" w:cs="Times New Roman"/>
        </w:rPr>
      </w:pPr>
      <w:bookmarkStart w:id="8" w:name="_Toc216438665"/>
      <w:r w:rsidRPr="00485321">
        <w:rPr>
          <w:rFonts w:ascii="Times New Roman" w:hAnsi="Times New Roman" w:cs="Times New Roman"/>
        </w:rPr>
        <w:lastRenderedPageBreak/>
        <w:t>CHAPTER 2: BACKGROUND</w:t>
      </w:r>
      <w:bookmarkEnd w:id="8"/>
    </w:p>
    <w:p w14:paraId="6F27B3F4" w14:textId="77777777" w:rsidR="009F2D5B" w:rsidRPr="00485321" w:rsidRDefault="009F2D5B" w:rsidP="009F2D5B">
      <w:pPr>
        <w:spacing w:after="240" w:line="360" w:lineRule="auto"/>
        <w:mirrorIndents/>
        <w:jc w:val="both"/>
        <w:rPr>
          <w:rFonts w:ascii="Times New Roman" w:eastAsia="Arial Unicode MS" w:hAnsi="Times New Roman" w:cs="Times New Roman"/>
          <w:b/>
          <w:bCs/>
          <w:sz w:val="28"/>
          <w:szCs w:val="28"/>
        </w:rPr>
      </w:pPr>
      <w:r w:rsidRPr="00485321">
        <w:rPr>
          <w:rFonts w:ascii="Times New Roman" w:eastAsia="Arial Unicode MS" w:hAnsi="Times New Roman" w:cs="Times New Roman"/>
          <w:b/>
          <w:bCs/>
          <w:sz w:val="28"/>
          <w:szCs w:val="28"/>
        </w:rPr>
        <w:t>Background</w:t>
      </w:r>
    </w:p>
    <w:p w14:paraId="612F98BE" w14:textId="77777777" w:rsidR="009F2D5B" w:rsidRPr="00485321" w:rsidRDefault="009F2D5B" w:rsidP="009F2D5B">
      <w:pPr>
        <w:spacing w:after="240" w:line="360" w:lineRule="auto"/>
        <w:mirrorIndents/>
        <w:jc w:val="both"/>
        <w:rPr>
          <w:rFonts w:ascii="Times New Roman" w:eastAsia="Arial Unicode MS" w:hAnsi="Times New Roman" w:cs="Times New Roman"/>
          <w:bCs/>
        </w:rPr>
      </w:pPr>
      <w:r w:rsidRPr="00485321">
        <w:rPr>
          <w:rFonts w:ascii="Times New Roman" w:eastAsia="Arial Unicode MS" w:hAnsi="Times New Roman" w:cs="Times New Roman"/>
          <w:bCs/>
        </w:rPr>
        <w:t xml:space="preserve">The relationship between alcohol consumption and T2DM outcomes has long been debated in the UK. Therefore, understanding the different contexts of alcohol use and its associated health outcomes in the UK provides valuable insight into how patterns of drinking have intersected with the rising prevalence of T2DM among the adult population. The contexts of alcohol use discussed in this study include the historical, theoretical, international, and national contexts. </w:t>
      </w:r>
    </w:p>
    <w:p w14:paraId="7A0389A9" w14:textId="77777777" w:rsidR="009F2D5B" w:rsidRPr="00485321" w:rsidRDefault="009F2D5B" w:rsidP="009F2D5B">
      <w:pPr>
        <w:spacing w:after="240" w:line="360" w:lineRule="auto"/>
        <w:mirrorIndents/>
        <w:jc w:val="both"/>
        <w:rPr>
          <w:rFonts w:ascii="Times New Roman" w:eastAsia="Arial Unicode MS" w:hAnsi="Times New Roman" w:cs="Times New Roman"/>
          <w:b/>
          <w:bCs/>
          <w:sz w:val="28"/>
          <w:szCs w:val="28"/>
        </w:rPr>
      </w:pPr>
      <w:r w:rsidRPr="00485321">
        <w:rPr>
          <w:rFonts w:ascii="Times New Roman" w:eastAsia="Arial Unicode MS" w:hAnsi="Times New Roman" w:cs="Times New Roman"/>
          <w:b/>
          <w:bCs/>
          <w:sz w:val="28"/>
          <w:szCs w:val="28"/>
        </w:rPr>
        <w:t xml:space="preserve">Historical context </w:t>
      </w:r>
    </w:p>
    <w:p w14:paraId="74C51406" w14:textId="77777777" w:rsidR="009F2D5B" w:rsidRPr="00485321" w:rsidRDefault="009F2D5B" w:rsidP="009F2D5B">
      <w:pPr>
        <w:spacing w:after="240" w:line="360" w:lineRule="auto"/>
        <w:mirrorIndents/>
        <w:jc w:val="both"/>
        <w:rPr>
          <w:rFonts w:ascii="Times New Roman" w:eastAsia="Arial Unicode MS" w:hAnsi="Times New Roman" w:cs="Times New Roman"/>
          <w:bCs/>
        </w:rPr>
      </w:pPr>
      <w:r w:rsidRPr="00485321">
        <w:rPr>
          <w:rFonts w:ascii="Times New Roman" w:eastAsia="Arial Unicode MS" w:hAnsi="Times New Roman" w:cs="Times New Roman"/>
          <w:bCs/>
        </w:rPr>
        <w:t>In the aftermath of the Second World War, alcohol consumption in Britain was relatively modest, constrained by rationing, economic hardship, and cultural restraint (Hollingsworth et al., 1983). However, from the 1960s, the UK experienced a steady increase in alcohol availability and affordability. The expansion of the brewing industry, the rise of pub culture, and the normalisation of drinking as part of social life contributed to higher per capita consumption (McCrae, 2008). By the 1980s and 1990s, binge drinking had become a prominent public health concern, particularly in urban centres. Parallel to these shifts in drinking culture was the growing prevalence of T2DM. In the mid-20th century, T2DM was relatively marginal, globally classified as “adult-onset diabetes” and substantially associated with ageing. However, by the late 20th and early 21st centuries, the UK experienced a dramatic rise in incident cases, driven by sedentary lifestyles, dietary changes, and increasing obesity rates (Reed et al., 2021). Correspondingly, adults aged 18 years and older became a particularly vulnerable demographic, as cumulative exposure to unhealthy alcohol use manifested in higher disease incidence.</w:t>
      </w:r>
    </w:p>
    <w:p w14:paraId="479E1F4B" w14:textId="77777777" w:rsidR="009F2D5B" w:rsidRPr="00485321" w:rsidRDefault="009F2D5B" w:rsidP="009F2D5B">
      <w:pPr>
        <w:spacing w:after="240" w:line="360" w:lineRule="auto"/>
        <w:mirrorIndents/>
        <w:jc w:val="both"/>
        <w:rPr>
          <w:rFonts w:ascii="Times New Roman" w:eastAsia="Arial Unicode MS" w:hAnsi="Times New Roman" w:cs="Times New Roman"/>
          <w:bCs/>
        </w:rPr>
      </w:pPr>
      <w:r w:rsidRPr="00485321">
        <w:rPr>
          <w:rFonts w:ascii="Times New Roman" w:eastAsia="Arial Unicode MS" w:hAnsi="Times New Roman" w:cs="Times New Roman"/>
          <w:bCs/>
        </w:rPr>
        <w:t>By the early 2000s, the National Health Service (NHS) and public health authorities explicitly associated alcohol misuse with chronic diseases, including T2DM. This association was supported by longitudinal studies, which reinforced the association between heavy drinking patterns and earlier onset of metabolic disorders (</w:t>
      </w:r>
      <w:r w:rsidRPr="00485321">
        <w:rPr>
          <w:rFonts w:ascii="Times New Roman" w:hAnsi="Times New Roman" w:cs="Times New Roman"/>
        </w:rPr>
        <w:t>Kim and Kim</w:t>
      </w:r>
      <w:r w:rsidRPr="00485321">
        <w:rPr>
          <w:rFonts w:ascii="Times New Roman" w:eastAsia="Arial Unicode MS" w:hAnsi="Times New Roman" w:cs="Times New Roman"/>
          <w:bCs/>
        </w:rPr>
        <w:t>, 2012). Alcohol consumption disrupts glucose metabolism, promotes visceral fat accumulation, and impairs liver function. Hence, the existing literature has demonstrated its link to the accelerated development of insulin resistance. For persons who exhibit a more diminished metabolic resilience, these effects are especially pronounced. Although the rise of T2DM in the latter half of the 20th century cannot be attributed to alcohol alone, binge drinking has been a significant contributing factor. While alcohol remains deeply embedded in British social life, its role in shaping the health of older adults necessitates further exploration, and understanding this history is essential for shaping future prevention strategies, particularly as the UK faces an ageing population with increasing vulnerability to lifestyle-related diseases.</w:t>
      </w:r>
    </w:p>
    <w:p w14:paraId="1823567E" w14:textId="77777777" w:rsidR="009F2D5B" w:rsidRPr="00485321" w:rsidRDefault="009F2D5B" w:rsidP="009F2D5B">
      <w:pPr>
        <w:spacing w:after="240" w:line="360" w:lineRule="auto"/>
        <w:mirrorIndents/>
        <w:jc w:val="both"/>
        <w:rPr>
          <w:rFonts w:ascii="Times New Roman" w:eastAsia="Arial Unicode MS" w:hAnsi="Times New Roman" w:cs="Times New Roman"/>
          <w:b/>
          <w:bCs/>
          <w:sz w:val="28"/>
          <w:szCs w:val="28"/>
        </w:rPr>
      </w:pPr>
      <w:r w:rsidRPr="00485321">
        <w:rPr>
          <w:rFonts w:ascii="Times New Roman" w:eastAsia="Arial Unicode MS" w:hAnsi="Times New Roman" w:cs="Times New Roman"/>
          <w:b/>
          <w:bCs/>
          <w:sz w:val="28"/>
          <w:szCs w:val="28"/>
        </w:rPr>
        <w:lastRenderedPageBreak/>
        <w:t xml:space="preserve">Theoretical context </w:t>
      </w:r>
    </w:p>
    <w:p w14:paraId="1EB9D5E0" w14:textId="77777777" w:rsidR="009F2D5B" w:rsidRPr="00485321" w:rsidRDefault="009F2D5B" w:rsidP="009F2D5B">
      <w:pPr>
        <w:spacing w:after="240" w:line="360" w:lineRule="auto"/>
        <w:mirrorIndents/>
        <w:jc w:val="both"/>
        <w:rPr>
          <w:rFonts w:ascii="Times New Roman" w:eastAsia="Arial Unicode MS" w:hAnsi="Times New Roman" w:cs="Times New Roman"/>
          <w:bCs/>
        </w:rPr>
      </w:pPr>
      <w:r w:rsidRPr="00485321">
        <w:rPr>
          <w:rFonts w:ascii="Times New Roman" w:eastAsia="Arial Unicode MS" w:hAnsi="Times New Roman" w:cs="Times New Roman"/>
          <w:bCs/>
        </w:rPr>
        <w:t>The association between binge drinking is complex and cannot be understood in isolation; as such, T2DM can be explored through metabolic, behavioural, and epidemiological theories</w:t>
      </w:r>
      <w:r w:rsidRPr="00485321">
        <w:rPr>
          <w:rFonts w:ascii="Times New Roman" w:eastAsia="Arial Unicode MS" w:hAnsi="Times New Roman" w:cs="Times New Roman"/>
          <w:b/>
          <w:bCs/>
        </w:rPr>
        <w:t>.</w:t>
      </w:r>
      <w:r w:rsidRPr="00485321">
        <w:rPr>
          <w:rFonts w:ascii="Times New Roman" w:eastAsia="Arial Unicode MS" w:hAnsi="Times New Roman" w:cs="Times New Roman"/>
          <w:bCs/>
        </w:rPr>
        <w:t xml:space="preserve"> These perspectives are important because they highlight the multiple pathways through which alcohol influences health outcomes. The theoretical frameworks explain how alcohol interacts with biological systems, lifestyle factors, and social determinants to accelerate the risk or onset of diabetes, thus aligning with the multiple-hit hypothesis of T2DM (Tilg et al., 2021). </w:t>
      </w:r>
    </w:p>
    <w:p w14:paraId="5A4EAB65" w14:textId="77777777" w:rsidR="009F2D5B" w:rsidRPr="00485321" w:rsidRDefault="009F2D5B" w:rsidP="009F2D5B">
      <w:pPr>
        <w:spacing w:after="240" w:line="360" w:lineRule="auto"/>
        <w:mirrorIndents/>
        <w:jc w:val="both"/>
        <w:rPr>
          <w:rFonts w:ascii="Times New Roman" w:eastAsia="Arial Unicode MS" w:hAnsi="Times New Roman" w:cs="Times New Roman"/>
          <w:bCs/>
        </w:rPr>
      </w:pPr>
      <w:r w:rsidRPr="00485321">
        <w:rPr>
          <w:rFonts w:ascii="Times New Roman" w:eastAsia="Arial Unicode MS" w:hAnsi="Times New Roman" w:cs="Times New Roman"/>
          <w:bCs/>
        </w:rPr>
        <w:t>From a behavioural perspective, binge drinking is often associated with cultural influences, as well as poor dietary choices, reduced physical activity, and disrupted sleep (</w:t>
      </w:r>
      <w:proofErr w:type="spellStart"/>
      <w:r w:rsidRPr="00485321">
        <w:rPr>
          <w:rFonts w:ascii="Times New Roman" w:eastAsia="Arial Unicode MS" w:hAnsi="Times New Roman" w:cs="Times New Roman"/>
          <w:bCs/>
        </w:rPr>
        <w:t>Rahelić</w:t>
      </w:r>
      <w:proofErr w:type="spellEnd"/>
      <w:r w:rsidRPr="00485321">
        <w:rPr>
          <w:rFonts w:ascii="Times New Roman" w:eastAsia="Arial Unicode MS" w:hAnsi="Times New Roman" w:cs="Times New Roman"/>
          <w:bCs/>
        </w:rPr>
        <w:t xml:space="preserve"> et al., 2024). These factors influence the risk of T2DM independently but also interact with alcohol consumption patterns in ways that complicate causal interpretation. For instance, binge drinking often co-occurs with unhealthy eating behaviours, such as late-night snacking or meal skipping, which further destabilise glucose regulation. Similarly, its association with smoking frequently clusters as co-occurring behaviours (Meader et al., 2016). This overlap can cause a synergistic impact that may accelerate metabolic dysfunction, amplifying the risk of diabetes beyond the contribution of either factor alone. Thus, understanding these behavioural drivers is crucial for effective prevention and management strategies. </w:t>
      </w:r>
    </w:p>
    <w:p w14:paraId="1712244D" w14:textId="77777777" w:rsidR="009F2D5B" w:rsidRPr="00485321" w:rsidRDefault="009F2D5B" w:rsidP="009F2D5B">
      <w:pPr>
        <w:spacing w:after="240" w:line="360" w:lineRule="auto"/>
        <w:mirrorIndents/>
        <w:jc w:val="both"/>
        <w:rPr>
          <w:rFonts w:ascii="Times New Roman" w:eastAsia="Arial Unicode MS" w:hAnsi="Times New Roman" w:cs="Times New Roman"/>
          <w:bCs/>
        </w:rPr>
      </w:pPr>
      <w:r w:rsidRPr="00485321">
        <w:rPr>
          <w:rFonts w:ascii="Times New Roman" w:eastAsia="Arial Unicode MS" w:hAnsi="Times New Roman" w:cs="Times New Roman"/>
          <w:bCs/>
        </w:rPr>
        <w:t xml:space="preserve">Accordingly, behavioural science highlights that psychological constructs, such as self-efficacy and self-control, are critical for motivating and sustaining health behaviours. As such, frameworks like social cognitive theory and the health belief model suggest that people’s health behaviours are influenced by their perceptions of risk, severity, benefits, and barriers (El Kirat et al., 2024). For instance, individuals may underestimate the long-term risks of heavy episodic drinking, focusing instead on immediate social benefits. As such, people at risk may not perceive themselves as vulnerable to T2DM, especially if they are young or not yet overweight. This concept is reinforced by observational learning, where individuals model behaviours that are observed in their social environment. As emphasised by the social cognitive theory, individuals’ confidence in their ability to make healthy changes, or self-efficacy, significantly impacts their health behaviours (Islam et al., 2023). Accordingly, </w:t>
      </w:r>
      <w:proofErr w:type="gramStart"/>
      <w:r w:rsidRPr="00485321">
        <w:rPr>
          <w:rFonts w:ascii="Times New Roman" w:eastAsia="Arial Unicode MS" w:hAnsi="Times New Roman" w:cs="Times New Roman"/>
          <w:bCs/>
        </w:rPr>
        <w:t>the majority of</w:t>
      </w:r>
      <w:proofErr w:type="gramEnd"/>
      <w:r w:rsidRPr="00485321">
        <w:rPr>
          <w:rFonts w:ascii="Times New Roman" w:eastAsia="Arial Unicode MS" w:hAnsi="Times New Roman" w:cs="Times New Roman"/>
          <w:bCs/>
        </w:rPr>
        <w:t xml:space="preserve"> efforts on T2DM prevention and management are centred around lifestyle and behavioural changes. This management modality is reported to reduce T2DM risk by 50% as well as lower blood glucose levels and improve insulin sensitivity (Liu et al., 2015). Lifestyle modifications emphasise addressing the root causes of chronic diseases. These modifications focus on a person’s inherent mindset towards health behaviours and encourage healthy eating habits, physical activity, restorative sleep, stress management, and positive social connections (Sadiq, 2023). Patients are advised to limit alcohol consumption or avoid initiating drinking for any reason at all. Significantly, those at-risk are also encouraged to lose weight by reducing caloric intake, eating low-fat foods, such as healthy </w:t>
      </w:r>
      <w:r w:rsidRPr="00485321">
        <w:rPr>
          <w:rFonts w:ascii="Times New Roman" w:eastAsia="Arial Unicode MS" w:hAnsi="Times New Roman" w:cs="Times New Roman"/>
          <w:bCs/>
        </w:rPr>
        <w:lastRenderedPageBreak/>
        <w:t xml:space="preserve">carbohydrates, and reducing red and processed meat. </w:t>
      </w:r>
    </w:p>
    <w:p w14:paraId="2E0752F3" w14:textId="77777777" w:rsidR="009F2D5B" w:rsidRPr="00485321" w:rsidRDefault="009F2D5B" w:rsidP="009F2D5B">
      <w:pPr>
        <w:spacing w:after="240" w:line="360" w:lineRule="auto"/>
        <w:mirrorIndents/>
        <w:jc w:val="both"/>
        <w:rPr>
          <w:rFonts w:ascii="Times New Roman" w:eastAsia="Arial Unicode MS" w:hAnsi="Times New Roman" w:cs="Times New Roman"/>
          <w:bCs/>
        </w:rPr>
      </w:pPr>
      <w:r w:rsidRPr="00485321">
        <w:rPr>
          <w:rFonts w:ascii="Times New Roman" w:eastAsia="Arial Unicode MS" w:hAnsi="Times New Roman" w:cs="Times New Roman"/>
          <w:bCs/>
        </w:rPr>
        <w:t>Furthermore, these behavioural factors shape the metabolic environment in which alcohol exerts its effects. Longitudinal cohort studies highlight how cumulative exposure to alcohol across decades increases vulnerability in later life (Joosten et al., 2010). For adults, binge drinking interacts with age-related metabolic decline to amplify diabetes risk. Metabolically, binge drinking disrupts glucose regulation, impairs lipid metabolism, and induces oxidative stress, thus resulting in insulin resistance. Alcohol also interferes with hepatic glucose production, further destabilising metabolic balance. Both dysregulated metabolism and alcohol act as independent and synergistic drivers of liver disease (Åberg et al., 2023). These frameworks provide the empirical basis for public health models that classify binge drinking as a modifiable risk factor. Further, the frameworks underscore the importance of addressing alcohol misuse not only as a social issue but also as a critical determinant of metabolic health.</w:t>
      </w:r>
    </w:p>
    <w:p w14:paraId="6A05F7DC" w14:textId="77777777" w:rsidR="009F2D5B" w:rsidRPr="00485321" w:rsidRDefault="009F2D5B" w:rsidP="009F2D5B">
      <w:pPr>
        <w:spacing w:after="240" w:line="360" w:lineRule="auto"/>
        <w:mirrorIndents/>
        <w:jc w:val="both"/>
        <w:rPr>
          <w:rFonts w:ascii="Times New Roman" w:eastAsia="Arial Unicode MS" w:hAnsi="Times New Roman" w:cs="Times New Roman"/>
          <w:bCs/>
        </w:rPr>
      </w:pPr>
      <w:r w:rsidRPr="00485321">
        <w:rPr>
          <w:rFonts w:ascii="Times New Roman" w:eastAsia="Arial Unicode MS" w:hAnsi="Times New Roman" w:cs="Times New Roman"/>
          <w:bCs/>
        </w:rPr>
        <w:t>Epidemiologically, heavy alcohol use and binge patterns are associated with reductions in disease-free life expectancy and further reflect a perspective that T2DM is not only shaped by individual choices but also by social determinants of health. These determinants influence both alcohol use patterns and diabetes risk, often clustering to amplify health inequalities. For instance, income levels and educational attainment influence health literacy, as persons with less education may underestimate the risks of binge drinking or lack knowledge about diabetes prevention (Al Sayah et al., 2013). Similarly, cultural attitudes toward alcohol play a major role in binge drinking. For instance, within the UK, heavy episodic drinking is normalised in some communities, whereas among Muslim populations, alcohol use is discouraged (Sattar et al., 2024). These cultural differences partly explain why binge drinking prevalence varies across ethnic groups, likely influencing T2DM prevalence.</w:t>
      </w:r>
    </w:p>
    <w:p w14:paraId="0202ACFC" w14:textId="77777777" w:rsidR="009F2D5B" w:rsidRPr="00485321" w:rsidRDefault="009F2D5B" w:rsidP="009F2D5B">
      <w:pPr>
        <w:spacing w:after="240" w:line="360" w:lineRule="auto"/>
        <w:mirrorIndents/>
        <w:jc w:val="both"/>
        <w:rPr>
          <w:rFonts w:ascii="Times New Roman" w:eastAsia="Arial Unicode MS" w:hAnsi="Times New Roman" w:cs="Times New Roman"/>
          <w:b/>
          <w:bCs/>
          <w:sz w:val="28"/>
          <w:szCs w:val="28"/>
        </w:rPr>
      </w:pPr>
      <w:r w:rsidRPr="00485321">
        <w:rPr>
          <w:rFonts w:ascii="Times New Roman" w:eastAsia="Arial Unicode MS" w:hAnsi="Times New Roman" w:cs="Times New Roman"/>
          <w:b/>
          <w:bCs/>
          <w:sz w:val="28"/>
          <w:szCs w:val="28"/>
        </w:rPr>
        <w:t xml:space="preserve">International context </w:t>
      </w:r>
    </w:p>
    <w:p w14:paraId="3BB2EEE7" w14:textId="77777777" w:rsidR="009F2D5B" w:rsidRPr="00485321" w:rsidRDefault="009F2D5B" w:rsidP="009F2D5B">
      <w:pPr>
        <w:spacing w:after="240" w:line="360" w:lineRule="auto"/>
        <w:mirrorIndents/>
        <w:jc w:val="both"/>
        <w:rPr>
          <w:rFonts w:ascii="Times New Roman" w:eastAsia="Arial Unicode MS" w:hAnsi="Times New Roman" w:cs="Times New Roman"/>
          <w:bCs/>
        </w:rPr>
      </w:pPr>
      <w:r w:rsidRPr="00485321">
        <w:rPr>
          <w:rFonts w:ascii="Times New Roman" w:eastAsia="Arial Unicode MS" w:hAnsi="Times New Roman" w:cs="Times New Roman"/>
          <w:bCs/>
        </w:rPr>
        <w:t>Within international contexts, binge drinking is a global public health issue with cultural variations. Its association with T2DM is shaped by epidemiological patterns, lifestyle factors, and differing alcohol norms. Research shows that binge drinking consistently increases metabolic dysfunction, obesity, and insulin resistance, irrespective of the country or national context (Åberg et al., 2023; Zhu et al., 2025). Considerable evidence estimates that T2DM affects more than 500 million people globally, and over 16% of drinkers worldwide engage in binge drinking (Viet Cuong et al., 2018). Investigations by the International Alcohol Control Study also indicate comparable measures across countries, with higher binge drinking rates in Europe and the Americas (Huckle et al., 2018).</w:t>
      </w:r>
    </w:p>
    <w:p w14:paraId="5A83E5F7" w14:textId="77777777" w:rsidR="009F2D5B" w:rsidRPr="00485321" w:rsidRDefault="009F2D5B" w:rsidP="009F2D5B">
      <w:pPr>
        <w:spacing w:after="240" w:line="360" w:lineRule="auto"/>
        <w:mirrorIndents/>
        <w:jc w:val="both"/>
        <w:rPr>
          <w:rFonts w:ascii="Times New Roman" w:eastAsia="Arial Unicode MS" w:hAnsi="Times New Roman" w:cs="Times New Roman"/>
          <w:bCs/>
        </w:rPr>
      </w:pPr>
      <w:r w:rsidRPr="00485321">
        <w:rPr>
          <w:rFonts w:ascii="Times New Roman" w:eastAsia="Arial Unicode MS" w:hAnsi="Times New Roman" w:cs="Times New Roman"/>
          <w:bCs/>
        </w:rPr>
        <w:t xml:space="preserve">Within Europe, the Northern and Eastern regions have some of the highest rates of binge drinking, often tied to cultural traditions of heavy episodic consumption. In countries like Russia and parts of Eastern Europe, alcohol-related metabolic disease is a major contributor to reduced life expectancy (Llerena et </w:t>
      </w:r>
      <w:r w:rsidRPr="00485321">
        <w:rPr>
          <w:rFonts w:ascii="Times New Roman" w:eastAsia="Arial Unicode MS" w:hAnsi="Times New Roman" w:cs="Times New Roman"/>
          <w:bCs/>
        </w:rPr>
        <w:lastRenderedPageBreak/>
        <w:t>al., 2015). Similarly, within North America, young adults often normalise large alcohol consumption in college and social settings. Additionally, studies from Asia show that cultural norms around drinking contribute to high binge rates (</w:t>
      </w:r>
      <w:proofErr w:type="spellStart"/>
      <w:r w:rsidRPr="00485321">
        <w:rPr>
          <w:rFonts w:ascii="Times New Roman" w:eastAsia="Arial Unicode MS" w:hAnsi="Times New Roman" w:cs="Times New Roman"/>
          <w:bCs/>
        </w:rPr>
        <w:t>Sudhinaraset</w:t>
      </w:r>
      <w:proofErr w:type="spellEnd"/>
      <w:r w:rsidRPr="00485321">
        <w:rPr>
          <w:rFonts w:ascii="Times New Roman" w:eastAsia="Arial Unicode MS" w:hAnsi="Times New Roman" w:cs="Times New Roman"/>
          <w:bCs/>
        </w:rPr>
        <w:t xml:space="preserve"> et al., 2016; Krieger et al., 2018). In Africa, rapid urbanisation and changing lifestyles are increasing both alcohol consumption and T2DM prevalence, and in some regions, binge drinking is tied to socioeconomic stressors and limited access to healthcare, compounding diabetes risk (</w:t>
      </w:r>
      <w:proofErr w:type="spellStart"/>
      <w:r w:rsidRPr="00485321">
        <w:rPr>
          <w:rFonts w:ascii="Times New Roman" w:eastAsia="Arial Unicode MS" w:hAnsi="Times New Roman" w:cs="Times New Roman"/>
          <w:bCs/>
        </w:rPr>
        <w:t>Sudhinaraset</w:t>
      </w:r>
      <w:proofErr w:type="spellEnd"/>
      <w:r w:rsidRPr="00485321">
        <w:rPr>
          <w:rFonts w:ascii="Times New Roman" w:eastAsia="Arial Unicode MS" w:hAnsi="Times New Roman" w:cs="Times New Roman"/>
          <w:bCs/>
        </w:rPr>
        <w:t xml:space="preserve"> et al., 2016).</w:t>
      </w:r>
    </w:p>
    <w:p w14:paraId="111A219B" w14:textId="77777777" w:rsidR="009F2D5B" w:rsidRPr="00485321" w:rsidRDefault="009F2D5B" w:rsidP="009F2D5B">
      <w:pPr>
        <w:spacing w:after="240" w:line="360" w:lineRule="auto"/>
        <w:mirrorIndents/>
        <w:jc w:val="both"/>
        <w:rPr>
          <w:rFonts w:ascii="Times New Roman" w:eastAsia="Arial Unicode MS" w:hAnsi="Times New Roman" w:cs="Times New Roman"/>
          <w:bCs/>
        </w:rPr>
      </w:pPr>
      <w:r w:rsidRPr="00485321">
        <w:rPr>
          <w:rFonts w:ascii="Times New Roman" w:eastAsia="Arial Unicode MS" w:hAnsi="Times New Roman" w:cs="Times New Roman"/>
          <w:bCs/>
        </w:rPr>
        <w:t>Correspondingly, within the UK, different ethnicities report different alcohol consumption rates and T2DM prevalence. White British populations report the highest alcohol use, as drinking is culturally normalised in social and leisure contexts, particularly in pubs and nightlife. Whereas, South Asian and Black communities show lower drinking rates, partly due to cultural and religious norms (</w:t>
      </w:r>
      <w:proofErr w:type="spellStart"/>
      <w:r w:rsidRPr="00485321">
        <w:rPr>
          <w:rFonts w:ascii="Times New Roman" w:eastAsia="Arial Unicode MS" w:hAnsi="Times New Roman" w:cs="Times New Roman"/>
          <w:bCs/>
        </w:rPr>
        <w:t>Sudhinaraset</w:t>
      </w:r>
      <w:proofErr w:type="spellEnd"/>
      <w:r w:rsidRPr="00485321">
        <w:rPr>
          <w:rFonts w:ascii="Times New Roman" w:eastAsia="Arial Unicode MS" w:hAnsi="Times New Roman" w:cs="Times New Roman"/>
          <w:bCs/>
        </w:rPr>
        <w:t xml:space="preserve"> et al., 2016). However, despite lower alcohol use within the Southern-Asian population, T2DM prevalence is disproportionately higher, suggesting that dietary patterns, genetics, and socioeconomic factors outweigh alcohol as primary drivers. Among Asians, genetic factors, such as genetic polymorphisms involving ethanol metabolism and aldehyde dehydrogenase deficiency, are common, which also modify alcohol metabolism and may intensify diabetes risk (Li et al., 2025). As a result, these individuals are 2–6 times more likely to develop T2DM and report a higher complication and mortality rate than other population groups in the UK (Iqbal, 2023). Similarly, among Black sub-Saharan Africans in the UK, culturally anchored beliefs about illness, stigma, and caregiving affect self-management behaviours. This may affect how alcohol-related risk translates into day-to-day diabetes control (</w:t>
      </w:r>
      <w:proofErr w:type="spellStart"/>
      <w:r w:rsidRPr="00485321">
        <w:rPr>
          <w:rFonts w:ascii="Times New Roman" w:eastAsia="Arial Unicode MS" w:hAnsi="Times New Roman" w:cs="Times New Roman"/>
          <w:bCs/>
        </w:rPr>
        <w:t>Omodara</w:t>
      </w:r>
      <w:proofErr w:type="spellEnd"/>
      <w:r w:rsidRPr="00485321">
        <w:rPr>
          <w:rFonts w:ascii="Times New Roman" w:eastAsia="Arial Unicode MS" w:hAnsi="Times New Roman" w:cs="Times New Roman"/>
          <w:bCs/>
        </w:rPr>
        <w:t xml:space="preserve"> et al., 2022).</w:t>
      </w:r>
    </w:p>
    <w:p w14:paraId="3287E7DD" w14:textId="77777777" w:rsidR="009F2D5B" w:rsidRPr="00485321" w:rsidRDefault="009F2D5B" w:rsidP="009F2D5B">
      <w:pPr>
        <w:spacing w:after="240" w:line="360" w:lineRule="auto"/>
        <w:mirrorIndents/>
        <w:jc w:val="both"/>
        <w:rPr>
          <w:rFonts w:ascii="Times New Roman" w:eastAsia="Arial Unicode MS" w:hAnsi="Times New Roman" w:cs="Times New Roman"/>
          <w:b/>
          <w:bCs/>
          <w:sz w:val="28"/>
          <w:szCs w:val="28"/>
        </w:rPr>
      </w:pPr>
      <w:r w:rsidRPr="00485321">
        <w:rPr>
          <w:rFonts w:ascii="Times New Roman" w:eastAsia="Arial Unicode MS" w:hAnsi="Times New Roman" w:cs="Times New Roman"/>
          <w:b/>
          <w:bCs/>
          <w:sz w:val="28"/>
          <w:szCs w:val="28"/>
        </w:rPr>
        <w:t>National context</w:t>
      </w:r>
    </w:p>
    <w:p w14:paraId="22D6D7BD" w14:textId="77777777" w:rsidR="009F2D5B" w:rsidRPr="00485321" w:rsidRDefault="009F2D5B" w:rsidP="009F2D5B">
      <w:pPr>
        <w:spacing w:after="240" w:line="360" w:lineRule="auto"/>
        <w:mirrorIndents/>
        <w:jc w:val="both"/>
        <w:rPr>
          <w:rFonts w:ascii="Times New Roman" w:eastAsia="Arial Unicode MS" w:hAnsi="Times New Roman" w:cs="Times New Roman"/>
          <w:bCs/>
        </w:rPr>
      </w:pPr>
      <w:r w:rsidRPr="00485321">
        <w:rPr>
          <w:rFonts w:ascii="Times New Roman" w:eastAsia="Arial Unicode MS" w:hAnsi="Times New Roman" w:cs="Times New Roman"/>
          <w:bCs/>
        </w:rPr>
        <w:t>Within the UK, binge drinking is distinctively shaped by social norms around alcohol, regional drinking traditions, and community-specific beliefs about health. British drinking culture often normalises heavy episodic consumption in social settings, which can complicate public health efforts by framing binge episodes as socially acceptable rather than risky. Within the UK, National surveillance systems such as the National Diabetes Audit (NDA) and the Diabetes Profile maintained by the Office for Health Improvement and Disparities provide detailed data on the prevalence of T2DM (GOV.UK, 2025). However, alcohol consumption is not routinely integrated into these diabetes monitoring frameworks. This omission highlights a gap in national surveillance, as alcohol is a modifiable risk factor that interacts with obesity, diet, and physical inactivity to shape diabetes risk. For adults already living with diabetes, alcohol presents additional challenges. These complexities underscore the need to integrate alcohol patterns into risk assessment and public health action against T2DM.</w:t>
      </w:r>
    </w:p>
    <w:p w14:paraId="271F27F5" w14:textId="77777777" w:rsidR="009F2D5B" w:rsidRPr="00485321" w:rsidRDefault="009F2D5B" w:rsidP="009F2D5B">
      <w:pPr>
        <w:spacing w:after="240" w:line="360" w:lineRule="auto"/>
        <w:mirrorIndents/>
        <w:jc w:val="both"/>
        <w:rPr>
          <w:rFonts w:ascii="Times New Roman" w:eastAsia="Arial Unicode MS" w:hAnsi="Times New Roman" w:cs="Times New Roman"/>
          <w:bCs/>
        </w:rPr>
      </w:pPr>
      <w:r w:rsidRPr="00485321">
        <w:rPr>
          <w:rFonts w:ascii="Times New Roman" w:eastAsia="Arial Unicode MS" w:hAnsi="Times New Roman" w:cs="Times New Roman"/>
          <w:bCs/>
        </w:rPr>
        <w:t xml:space="preserve">Furthermore, at the local level, responsibility for addressing binge drinking and diabetes risk often falls to local authorities and Integrated Care Systems. These bodies deliver community-based interventions, </w:t>
      </w:r>
      <w:r w:rsidRPr="00485321">
        <w:rPr>
          <w:rFonts w:ascii="Times New Roman" w:eastAsia="Arial Unicode MS" w:hAnsi="Times New Roman" w:cs="Times New Roman"/>
          <w:bCs/>
        </w:rPr>
        <w:lastRenderedPageBreak/>
        <w:t>brief advice services, and lifestyle programmes that target both alcohol misuse and cardiometabolic health (Thomson and Chatterjee, 2024). Local initiatives are particularly important because they can be tailored to the needs of specific populations. They consider cultural differences, socioeconomic conditions, and local patterns of alcohol use in their approach. For example, integrating alcohol screening into NHS Health Checks or routine diabetes reviews allows primary care providers to identify hazardous drinking early and provide tailored advice. Additionally, community-based programmes can engage with groups at higher risk of T2DM, such as South Asian and Black African populations, using culturally sensitive approaches that address both diet and alcohol behaviours. These interventions can therefore provide a more holistic approach to reducing diabetes risk.</w:t>
      </w:r>
    </w:p>
    <w:p w14:paraId="714CA19E" w14:textId="77777777" w:rsidR="009F2D5B" w:rsidRPr="00485321" w:rsidRDefault="009F2D5B" w:rsidP="009F2D5B">
      <w:pPr>
        <w:spacing w:after="240" w:line="360" w:lineRule="auto"/>
        <w:mirrorIndents/>
        <w:jc w:val="both"/>
        <w:rPr>
          <w:rFonts w:ascii="Times New Roman" w:eastAsia="Arial Unicode MS" w:hAnsi="Times New Roman" w:cs="Times New Roman"/>
          <w:b/>
          <w:sz w:val="28"/>
          <w:szCs w:val="28"/>
        </w:rPr>
      </w:pPr>
      <w:r w:rsidRPr="00485321">
        <w:rPr>
          <w:rFonts w:ascii="Times New Roman" w:eastAsia="Arial Unicode MS" w:hAnsi="Times New Roman" w:cs="Times New Roman"/>
          <w:b/>
          <w:sz w:val="28"/>
          <w:szCs w:val="28"/>
        </w:rPr>
        <w:t>Conclusion</w:t>
      </w:r>
    </w:p>
    <w:p w14:paraId="23E10C68" w14:textId="77777777" w:rsidR="009F2D5B" w:rsidRPr="00485321" w:rsidRDefault="009F2D5B" w:rsidP="009F2D5B">
      <w:pPr>
        <w:spacing w:after="240" w:line="360" w:lineRule="auto"/>
        <w:mirrorIndents/>
        <w:jc w:val="both"/>
        <w:rPr>
          <w:rFonts w:ascii="Times New Roman" w:eastAsia="Arial Unicode MS" w:hAnsi="Times New Roman" w:cs="Times New Roman"/>
          <w:bCs/>
        </w:rPr>
      </w:pPr>
      <w:r w:rsidRPr="00485321">
        <w:rPr>
          <w:rFonts w:ascii="Times New Roman" w:eastAsia="Arial Unicode MS" w:hAnsi="Times New Roman" w:cs="Times New Roman"/>
          <w:bCs/>
        </w:rPr>
        <w:t>In the UK, among other high-resource settings, high socioeconomic status is associated with moderate and social drinking behaviours. On the other hand, lower socioeconomic status, particularly in resource-constrained settings, may cause binge drinking and other poor health habits. Overall, the historical, theoretical, international, and national contexts position binge drinking as a potential modifiable risk factor for T2DM. This association is particularly evident in individuals who exhibit other unhealthy lifestyle habits in addition to binge drinking. Therefore, this study focuses on the correlation between the development of T2DM and binge drinking in adults aged 18 years and older in the UK. Such insights are essential for informing targeted interventions and shaping inclusive public health policies.</w:t>
      </w:r>
      <w:r w:rsidRPr="00485321">
        <w:rPr>
          <w:rFonts w:ascii="Times New Roman" w:eastAsia="Arial Unicode MS" w:hAnsi="Times New Roman" w:cs="Times New Roman"/>
          <w:b/>
        </w:rPr>
        <w:br w:type="page"/>
      </w:r>
    </w:p>
    <w:p w14:paraId="0BA5BBBD" w14:textId="77777777" w:rsidR="009F2D5B" w:rsidRPr="00485321" w:rsidRDefault="009F2D5B" w:rsidP="009F2D5B">
      <w:pPr>
        <w:pStyle w:val="Heading1"/>
        <w:jc w:val="center"/>
        <w:rPr>
          <w:rFonts w:ascii="Times New Roman" w:hAnsi="Times New Roman" w:cs="Times New Roman"/>
        </w:rPr>
      </w:pPr>
      <w:bookmarkStart w:id="9" w:name="_Toc216438666"/>
      <w:r w:rsidRPr="00485321">
        <w:rPr>
          <w:rFonts w:ascii="Times New Roman" w:hAnsi="Times New Roman" w:cs="Times New Roman"/>
        </w:rPr>
        <w:lastRenderedPageBreak/>
        <w:t>CHAPTER 3: METHODS</w:t>
      </w:r>
      <w:bookmarkEnd w:id="9"/>
    </w:p>
    <w:p w14:paraId="701FFFD9" w14:textId="77777777" w:rsidR="009F2D5B" w:rsidRPr="00485321" w:rsidRDefault="009F2D5B" w:rsidP="009F2D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Times New Roman" w:eastAsia="Arial Unicode MS" w:hAnsi="Times New Roman" w:cs="Times New Roman"/>
          <w:b/>
        </w:rPr>
      </w:pPr>
    </w:p>
    <w:p w14:paraId="16A71EE5" w14:textId="77777777" w:rsidR="009F2D5B" w:rsidRPr="00485321" w:rsidRDefault="009F2D5B" w:rsidP="009F2D5B">
      <w:pPr>
        <w:spacing w:line="360" w:lineRule="auto"/>
        <w:rPr>
          <w:rFonts w:ascii="Times New Roman" w:hAnsi="Times New Roman" w:cs="Times New Roman"/>
          <w:b/>
          <w:bCs/>
          <w:color w:val="2E2E2E"/>
          <w:sz w:val="28"/>
          <w:szCs w:val="28"/>
          <w:shd w:val="clear" w:color="auto" w:fill="FFFFFF"/>
        </w:rPr>
      </w:pPr>
      <w:r w:rsidRPr="00485321">
        <w:rPr>
          <w:rFonts w:ascii="Times New Roman" w:hAnsi="Times New Roman" w:cs="Times New Roman"/>
          <w:b/>
          <w:bCs/>
          <w:color w:val="2E2E2E"/>
          <w:sz w:val="28"/>
          <w:szCs w:val="28"/>
          <w:shd w:val="clear" w:color="auto" w:fill="FFFFFF"/>
        </w:rPr>
        <w:t>Study design</w:t>
      </w:r>
    </w:p>
    <w:p w14:paraId="245902CC" w14:textId="77777777" w:rsidR="009F2D5B" w:rsidRPr="00485321" w:rsidRDefault="009F2D5B" w:rsidP="009F2D5B">
      <w:pPr>
        <w:spacing w:line="360" w:lineRule="auto"/>
        <w:jc w:val="both"/>
        <w:rPr>
          <w:rFonts w:ascii="Times New Roman" w:hAnsi="Times New Roman" w:cs="Times New Roman"/>
        </w:rPr>
      </w:pPr>
      <w:r w:rsidRPr="00485321">
        <w:rPr>
          <w:rFonts w:ascii="Times New Roman" w:hAnsi="Times New Roman" w:cs="Times New Roman"/>
        </w:rPr>
        <w:t xml:space="preserve">This research adopted a systematic review design to evaluate primary studies investigating the association between binge drinking and type 2 diabetes among adults aged 18 years and older in the UK. A systematic review represents a rigorous type of evidence synthesis that provides a comprehensive summary of existing research to answer questions and identify gaps in the literature. Systematic reviews can address questions related to the effects of interventions or exposures, diagnostic accuracy, disease prevalence, and prognosis (Brignardello-Petersen et al., 2025). Correspondingly, this present study aimed to assess the effects of individuals’ exposure to binge drinking, with the objective of understanding how this exposure correlates with the early onset of T2DM. It also sought to determine whether this association differs by sex and socioeconomic status, and to identify the influence of lifestyle and health-related confounders such as diet quality, smoking history, physical activity levels, and BMI.   </w:t>
      </w:r>
    </w:p>
    <w:p w14:paraId="6717EA27" w14:textId="77777777" w:rsidR="009360B0" w:rsidRDefault="009360B0" w:rsidP="009F2D5B">
      <w:pPr>
        <w:spacing w:line="360" w:lineRule="auto"/>
        <w:jc w:val="both"/>
        <w:rPr>
          <w:rFonts w:ascii="Times New Roman" w:hAnsi="Times New Roman" w:cs="Times New Roman"/>
          <w:b/>
          <w:bCs/>
          <w:sz w:val="28"/>
          <w:szCs w:val="28"/>
        </w:rPr>
      </w:pPr>
    </w:p>
    <w:p w14:paraId="05CD0A27" w14:textId="01925D74" w:rsidR="009F2D5B" w:rsidRPr="00485321" w:rsidRDefault="009F2D5B" w:rsidP="009F2D5B">
      <w:pPr>
        <w:spacing w:line="360" w:lineRule="auto"/>
        <w:jc w:val="both"/>
        <w:rPr>
          <w:rFonts w:ascii="Times New Roman" w:hAnsi="Times New Roman" w:cs="Times New Roman"/>
          <w:b/>
          <w:bCs/>
          <w:sz w:val="28"/>
          <w:szCs w:val="28"/>
        </w:rPr>
      </w:pPr>
      <w:r w:rsidRPr="00485321">
        <w:rPr>
          <w:rFonts w:ascii="Times New Roman" w:hAnsi="Times New Roman" w:cs="Times New Roman"/>
          <w:b/>
          <w:bCs/>
          <w:sz w:val="28"/>
          <w:szCs w:val="28"/>
        </w:rPr>
        <w:t>Search strategy</w:t>
      </w:r>
    </w:p>
    <w:p w14:paraId="260B3CEE" w14:textId="77777777" w:rsidR="009F2D5B" w:rsidRPr="00485321" w:rsidRDefault="009F2D5B" w:rsidP="009F2D5B">
      <w:pPr>
        <w:spacing w:line="360" w:lineRule="auto"/>
        <w:jc w:val="both"/>
        <w:rPr>
          <w:rFonts w:ascii="Times New Roman" w:hAnsi="Times New Roman" w:cs="Times New Roman"/>
        </w:rPr>
      </w:pPr>
      <w:r w:rsidRPr="00485321">
        <w:rPr>
          <w:rFonts w:ascii="Times New Roman" w:hAnsi="Times New Roman" w:cs="Times New Roman"/>
        </w:rPr>
        <w:t>The study adhered to the Preferred Reporting Items for Systematic Reviews and Meta-Analyses (PRISMA) guidelines (Page et al., 2021). A systematic search was conducted across Medline, PubMed, and Web of Science databases for studies published between 2015 to October 2025. The search was conducted to identify 10 primary studies on the correlation between binge drinking and T2DM among adults aged 18 years and above in the UK. The search terms included a combination of keywords and Medical Subject Headings (</w:t>
      </w:r>
      <w:proofErr w:type="spellStart"/>
      <w:r w:rsidRPr="00485321">
        <w:rPr>
          <w:rFonts w:ascii="Times New Roman" w:hAnsi="Times New Roman" w:cs="Times New Roman"/>
        </w:rPr>
        <w:t>MeSH</w:t>
      </w:r>
      <w:proofErr w:type="spellEnd"/>
      <w:r w:rsidRPr="00485321">
        <w:rPr>
          <w:rFonts w:ascii="Times New Roman" w:hAnsi="Times New Roman" w:cs="Times New Roman"/>
        </w:rPr>
        <w:t>) terms, including “alcohol,” “alcohol intoxication,” “heavy drinking,” “alcohol dependence,” “diabetes mellitus,” “type 2 diabetes,” and “binge drinking.” The literature search was restricted to studies written in the English language.</w:t>
      </w:r>
    </w:p>
    <w:p w14:paraId="6B2ABB8D" w14:textId="77777777" w:rsidR="009360B0" w:rsidRDefault="009360B0" w:rsidP="009F2D5B">
      <w:pPr>
        <w:spacing w:line="360" w:lineRule="auto"/>
        <w:jc w:val="both"/>
        <w:rPr>
          <w:rFonts w:ascii="Times New Roman" w:hAnsi="Times New Roman" w:cs="Times New Roman"/>
          <w:b/>
          <w:bCs/>
          <w:sz w:val="28"/>
          <w:szCs w:val="28"/>
        </w:rPr>
      </w:pPr>
    </w:p>
    <w:p w14:paraId="182D4A3C" w14:textId="1B7ED128" w:rsidR="009F2D5B" w:rsidRPr="00485321" w:rsidRDefault="009F2D5B" w:rsidP="009F2D5B">
      <w:pPr>
        <w:spacing w:line="360" w:lineRule="auto"/>
        <w:jc w:val="both"/>
        <w:rPr>
          <w:rFonts w:ascii="Times New Roman" w:hAnsi="Times New Roman" w:cs="Times New Roman"/>
          <w:b/>
          <w:bCs/>
          <w:sz w:val="28"/>
          <w:szCs w:val="28"/>
        </w:rPr>
      </w:pPr>
      <w:r w:rsidRPr="00485321">
        <w:rPr>
          <w:rFonts w:ascii="Times New Roman" w:hAnsi="Times New Roman" w:cs="Times New Roman"/>
          <w:b/>
          <w:bCs/>
          <w:sz w:val="28"/>
          <w:szCs w:val="28"/>
        </w:rPr>
        <w:t>Study selection and data extraction</w:t>
      </w:r>
    </w:p>
    <w:p w14:paraId="1C85961F" w14:textId="77777777" w:rsidR="009F2D5B" w:rsidRPr="00485321" w:rsidRDefault="009F2D5B" w:rsidP="009F2D5B">
      <w:pPr>
        <w:spacing w:line="360" w:lineRule="auto"/>
        <w:jc w:val="both"/>
        <w:rPr>
          <w:rFonts w:ascii="Times New Roman" w:hAnsi="Times New Roman" w:cs="Times New Roman"/>
        </w:rPr>
      </w:pPr>
      <w:r w:rsidRPr="00485321">
        <w:rPr>
          <w:rFonts w:ascii="Times New Roman" w:hAnsi="Times New Roman" w:cs="Times New Roman"/>
        </w:rPr>
        <w:t>Eligible studies included descriptive observational study designs that reported the association between excessive alcohol consumption and the risk or onset of T2DM. Using the population, exposure, and outcome (PEO) framework to determine eligibility (Capili, 2020), studies were included if they involved participants who were 18 years and older living within the UK. Binge drinking or excessive alcohol consumption represented the exposure of interest, and incident type 2 diabetes represented the outcome. T2DM was assessed either through self-reports or objective evaluations, and studies were considered if they indicated at least two comparison categories against a reference group, such as sex-specific alcohol consumption, socioeconomic status, lifestyle behaviours, and health-related confounders.</w:t>
      </w:r>
    </w:p>
    <w:p w14:paraId="4BDCF130" w14:textId="77777777" w:rsidR="009F2D5B" w:rsidRPr="00485321" w:rsidRDefault="009F2D5B" w:rsidP="009F2D5B">
      <w:pPr>
        <w:spacing w:line="360" w:lineRule="auto"/>
        <w:jc w:val="both"/>
        <w:rPr>
          <w:rFonts w:ascii="Times New Roman" w:hAnsi="Times New Roman" w:cs="Times New Roman"/>
        </w:rPr>
      </w:pPr>
      <w:r w:rsidRPr="00485321">
        <w:rPr>
          <w:rFonts w:ascii="Times New Roman" w:hAnsi="Times New Roman" w:cs="Times New Roman"/>
        </w:rPr>
        <w:lastRenderedPageBreak/>
        <w:t xml:space="preserve">Studies were excluded if they were not written in English or if they were abstracts, conference proceedings, reviews, or non-full-text papers. Additional exclusions applied to studies that did not meet the threshold for binge drinking, or those focused on type 1 diabetes, gestational diabetes, or diabetic complications without specific reference to T2DM. </w:t>
      </w:r>
    </w:p>
    <w:p w14:paraId="761D94AD" w14:textId="77777777" w:rsidR="009F2D5B" w:rsidRPr="00485321" w:rsidRDefault="009F2D5B" w:rsidP="009F2D5B">
      <w:pPr>
        <w:spacing w:line="360" w:lineRule="auto"/>
        <w:jc w:val="both"/>
        <w:rPr>
          <w:rFonts w:ascii="Times New Roman" w:hAnsi="Times New Roman" w:cs="Times New Roman"/>
        </w:rPr>
      </w:pPr>
      <w:r w:rsidRPr="00485321">
        <w:rPr>
          <w:rFonts w:ascii="Times New Roman" w:hAnsi="Times New Roman" w:cs="Times New Roman"/>
        </w:rPr>
        <w:t xml:space="preserve">A total of 808 articles were returned after implementing the search strategy.  Following a two-step approach, the titles and abstracts of selected studies were screened to identify the eligible papers and remove duplicates. This led to the identification of 298 articles. Of these, the </w:t>
      </w:r>
      <w:proofErr w:type="gramStart"/>
      <w:r w:rsidRPr="00485321">
        <w:rPr>
          <w:rFonts w:ascii="Times New Roman" w:hAnsi="Times New Roman" w:cs="Times New Roman"/>
        </w:rPr>
        <w:t>full-texts</w:t>
      </w:r>
      <w:proofErr w:type="gramEnd"/>
      <w:r w:rsidRPr="00485321">
        <w:rPr>
          <w:rFonts w:ascii="Times New Roman" w:hAnsi="Times New Roman" w:cs="Times New Roman"/>
        </w:rPr>
        <w:t xml:space="preserve"> of 14 articles could not be accessed. Subsequently, the full texts of 284 potentially eligible studies were examined in detail. The eligibility criteria were applied, and the 10 most relevant papers were included in the review. The selection process is schematically presented using a PRISMA flow diagram (Appendix I). Using a standardised spreadsheet, relevant information regarding the characteristics of each included study was extracted. Information obtained included: author and year of publication, country, title, study design, participant data, comparisons, outcome, and follow-up years. The extracted participant data included sample size, sex, age, alcohol consumption rate, socioeconomic status, BMI, risk estimates, and outcomes.</w:t>
      </w:r>
    </w:p>
    <w:p w14:paraId="3CF977DD" w14:textId="77777777" w:rsidR="009360B0" w:rsidRDefault="009360B0" w:rsidP="009F2D5B">
      <w:pPr>
        <w:spacing w:line="360" w:lineRule="auto"/>
        <w:jc w:val="both"/>
        <w:rPr>
          <w:rFonts w:ascii="Times New Roman" w:hAnsi="Times New Roman" w:cs="Times New Roman"/>
          <w:b/>
          <w:bCs/>
          <w:sz w:val="28"/>
          <w:szCs w:val="28"/>
        </w:rPr>
      </w:pPr>
    </w:p>
    <w:p w14:paraId="67DDB3AC" w14:textId="616A1020" w:rsidR="009F2D5B" w:rsidRPr="00485321" w:rsidRDefault="009F2D5B" w:rsidP="009F2D5B">
      <w:pPr>
        <w:spacing w:line="360" w:lineRule="auto"/>
        <w:jc w:val="both"/>
        <w:rPr>
          <w:rFonts w:ascii="Times New Roman" w:hAnsi="Times New Roman" w:cs="Times New Roman"/>
          <w:b/>
          <w:bCs/>
          <w:sz w:val="28"/>
          <w:szCs w:val="28"/>
        </w:rPr>
      </w:pPr>
      <w:r w:rsidRPr="00485321">
        <w:rPr>
          <w:rFonts w:ascii="Times New Roman" w:hAnsi="Times New Roman" w:cs="Times New Roman"/>
          <w:b/>
          <w:bCs/>
          <w:sz w:val="28"/>
          <w:szCs w:val="28"/>
        </w:rPr>
        <w:t>Ethical consideration</w:t>
      </w:r>
    </w:p>
    <w:p w14:paraId="3F42AD05" w14:textId="77777777" w:rsidR="009F2D5B" w:rsidRPr="00485321" w:rsidRDefault="009F2D5B" w:rsidP="009F2D5B">
      <w:pPr>
        <w:spacing w:line="360" w:lineRule="auto"/>
        <w:jc w:val="both"/>
        <w:rPr>
          <w:rFonts w:ascii="Times New Roman" w:hAnsi="Times New Roman" w:cs="Times New Roman"/>
        </w:rPr>
      </w:pPr>
      <w:r w:rsidRPr="00485321">
        <w:rPr>
          <w:rFonts w:ascii="Times New Roman" w:hAnsi="Times New Roman" w:cs="Times New Roman"/>
        </w:rPr>
        <w:t>This study is a systematic review of previously published research and did not involve the collection of new data from human participants. As such, ethical approval and informed consent were not required. However, all studies included in this review were critically appraised to ensure they adhered to appropriate ethical standards, including approval by relevant institutional review boards and the acquisition of informed consent from participants in accordance with established ethical protocols. The review was conducted in accordance with the principles outlined in the Declaration of Helsinki and its subsequent amendments.</w:t>
      </w:r>
    </w:p>
    <w:p w14:paraId="2100DED0" w14:textId="77777777" w:rsidR="009360B0" w:rsidRDefault="009360B0" w:rsidP="009F2D5B">
      <w:pPr>
        <w:spacing w:line="360" w:lineRule="auto"/>
        <w:jc w:val="both"/>
        <w:rPr>
          <w:rFonts w:ascii="Times New Roman" w:hAnsi="Times New Roman" w:cs="Times New Roman"/>
          <w:b/>
          <w:bCs/>
          <w:sz w:val="28"/>
          <w:szCs w:val="28"/>
        </w:rPr>
      </w:pPr>
    </w:p>
    <w:p w14:paraId="7BF462FE" w14:textId="497823C3" w:rsidR="009F2D5B" w:rsidRPr="00485321" w:rsidRDefault="009F2D5B" w:rsidP="009F2D5B">
      <w:pPr>
        <w:spacing w:line="360" w:lineRule="auto"/>
        <w:jc w:val="both"/>
        <w:rPr>
          <w:rFonts w:ascii="Times New Roman" w:hAnsi="Times New Roman" w:cs="Times New Roman"/>
          <w:b/>
          <w:bCs/>
          <w:sz w:val="28"/>
          <w:szCs w:val="28"/>
        </w:rPr>
      </w:pPr>
      <w:r w:rsidRPr="00485321">
        <w:rPr>
          <w:rFonts w:ascii="Times New Roman" w:hAnsi="Times New Roman" w:cs="Times New Roman"/>
          <w:b/>
          <w:bCs/>
          <w:sz w:val="28"/>
          <w:szCs w:val="28"/>
        </w:rPr>
        <w:t>Quality appraisal</w:t>
      </w:r>
    </w:p>
    <w:p w14:paraId="6986A3BB" w14:textId="77777777" w:rsidR="009F2D5B" w:rsidRPr="00485321" w:rsidRDefault="009F2D5B" w:rsidP="009F2D5B">
      <w:pPr>
        <w:spacing w:line="360" w:lineRule="auto"/>
        <w:jc w:val="both"/>
        <w:rPr>
          <w:rFonts w:ascii="Times New Roman" w:hAnsi="Times New Roman" w:cs="Times New Roman"/>
        </w:rPr>
      </w:pPr>
      <w:r w:rsidRPr="00485321">
        <w:rPr>
          <w:rFonts w:ascii="Times New Roman" w:hAnsi="Times New Roman" w:cs="Times New Roman"/>
        </w:rPr>
        <w:t>A systematic quality assessment was conducted for each primary article to assess the methodical quality and rigour of the included studies. The assessment employed the Critical Appraisal Skills Programme (CASP) checklist for cohort studies (</w:t>
      </w:r>
      <w:r w:rsidRPr="00485321">
        <w:rPr>
          <w:rFonts w:ascii="Times New Roman" w:hAnsi="Times New Roman" w:cs="Times New Roman"/>
          <w:lang w:val="en-US"/>
        </w:rPr>
        <w:t xml:space="preserve">Critical Appraisal Skills </w:t>
      </w:r>
      <w:proofErr w:type="spellStart"/>
      <w:r w:rsidRPr="00485321">
        <w:rPr>
          <w:rFonts w:ascii="Times New Roman" w:hAnsi="Times New Roman" w:cs="Times New Roman"/>
          <w:lang w:val="en-US"/>
        </w:rPr>
        <w:t>Programme</w:t>
      </w:r>
      <w:proofErr w:type="spellEnd"/>
      <w:r w:rsidRPr="00485321">
        <w:rPr>
          <w:rFonts w:ascii="Times New Roman" w:hAnsi="Times New Roman" w:cs="Times New Roman"/>
        </w:rPr>
        <w:t xml:space="preserve">, 2024), a validated tool recognised for its suitability in evaluating observational research. The CASP checklist is particularly effective for studies investigating prevalence, associations, or patterns within populations. </w:t>
      </w:r>
    </w:p>
    <w:p w14:paraId="6D4427B4" w14:textId="77777777" w:rsidR="009F2D5B" w:rsidRPr="00485321" w:rsidRDefault="009F2D5B" w:rsidP="009F2D5B">
      <w:pPr>
        <w:spacing w:line="360" w:lineRule="auto"/>
        <w:jc w:val="both"/>
        <w:rPr>
          <w:rFonts w:ascii="Times New Roman" w:hAnsi="Times New Roman" w:cs="Times New Roman"/>
        </w:rPr>
      </w:pPr>
      <w:r w:rsidRPr="00485321">
        <w:rPr>
          <w:rFonts w:ascii="Times New Roman" w:hAnsi="Times New Roman" w:cs="Times New Roman"/>
        </w:rPr>
        <w:t xml:space="preserve">The checklist comprises 12 items covering key domains such as the clarity of study aims, appropriateness of cohort selection, measurement of exposures and outcomes, identification and control of confounding factors, completeness of follow-up, and the applicability of results to the target population. Each item was scored dichotomously: a response of “Yes” was assigned a score of 1, while “No” and “Can’t tell” were scored as 0. Items 5 and 6 have two parts; each part was scored “0.5” if the </w:t>
      </w:r>
      <w:r w:rsidRPr="00485321">
        <w:rPr>
          <w:rFonts w:ascii="Times New Roman" w:hAnsi="Times New Roman" w:cs="Times New Roman"/>
        </w:rPr>
        <w:lastRenderedPageBreak/>
        <w:t xml:space="preserve">response is yes, so that the two parts add up to “1” for each item. In alignment with previous systematic reviews (e.g., Rai et al., 2020), studies were categorised based on their total scores. A study was classified as high quality for meeting 9-12 points, medium quality for meeting 6-8 of the criteria, and low quality for meeting fewer than 6 points. These corresponded to percentage thresholds of ≥75%, 50–74%, and &lt;50%, respectively. Each study was independently assessed against the checklist criteria, and those rated as low quality were excluded to ensure methodological rigour and enhance the reliability of the findings. </w:t>
      </w:r>
    </w:p>
    <w:p w14:paraId="2CBB01A9" w14:textId="77777777" w:rsidR="009360B0" w:rsidRDefault="009360B0" w:rsidP="009F2D5B">
      <w:pPr>
        <w:spacing w:line="360" w:lineRule="auto"/>
        <w:jc w:val="both"/>
        <w:rPr>
          <w:rFonts w:ascii="Times New Roman" w:hAnsi="Times New Roman" w:cs="Times New Roman"/>
          <w:b/>
          <w:bCs/>
          <w:sz w:val="28"/>
          <w:szCs w:val="28"/>
        </w:rPr>
      </w:pPr>
    </w:p>
    <w:p w14:paraId="6AB41E5F" w14:textId="3970856A" w:rsidR="009F2D5B" w:rsidRPr="00485321" w:rsidRDefault="009F2D5B" w:rsidP="009F2D5B">
      <w:pPr>
        <w:spacing w:line="360" w:lineRule="auto"/>
        <w:jc w:val="both"/>
        <w:rPr>
          <w:rFonts w:ascii="Times New Roman" w:hAnsi="Times New Roman" w:cs="Times New Roman"/>
          <w:b/>
          <w:bCs/>
          <w:sz w:val="28"/>
          <w:szCs w:val="28"/>
        </w:rPr>
      </w:pPr>
      <w:r w:rsidRPr="00485321">
        <w:rPr>
          <w:rFonts w:ascii="Times New Roman" w:hAnsi="Times New Roman" w:cs="Times New Roman"/>
          <w:b/>
          <w:bCs/>
          <w:sz w:val="28"/>
          <w:szCs w:val="28"/>
        </w:rPr>
        <w:t>Data synthesis</w:t>
      </w:r>
    </w:p>
    <w:p w14:paraId="1AFE17A1" w14:textId="77777777" w:rsidR="009F2D5B" w:rsidRPr="00485321" w:rsidRDefault="009F2D5B" w:rsidP="009F2D5B">
      <w:pPr>
        <w:spacing w:line="360" w:lineRule="auto"/>
        <w:jc w:val="both"/>
        <w:rPr>
          <w:rFonts w:ascii="Times New Roman" w:hAnsi="Times New Roman" w:cs="Times New Roman"/>
        </w:rPr>
      </w:pPr>
      <w:r w:rsidRPr="00485321">
        <w:rPr>
          <w:rFonts w:ascii="Times New Roman" w:hAnsi="Times New Roman" w:cs="Times New Roman"/>
        </w:rPr>
        <w:t xml:space="preserve">All included studies in this review reported quantitative data. However, the studies exhibited considerable heterogeneity in study design. Therefore, they did not meet the criteria required for meta-analysis. Thus, a narrative data synthesis was conducted. The narrative synthesis approach is </w:t>
      </w:r>
      <w:proofErr w:type="gramStart"/>
      <w:r w:rsidRPr="00485321">
        <w:rPr>
          <w:rFonts w:ascii="Times New Roman" w:hAnsi="Times New Roman" w:cs="Times New Roman"/>
        </w:rPr>
        <w:t>similar to</w:t>
      </w:r>
      <w:proofErr w:type="gramEnd"/>
      <w:r w:rsidRPr="00485321">
        <w:rPr>
          <w:rFonts w:ascii="Times New Roman" w:hAnsi="Times New Roman" w:cs="Times New Roman"/>
        </w:rPr>
        <w:t xml:space="preserve"> the thematic analysis by Braun and Clarke (2006). However, thematic approaches are primarily designed for qualitative evidence and focus on developing conceptual themes. Hence, narrative synthesis is better suited to the quantitative findings reported in the studies included in this systematic review (Popay et al., 2006). </w:t>
      </w:r>
    </w:p>
    <w:p w14:paraId="20DD2B4B" w14:textId="77777777" w:rsidR="009F2D5B" w:rsidRPr="00485321" w:rsidRDefault="009F2D5B" w:rsidP="009F2D5B">
      <w:pPr>
        <w:spacing w:line="360" w:lineRule="auto"/>
        <w:jc w:val="both"/>
        <w:rPr>
          <w:rFonts w:ascii="Times New Roman" w:hAnsi="Times New Roman" w:cs="Times New Roman"/>
        </w:rPr>
      </w:pPr>
      <w:r w:rsidRPr="00485321">
        <w:rPr>
          <w:rFonts w:ascii="Times New Roman" w:hAnsi="Times New Roman" w:cs="Times New Roman"/>
        </w:rPr>
        <w:t>A narrative evidence synthesis of the results was conducted to elucidate the overall impact of alcohol exposure on the onset of T2DM among adults in the UK. This method of analysis was employed for its capacity to integrate findings across heterogeneous studies, explore inter-study variability, and assess the robustness of evidence within a structured textual framework. Narrative synthesis is particularly advantageous when addressing complex questions related to the effects of exposures or interventions, such as determining what works, for whom, and under which circumstances (Rai et al., 2020).</w:t>
      </w:r>
    </w:p>
    <w:p w14:paraId="5FD2B1BD" w14:textId="77777777" w:rsidR="009F2D5B" w:rsidRPr="00485321" w:rsidRDefault="009F2D5B" w:rsidP="009F2D5B">
      <w:pPr>
        <w:spacing w:line="360" w:lineRule="auto"/>
        <w:jc w:val="both"/>
        <w:rPr>
          <w:rFonts w:ascii="Times New Roman" w:hAnsi="Times New Roman" w:cs="Times New Roman"/>
        </w:rPr>
      </w:pPr>
      <w:r w:rsidRPr="00485321">
        <w:rPr>
          <w:rFonts w:ascii="Times New Roman" w:hAnsi="Times New Roman" w:cs="Times New Roman"/>
        </w:rPr>
        <w:t xml:space="preserve">In this review, the use of a narrative evidence synthesis facilitated the translation of diverse findings into coherent insights that advance the epidemiological understanding of excessive alcohol consumption and its association with T2DM onset. The synthesis followed the four key elements of the narrative synthesis framework (Popay et al., 2006): 1) Developing a theoretical model to explain the mechanisms linking binge drinking to T2DM onset. 2) Constructing a preliminary synthesis to organise and summarise findings from included studies. 3) Exploring relationships within and between studies to identify patterns, contradictions, and contextual factors. 4) Assessing the robustness of the synthesis by evaluating methodological quality, consistency of findings, and potential biases. </w:t>
      </w:r>
    </w:p>
    <w:p w14:paraId="30F9832B" w14:textId="77777777" w:rsidR="009F2D5B" w:rsidRPr="00485321" w:rsidRDefault="009F2D5B" w:rsidP="009F2D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Times New Roman" w:eastAsia="Arial Unicode MS" w:hAnsi="Times New Roman" w:cs="Times New Roman"/>
        </w:rPr>
      </w:pPr>
      <w:r w:rsidRPr="00485321">
        <w:rPr>
          <w:rFonts w:ascii="Times New Roman" w:eastAsia="Arial Unicode MS" w:hAnsi="Times New Roman" w:cs="Times New Roman"/>
        </w:rPr>
        <w:t xml:space="preserve"> </w:t>
      </w:r>
    </w:p>
    <w:p w14:paraId="6F29C47C" w14:textId="77777777" w:rsidR="009F2D5B" w:rsidRPr="00485321" w:rsidRDefault="009F2D5B" w:rsidP="009F2D5B">
      <w:pPr>
        <w:spacing w:line="360" w:lineRule="auto"/>
        <w:mirrorIndents/>
        <w:jc w:val="both"/>
        <w:rPr>
          <w:rFonts w:ascii="Times New Roman" w:eastAsia="Arial Unicode MS" w:hAnsi="Times New Roman" w:cs="Times New Roman"/>
        </w:rPr>
      </w:pPr>
    </w:p>
    <w:p w14:paraId="3063CE45" w14:textId="77777777" w:rsidR="009F2D5B" w:rsidRPr="00485321" w:rsidRDefault="009F2D5B" w:rsidP="009F2D5B">
      <w:pPr>
        <w:spacing w:line="360" w:lineRule="auto"/>
        <w:mirrorIndents/>
        <w:jc w:val="both"/>
        <w:rPr>
          <w:rFonts w:ascii="Times New Roman" w:eastAsia="Arial Unicode MS" w:hAnsi="Times New Roman" w:cs="Times New Roman"/>
        </w:rPr>
      </w:pPr>
    </w:p>
    <w:p w14:paraId="7FED0567" w14:textId="77777777" w:rsidR="009F2D5B" w:rsidRPr="00485321" w:rsidRDefault="009F2D5B" w:rsidP="009F2D5B">
      <w:pPr>
        <w:rPr>
          <w:rFonts w:ascii="Times New Roman" w:eastAsia="Arial Unicode MS" w:hAnsi="Times New Roman" w:cs="Times New Roman"/>
          <w:b/>
        </w:rPr>
      </w:pPr>
      <w:r w:rsidRPr="00485321">
        <w:rPr>
          <w:rFonts w:ascii="Times New Roman" w:eastAsia="Arial Unicode MS" w:hAnsi="Times New Roman" w:cs="Times New Roman"/>
          <w:b/>
        </w:rPr>
        <w:br w:type="page"/>
      </w:r>
    </w:p>
    <w:p w14:paraId="42F5468A" w14:textId="77777777" w:rsidR="009F2D5B" w:rsidRPr="00485321" w:rsidRDefault="009F2D5B" w:rsidP="009F2D5B">
      <w:pPr>
        <w:pStyle w:val="Heading1"/>
        <w:jc w:val="center"/>
        <w:rPr>
          <w:rFonts w:ascii="Times New Roman" w:hAnsi="Times New Roman" w:cs="Times New Roman"/>
        </w:rPr>
      </w:pPr>
      <w:bookmarkStart w:id="10" w:name="_Toc216438667"/>
      <w:r w:rsidRPr="00485321">
        <w:rPr>
          <w:rFonts w:ascii="Times New Roman" w:hAnsi="Times New Roman" w:cs="Times New Roman"/>
        </w:rPr>
        <w:lastRenderedPageBreak/>
        <w:t>CHAPTER 4: RESULTS AND DISCUSSION</w:t>
      </w:r>
      <w:bookmarkEnd w:id="10"/>
    </w:p>
    <w:p w14:paraId="569FFB5E" w14:textId="77777777" w:rsidR="009F2D5B" w:rsidRPr="00485321" w:rsidRDefault="009F2D5B" w:rsidP="009F2D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Times New Roman" w:eastAsia="Arial Unicode MS" w:hAnsi="Times New Roman" w:cs="Times New Roman"/>
          <w:b/>
        </w:rPr>
      </w:pPr>
    </w:p>
    <w:p w14:paraId="527B19D1" w14:textId="77777777" w:rsidR="009F2D5B" w:rsidRPr="00485321" w:rsidRDefault="009F2D5B" w:rsidP="009F2D5B">
      <w:pPr>
        <w:spacing w:line="360" w:lineRule="auto"/>
        <w:jc w:val="both"/>
        <w:rPr>
          <w:rFonts w:ascii="Times New Roman" w:hAnsi="Times New Roman" w:cs="Times New Roman"/>
          <w:b/>
          <w:bCs/>
          <w:sz w:val="28"/>
          <w:szCs w:val="28"/>
        </w:rPr>
      </w:pPr>
      <w:r w:rsidRPr="00485321">
        <w:rPr>
          <w:rFonts w:ascii="Times New Roman" w:hAnsi="Times New Roman" w:cs="Times New Roman"/>
          <w:b/>
          <w:bCs/>
          <w:sz w:val="28"/>
          <w:szCs w:val="28"/>
        </w:rPr>
        <w:t>Introduction</w:t>
      </w:r>
    </w:p>
    <w:p w14:paraId="579A4A81" w14:textId="77777777" w:rsidR="009F2D5B" w:rsidRPr="00485321" w:rsidRDefault="009F2D5B" w:rsidP="009F2D5B">
      <w:pPr>
        <w:spacing w:line="360" w:lineRule="auto"/>
        <w:jc w:val="both"/>
        <w:rPr>
          <w:rFonts w:ascii="Times New Roman" w:hAnsi="Times New Roman" w:cs="Times New Roman"/>
        </w:rPr>
      </w:pPr>
      <w:r w:rsidRPr="00485321">
        <w:rPr>
          <w:rFonts w:ascii="Times New Roman" w:hAnsi="Times New Roman" w:cs="Times New Roman"/>
        </w:rPr>
        <w:t>This section describes the findings from the 10 original articles on the association between binge drinking patterns and the earlier onset of T2DM in adults. The characteristics of the included studies were described. This was followed by the analysis of the findings. The findings were categorised under specific subheadings to provide a structured narrative synthesis. Then the studies were critically appraised using the CASP checklist for cohort studies, and the results are presented. Finally, the study findings were discussed in the context of existing evidence.</w:t>
      </w:r>
    </w:p>
    <w:p w14:paraId="55292010" w14:textId="77777777" w:rsidR="009F2D5B" w:rsidRPr="00485321" w:rsidRDefault="009F2D5B" w:rsidP="009F2D5B">
      <w:pPr>
        <w:spacing w:line="360" w:lineRule="auto"/>
        <w:jc w:val="both"/>
        <w:rPr>
          <w:rFonts w:ascii="Times New Roman" w:hAnsi="Times New Roman" w:cs="Times New Roman"/>
        </w:rPr>
      </w:pPr>
    </w:p>
    <w:p w14:paraId="25BFE08D" w14:textId="77777777" w:rsidR="009F2D5B" w:rsidRPr="00485321" w:rsidRDefault="009F2D5B" w:rsidP="009F2D5B">
      <w:pPr>
        <w:spacing w:line="360" w:lineRule="auto"/>
        <w:jc w:val="both"/>
        <w:rPr>
          <w:rFonts w:ascii="Times New Roman" w:hAnsi="Times New Roman" w:cs="Times New Roman"/>
          <w:b/>
          <w:bCs/>
          <w:sz w:val="28"/>
          <w:szCs w:val="28"/>
        </w:rPr>
      </w:pPr>
      <w:r w:rsidRPr="00485321">
        <w:rPr>
          <w:rFonts w:ascii="Times New Roman" w:hAnsi="Times New Roman" w:cs="Times New Roman"/>
          <w:b/>
          <w:bCs/>
          <w:sz w:val="28"/>
          <w:szCs w:val="28"/>
        </w:rPr>
        <w:t>Study characteristics</w:t>
      </w:r>
    </w:p>
    <w:p w14:paraId="4D1659CA" w14:textId="77777777" w:rsidR="009F2D5B" w:rsidRPr="00485321" w:rsidRDefault="009F2D5B" w:rsidP="009F2D5B">
      <w:pPr>
        <w:spacing w:line="360" w:lineRule="auto"/>
        <w:jc w:val="both"/>
        <w:rPr>
          <w:rFonts w:ascii="Times New Roman" w:hAnsi="Times New Roman" w:cs="Times New Roman"/>
        </w:rPr>
      </w:pPr>
      <w:r w:rsidRPr="00485321">
        <w:rPr>
          <w:rFonts w:ascii="Times New Roman" w:hAnsi="Times New Roman" w:cs="Times New Roman"/>
        </w:rPr>
        <w:t xml:space="preserve">The primary exposure of interest was alcohol consumption, with outcomes focused on the risk of T2DM among adults residing in England and other parts of the United Kingdom. The characteristics of the included studies are provided in Appendix II. </w:t>
      </w:r>
    </w:p>
    <w:p w14:paraId="6D7F68AE" w14:textId="77777777" w:rsidR="009F2D5B" w:rsidRPr="00485321" w:rsidRDefault="009F2D5B" w:rsidP="009F2D5B">
      <w:pPr>
        <w:spacing w:line="360" w:lineRule="auto"/>
        <w:jc w:val="both"/>
        <w:rPr>
          <w:rFonts w:ascii="Times New Roman" w:hAnsi="Times New Roman" w:cs="Times New Roman"/>
        </w:rPr>
      </w:pPr>
      <w:r w:rsidRPr="00485321">
        <w:rPr>
          <w:rFonts w:ascii="Times New Roman" w:hAnsi="Times New Roman" w:cs="Times New Roman"/>
        </w:rPr>
        <w:t xml:space="preserve">Most studies were population‑based or longitudinal cohort investigations (Knott et al., 2018; Ma et al., 2022; Ding et al., 2023; Mayer and </w:t>
      </w:r>
      <w:proofErr w:type="spellStart"/>
      <w:r w:rsidRPr="00485321">
        <w:rPr>
          <w:rFonts w:ascii="Times New Roman" w:hAnsi="Times New Roman" w:cs="Times New Roman"/>
        </w:rPr>
        <w:t>Fontelo</w:t>
      </w:r>
      <w:proofErr w:type="spellEnd"/>
      <w:r w:rsidRPr="00485321">
        <w:rPr>
          <w:rFonts w:ascii="Times New Roman" w:hAnsi="Times New Roman" w:cs="Times New Roman"/>
        </w:rPr>
        <w:t xml:space="preserve">, 2024; Cook et al., 2024; </w:t>
      </w:r>
      <w:proofErr w:type="spellStart"/>
      <w:r w:rsidRPr="00485321">
        <w:rPr>
          <w:rFonts w:ascii="Times New Roman" w:hAnsi="Times New Roman" w:cs="Times New Roman"/>
        </w:rPr>
        <w:t>Belzile</w:t>
      </w:r>
      <w:proofErr w:type="spellEnd"/>
      <w:r w:rsidRPr="00485321">
        <w:rPr>
          <w:rFonts w:ascii="Times New Roman" w:hAnsi="Times New Roman" w:cs="Times New Roman"/>
        </w:rPr>
        <w:t xml:space="preserve"> et al., 2025; Cook et al., 2025). Three studies employed Mendelian randomisation approaches to explore causal relationships between alcohol intake and T2DM outcomes (Lankester et al., 2021; Lu et al., 2023; Reed et al., 2025). All studies were published between 2015 and 2025. Outcome measures across the studies included sex‑specific differences in risk, the impact of alcohol consumption with meals, BMI as a mediating factor, type of alcoholic beverage consumed, and frequency of drinking.</w:t>
      </w:r>
    </w:p>
    <w:p w14:paraId="4BDFD44B" w14:textId="77777777" w:rsidR="009F2D5B" w:rsidRPr="00485321" w:rsidRDefault="009F2D5B" w:rsidP="009F2D5B">
      <w:pPr>
        <w:spacing w:line="360" w:lineRule="auto"/>
        <w:jc w:val="both"/>
        <w:rPr>
          <w:rFonts w:ascii="Times New Roman" w:hAnsi="Times New Roman" w:cs="Times New Roman"/>
          <w:b/>
          <w:bCs/>
          <w:sz w:val="28"/>
          <w:szCs w:val="28"/>
        </w:rPr>
      </w:pPr>
    </w:p>
    <w:p w14:paraId="64E02F77" w14:textId="77777777" w:rsidR="009F2D5B" w:rsidRPr="00485321" w:rsidRDefault="009F2D5B" w:rsidP="009F2D5B">
      <w:pPr>
        <w:spacing w:line="360" w:lineRule="auto"/>
        <w:jc w:val="both"/>
        <w:rPr>
          <w:rFonts w:ascii="Times New Roman" w:hAnsi="Times New Roman" w:cs="Times New Roman"/>
          <w:b/>
          <w:bCs/>
          <w:sz w:val="28"/>
          <w:szCs w:val="28"/>
        </w:rPr>
      </w:pPr>
      <w:r w:rsidRPr="00485321">
        <w:rPr>
          <w:rFonts w:ascii="Times New Roman" w:hAnsi="Times New Roman" w:cs="Times New Roman"/>
          <w:b/>
          <w:bCs/>
          <w:sz w:val="28"/>
          <w:szCs w:val="28"/>
        </w:rPr>
        <w:t xml:space="preserve">Analysis of the results </w:t>
      </w:r>
    </w:p>
    <w:p w14:paraId="0789C97E" w14:textId="77777777" w:rsidR="009F2D5B" w:rsidRPr="00485321" w:rsidRDefault="009F2D5B" w:rsidP="009F2D5B">
      <w:pPr>
        <w:spacing w:line="360" w:lineRule="auto"/>
        <w:jc w:val="both"/>
        <w:rPr>
          <w:rFonts w:ascii="Times New Roman" w:hAnsi="Times New Roman" w:cs="Times New Roman"/>
          <w:b/>
          <w:bCs/>
          <w:i/>
          <w:iCs/>
          <w:sz w:val="28"/>
          <w:szCs w:val="28"/>
        </w:rPr>
      </w:pPr>
      <w:r w:rsidRPr="00485321">
        <w:rPr>
          <w:rFonts w:ascii="Times New Roman" w:hAnsi="Times New Roman" w:cs="Times New Roman"/>
          <w:b/>
          <w:bCs/>
          <w:i/>
          <w:iCs/>
          <w:sz w:val="28"/>
          <w:szCs w:val="28"/>
        </w:rPr>
        <w:t>Observational evidence</w:t>
      </w:r>
    </w:p>
    <w:p w14:paraId="4C039168" w14:textId="77777777" w:rsidR="009F2D5B" w:rsidRPr="00485321" w:rsidRDefault="009F2D5B" w:rsidP="009F2D5B">
      <w:pPr>
        <w:spacing w:line="360" w:lineRule="auto"/>
        <w:jc w:val="both"/>
        <w:rPr>
          <w:rFonts w:ascii="Times New Roman" w:hAnsi="Times New Roman" w:cs="Times New Roman"/>
        </w:rPr>
      </w:pPr>
      <w:r w:rsidRPr="00485321">
        <w:rPr>
          <w:rFonts w:ascii="Times New Roman" w:hAnsi="Times New Roman" w:cs="Times New Roman"/>
        </w:rPr>
        <w:t xml:space="preserve">Ma et al. (2022) examined the relationship between alcohol consumption and biomarkers of T2DM. The notable biomarkers examined in the study include C-reactive protein (CRP), glycated haemoglobin (HbA1c), and high-density lipoprotein cholesterol (HDL-C). Specifically, CRP is an indicator of inflammation and is proportional to the risk of developing T2DM. The study reported the lowest CRP levels observed among moderate drinkers (≥100 to &lt;200 g/week), while high CRP levels were observed with participants who drank too little (&lt;100 g/week) and those who drank too much (&gt;200 g/week). This implies that people who drank moderately exhibited the least propensity to develop T2DM. Exploring the patterns of alcohol consumption further, the timing of alcohol consumption was also reported to affect CRP levels. Among people who drank with meals, the lowest CRP levels were observed in moderate drinkers. However, for people who drank outside of </w:t>
      </w:r>
      <w:proofErr w:type="gramStart"/>
      <w:r w:rsidRPr="00485321">
        <w:rPr>
          <w:rFonts w:ascii="Times New Roman" w:hAnsi="Times New Roman" w:cs="Times New Roman"/>
        </w:rPr>
        <w:t>meal times</w:t>
      </w:r>
      <w:proofErr w:type="gramEnd"/>
      <w:r w:rsidRPr="00485321">
        <w:rPr>
          <w:rFonts w:ascii="Times New Roman" w:hAnsi="Times New Roman" w:cs="Times New Roman"/>
        </w:rPr>
        <w:t xml:space="preserve">, both moderate drinkers and those who drank very little exhibited low CRP levels. Overall, in all instances examined, </w:t>
      </w:r>
      <w:r w:rsidRPr="00485321">
        <w:rPr>
          <w:rFonts w:ascii="Times New Roman" w:hAnsi="Times New Roman" w:cs="Times New Roman"/>
        </w:rPr>
        <w:lastRenderedPageBreak/>
        <w:t>those who drank heavily had the highest risk of developing T2DM. However, the evidence from this study was observational and relied on self-reported alcohol consumption and meal timing. Therefore, the findings should be interpreted with caution.</w:t>
      </w:r>
    </w:p>
    <w:p w14:paraId="3FA0E17B" w14:textId="77777777" w:rsidR="009360B0" w:rsidRDefault="009360B0" w:rsidP="009F2D5B">
      <w:pPr>
        <w:spacing w:line="360" w:lineRule="auto"/>
        <w:jc w:val="both"/>
        <w:rPr>
          <w:rFonts w:ascii="Times New Roman" w:hAnsi="Times New Roman" w:cs="Times New Roman"/>
          <w:b/>
          <w:bCs/>
          <w:i/>
          <w:iCs/>
          <w:sz w:val="28"/>
          <w:szCs w:val="28"/>
        </w:rPr>
      </w:pPr>
    </w:p>
    <w:p w14:paraId="3FEE2A2F" w14:textId="4618C741" w:rsidR="009F2D5B" w:rsidRPr="00485321" w:rsidRDefault="009F2D5B" w:rsidP="009F2D5B">
      <w:pPr>
        <w:spacing w:line="360" w:lineRule="auto"/>
        <w:jc w:val="both"/>
        <w:rPr>
          <w:rFonts w:ascii="Times New Roman" w:hAnsi="Times New Roman" w:cs="Times New Roman"/>
          <w:b/>
          <w:bCs/>
          <w:i/>
          <w:iCs/>
          <w:sz w:val="28"/>
          <w:szCs w:val="28"/>
        </w:rPr>
      </w:pPr>
      <w:r w:rsidRPr="00485321">
        <w:rPr>
          <w:rFonts w:ascii="Times New Roman" w:hAnsi="Times New Roman" w:cs="Times New Roman"/>
          <w:b/>
          <w:bCs/>
          <w:i/>
          <w:iCs/>
          <w:sz w:val="28"/>
          <w:szCs w:val="28"/>
        </w:rPr>
        <w:t>BMI and obesity</w:t>
      </w:r>
    </w:p>
    <w:p w14:paraId="2ED51A07" w14:textId="77777777" w:rsidR="009F2D5B" w:rsidRPr="00485321" w:rsidRDefault="009F2D5B" w:rsidP="009F2D5B">
      <w:pPr>
        <w:spacing w:line="360" w:lineRule="auto"/>
        <w:jc w:val="both"/>
        <w:rPr>
          <w:rFonts w:ascii="Times New Roman" w:hAnsi="Times New Roman" w:cs="Times New Roman"/>
        </w:rPr>
      </w:pPr>
      <w:r w:rsidRPr="00485321">
        <w:rPr>
          <w:rFonts w:ascii="Times New Roman" w:hAnsi="Times New Roman" w:cs="Times New Roman"/>
        </w:rPr>
        <w:t>BMI appears to play a mediating role in the relationship between alcohol consumption and T2DM. Reed et al. (2025) observed a potential causal effect of excessive alcohol drinking on higher fasting glucose. However, this effect was attenuated when accounting for BMI, suggesting that BMI confounding may explain the effect. Additionally, these findings were not supported by data from the sensitivity analysis in the study. Among individuals consuming more than 14 drinks per week, each additional drink per week was associated with a 0.36</w:t>
      </w:r>
      <w:r w:rsidRPr="00485321">
        <w:rPr>
          <w:rFonts w:ascii="Times New Roman" w:hAnsi="Times New Roman" w:cs="Times New Roman"/>
        </w:rPr>
        <w:noBreakHyphen/>
        <w:t xml:space="preserve">kg increase in fat mass, </w:t>
      </w:r>
      <w:proofErr w:type="gramStart"/>
      <w:r w:rsidRPr="00485321">
        <w:rPr>
          <w:rFonts w:ascii="Times New Roman" w:hAnsi="Times New Roman" w:cs="Times New Roman"/>
        </w:rPr>
        <w:t>a 1.08-fold increased odds of obesity</w:t>
      </w:r>
      <w:proofErr w:type="gramEnd"/>
      <w:r w:rsidRPr="00485321">
        <w:rPr>
          <w:rFonts w:ascii="Times New Roman" w:hAnsi="Times New Roman" w:cs="Times New Roman"/>
        </w:rPr>
        <w:t xml:space="preserve">, and </w:t>
      </w:r>
      <w:proofErr w:type="gramStart"/>
      <w:r w:rsidRPr="00485321">
        <w:rPr>
          <w:rFonts w:ascii="Times New Roman" w:hAnsi="Times New Roman" w:cs="Times New Roman"/>
        </w:rPr>
        <w:t>a 1.10-fold increased odds</w:t>
      </w:r>
      <w:proofErr w:type="gramEnd"/>
      <w:r w:rsidRPr="00485321">
        <w:rPr>
          <w:rFonts w:ascii="Times New Roman" w:hAnsi="Times New Roman" w:cs="Times New Roman"/>
        </w:rPr>
        <w:t xml:space="preserve"> of T2DM. These findings suggest that heavy alcohol consumption contributes to obesity, which in turn increases diabetes risk (Lu et al., 2023). Lankester et al. (2021) similarly reported that the positive association between alcohol use and T2DM was mitigated by BMI in multivariable analyses, implying that BMI largely drives the observed relationship. Interestingly, </w:t>
      </w:r>
      <w:proofErr w:type="spellStart"/>
      <w:r w:rsidRPr="00485321">
        <w:rPr>
          <w:rFonts w:ascii="Times New Roman" w:hAnsi="Times New Roman" w:cs="Times New Roman"/>
        </w:rPr>
        <w:t>Belzile</w:t>
      </w:r>
      <w:proofErr w:type="spellEnd"/>
      <w:r w:rsidRPr="00485321">
        <w:rPr>
          <w:rFonts w:ascii="Times New Roman" w:hAnsi="Times New Roman" w:cs="Times New Roman"/>
        </w:rPr>
        <w:t xml:space="preserve"> et al. (2025) noted that BMI was slightly higher in the lower alcohol consumption group (0 to &lt;4 UK units/week) compared to the higher consumption group (4 to &lt;28 UK units/week), a pattern consistent across sexes.</w:t>
      </w:r>
    </w:p>
    <w:p w14:paraId="314E9D60" w14:textId="77777777" w:rsidR="009360B0" w:rsidRDefault="009360B0" w:rsidP="009F2D5B">
      <w:pPr>
        <w:spacing w:line="360" w:lineRule="auto"/>
        <w:jc w:val="both"/>
        <w:rPr>
          <w:rFonts w:ascii="Times New Roman" w:hAnsi="Times New Roman" w:cs="Times New Roman"/>
          <w:b/>
          <w:bCs/>
          <w:i/>
          <w:iCs/>
          <w:sz w:val="28"/>
          <w:szCs w:val="28"/>
        </w:rPr>
      </w:pPr>
    </w:p>
    <w:p w14:paraId="405446ED" w14:textId="19F6EF7F" w:rsidR="009F2D5B" w:rsidRPr="00485321" w:rsidRDefault="009F2D5B" w:rsidP="009F2D5B">
      <w:pPr>
        <w:spacing w:line="360" w:lineRule="auto"/>
        <w:jc w:val="both"/>
        <w:rPr>
          <w:rFonts w:ascii="Times New Roman" w:hAnsi="Times New Roman" w:cs="Times New Roman"/>
          <w:b/>
          <w:bCs/>
          <w:i/>
          <w:iCs/>
        </w:rPr>
      </w:pPr>
      <w:r w:rsidRPr="00485321">
        <w:rPr>
          <w:rFonts w:ascii="Times New Roman" w:hAnsi="Times New Roman" w:cs="Times New Roman"/>
          <w:b/>
          <w:bCs/>
          <w:i/>
          <w:iCs/>
          <w:sz w:val="28"/>
          <w:szCs w:val="28"/>
        </w:rPr>
        <w:t>Drinking context: alcohol intake frequency</w:t>
      </w:r>
    </w:p>
    <w:p w14:paraId="7C31B767" w14:textId="77777777" w:rsidR="009F2D5B" w:rsidRPr="00485321" w:rsidRDefault="009F2D5B" w:rsidP="009F2D5B">
      <w:pPr>
        <w:spacing w:line="360" w:lineRule="auto"/>
        <w:jc w:val="both"/>
        <w:rPr>
          <w:rFonts w:ascii="Times New Roman" w:hAnsi="Times New Roman" w:cs="Times New Roman"/>
        </w:rPr>
      </w:pPr>
      <w:r w:rsidRPr="00485321">
        <w:rPr>
          <w:rFonts w:ascii="Times New Roman" w:hAnsi="Times New Roman" w:cs="Times New Roman"/>
        </w:rPr>
        <w:t>Observational data suggest that higher amounts of alcohol intake are associated with lower HbA1c levels and higher concentrations of HDL-C in a dose-response fashion. The risk of developing T2DM was also associated with the frequency of alcohol intake. Participants drinking more than three to four times per week had a lower risk of T2DM compared to those consuming similar quantities once per week (Ma et al., 2022), thereby demonstrating the adverse effect of binge drinking. However, this association may reflect a healthy user bias. People who drink moderately across three to four times weekly, may have better general lifestyle behaviours than those who binge-drink. This could explain the lower risks observed in such individuals. Overall, low to moderate consumption did not show strong adverse effects. Causal negative impacts of alcohol tend to emerge at higher consumption levels, with differences in body surface area and metabolic rate between men and women influencing outcomes (Lankester et al., 2021).</w:t>
      </w:r>
    </w:p>
    <w:p w14:paraId="601EEB9A" w14:textId="77777777" w:rsidR="009360B0" w:rsidRDefault="009360B0" w:rsidP="009F2D5B">
      <w:pPr>
        <w:spacing w:line="360" w:lineRule="auto"/>
        <w:jc w:val="both"/>
        <w:rPr>
          <w:rFonts w:ascii="Times New Roman" w:hAnsi="Times New Roman" w:cs="Times New Roman"/>
          <w:b/>
          <w:bCs/>
          <w:i/>
          <w:iCs/>
          <w:sz w:val="28"/>
          <w:szCs w:val="28"/>
        </w:rPr>
      </w:pPr>
    </w:p>
    <w:p w14:paraId="1A55EB4C" w14:textId="2FF8353B" w:rsidR="009F2D5B" w:rsidRPr="00485321" w:rsidRDefault="009F2D5B" w:rsidP="009F2D5B">
      <w:pPr>
        <w:spacing w:line="360" w:lineRule="auto"/>
        <w:jc w:val="both"/>
        <w:rPr>
          <w:rFonts w:ascii="Times New Roman" w:hAnsi="Times New Roman" w:cs="Times New Roman"/>
          <w:b/>
          <w:bCs/>
          <w:i/>
          <w:iCs/>
          <w:sz w:val="28"/>
          <w:szCs w:val="28"/>
        </w:rPr>
      </w:pPr>
      <w:r w:rsidRPr="00485321">
        <w:rPr>
          <w:rFonts w:ascii="Times New Roman" w:hAnsi="Times New Roman" w:cs="Times New Roman"/>
          <w:b/>
          <w:bCs/>
          <w:i/>
          <w:iCs/>
          <w:sz w:val="28"/>
          <w:szCs w:val="28"/>
        </w:rPr>
        <w:t>Drinking context: alcohol with meals</w:t>
      </w:r>
    </w:p>
    <w:p w14:paraId="6D308644" w14:textId="77777777" w:rsidR="009F2D5B" w:rsidRPr="00485321" w:rsidRDefault="009F2D5B" w:rsidP="009F2D5B">
      <w:pPr>
        <w:spacing w:line="360" w:lineRule="auto"/>
        <w:jc w:val="both"/>
        <w:rPr>
          <w:rFonts w:ascii="Times New Roman" w:hAnsi="Times New Roman" w:cs="Times New Roman"/>
        </w:rPr>
      </w:pPr>
      <w:r w:rsidRPr="00485321">
        <w:rPr>
          <w:rFonts w:ascii="Times New Roman" w:hAnsi="Times New Roman" w:cs="Times New Roman"/>
        </w:rPr>
        <w:t xml:space="preserve">Patterns of drinking also appear to influence diabetes risk. Ma et al. (2022) found that participants who consumed alcohol with meals tended to drink less overall but were more likely to be regular drinkers </w:t>
      </w:r>
      <w:r w:rsidRPr="00485321">
        <w:rPr>
          <w:rFonts w:ascii="Times New Roman" w:hAnsi="Times New Roman" w:cs="Times New Roman"/>
        </w:rPr>
        <w:lastRenderedPageBreak/>
        <w:t>(≥3 times per week) and to prefer wine compared to those who drank outside of meals or followed varying patterns. Over a median follow-up of 10.9 years, consuming alcohol with meals was associated with a 12% lower risk of T2DM compared to consuming alcohol outside of meals. The timing of alcohol intake relative to meals significantly modified the relationship between alcohol consumption and diabetes risk: beneficial associations of moderate drinking were observed only among those who drank with meals.</w:t>
      </w:r>
    </w:p>
    <w:p w14:paraId="799BDFBA" w14:textId="77777777" w:rsidR="009F2D5B" w:rsidRPr="00485321" w:rsidRDefault="009F2D5B" w:rsidP="009F2D5B">
      <w:pPr>
        <w:spacing w:line="360" w:lineRule="auto"/>
        <w:jc w:val="both"/>
        <w:rPr>
          <w:rFonts w:ascii="Times New Roman" w:hAnsi="Times New Roman" w:cs="Times New Roman"/>
        </w:rPr>
      </w:pPr>
      <w:r w:rsidRPr="00485321">
        <w:rPr>
          <w:rFonts w:ascii="Times New Roman" w:hAnsi="Times New Roman" w:cs="Times New Roman"/>
        </w:rPr>
        <w:t>Wine consumption was linked to lower concentrations of CRP when consumed with meals. Participants who drank with meals were more likely to be older, female, non-smokers, and to have healthier diet scores, lower BMI, lower physical activity levels, and lower prevalence of hypertension and high cholesterol. Independent of total alcohol intake and drinking frequency, consuming alcohol with meals was associated with lower CRP, lower HbA1c, and higher high-density lipoprotein cholesterol (Ma et al., 2022).</w:t>
      </w:r>
    </w:p>
    <w:p w14:paraId="70BDA390" w14:textId="77777777" w:rsidR="009360B0" w:rsidRDefault="009360B0" w:rsidP="009F2D5B">
      <w:pPr>
        <w:spacing w:line="360" w:lineRule="auto"/>
        <w:jc w:val="both"/>
        <w:rPr>
          <w:rFonts w:ascii="Times New Roman" w:hAnsi="Times New Roman" w:cs="Times New Roman"/>
          <w:b/>
          <w:bCs/>
          <w:i/>
          <w:iCs/>
          <w:sz w:val="28"/>
          <w:szCs w:val="28"/>
        </w:rPr>
      </w:pPr>
    </w:p>
    <w:p w14:paraId="6BE2DAAE" w14:textId="1D41649D" w:rsidR="009F2D5B" w:rsidRPr="00485321" w:rsidRDefault="009F2D5B" w:rsidP="009F2D5B">
      <w:pPr>
        <w:spacing w:line="360" w:lineRule="auto"/>
        <w:jc w:val="both"/>
        <w:rPr>
          <w:rFonts w:ascii="Times New Roman" w:hAnsi="Times New Roman" w:cs="Times New Roman"/>
          <w:b/>
          <w:bCs/>
          <w:i/>
          <w:iCs/>
          <w:sz w:val="28"/>
          <w:szCs w:val="28"/>
        </w:rPr>
      </w:pPr>
      <w:r w:rsidRPr="00485321">
        <w:rPr>
          <w:rFonts w:ascii="Times New Roman" w:hAnsi="Times New Roman" w:cs="Times New Roman"/>
          <w:b/>
          <w:bCs/>
          <w:i/>
          <w:iCs/>
          <w:sz w:val="28"/>
          <w:szCs w:val="28"/>
        </w:rPr>
        <w:t>Drinking context: type of alcoholic beverage consumed</w:t>
      </w:r>
    </w:p>
    <w:p w14:paraId="78EC25A4" w14:textId="77777777" w:rsidR="009F2D5B" w:rsidRPr="00485321" w:rsidRDefault="009F2D5B" w:rsidP="009F2D5B">
      <w:pPr>
        <w:spacing w:line="360" w:lineRule="auto"/>
        <w:jc w:val="both"/>
        <w:rPr>
          <w:rFonts w:ascii="Times New Roman" w:hAnsi="Times New Roman" w:cs="Times New Roman"/>
        </w:rPr>
      </w:pPr>
      <w:r w:rsidRPr="00485321">
        <w:rPr>
          <w:rFonts w:ascii="Times New Roman" w:hAnsi="Times New Roman" w:cs="Times New Roman"/>
        </w:rPr>
        <w:t xml:space="preserve">Analyses of beverage type indicate that associations between alcohol and T2DM risk vary according to the drink consumed. The beneficial associations observed with alcohol intake alongside meals were largely driven by wine consumption. Higher wine intake was associated with a lower risk of T2DM, whereas higher beer or liquor intake was linked to increased risk. Mayer and </w:t>
      </w:r>
      <w:proofErr w:type="spellStart"/>
      <w:r w:rsidRPr="00485321">
        <w:rPr>
          <w:rFonts w:ascii="Times New Roman" w:hAnsi="Times New Roman" w:cs="Times New Roman"/>
        </w:rPr>
        <w:t>Fontelo</w:t>
      </w:r>
      <w:proofErr w:type="spellEnd"/>
      <w:r w:rsidRPr="00485321">
        <w:rPr>
          <w:rFonts w:ascii="Times New Roman" w:hAnsi="Times New Roman" w:cs="Times New Roman"/>
        </w:rPr>
        <w:t xml:space="preserve"> (2024) confirmed that beer and fortified wine were particularly associated with a higher prevalence of disease, while spirits also contributed to increased incidence. Although red wine has often been considered protective, their study demonstrated that higher consumption did not reduce incidence rates and, at elevated levels, was associated with increased disease occurrence. Most individuals consumed more than one type of alcohol weekly, with red and white wine being the most common combination.</w:t>
      </w:r>
    </w:p>
    <w:p w14:paraId="3AE76415" w14:textId="77777777" w:rsidR="009360B0" w:rsidRDefault="009360B0" w:rsidP="009F2D5B">
      <w:pPr>
        <w:spacing w:line="360" w:lineRule="auto"/>
        <w:jc w:val="both"/>
        <w:rPr>
          <w:rFonts w:ascii="Times New Roman" w:hAnsi="Times New Roman" w:cs="Times New Roman"/>
          <w:b/>
          <w:bCs/>
          <w:i/>
          <w:iCs/>
          <w:sz w:val="28"/>
          <w:szCs w:val="28"/>
        </w:rPr>
      </w:pPr>
    </w:p>
    <w:p w14:paraId="166CFC17" w14:textId="3638C4EC" w:rsidR="009F2D5B" w:rsidRPr="00485321" w:rsidRDefault="009F2D5B" w:rsidP="009F2D5B">
      <w:pPr>
        <w:spacing w:line="360" w:lineRule="auto"/>
        <w:jc w:val="both"/>
        <w:rPr>
          <w:rFonts w:ascii="Times New Roman" w:hAnsi="Times New Roman" w:cs="Times New Roman"/>
          <w:b/>
          <w:bCs/>
          <w:i/>
          <w:iCs/>
          <w:sz w:val="28"/>
          <w:szCs w:val="28"/>
        </w:rPr>
      </w:pPr>
      <w:r w:rsidRPr="00485321">
        <w:rPr>
          <w:rFonts w:ascii="Times New Roman" w:hAnsi="Times New Roman" w:cs="Times New Roman"/>
          <w:b/>
          <w:bCs/>
          <w:i/>
          <w:iCs/>
          <w:sz w:val="28"/>
          <w:szCs w:val="28"/>
        </w:rPr>
        <w:t>Sex-specific factors</w:t>
      </w:r>
    </w:p>
    <w:p w14:paraId="6E0FCD67" w14:textId="77777777" w:rsidR="009F2D5B" w:rsidRPr="00485321" w:rsidRDefault="009F2D5B" w:rsidP="009F2D5B">
      <w:pPr>
        <w:spacing w:line="360" w:lineRule="auto"/>
        <w:jc w:val="both"/>
        <w:rPr>
          <w:rFonts w:ascii="Times New Roman" w:hAnsi="Times New Roman" w:cs="Times New Roman"/>
        </w:rPr>
      </w:pPr>
      <w:r w:rsidRPr="00485321">
        <w:rPr>
          <w:rFonts w:ascii="Times New Roman" w:hAnsi="Times New Roman" w:cs="Times New Roman"/>
        </w:rPr>
        <w:t xml:space="preserve">Sex differences may further shape the relationship between alcohol and T2DM. Among individuals consuming more than 14 drinks per week, each additional drink was associated with increased fat mass, obesity, and diabetes risk, with stronger associations observed in women than in men (Lu et al., 2023). Furthermore, </w:t>
      </w:r>
      <w:proofErr w:type="spellStart"/>
      <w:r w:rsidRPr="00485321">
        <w:rPr>
          <w:rFonts w:ascii="Times New Roman" w:hAnsi="Times New Roman" w:cs="Times New Roman"/>
        </w:rPr>
        <w:t>Belzile</w:t>
      </w:r>
      <w:proofErr w:type="spellEnd"/>
      <w:r w:rsidRPr="00485321">
        <w:rPr>
          <w:rFonts w:ascii="Times New Roman" w:hAnsi="Times New Roman" w:cs="Times New Roman"/>
        </w:rPr>
        <w:t xml:space="preserve"> et al. (2025) aimed to examine possible sex</w:t>
      </w:r>
      <w:r w:rsidRPr="00485321">
        <w:rPr>
          <w:rFonts w:ascii="Times New Roman" w:hAnsi="Times New Roman" w:cs="Times New Roman"/>
        </w:rPr>
        <w:noBreakHyphen/>
        <w:t xml:space="preserve">specific interactions in alcohol metabolism. However, stratifications by sex in both the UK Biobank and GWAS datasets revealed risks for T2DM and several other clinical outcomes in both men and women without statistically significant heterogeneity. </w:t>
      </w:r>
    </w:p>
    <w:p w14:paraId="6F47DA75" w14:textId="77777777" w:rsidR="009F2D5B" w:rsidRPr="00485321" w:rsidRDefault="009F2D5B" w:rsidP="009F2D5B">
      <w:pPr>
        <w:spacing w:line="360" w:lineRule="auto"/>
        <w:jc w:val="both"/>
        <w:rPr>
          <w:rFonts w:ascii="Times New Roman" w:hAnsi="Times New Roman" w:cs="Times New Roman"/>
        </w:rPr>
      </w:pPr>
      <w:r w:rsidRPr="00485321">
        <w:rPr>
          <w:rFonts w:ascii="Times New Roman" w:hAnsi="Times New Roman" w:cs="Times New Roman"/>
        </w:rPr>
        <w:t>Genetic variations were found to play a notable role in the effects of alcohol consumption on clinical outcomes in males and females (</w:t>
      </w:r>
      <w:proofErr w:type="spellStart"/>
      <w:r w:rsidRPr="00485321">
        <w:rPr>
          <w:rFonts w:ascii="Times New Roman" w:hAnsi="Times New Roman" w:cs="Times New Roman"/>
        </w:rPr>
        <w:t>Belzile</w:t>
      </w:r>
      <w:proofErr w:type="spellEnd"/>
      <w:r w:rsidRPr="00485321">
        <w:rPr>
          <w:rFonts w:ascii="Times New Roman" w:hAnsi="Times New Roman" w:cs="Times New Roman"/>
        </w:rPr>
        <w:t xml:space="preserve"> et al., 2025). A genetic variant, rs78681203, located between the </w:t>
      </w:r>
      <w:r w:rsidRPr="00485321">
        <w:rPr>
          <w:rFonts w:ascii="Times New Roman" w:hAnsi="Times New Roman" w:cs="Times New Roman"/>
          <w:i/>
          <w:iCs/>
        </w:rPr>
        <w:t>FOXO6</w:t>
      </w:r>
      <w:r w:rsidRPr="00485321">
        <w:rPr>
          <w:rFonts w:ascii="Times New Roman" w:hAnsi="Times New Roman" w:cs="Times New Roman"/>
        </w:rPr>
        <w:t xml:space="preserve"> and </w:t>
      </w:r>
      <w:r w:rsidRPr="00485321">
        <w:rPr>
          <w:rFonts w:ascii="Times New Roman" w:hAnsi="Times New Roman" w:cs="Times New Roman"/>
          <w:i/>
          <w:iCs/>
        </w:rPr>
        <w:t>EDN2</w:t>
      </w:r>
      <w:r w:rsidRPr="00485321">
        <w:rPr>
          <w:rFonts w:ascii="Times New Roman" w:hAnsi="Times New Roman" w:cs="Times New Roman"/>
        </w:rPr>
        <w:t xml:space="preserve"> genes, was identified as having a significant sex-specific interaction with alcohol consumption. In women, the T allele of rs78681203 was associated with increased diabetes risk at very </w:t>
      </w:r>
      <w:r w:rsidRPr="00485321">
        <w:rPr>
          <w:rFonts w:ascii="Times New Roman" w:hAnsi="Times New Roman" w:cs="Times New Roman"/>
        </w:rPr>
        <w:lastRenderedPageBreak/>
        <w:t>low alcohol intake (0 to &lt;4 UK units/week) but appeared protective at moderate intake (4 to &lt;28 UK units/week). In men, the opposite pattern was observed, with the T allele associated with a higher risk in the moderate intake group and protective effects in the very low intake group. These findings highlight the complexity of gene-sex-alcohol interactions.</w:t>
      </w:r>
    </w:p>
    <w:p w14:paraId="7E1F2D39" w14:textId="77777777" w:rsidR="009360B0" w:rsidRDefault="009360B0" w:rsidP="009F2D5B">
      <w:pPr>
        <w:spacing w:line="360" w:lineRule="auto"/>
        <w:jc w:val="both"/>
        <w:rPr>
          <w:rFonts w:ascii="Times New Roman" w:hAnsi="Times New Roman" w:cs="Times New Roman"/>
          <w:b/>
          <w:bCs/>
          <w:i/>
          <w:iCs/>
          <w:sz w:val="28"/>
          <w:szCs w:val="28"/>
        </w:rPr>
      </w:pPr>
    </w:p>
    <w:p w14:paraId="3294A607" w14:textId="59F74501" w:rsidR="009F2D5B" w:rsidRPr="00485321" w:rsidRDefault="009F2D5B" w:rsidP="009F2D5B">
      <w:pPr>
        <w:spacing w:line="360" w:lineRule="auto"/>
        <w:jc w:val="both"/>
        <w:rPr>
          <w:rFonts w:ascii="Times New Roman" w:hAnsi="Times New Roman" w:cs="Times New Roman"/>
          <w:b/>
          <w:bCs/>
          <w:i/>
          <w:iCs/>
          <w:sz w:val="26"/>
          <w:szCs w:val="26"/>
        </w:rPr>
      </w:pPr>
      <w:r w:rsidRPr="00485321">
        <w:rPr>
          <w:rFonts w:ascii="Times New Roman" w:hAnsi="Times New Roman" w:cs="Times New Roman"/>
          <w:b/>
          <w:bCs/>
          <w:i/>
          <w:iCs/>
          <w:sz w:val="28"/>
          <w:szCs w:val="28"/>
        </w:rPr>
        <w:t>Genetic and Mendelian randomisation evidence</w:t>
      </w:r>
    </w:p>
    <w:p w14:paraId="0BB22733" w14:textId="77777777" w:rsidR="009F2D5B" w:rsidRPr="00485321" w:rsidRDefault="009F2D5B" w:rsidP="009F2D5B">
      <w:pPr>
        <w:spacing w:line="360" w:lineRule="auto"/>
        <w:jc w:val="both"/>
        <w:rPr>
          <w:rFonts w:ascii="Times New Roman" w:hAnsi="Times New Roman" w:cs="Times New Roman"/>
        </w:rPr>
      </w:pPr>
      <w:r w:rsidRPr="00485321">
        <w:rPr>
          <w:rFonts w:ascii="Times New Roman" w:hAnsi="Times New Roman" w:cs="Times New Roman"/>
        </w:rPr>
        <w:t>Genetic and Mendelian randomisation studies provide further insight into the causal relationship between alcohol and T2DM. Reed et al. (2025) found no robust evidence that higher drinks per week influenced T2DM risk. While one-sample Mendelian randomisation suggested a possible causal effect of higher drinks per week on T2DM risk, with lower HbA1c levels observed, two-sample Mendelian randomisation analyses provided little evidence of such an effect. A potential causal association with higher fasting glucose was observed, but this was not consistent across other glycaemic traits.</w:t>
      </w:r>
    </w:p>
    <w:p w14:paraId="4C967C09" w14:textId="77777777" w:rsidR="009F2D5B" w:rsidRPr="00485321" w:rsidRDefault="009F2D5B" w:rsidP="009F2D5B">
      <w:pPr>
        <w:spacing w:line="360" w:lineRule="auto"/>
        <w:jc w:val="both"/>
        <w:rPr>
          <w:rFonts w:ascii="Times New Roman" w:hAnsi="Times New Roman" w:cs="Times New Roman"/>
        </w:rPr>
      </w:pPr>
      <w:r w:rsidRPr="00485321">
        <w:rPr>
          <w:rFonts w:ascii="Times New Roman" w:hAnsi="Times New Roman" w:cs="Times New Roman"/>
        </w:rPr>
        <w:t>Knott et al. (2018) similarly reported that prolonged exposure to high volumes of alcohol did not accumulate risk for T2DM, with women who were diagnosed with T2DM consistently consuming lower volumes than non-cases, and men consuming similar or lower volumes until just before diagnosis. Lu et al. (2023) found that among individuals consuming more than 14 drinks per week, each additional drink increased the odds of T2DM by 1.10-fold. Genetically increased alcohol intake frequency was significantly associated with a higher risk of T2DM in these individuals, with suggestive evidence of risk increments even among those consuming more than seven drinks per week. These adverse effects were consistent across age groups and appeared stronger in women than in men.</w:t>
      </w:r>
    </w:p>
    <w:p w14:paraId="44213B10" w14:textId="77777777" w:rsidR="009F2D5B" w:rsidRPr="00485321" w:rsidRDefault="009F2D5B" w:rsidP="009F2D5B">
      <w:pPr>
        <w:spacing w:line="360" w:lineRule="auto"/>
        <w:jc w:val="both"/>
        <w:rPr>
          <w:rFonts w:ascii="Times New Roman" w:hAnsi="Times New Roman" w:cs="Times New Roman"/>
        </w:rPr>
      </w:pPr>
      <w:r w:rsidRPr="00485321">
        <w:rPr>
          <w:rFonts w:ascii="Times New Roman" w:hAnsi="Times New Roman" w:cs="Times New Roman"/>
        </w:rPr>
        <w:t>Lankester et al. (2021) noted discrepancies between Mendelian randomisation and observational analyses, suggesting residual confounding in observational studies. They highlighted that inverse associations between alcohol and HbA1c may be technical artefacts driven by macrocytosis, which biases HbA1c levels downward without truly altering diabetes risk. Ding et al. (2023) extended these findings by demonstrating significant two-way additive interactions between heavy binge drinking and high polygenic risk scores, showing that genetic predisposition and binge drinking synergistically increase diabetes risk. Taken together, Mendelian randomisation evidence suggests that while observational studies may show apparent protective effects of moderate drinking, these are likely confounded by BMI, socioeconomic position, and diet quality. In contrast, genetic analyses consistently point towards harmful or null effects of alcohol consumption, particularly at higher intake levels and in the presence of binge drinking patterns.</w:t>
      </w:r>
    </w:p>
    <w:p w14:paraId="409725CF" w14:textId="77777777" w:rsidR="009360B0" w:rsidRDefault="009360B0" w:rsidP="009F2D5B">
      <w:pPr>
        <w:spacing w:line="360" w:lineRule="auto"/>
        <w:jc w:val="both"/>
        <w:rPr>
          <w:rFonts w:ascii="Times New Roman" w:hAnsi="Times New Roman" w:cs="Times New Roman"/>
          <w:b/>
          <w:bCs/>
          <w:i/>
          <w:iCs/>
          <w:sz w:val="28"/>
          <w:szCs w:val="28"/>
        </w:rPr>
      </w:pPr>
    </w:p>
    <w:p w14:paraId="49E3ADD4" w14:textId="0D16D933" w:rsidR="009F2D5B" w:rsidRPr="00485321" w:rsidRDefault="009F2D5B" w:rsidP="009F2D5B">
      <w:pPr>
        <w:spacing w:line="360" w:lineRule="auto"/>
        <w:jc w:val="both"/>
        <w:rPr>
          <w:rFonts w:ascii="Times New Roman" w:hAnsi="Times New Roman" w:cs="Times New Roman"/>
          <w:b/>
          <w:bCs/>
          <w:i/>
          <w:iCs/>
          <w:sz w:val="28"/>
          <w:szCs w:val="28"/>
        </w:rPr>
      </w:pPr>
      <w:r w:rsidRPr="00485321">
        <w:rPr>
          <w:rFonts w:ascii="Times New Roman" w:hAnsi="Times New Roman" w:cs="Times New Roman"/>
          <w:b/>
          <w:bCs/>
          <w:i/>
          <w:iCs/>
          <w:sz w:val="28"/>
          <w:szCs w:val="28"/>
        </w:rPr>
        <w:t>Alcohol use disorder (AUD) and complications</w:t>
      </w:r>
    </w:p>
    <w:p w14:paraId="3E906FC3" w14:textId="77777777" w:rsidR="009F2D5B" w:rsidRPr="00485321" w:rsidRDefault="009F2D5B" w:rsidP="009F2D5B">
      <w:pPr>
        <w:spacing w:line="360" w:lineRule="auto"/>
        <w:jc w:val="both"/>
        <w:rPr>
          <w:rFonts w:ascii="Times New Roman" w:hAnsi="Times New Roman" w:cs="Times New Roman"/>
        </w:rPr>
      </w:pPr>
      <w:r w:rsidRPr="00485321">
        <w:rPr>
          <w:rFonts w:ascii="Times New Roman" w:hAnsi="Times New Roman" w:cs="Times New Roman"/>
        </w:rPr>
        <w:t xml:space="preserve">The risks of binge drinking are particularly pronounced among individuals with alcohol use disorder (AUD). Cook et al. (2025) found that people with AUD had nearly double the rates of most diabetes complications compared with those without AUD. This group was younger at T2DM diagnosis, more </w:t>
      </w:r>
      <w:r w:rsidRPr="00485321">
        <w:rPr>
          <w:rFonts w:ascii="Times New Roman" w:hAnsi="Times New Roman" w:cs="Times New Roman"/>
        </w:rPr>
        <w:lastRenderedPageBreak/>
        <w:t>likely to be male, more likely to smoke, and more likely to have multiple co-existing physical and mental health conditions. Stratification by drinking status at diagnosis revealed slightly higher rates of T2DM among those with AUD who were still drinking compared to those who had stopped (Cook et al., 2024).</w:t>
      </w:r>
    </w:p>
    <w:p w14:paraId="461C6C33" w14:textId="77777777" w:rsidR="009F2D5B" w:rsidRPr="00485321" w:rsidRDefault="009F2D5B" w:rsidP="009F2D5B">
      <w:pPr>
        <w:spacing w:line="360" w:lineRule="auto"/>
        <w:jc w:val="both"/>
        <w:rPr>
          <w:rFonts w:ascii="Times New Roman" w:hAnsi="Times New Roman" w:cs="Times New Roman"/>
        </w:rPr>
      </w:pPr>
      <w:r w:rsidRPr="00485321">
        <w:rPr>
          <w:rFonts w:ascii="Times New Roman" w:hAnsi="Times New Roman" w:cs="Times New Roman"/>
        </w:rPr>
        <w:t xml:space="preserve">AUD was also associated with elevated rates of mental health conditions. Using the Clinical Practice Research Datalink (CPRD) </w:t>
      </w:r>
      <w:proofErr w:type="spellStart"/>
      <w:r w:rsidRPr="00485321">
        <w:rPr>
          <w:rFonts w:ascii="Times New Roman" w:hAnsi="Times New Roman" w:cs="Times New Roman"/>
        </w:rPr>
        <w:t>Aurum</w:t>
      </w:r>
      <w:proofErr w:type="spellEnd"/>
      <w:r w:rsidRPr="00485321">
        <w:rPr>
          <w:rFonts w:ascii="Times New Roman" w:hAnsi="Times New Roman" w:cs="Times New Roman"/>
        </w:rPr>
        <w:t xml:space="preserve"> database linked with hospital and mortality data, </w:t>
      </w:r>
      <w:proofErr w:type="gramStart"/>
      <w:r w:rsidRPr="00485321">
        <w:rPr>
          <w:rFonts w:ascii="Times New Roman" w:hAnsi="Times New Roman" w:cs="Times New Roman"/>
        </w:rPr>
        <w:t>Cook</w:t>
      </w:r>
      <w:proofErr w:type="gramEnd"/>
      <w:r w:rsidRPr="00485321">
        <w:rPr>
          <w:rFonts w:ascii="Times New Roman" w:hAnsi="Times New Roman" w:cs="Times New Roman"/>
        </w:rPr>
        <w:t xml:space="preserve"> et al. (2024) showed that people with AUD had more than double the rates of depression and anxiety following T2DM diagnosis compared to those without AUD, and were approximately 50% more likely to be diagnosed with these conditions after diabetes onset. This elevated risk of incident depression and anxiety is clinically significant, as co-morbid mental health disorders in people with diabetes are associated with glycaemic variability, lower treatment adherence, higher risk of complications, and increased mortality.</w:t>
      </w:r>
    </w:p>
    <w:p w14:paraId="4B6FAAA2" w14:textId="77777777" w:rsidR="009F2D5B" w:rsidRPr="00485321" w:rsidRDefault="009F2D5B" w:rsidP="009F2D5B">
      <w:pPr>
        <w:spacing w:line="360" w:lineRule="auto"/>
        <w:jc w:val="both"/>
        <w:rPr>
          <w:rFonts w:ascii="Times New Roman" w:hAnsi="Times New Roman" w:cs="Times New Roman"/>
          <w:b/>
          <w:bCs/>
          <w:sz w:val="28"/>
          <w:szCs w:val="28"/>
        </w:rPr>
      </w:pPr>
    </w:p>
    <w:p w14:paraId="15F1D4FB" w14:textId="77777777" w:rsidR="009F2D5B" w:rsidRPr="00485321" w:rsidRDefault="009F2D5B" w:rsidP="009F2D5B">
      <w:pPr>
        <w:spacing w:line="360" w:lineRule="auto"/>
        <w:jc w:val="both"/>
        <w:rPr>
          <w:rFonts w:ascii="Times New Roman" w:hAnsi="Times New Roman" w:cs="Times New Roman"/>
          <w:b/>
          <w:bCs/>
          <w:sz w:val="28"/>
          <w:szCs w:val="28"/>
        </w:rPr>
      </w:pPr>
      <w:r w:rsidRPr="00485321">
        <w:rPr>
          <w:rFonts w:ascii="Times New Roman" w:hAnsi="Times New Roman" w:cs="Times New Roman"/>
          <w:b/>
          <w:bCs/>
          <w:sz w:val="28"/>
          <w:szCs w:val="28"/>
        </w:rPr>
        <w:t>Quality assessment of included studies</w:t>
      </w:r>
    </w:p>
    <w:p w14:paraId="798469A3" w14:textId="77777777" w:rsidR="009F2D5B" w:rsidRPr="00485321" w:rsidRDefault="009F2D5B" w:rsidP="009F2D5B">
      <w:pPr>
        <w:spacing w:line="360" w:lineRule="auto"/>
        <w:jc w:val="both"/>
        <w:rPr>
          <w:rFonts w:ascii="Times New Roman" w:hAnsi="Times New Roman" w:cs="Times New Roman"/>
        </w:rPr>
      </w:pPr>
      <w:r w:rsidRPr="00485321">
        <w:rPr>
          <w:rFonts w:ascii="Times New Roman" w:hAnsi="Times New Roman" w:cs="Times New Roman"/>
        </w:rPr>
        <w:t>All 10 studies included in this review were appraised for quality using the CASP Cohort Studies Checklist (</w:t>
      </w:r>
      <w:r w:rsidRPr="00485321">
        <w:rPr>
          <w:rFonts w:ascii="Times New Roman" w:hAnsi="Times New Roman" w:cs="Times New Roman"/>
          <w:lang w:val="en-US"/>
        </w:rPr>
        <w:t xml:space="preserve">Critical Appraisal Skills </w:t>
      </w:r>
      <w:proofErr w:type="spellStart"/>
      <w:r w:rsidRPr="00485321">
        <w:rPr>
          <w:rFonts w:ascii="Times New Roman" w:hAnsi="Times New Roman" w:cs="Times New Roman"/>
          <w:lang w:val="en-US"/>
        </w:rPr>
        <w:t>Programme</w:t>
      </w:r>
      <w:proofErr w:type="spellEnd"/>
      <w:r w:rsidRPr="00485321">
        <w:rPr>
          <w:rFonts w:ascii="Times New Roman" w:hAnsi="Times New Roman" w:cs="Times New Roman"/>
        </w:rPr>
        <w:t>, 2024). The studies were characterised by robust methodologies and addressed clearly defined objectives. They employed well-defined recruitment strategies, ethical measures, and rigorous data analysis to present clear statements of findings. However, a few studies did not account for all important confounding factors or failed to provide sufficient detail regarding patient follow-up. Overall, eight of the studies were appraised as high quality, while two were of moderate quality (Table 1). The moderate-to-high quality of the included studies provides strong support for the validity of the observed associations between binge drinking and T2DM outcomes, thereby strengthening the overall evidence base of the study and enabling more definitive conclusions.</w:t>
      </w:r>
    </w:p>
    <w:p w14:paraId="67D584DA" w14:textId="77777777" w:rsidR="009F2D5B" w:rsidRPr="00485321" w:rsidRDefault="009F2D5B" w:rsidP="009F2D5B">
      <w:pPr>
        <w:rPr>
          <w:rFonts w:ascii="Times New Roman" w:hAnsi="Times New Roman" w:cs="Times New Roman"/>
        </w:rPr>
      </w:pPr>
    </w:p>
    <w:p w14:paraId="378CF02E" w14:textId="77777777" w:rsidR="009F2D5B" w:rsidRPr="00485321" w:rsidRDefault="009F2D5B">
      <w:pPr>
        <w:rPr>
          <w:rFonts w:ascii="Times New Roman" w:hAnsi="Times New Roman" w:cs="Times New Roman"/>
        </w:rPr>
      </w:pPr>
    </w:p>
    <w:p w14:paraId="63780A2E" w14:textId="77777777" w:rsidR="00747D97" w:rsidRPr="00485321" w:rsidRDefault="00747D97">
      <w:pPr>
        <w:rPr>
          <w:rFonts w:ascii="Times New Roman" w:hAnsi="Times New Roman" w:cs="Times New Roman"/>
        </w:rPr>
      </w:pPr>
    </w:p>
    <w:p w14:paraId="122BC478" w14:textId="77777777" w:rsidR="00747D97" w:rsidRPr="00485321" w:rsidRDefault="00747D97">
      <w:pPr>
        <w:rPr>
          <w:rFonts w:ascii="Times New Roman" w:hAnsi="Times New Roman" w:cs="Times New Roman"/>
        </w:rPr>
      </w:pPr>
    </w:p>
    <w:p w14:paraId="55AFBF25" w14:textId="77777777" w:rsidR="00747D97" w:rsidRPr="00485321" w:rsidRDefault="00747D97">
      <w:pPr>
        <w:rPr>
          <w:rFonts w:ascii="Times New Roman" w:hAnsi="Times New Roman" w:cs="Times New Roman"/>
        </w:rPr>
      </w:pPr>
    </w:p>
    <w:p w14:paraId="37A9B6F4" w14:textId="77777777" w:rsidR="00747D97" w:rsidRPr="00485321" w:rsidRDefault="00747D97">
      <w:pPr>
        <w:rPr>
          <w:rFonts w:ascii="Times New Roman" w:hAnsi="Times New Roman" w:cs="Times New Roman"/>
        </w:rPr>
      </w:pPr>
    </w:p>
    <w:p w14:paraId="19C61B5E" w14:textId="77777777" w:rsidR="00747D97" w:rsidRPr="00485321" w:rsidRDefault="00747D97">
      <w:pPr>
        <w:rPr>
          <w:rFonts w:ascii="Times New Roman" w:hAnsi="Times New Roman" w:cs="Times New Roman"/>
        </w:rPr>
      </w:pPr>
    </w:p>
    <w:p w14:paraId="59CD8CDF" w14:textId="77777777" w:rsidR="00747D97" w:rsidRPr="00485321" w:rsidRDefault="00747D97">
      <w:pPr>
        <w:rPr>
          <w:rFonts w:ascii="Times New Roman" w:hAnsi="Times New Roman" w:cs="Times New Roman"/>
        </w:rPr>
        <w:sectPr w:rsidR="00747D97" w:rsidRPr="00485321">
          <w:pgSz w:w="11906" w:h="16838"/>
          <w:pgMar w:top="1440" w:right="1440" w:bottom="1440" w:left="1440" w:header="708" w:footer="708" w:gutter="0"/>
          <w:cols w:space="708"/>
          <w:docGrid w:linePitch="360"/>
        </w:sectPr>
      </w:pPr>
    </w:p>
    <w:p w14:paraId="6173B7CD" w14:textId="77777777" w:rsidR="005E1B99" w:rsidRPr="00485321" w:rsidRDefault="005E1B99" w:rsidP="005E1B99">
      <w:pPr>
        <w:spacing w:line="480" w:lineRule="auto"/>
        <w:rPr>
          <w:rFonts w:ascii="Times New Roman" w:hAnsi="Times New Roman" w:cs="Times New Roman"/>
          <w:b/>
          <w:bCs/>
        </w:rPr>
      </w:pPr>
      <w:r w:rsidRPr="00485321">
        <w:rPr>
          <w:rFonts w:ascii="Times New Roman" w:hAnsi="Times New Roman" w:cs="Times New Roman"/>
          <w:b/>
          <w:bCs/>
        </w:rPr>
        <w:lastRenderedPageBreak/>
        <w:t>Table 1: Quality of included studies</w:t>
      </w:r>
    </w:p>
    <w:tbl>
      <w:tblPr>
        <w:tblW w:w="5000" w:type="pct"/>
        <w:tblBorders>
          <w:top w:val="single" w:sz="4" w:space="0" w:color="auto"/>
          <w:bottom w:val="single" w:sz="4" w:space="0" w:color="auto"/>
        </w:tblBorders>
        <w:tblLook w:val="04A0" w:firstRow="1" w:lastRow="0" w:firstColumn="1" w:lastColumn="0" w:noHBand="0" w:noVBand="1"/>
      </w:tblPr>
      <w:tblGrid>
        <w:gridCol w:w="525"/>
        <w:gridCol w:w="1225"/>
        <w:gridCol w:w="1247"/>
        <w:gridCol w:w="1236"/>
        <w:gridCol w:w="1072"/>
        <w:gridCol w:w="1236"/>
        <w:gridCol w:w="1236"/>
        <w:gridCol w:w="1280"/>
        <w:gridCol w:w="1236"/>
        <w:gridCol w:w="1280"/>
        <w:gridCol w:w="1236"/>
        <w:gridCol w:w="1149"/>
      </w:tblGrid>
      <w:tr w:rsidR="005E1B99" w:rsidRPr="00485321" w14:paraId="523D901E" w14:textId="77777777" w:rsidTr="002663D9">
        <w:trPr>
          <w:trHeight w:val="763"/>
        </w:trPr>
        <w:tc>
          <w:tcPr>
            <w:tcW w:w="185" w:type="pct"/>
            <w:tcBorders>
              <w:top w:val="single" w:sz="4" w:space="0" w:color="auto"/>
              <w:bottom w:val="single" w:sz="4" w:space="0" w:color="auto"/>
            </w:tcBorders>
          </w:tcPr>
          <w:p w14:paraId="2F5F128F" w14:textId="77777777" w:rsidR="005E1B99" w:rsidRPr="00485321" w:rsidRDefault="005E1B99" w:rsidP="002663D9">
            <w:pPr>
              <w:rPr>
                <w:rFonts w:ascii="Times New Roman" w:hAnsi="Times New Roman" w:cs="Times New Roman"/>
                <w:b/>
                <w:bCs/>
                <w:sz w:val="20"/>
                <w:szCs w:val="20"/>
              </w:rPr>
            </w:pPr>
            <w:bookmarkStart w:id="11" w:name="_Hlk214264098"/>
            <w:r w:rsidRPr="00485321">
              <w:rPr>
                <w:rFonts w:ascii="Times New Roman" w:hAnsi="Times New Roman" w:cs="Times New Roman"/>
                <w:b/>
                <w:bCs/>
                <w:sz w:val="20"/>
                <w:szCs w:val="20"/>
              </w:rPr>
              <w:t xml:space="preserve">S/N  </w:t>
            </w:r>
          </w:p>
        </w:tc>
        <w:tc>
          <w:tcPr>
            <w:tcW w:w="434" w:type="pct"/>
            <w:tcBorders>
              <w:top w:val="single" w:sz="4" w:space="0" w:color="auto"/>
              <w:bottom w:val="single" w:sz="4" w:space="0" w:color="auto"/>
            </w:tcBorders>
          </w:tcPr>
          <w:p w14:paraId="6D57BEAE" w14:textId="77777777" w:rsidR="005E1B99" w:rsidRPr="00485321" w:rsidRDefault="005E1B99" w:rsidP="002663D9">
            <w:pPr>
              <w:rPr>
                <w:rFonts w:ascii="Times New Roman" w:hAnsi="Times New Roman" w:cs="Times New Roman"/>
                <w:b/>
                <w:bCs/>
                <w:sz w:val="20"/>
                <w:szCs w:val="20"/>
              </w:rPr>
            </w:pPr>
            <w:r w:rsidRPr="00485321">
              <w:rPr>
                <w:rFonts w:ascii="Times New Roman" w:hAnsi="Times New Roman" w:cs="Times New Roman"/>
                <w:b/>
                <w:bCs/>
                <w:sz w:val="20"/>
                <w:szCs w:val="20"/>
              </w:rPr>
              <w:t>Questions</w:t>
            </w:r>
          </w:p>
        </w:tc>
        <w:tc>
          <w:tcPr>
            <w:tcW w:w="445" w:type="pct"/>
            <w:tcBorders>
              <w:top w:val="single" w:sz="4" w:space="0" w:color="auto"/>
              <w:bottom w:val="single" w:sz="4" w:space="0" w:color="auto"/>
            </w:tcBorders>
          </w:tcPr>
          <w:p w14:paraId="5A3B0508" w14:textId="77777777" w:rsidR="005E1B99" w:rsidRPr="00485321" w:rsidRDefault="005E1B99" w:rsidP="002663D9">
            <w:pPr>
              <w:rPr>
                <w:rFonts w:ascii="Times New Roman" w:hAnsi="Times New Roman" w:cs="Times New Roman"/>
                <w:b/>
                <w:bCs/>
                <w:sz w:val="20"/>
                <w:szCs w:val="20"/>
              </w:rPr>
            </w:pPr>
            <w:r w:rsidRPr="00485321">
              <w:rPr>
                <w:rFonts w:ascii="Times New Roman" w:hAnsi="Times New Roman" w:cs="Times New Roman"/>
                <w:b/>
                <w:bCs/>
                <w:sz w:val="20"/>
                <w:szCs w:val="20"/>
              </w:rPr>
              <w:t>Reed et al., 2025</w:t>
            </w:r>
          </w:p>
        </w:tc>
        <w:tc>
          <w:tcPr>
            <w:tcW w:w="445" w:type="pct"/>
            <w:tcBorders>
              <w:top w:val="single" w:sz="4" w:space="0" w:color="auto"/>
              <w:bottom w:val="single" w:sz="4" w:space="0" w:color="auto"/>
            </w:tcBorders>
          </w:tcPr>
          <w:p w14:paraId="253CEC6F" w14:textId="77777777" w:rsidR="005E1B99" w:rsidRPr="00485321" w:rsidRDefault="005E1B99" w:rsidP="002663D9">
            <w:pPr>
              <w:rPr>
                <w:rFonts w:ascii="Times New Roman" w:hAnsi="Times New Roman" w:cs="Times New Roman"/>
                <w:b/>
                <w:bCs/>
                <w:sz w:val="20"/>
                <w:szCs w:val="20"/>
              </w:rPr>
            </w:pPr>
            <w:r w:rsidRPr="00485321">
              <w:rPr>
                <w:rFonts w:ascii="Times New Roman" w:hAnsi="Times New Roman" w:cs="Times New Roman"/>
                <w:b/>
                <w:bCs/>
                <w:sz w:val="20"/>
                <w:szCs w:val="20"/>
              </w:rPr>
              <w:t>Lu et al., 2023</w:t>
            </w:r>
          </w:p>
        </w:tc>
        <w:tc>
          <w:tcPr>
            <w:tcW w:w="383" w:type="pct"/>
            <w:tcBorders>
              <w:top w:val="single" w:sz="4" w:space="0" w:color="auto"/>
              <w:bottom w:val="single" w:sz="4" w:space="0" w:color="auto"/>
            </w:tcBorders>
          </w:tcPr>
          <w:p w14:paraId="2D4720B6" w14:textId="77777777" w:rsidR="005E1B99" w:rsidRPr="00485321" w:rsidRDefault="005E1B99" w:rsidP="002663D9">
            <w:pPr>
              <w:rPr>
                <w:rFonts w:ascii="Times New Roman" w:hAnsi="Times New Roman" w:cs="Times New Roman"/>
                <w:b/>
                <w:bCs/>
                <w:sz w:val="20"/>
                <w:szCs w:val="20"/>
              </w:rPr>
            </w:pPr>
            <w:r w:rsidRPr="00485321">
              <w:rPr>
                <w:rFonts w:ascii="Times New Roman" w:hAnsi="Times New Roman" w:cs="Times New Roman"/>
                <w:b/>
                <w:bCs/>
                <w:sz w:val="20"/>
                <w:szCs w:val="20"/>
              </w:rPr>
              <w:t>Lankester et al., 2021</w:t>
            </w:r>
          </w:p>
        </w:tc>
        <w:tc>
          <w:tcPr>
            <w:tcW w:w="445" w:type="pct"/>
            <w:tcBorders>
              <w:top w:val="single" w:sz="4" w:space="0" w:color="auto"/>
              <w:bottom w:val="single" w:sz="4" w:space="0" w:color="auto"/>
            </w:tcBorders>
          </w:tcPr>
          <w:p w14:paraId="1CBEBD69" w14:textId="77777777" w:rsidR="005E1B99" w:rsidRPr="00485321" w:rsidRDefault="005E1B99" w:rsidP="002663D9">
            <w:pPr>
              <w:rPr>
                <w:rFonts w:ascii="Times New Roman" w:hAnsi="Times New Roman" w:cs="Times New Roman"/>
                <w:b/>
                <w:bCs/>
                <w:sz w:val="20"/>
                <w:szCs w:val="20"/>
              </w:rPr>
            </w:pPr>
            <w:r w:rsidRPr="00485321">
              <w:rPr>
                <w:rFonts w:ascii="Times New Roman" w:hAnsi="Times New Roman" w:cs="Times New Roman"/>
                <w:b/>
                <w:bCs/>
                <w:sz w:val="20"/>
                <w:szCs w:val="20"/>
              </w:rPr>
              <w:t>Knott et al., 2018</w:t>
            </w:r>
          </w:p>
        </w:tc>
        <w:tc>
          <w:tcPr>
            <w:tcW w:w="445" w:type="pct"/>
            <w:tcBorders>
              <w:top w:val="single" w:sz="4" w:space="0" w:color="auto"/>
              <w:bottom w:val="single" w:sz="4" w:space="0" w:color="auto"/>
            </w:tcBorders>
          </w:tcPr>
          <w:p w14:paraId="5C753012" w14:textId="77777777" w:rsidR="005E1B99" w:rsidRPr="00485321" w:rsidRDefault="005E1B99" w:rsidP="002663D9">
            <w:pPr>
              <w:rPr>
                <w:rFonts w:ascii="Times New Roman" w:hAnsi="Times New Roman" w:cs="Times New Roman"/>
                <w:b/>
                <w:bCs/>
                <w:sz w:val="20"/>
                <w:szCs w:val="20"/>
              </w:rPr>
            </w:pPr>
            <w:proofErr w:type="spellStart"/>
            <w:r w:rsidRPr="00485321">
              <w:rPr>
                <w:rFonts w:ascii="Times New Roman" w:hAnsi="Times New Roman" w:cs="Times New Roman"/>
                <w:b/>
                <w:bCs/>
                <w:sz w:val="20"/>
                <w:szCs w:val="20"/>
              </w:rPr>
              <w:t>Belzile</w:t>
            </w:r>
            <w:proofErr w:type="spellEnd"/>
            <w:r w:rsidRPr="00485321">
              <w:rPr>
                <w:rFonts w:ascii="Times New Roman" w:hAnsi="Times New Roman" w:cs="Times New Roman"/>
                <w:b/>
                <w:bCs/>
                <w:sz w:val="20"/>
                <w:szCs w:val="20"/>
              </w:rPr>
              <w:t xml:space="preserve"> et al., 2025</w:t>
            </w:r>
          </w:p>
        </w:tc>
        <w:tc>
          <w:tcPr>
            <w:tcW w:w="463" w:type="pct"/>
            <w:tcBorders>
              <w:top w:val="single" w:sz="4" w:space="0" w:color="auto"/>
              <w:bottom w:val="single" w:sz="4" w:space="0" w:color="auto"/>
            </w:tcBorders>
          </w:tcPr>
          <w:p w14:paraId="16C214F5" w14:textId="77777777" w:rsidR="005E1B99" w:rsidRPr="00485321" w:rsidRDefault="005E1B99" w:rsidP="002663D9">
            <w:pPr>
              <w:rPr>
                <w:rFonts w:ascii="Times New Roman" w:hAnsi="Times New Roman" w:cs="Times New Roman"/>
                <w:b/>
                <w:bCs/>
                <w:sz w:val="20"/>
                <w:szCs w:val="20"/>
              </w:rPr>
            </w:pPr>
            <w:r w:rsidRPr="00485321">
              <w:rPr>
                <w:rFonts w:ascii="Times New Roman" w:hAnsi="Times New Roman" w:cs="Times New Roman"/>
                <w:b/>
                <w:bCs/>
                <w:sz w:val="20"/>
                <w:szCs w:val="20"/>
              </w:rPr>
              <w:t>Cook et al., 2025</w:t>
            </w:r>
          </w:p>
        </w:tc>
        <w:tc>
          <w:tcPr>
            <w:tcW w:w="445" w:type="pct"/>
            <w:tcBorders>
              <w:top w:val="single" w:sz="4" w:space="0" w:color="auto"/>
              <w:bottom w:val="single" w:sz="4" w:space="0" w:color="auto"/>
            </w:tcBorders>
          </w:tcPr>
          <w:p w14:paraId="2EAABC7E" w14:textId="77777777" w:rsidR="005E1B99" w:rsidRPr="00485321" w:rsidRDefault="005E1B99" w:rsidP="002663D9">
            <w:pPr>
              <w:rPr>
                <w:rFonts w:ascii="Times New Roman" w:hAnsi="Times New Roman" w:cs="Times New Roman"/>
                <w:b/>
                <w:bCs/>
                <w:sz w:val="20"/>
                <w:szCs w:val="20"/>
              </w:rPr>
            </w:pPr>
            <w:r w:rsidRPr="00485321">
              <w:rPr>
                <w:rFonts w:ascii="Times New Roman" w:hAnsi="Times New Roman" w:cs="Times New Roman"/>
                <w:b/>
                <w:bCs/>
                <w:sz w:val="20"/>
                <w:szCs w:val="20"/>
              </w:rPr>
              <w:t>Ding et al., 2023</w:t>
            </w:r>
          </w:p>
        </w:tc>
        <w:tc>
          <w:tcPr>
            <w:tcW w:w="452" w:type="pct"/>
            <w:tcBorders>
              <w:top w:val="single" w:sz="4" w:space="0" w:color="auto"/>
              <w:bottom w:val="single" w:sz="4" w:space="0" w:color="auto"/>
            </w:tcBorders>
          </w:tcPr>
          <w:p w14:paraId="670DFE2B" w14:textId="77777777" w:rsidR="005E1B99" w:rsidRPr="00485321" w:rsidRDefault="005E1B99" w:rsidP="002663D9">
            <w:pPr>
              <w:rPr>
                <w:rFonts w:ascii="Times New Roman" w:hAnsi="Times New Roman" w:cs="Times New Roman"/>
                <w:b/>
                <w:bCs/>
                <w:sz w:val="20"/>
                <w:szCs w:val="20"/>
              </w:rPr>
            </w:pPr>
            <w:r w:rsidRPr="00485321">
              <w:rPr>
                <w:rFonts w:ascii="Times New Roman" w:hAnsi="Times New Roman" w:cs="Times New Roman"/>
                <w:b/>
                <w:bCs/>
                <w:sz w:val="20"/>
                <w:szCs w:val="20"/>
              </w:rPr>
              <w:t>Cook et al., 2024</w:t>
            </w:r>
          </w:p>
        </w:tc>
        <w:tc>
          <w:tcPr>
            <w:tcW w:w="445" w:type="pct"/>
            <w:tcBorders>
              <w:top w:val="single" w:sz="4" w:space="0" w:color="auto"/>
              <w:bottom w:val="single" w:sz="4" w:space="0" w:color="auto"/>
            </w:tcBorders>
          </w:tcPr>
          <w:p w14:paraId="1EDCB401" w14:textId="77777777" w:rsidR="005E1B99" w:rsidRPr="00485321" w:rsidRDefault="005E1B99" w:rsidP="002663D9">
            <w:pPr>
              <w:rPr>
                <w:rFonts w:ascii="Times New Roman" w:hAnsi="Times New Roman" w:cs="Times New Roman"/>
                <w:b/>
                <w:bCs/>
                <w:sz w:val="20"/>
                <w:szCs w:val="20"/>
              </w:rPr>
            </w:pPr>
            <w:r w:rsidRPr="00485321">
              <w:rPr>
                <w:rFonts w:ascii="Times New Roman" w:hAnsi="Times New Roman" w:cs="Times New Roman"/>
                <w:b/>
                <w:bCs/>
                <w:sz w:val="20"/>
                <w:szCs w:val="20"/>
              </w:rPr>
              <w:t>Ma et al., 2022</w:t>
            </w:r>
          </w:p>
        </w:tc>
        <w:tc>
          <w:tcPr>
            <w:tcW w:w="416" w:type="pct"/>
            <w:tcBorders>
              <w:top w:val="single" w:sz="4" w:space="0" w:color="auto"/>
              <w:bottom w:val="single" w:sz="4" w:space="0" w:color="auto"/>
            </w:tcBorders>
          </w:tcPr>
          <w:p w14:paraId="13F251EC" w14:textId="77777777" w:rsidR="005E1B99" w:rsidRPr="00485321" w:rsidRDefault="005E1B99" w:rsidP="002663D9">
            <w:pPr>
              <w:rPr>
                <w:rFonts w:ascii="Times New Roman" w:hAnsi="Times New Roman" w:cs="Times New Roman"/>
                <w:b/>
                <w:bCs/>
                <w:sz w:val="20"/>
                <w:szCs w:val="20"/>
              </w:rPr>
            </w:pPr>
            <w:r w:rsidRPr="00485321">
              <w:rPr>
                <w:rFonts w:ascii="Times New Roman" w:hAnsi="Times New Roman" w:cs="Times New Roman"/>
                <w:b/>
                <w:bCs/>
                <w:sz w:val="20"/>
                <w:szCs w:val="20"/>
              </w:rPr>
              <w:t xml:space="preserve">Mayer and </w:t>
            </w:r>
            <w:proofErr w:type="spellStart"/>
            <w:r w:rsidRPr="00485321">
              <w:rPr>
                <w:rFonts w:ascii="Times New Roman" w:hAnsi="Times New Roman" w:cs="Times New Roman"/>
                <w:b/>
                <w:bCs/>
                <w:sz w:val="20"/>
                <w:szCs w:val="20"/>
              </w:rPr>
              <w:t>Fontelo</w:t>
            </w:r>
            <w:proofErr w:type="spellEnd"/>
            <w:r w:rsidRPr="00485321">
              <w:rPr>
                <w:rFonts w:ascii="Times New Roman" w:hAnsi="Times New Roman" w:cs="Times New Roman"/>
                <w:b/>
                <w:bCs/>
                <w:sz w:val="20"/>
                <w:szCs w:val="20"/>
              </w:rPr>
              <w:t>, 2025</w:t>
            </w:r>
          </w:p>
        </w:tc>
      </w:tr>
      <w:tr w:rsidR="005E1B99" w:rsidRPr="00485321" w14:paraId="6EF2192A" w14:textId="77777777" w:rsidTr="002663D9">
        <w:trPr>
          <w:trHeight w:val="1554"/>
        </w:trPr>
        <w:tc>
          <w:tcPr>
            <w:tcW w:w="185" w:type="pct"/>
            <w:tcBorders>
              <w:top w:val="single" w:sz="4" w:space="0" w:color="auto"/>
            </w:tcBorders>
          </w:tcPr>
          <w:p w14:paraId="1ECEB062" w14:textId="77777777" w:rsidR="005E1B99" w:rsidRPr="00485321" w:rsidRDefault="005E1B99" w:rsidP="002663D9">
            <w:pPr>
              <w:contextualSpacing/>
              <w:rPr>
                <w:rFonts w:ascii="Times New Roman" w:hAnsi="Times New Roman" w:cs="Times New Roman"/>
                <w:sz w:val="20"/>
                <w:szCs w:val="20"/>
              </w:rPr>
            </w:pPr>
            <w:r w:rsidRPr="00485321">
              <w:rPr>
                <w:rFonts w:ascii="Times New Roman" w:hAnsi="Times New Roman" w:cs="Times New Roman"/>
                <w:sz w:val="20"/>
                <w:szCs w:val="20"/>
              </w:rPr>
              <w:t xml:space="preserve">1. </w:t>
            </w:r>
          </w:p>
        </w:tc>
        <w:tc>
          <w:tcPr>
            <w:tcW w:w="434" w:type="pct"/>
            <w:tcBorders>
              <w:top w:val="single" w:sz="4" w:space="0" w:color="auto"/>
            </w:tcBorders>
          </w:tcPr>
          <w:p w14:paraId="7A515F23"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color w:val="000000"/>
                <w:spacing w:val="1"/>
                <w:sz w:val="20"/>
                <w:szCs w:val="20"/>
              </w:rPr>
              <w:t>Did the study address a clearly focused issue</w:t>
            </w:r>
            <w:r w:rsidRPr="00485321">
              <w:rPr>
                <w:rFonts w:ascii="Times New Roman" w:hAnsi="Times New Roman" w:cs="Times New Roman"/>
                <w:sz w:val="20"/>
                <w:szCs w:val="20"/>
              </w:rPr>
              <w:t>?</w:t>
            </w:r>
          </w:p>
        </w:tc>
        <w:tc>
          <w:tcPr>
            <w:tcW w:w="445" w:type="pct"/>
            <w:tcBorders>
              <w:top w:val="single" w:sz="4" w:space="0" w:color="auto"/>
            </w:tcBorders>
          </w:tcPr>
          <w:p w14:paraId="1EBBC31E"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Borders>
              <w:top w:val="single" w:sz="4" w:space="0" w:color="auto"/>
            </w:tcBorders>
          </w:tcPr>
          <w:p w14:paraId="2439240D"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383" w:type="pct"/>
            <w:tcBorders>
              <w:top w:val="single" w:sz="4" w:space="0" w:color="auto"/>
            </w:tcBorders>
          </w:tcPr>
          <w:p w14:paraId="3F28CB82"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Borders>
              <w:top w:val="single" w:sz="4" w:space="0" w:color="auto"/>
            </w:tcBorders>
          </w:tcPr>
          <w:p w14:paraId="1B140A54"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Borders>
              <w:top w:val="single" w:sz="4" w:space="0" w:color="auto"/>
            </w:tcBorders>
          </w:tcPr>
          <w:p w14:paraId="6ADCF2A8"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63" w:type="pct"/>
            <w:tcBorders>
              <w:top w:val="single" w:sz="4" w:space="0" w:color="auto"/>
            </w:tcBorders>
          </w:tcPr>
          <w:p w14:paraId="39561570"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Borders>
              <w:top w:val="single" w:sz="4" w:space="0" w:color="auto"/>
            </w:tcBorders>
          </w:tcPr>
          <w:p w14:paraId="36812DA6"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52" w:type="pct"/>
            <w:tcBorders>
              <w:top w:val="single" w:sz="4" w:space="0" w:color="auto"/>
            </w:tcBorders>
          </w:tcPr>
          <w:p w14:paraId="14C1097B"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Borders>
              <w:top w:val="single" w:sz="4" w:space="0" w:color="auto"/>
            </w:tcBorders>
          </w:tcPr>
          <w:p w14:paraId="4C9574CC"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16" w:type="pct"/>
            <w:tcBorders>
              <w:top w:val="single" w:sz="4" w:space="0" w:color="auto"/>
            </w:tcBorders>
          </w:tcPr>
          <w:p w14:paraId="1CAE8A08"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r>
      <w:tr w:rsidR="005E1B99" w:rsidRPr="00485321" w14:paraId="2CA5A56F" w14:textId="77777777" w:rsidTr="002663D9">
        <w:trPr>
          <w:trHeight w:val="1557"/>
        </w:trPr>
        <w:tc>
          <w:tcPr>
            <w:tcW w:w="185" w:type="pct"/>
          </w:tcPr>
          <w:p w14:paraId="58BC4C4E" w14:textId="77777777" w:rsidR="005E1B99" w:rsidRPr="00485321" w:rsidRDefault="005E1B99" w:rsidP="002663D9">
            <w:pPr>
              <w:contextualSpacing/>
              <w:rPr>
                <w:rFonts w:ascii="Times New Roman" w:hAnsi="Times New Roman" w:cs="Times New Roman"/>
                <w:sz w:val="20"/>
                <w:szCs w:val="20"/>
              </w:rPr>
            </w:pPr>
            <w:r w:rsidRPr="00485321">
              <w:rPr>
                <w:rFonts w:ascii="Times New Roman" w:hAnsi="Times New Roman" w:cs="Times New Roman"/>
                <w:sz w:val="20"/>
                <w:szCs w:val="20"/>
              </w:rPr>
              <w:t xml:space="preserve">2. </w:t>
            </w:r>
          </w:p>
        </w:tc>
        <w:tc>
          <w:tcPr>
            <w:tcW w:w="434" w:type="pct"/>
          </w:tcPr>
          <w:p w14:paraId="4AC8237A" w14:textId="77777777" w:rsidR="005E1B99" w:rsidRPr="00485321" w:rsidRDefault="005E1B99" w:rsidP="002663D9">
            <w:pPr>
              <w:spacing w:before="10"/>
              <w:rPr>
                <w:rFonts w:ascii="Times New Roman" w:hAnsi="Times New Roman" w:cs="Times New Roman"/>
                <w:b/>
                <w:bCs/>
                <w:color w:val="000000"/>
                <w:spacing w:val="1"/>
                <w:kern w:val="2"/>
                <w:sz w:val="20"/>
                <w:szCs w:val="20"/>
                <w:lang w:eastAsia="zh-CN"/>
              </w:rPr>
            </w:pPr>
            <w:r w:rsidRPr="00485321">
              <w:rPr>
                <w:rFonts w:ascii="Times New Roman" w:hAnsi="Times New Roman" w:cs="Times New Roman"/>
                <w:color w:val="000000"/>
                <w:spacing w:val="1"/>
                <w:kern w:val="2"/>
                <w:sz w:val="20"/>
                <w:szCs w:val="20"/>
                <w:lang w:eastAsia="zh-CN"/>
              </w:rPr>
              <w:t>Was the cohort recruited in an acceptable way?</w:t>
            </w:r>
          </w:p>
        </w:tc>
        <w:tc>
          <w:tcPr>
            <w:tcW w:w="445" w:type="pct"/>
          </w:tcPr>
          <w:p w14:paraId="7B05E2AC"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2BD5DB25"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383" w:type="pct"/>
          </w:tcPr>
          <w:p w14:paraId="4644DB41"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5A9C2B06"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342B59ED"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63" w:type="pct"/>
          </w:tcPr>
          <w:p w14:paraId="7E259D47"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040FB83D"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52" w:type="pct"/>
          </w:tcPr>
          <w:p w14:paraId="6A1BB0FB"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43618F8F"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16" w:type="pct"/>
          </w:tcPr>
          <w:p w14:paraId="10CD3CE4"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r>
      <w:tr w:rsidR="005E1B99" w:rsidRPr="00485321" w14:paraId="198D3F75" w14:textId="77777777" w:rsidTr="002663D9">
        <w:trPr>
          <w:trHeight w:val="1565"/>
        </w:trPr>
        <w:tc>
          <w:tcPr>
            <w:tcW w:w="185" w:type="pct"/>
          </w:tcPr>
          <w:p w14:paraId="69C86C69" w14:textId="77777777" w:rsidR="005E1B99" w:rsidRPr="00485321" w:rsidRDefault="005E1B99" w:rsidP="002663D9">
            <w:pPr>
              <w:contextualSpacing/>
              <w:rPr>
                <w:rFonts w:ascii="Times New Roman" w:hAnsi="Times New Roman" w:cs="Times New Roman"/>
                <w:sz w:val="20"/>
                <w:szCs w:val="20"/>
              </w:rPr>
            </w:pPr>
            <w:r w:rsidRPr="00485321">
              <w:rPr>
                <w:rFonts w:ascii="Times New Roman" w:hAnsi="Times New Roman" w:cs="Times New Roman"/>
                <w:sz w:val="20"/>
                <w:szCs w:val="20"/>
              </w:rPr>
              <w:t>3.</w:t>
            </w:r>
          </w:p>
        </w:tc>
        <w:tc>
          <w:tcPr>
            <w:tcW w:w="434" w:type="pct"/>
          </w:tcPr>
          <w:p w14:paraId="48F3F739"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color w:val="000000"/>
                <w:spacing w:val="1"/>
                <w:sz w:val="20"/>
                <w:szCs w:val="20"/>
              </w:rPr>
              <w:t>Was the exposure accurately measured to minimise bias?</w:t>
            </w:r>
          </w:p>
        </w:tc>
        <w:tc>
          <w:tcPr>
            <w:tcW w:w="445" w:type="pct"/>
          </w:tcPr>
          <w:p w14:paraId="526021F1"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4D030B64"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383" w:type="pct"/>
          </w:tcPr>
          <w:p w14:paraId="08D8EA4D"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04A13FD4"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391A4FCE"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63" w:type="pct"/>
          </w:tcPr>
          <w:p w14:paraId="4174569F"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272BE1DD"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52" w:type="pct"/>
          </w:tcPr>
          <w:p w14:paraId="5984956E"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C</w:t>
            </w:r>
          </w:p>
        </w:tc>
        <w:tc>
          <w:tcPr>
            <w:tcW w:w="445" w:type="pct"/>
          </w:tcPr>
          <w:p w14:paraId="4E657500"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16" w:type="pct"/>
          </w:tcPr>
          <w:p w14:paraId="25466B40"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C</w:t>
            </w:r>
          </w:p>
        </w:tc>
      </w:tr>
      <w:tr w:rsidR="005E1B99" w:rsidRPr="00485321" w14:paraId="195A2900" w14:textId="77777777" w:rsidTr="002663D9">
        <w:trPr>
          <w:trHeight w:val="1550"/>
        </w:trPr>
        <w:tc>
          <w:tcPr>
            <w:tcW w:w="185" w:type="pct"/>
          </w:tcPr>
          <w:p w14:paraId="5AC830BD" w14:textId="77777777" w:rsidR="005E1B99" w:rsidRPr="00485321" w:rsidRDefault="005E1B99" w:rsidP="002663D9">
            <w:pPr>
              <w:contextualSpacing/>
              <w:rPr>
                <w:rFonts w:ascii="Times New Roman" w:hAnsi="Times New Roman" w:cs="Times New Roman"/>
                <w:sz w:val="20"/>
                <w:szCs w:val="20"/>
              </w:rPr>
            </w:pPr>
            <w:r w:rsidRPr="00485321">
              <w:rPr>
                <w:rFonts w:ascii="Times New Roman" w:hAnsi="Times New Roman" w:cs="Times New Roman"/>
                <w:sz w:val="20"/>
                <w:szCs w:val="20"/>
              </w:rPr>
              <w:t xml:space="preserve">4. </w:t>
            </w:r>
          </w:p>
        </w:tc>
        <w:tc>
          <w:tcPr>
            <w:tcW w:w="434" w:type="pct"/>
          </w:tcPr>
          <w:p w14:paraId="4D029634"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Was the outcome accurately measured to minimise bias?</w:t>
            </w:r>
          </w:p>
        </w:tc>
        <w:tc>
          <w:tcPr>
            <w:tcW w:w="445" w:type="pct"/>
          </w:tcPr>
          <w:p w14:paraId="77493708"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4ED12E8F"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383" w:type="pct"/>
          </w:tcPr>
          <w:p w14:paraId="49F3F924"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2FA9C813"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1F6D4D42"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63" w:type="pct"/>
          </w:tcPr>
          <w:p w14:paraId="3F3993F9"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1EEE9DBD"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52" w:type="pct"/>
          </w:tcPr>
          <w:p w14:paraId="43260CD0"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25C66766"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16" w:type="pct"/>
          </w:tcPr>
          <w:p w14:paraId="477973BE"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r>
      <w:tr w:rsidR="005E1B99" w:rsidRPr="00485321" w14:paraId="33401179" w14:textId="77777777" w:rsidTr="002663D9">
        <w:trPr>
          <w:trHeight w:val="1560"/>
        </w:trPr>
        <w:tc>
          <w:tcPr>
            <w:tcW w:w="185" w:type="pct"/>
          </w:tcPr>
          <w:p w14:paraId="32E3AAD6" w14:textId="77777777" w:rsidR="005E1B99" w:rsidRPr="00485321" w:rsidRDefault="005E1B99" w:rsidP="002663D9">
            <w:pPr>
              <w:contextualSpacing/>
              <w:rPr>
                <w:rFonts w:ascii="Times New Roman" w:hAnsi="Times New Roman" w:cs="Times New Roman"/>
                <w:sz w:val="20"/>
                <w:szCs w:val="20"/>
              </w:rPr>
            </w:pPr>
            <w:r w:rsidRPr="00485321">
              <w:rPr>
                <w:rFonts w:ascii="Times New Roman" w:hAnsi="Times New Roman" w:cs="Times New Roman"/>
                <w:sz w:val="20"/>
                <w:szCs w:val="20"/>
              </w:rPr>
              <w:lastRenderedPageBreak/>
              <w:t xml:space="preserve">5. </w:t>
            </w:r>
          </w:p>
        </w:tc>
        <w:tc>
          <w:tcPr>
            <w:tcW w:w="434" w:type="pct"/>
          </w:tcPr>
          <w:p w14:paraId="631D924E"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color w:val="000000"/>
                <w:spacing w:val="1"/>
                <w:sz w:val="20"/>
                <w:szCs w:val="20"/>
              </w:rPr>
              <w:t>(a) Have the authors identified all important confounding factors?</w:t>
            </w:r>
          </w:p>
        </w:tc>
        <w:tc>
          <w:tcPr>
            <w:tcW w:w="445" w:type="pct"/>
          </w:tcPr>
          <w:p w14:paraId="0082ADE1"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305547A9"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383" w:type="pct"/>
          </w:tcPr>
          <w:p w14:paraId="52AAFDB4"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04D3C989"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4BE72E30"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C</w:t>
            </w:r>
          </w:p>
        </w:tc>
        <w:tc>
          <w:tcPr>
            <w:tcW w:w="463" w:type="pct"/>
          </w:tcPr>
          <w:p w14:paraId="7EE3C1B9"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C</w:t>
            </w:r>
          </w:p>
        </w:tc>
        <w:tc>
          <w:tcPr>
            <w:tcW w:w="445" w:type="pct"/>
          </w:tcPr>
          <w:p w14:paraId="028BD1B1"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52" w:type="pct"/>
          </w:tcPr>
          <w:p w14:paraId="48F833F7"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74EE5B34"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16" w:type="pct"/>
          </w:tcPr>
          <w:p w14:paraId="772DCDE0"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r>
      <w:tr w:rsidR="005E1B99" w:rsidRPr="00485321" w14:paraId="47EB0A3C" w14:textId="77777777" w:rsidTr="002663D9">
        <w:trPr>
          <w:trHeight w:val="1560"/>
        </w:trPr>
        <w:tc>
          <w:tcPr>
            <w:tcW w:w="185" w:type="pct"/>
          </w:tcPr>
          <w:p w14:paraId="3BEB159D" w14:textId="77777777" w:rsidR="005E1B99" w:rsidRPr="00485321" w:rsidRDefault="005E1B99" w:rsidP="002663D9">
            <w:pPr>
              <w:contextualSpacing/>
              <w:rPr>
                <w:rFonts w:ascii="Times New Roman" w:hAnsi="Times New Roman" w:cs="Times New Roman"/>
                <w:sz w:val="20"/>
                <w:szCs w:val="20"/>
              </w:rPr>
            </w:pPr>
          </w:p>
        </w:tc>
        <w:tc>
          <w:tcPr>
            <w:tcW w:w="434" w:type="pct"/>
          </w:tcPr>
          <w:p w14:paraId="44A90CE4" w14:textId="77777777" w:rsidR="005E1B99" w:rsidRPr="00485321" w:rsidRDefault="005E1B99" w:rsidP="002663D9">
            <w:pPr>
              <w:rPr>
                <w:rFonts w:ascii="Times New Roman" w:hAnsi="Times New Roman" w:cs="Times New Roman"/>
                <w:color w:val="000000"/>
                <w:spacing w:val="1"/>
                <w:sz w:val="20"/>
                <w:szCs w:val="20"/>
              </w:rPr>
            </w:pPr>
            <w:r w:rsidRPr="00485321">
              <w:rPr>
                <w:rFonts w:ascii="Times New Roman" w:hAnsi="Times New Roman" w:cs="Times New Roman"/>
                <w:color w:val="000000"/>
                <w:spacing w:val="1"/>
                <w:sz w:val="20"/>
                <w:szCs w:val="20"/>
              </w:rPr>
              <w:t xml:space="preserve">(b) Have they </w:t>
            </w:r>
            <w:proofErr w:type="spellStart"/>
            <w:r w:rsidRPr="00485321">
              <w:rPr>
                <w:rFonts w:ascii="Times New Roman" w:hAnsi="Times New Roman" w:cs="Times New Roman"/>
                <w:color w:val="000000"/>
                <w:spacing w:val="1"/>
                <w:sz w:val="20"/>
                <w:szCs w:val="20"/>
              </w:rPr>
              <w:t>taken</w:t>
            </w:r>
            <w:proofErr w:type="spellEnd"/>
            <w:r w:rsidRPr="00485321">
              <w:rPr>
                <w:rFonts w:ascii="Times New Roman" w:hAnsi="Times New Roman" w:cs="Times New Roman"/>
                <w:color w:val="000000"/>
                <w:spacing w:val="1"/>
                <w:sz w:val="20"/>
                <w:szCs w:val="20"/>
              </w:rPr>
              <w:t xml:space="preserve"> account of the confounding factors in the design and/or analysis?</w:t>
            </w:r>
          </w:p>
        </w:tc>
        <w:tc>
          <w:tcPr>
            <w:tcW w:w="445" w:type="pct"/>
          </w:tcPr>
          <w:p w14:paraId="24604D0A"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1D7833AE"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383" w:type="pct"/>
          </w:tcPr>
          <w:p w14:paraId="276352C9"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286BA1D1"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442B9CA0"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C</w:t>
            </w:r>
          </w:p>
        </w:tc>
        <w:tc>
          <w:tcPr>
            <w:tcW w:w="463" w:type="pct"/>
          </w:tcPr>
          <w:p w14:paraId="58248DD3"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C</w:t>
            </w:r>
          </w:p>
        </w:tc>
        <w:tc>
          <w:tcPr>
            <w:tcW w:w="445" w:type="pct"/>
          </w:tcPr>
          <w:p w14:paraId="0D61C07B"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52" w:type="pct"/>
          </w:tcPr>
          <w:p w14:paraId="7A21E694"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0197A8F1"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16" w:type="pct"/>
          </w:tcPr>
          <w:p w14:paraId="3238CBB1"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r>
      <w:tr w:rsidR="005E1B99" w:rsidRPr="00485321" w14:paraId="340A4064" w14:textId="77777777" w:rsidTr="002663D9">
        <w:trPr>
          <w:trHeight w:val="1411"/>
        </w:trPr>
        <w:tc>
          <w:tcPr>
            <w:tcW w:w="185" w:type="pct"/>
          </w:tcPr>
          <w:p w14:paraId="1EF48956" w14:textId="77777777" w:rsidR="005E1B99" w:rsidRPr="00485321" w:rsidRDefault="005E1B99" w:rsidP="002663D9">
            <w:pPr>
              <w:contextualSpacing/>
              <w:rPr>
                <w:rFonts w:ascii="Times New Roman" w:hAnsi="Times New Roman" w:cs="Times New Roman"/>
                <w:sz w:val="20"/>
                <w:szCs w:val="20"/>
              </w:rPr>
            </w:pPr>
            <w:r w:rsidRPr="00485321">
              <w:rPr>
                <w:rFonts w:ascii="Times New Roman" w:hAnsi="Times New Roman" w:cs="Times New Roman"/>
                <w:sz w:val="20"/>
                <w:szCs w:val="20"/>
              </w:rPr>
              <w:t>6.</w:t>
            </w:r>
          </w:p>
        </w:tc>
        <w:tc>
          <w:tcPr>
            <w:tcW w:w="434" w:type="pct"/>
          </w:tcPr>
          <w:p w14:paraId="264568D5"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bCs/>
                <w:color w:val="000000"/>
                <w:sz w:val="20"/>
                <w:szCs w:val="20"/>
              </w:rPr>
              <w:t>Was the follow up of subjects complete enough?</w:t>
            </w:r>
          </w:p>
        </w:tc>
        <w:tc>
          <w:tcPr>
            <w:tcW w:w="445" w:type="pct"/>
          </w:tcPr>
          <w:p w14:paraId="4FD37CE2"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N</w:t>
            </w:r>
          </w:p>
        </w:tc>
        <w:tc>
          <w:tcPr>
            <w:tcW w:w="445" w:type="pct"/>
          </w:tcPr>
          <w:p w14:paraId="7F6ACB35"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383" w:type="pct"/>
          </w:tcPr>
          <w:p w14:paraId="3F0299AE"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N</w:t>
            </w:r>
          </w:p>
        </w:tc>
        <w:tc>
          <w:tcPr>
            <w:tcW w:w="445" w:type="pct"/>
          </w:tcPr>
          <w:p w14:paraId="61CE7190"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47E79AD9"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C</w:t>
            </w:r>
          </w:p>
        </w:tc>
        <w:tc>
          <w:tcPr>
            <w:tcW w:w="463" w:type="pct"/>
          </w:tcPr>
          <w:p w14:paraId="1B2C4223"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0BF20140"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52" w:type="pct"/>
          </w:tcPr>
          <w:p w14:paraId="5E26A121"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0B0067A0"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16" w:type="pct"/>
          </w:tcPr>
          <w:p w14:paraId="29942989"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N</w:t>
            </w:r>
          </w:p>
        </w:tc>
      </w:tr>
      <w:tr w:rsidR="005E1B99" w:rsidRPr="00485321" w14:paraId="7D2D8FB4" w14:textId="77777777" w:rsidTr="002663D9">
        <w:trPr>
          <w:trHeight w:val="1415"/>
        </w:trPr>
        <w:tc>
          <w:tcPr>
            <w:tcW w:w="185" w:type="pct"/>
          </w:tcPr>
          <w:p w14:paraId="08550B15" w14:textId="77777777" w:rsidR="005E1B99" w:rsidRPr="00485321" w:rsidRDefault="005E1B99" w:rsidP="002663D9">
            <w:pPr>
              <w:contextualSpacing/>
              <w:rPr>
                <w:rFonts w:ascii="Times New Roman" w:hAnsi="Times New Roman" w:cs="Times New Roman"/>
                <w:sz w:val="20"/>
                <w:szCs w:val="20"/>
              </w:rPr>
            </w:pPr>
          </w:p>
        </w:tc>
        <w:tc>
          <w:tcPr>
            <w:tcW w:w="434" w:type="pct"/>
          </w:tcPr>
          <w:p w14:paraId="4196D46F"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bCs/>
                <w:color w:val="000000"/>
                <w:sz w:val="20"/>
                <w:szCs w:val="20"/>
              </w:rPr>
              <w:t>Was the follow up of subjects long enough?</w:t>
            </w:r>
          </w:p>
        </w:tc>
        <w:tc>
          <w:tcPr>
            <w:tcW w:w="445" w:type="pct"/>
          </w:tcPr>
          <w:p w14:paraId="52607BD1"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N</w:t>
            </w:r>
          </w:p>
        </w:tc>
        <w:tc>
          <w:tcPr>
            <w:tcW w:w="445" w:type="pct"/>
          </w:tcPr>
          <w:p w14:paraId="5A7AE46E"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383" w:type="pct"/>
          </w:tcPr>
          <w:p w14:paraId="379A3231"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C</w:t>
            </w:r>
          </w:p>
        </w:tc>
        <w:tc>
          <w:tcPr>
            <w:tcW w:w="445" w:type="pct"/>
          </w:tcPr>
          <w:p w14:paraId="318460A9"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3E7D0B96"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C</w:t>
            </w:r>
          </w:p>
        </w:tc>
        <w:tc>
          <w:tcPr>
            <w:tcW w:w="463" w:type="pct"/>
          </w:tcPr>
          <w:p w14:paraId="5E324B50"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4A802363"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52" w:type="pct"/>
          </w:tcPr>
          <w:p w14:paraId="30DA7950"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486CBE90"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16" w:type="pct"/>
          </w:tcPr>
          <w:p w14:paraId="0ED7859D"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N</w:t>
            </w:r>
          </w:p>
        </w:tc>
      </w:tr>
      <w:tr w:rsidR="005E1B99" w:rsidRPr="00485321" w14:paraId="34D7EBE7" w14:textId="77777777" w:rsidTr="002663D9">
        <w:trPr>
          <w:trHeight w:val="1415"/>
        </w:trPr>
        <w:tc>
          <w:tcPr>
            <w:tcW w:w="185" w:type="pct"/>
          </w:tcPr>
          <w:p w14:paraId="57EEEB05" w14:textId="77777777" w:rsidR="005E1B99" w:rsidRPr="00485321" w:rsidRDefault="005E1B99" w:rsidP="002663D9">
            <w:pPr>
              <w:contextualSpacing/>
              <w:rPr>
                <w:rFonts w:ascii="Times New Roman" w:hAnsi="Times New Roman" w:cs="Times New Roman"/>
                <w:sz w:val="20"/>
                <w:szCs w:val="20"/>
              </w:rPr>
            </w:pPr>
            <w:r w:rsidRPr="00485321">
              <w:rPr>
                <w:rFonts w:ascii="Times New Roman" w:hAnsi="Times New Roman" w:cs="Times New Roman"/>
                <w:sz w:val="20"/>
                <w:szCs w:val="20"/>
              </w:rPr>
              <w:t>7.</w:t>
            </w:r>
          </w:p>
        </w:tc>
        <w:tc>
          <w:tcPr>
            <w:tcW w:w="434" w:type="pct"/>
          </w:tcPr>
          <w:p w14:paraId="03BAF7C3" w14:textId="77777777" w:rsidR="005E1B99" w:rsidRPr="00485321" w:rsidRDefault="005E1B99" w:rsidP="002663D9">
            <w:pPr>
              <w:rPr>
                <w:rFonts w:ascii="Times New Roman" w:hAnsi="Times New Roman" w:cs="Times New Roman"/>
                <w:bCs/>
                <w:color w:val="000000"/>
                <w:sz w:val="20"/>
                <w:szCs w:val="20"/>
              </w:rPr>
            </w:pPr>
            <w:r w:rsidRPr="00485321">
              <w:rPr>
                <w:rFonts w:ascii="Times New Roman" w:hAnsi="Times New Roman" w:cs="Times New Roman"/>
                <w:color w:val="000000"/>
                <w:spacing w:val="1"/>
                <w:kern w:val="2"/>
                <w:sz w:val="20"/>
                <w:szCs w:val="20"/>
                <w:lang w:eastAsia="zh-CN"/>
              </w:rPr>
              <w:t>What</w:t>
            </w:r>
            <w:r w:rsidRPr="00485321">
              <w:rPr>
                <w:rFonts w:ascii="Times New Roman" w:hAnsi="Times New Roman" w:cs="Times New Roman"/>
                <w:color w:val="000000"/>
                <w:spacing w:val="1"/>
                <w:sz w:val="20"/>
                <w:szCs w:val="20"/>
              </w:rPr>
              <w:t xml:space="preserve"> </w:t>
            </w:r>
            <w:r w:rsidRPr="00485321">
              <w:rPr>
                <w:rFonts w:ascii="Times New Roman" w:hAnsi="Times New Roman" w:cs="Times New Roman"/>
                <w:color w:val="000000"/>
                <w:spacing w:val="1"/>
                <w:kern w:val="2"/>
                <w:sz w:val="20"/>
                <w:szCs w:val="20"/>
                <w:lang w:eastAsia="zh-CN"/>
              </w:rPr>
              <w:t>are the results of this study?</w:t>
            </w:r>
          </w:p>
        </w:tc>
        <w:tc>
          <w:tcPr>
            <w:tcW w:w="445" w:type="pct"/>
          </w:tcPr>
          <w:p w14:paraId="36BF9842"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6F40DA17"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383" w:type="pct"/>
          </w:tcPr>
          <w:p w14:paraId="25FB9473"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3F7ACF6D"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657465A8"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63" w:type="pct"/>
          </w:tcPr>
          <w:p w14:paraId="3D6CCECC"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1246501D"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52" w:type="pct"/>
          </w:tcPr>
          <w:p w14:paraId="2E7C2082"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6AF7E900"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16" w:type="pct"/>
          </w:tcPr>
          <w:p w14:paraId="43B293AB"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r>
      <w:tr w:rsidR="005E1B99" w:rsidRPr="00485321" w14:paraId="11622E78" w14:textId="77777777" w:rsidTr="002663D9">
        <w:trPr>
          <w:trHeight w:val="426"/>
        </w:trPr>
        <w:tc>
          <w:tcPr>
            <w:tcW w:w="185" w:type="pct"/>
          </w:tcPr>
          <w:p w14:paraId="5A81BC28" w14:textId="77777777" w:rsidR="005E1B99" w:rsidRPr="00485321" w:rsidRDefault="005E1B99" w:rsidP="002663D9">
            <w:pPr>
              <w:contextualSpacing/>
              <w:rPr>
                <w:rFonts w:ascii="Times New Roman" w:hAnsi="Times New Roman" w:cs="Times New Roman"/>
                <w:sz w:val="20"/>
                <w:szCs w:val="20"/>
              </w:rPr>
            </w:pPr>
          </w:p>
        </w:tc>
        <w:tc>
          <w:tcPr>
            <w:tcW w:w="434" w:type="pct"/>
          </w:tcPr>
          <w:p w14:paraId="3E1C300F" w14:textId="77777777" w:rsidR="005E1B99" w:rsidRPr="00485321" w:rsidRDefault="005E1B99" w:rsidP="002663D9">
            <w:pPr>
              <w:spacing w:before="10"/>
              <w:rPr>
                <w:rFonts w:ascii="Times New Roman" w:hAnsi="Times New Roman" w:cs="Times New Roman"/>
                <w:b/>
                <w:bCs/>
                <w:color w:val="000000"/>
                <w:spacing w:val="1"/>
                <w:sz w:val="20"/>
                <w:szCs w:val="20"/>
              </w:rPr>
            </w:pPr>
          </w:p>
        </w:tc>
        <w:tc>
          <w:tcPr>
            <w:tcW w:w="445" w:type="pct"/>
          </w:tcPr>
          <w:p w14:paraId="5A6C8E02"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 xml:space="preserve">No robust evidence that higher drinks per </w:t>
            </w:r>
            <w:r w:rsidRPr="00485321">
              <w:rPr>
                <w:rFonts w:ascii="Times New Roman" w:hAnsi="Times New Roman" w:cs="Times New Roman"/>
                <w:sz w:val="20"/>
                <w:szCs w:val="20"/>
              </w:rPr>
              <w:lastRenderedPageBreak/>
              <w:t>week influenced T2D risk; however, there was a potential causal effect on higher fasting glucose, though this was attenuated when accounting for body mass index.</w:t>
            </w:r>
          </w:p>
        </w:tc>
        <w:tc>
          <w:tcPr>
            <w:tcW w:w="445" w:type="pct"/>
          </w:tcPr>
          <w:p w14:paraId="1190C569"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lastRenderedPageBreak/>
              <w:t xml:space="preserve">No protective effects of modest </w:t>
            </w:r>
            <w:r w:rsidRPr="00485321">
              <w:rPr>
                <w:rFonts w:ascii="Times New Roman" w:hAnsi="Times New Roman" w:cs="Times New Roman"/>
                <w:sz w:val="20"/>
                <w:szCs w:val="20"/>
              </w:rPr>
              <w:lastRenderedPageBreak/>
              <w:t>alcohol consumption on obesity traits and type 2 diabetes</w:t>
            </w:r>
          </w:p>
        </w:tc>
        <w:tc>
          <w:tcPr>
            <w:tcW w:w="383" w:type="pct"/>
          </w:tcPr>
          <w:p w14:paraId="79F20915"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lastRenderedPageBreak/>
              <w:t xml:space="preserve">Alcohol was not protective for any </w:t>
            </w:r>
            <w:r w:rsidRPr="00485321">
              <w:rPr>
                <w:rFonts w:ascii="Times New Roman" w:hAnsi="Times New Roman" w:cs="Times New Roman"/>
                <w:sz w:val="20"/>
                <w:szCs w:val="20"/>
              </w:rPr>
              <w:lastRenderedPageBreak/>
              <w:t>disease outcome with any analysis method, dataset, or strata.</w:t>
            </w:r>
          </w:p>
        </w:tc>
        <w:tc>
          <w:tcPr>
            <w:tcW w:w="445" w:type="pct"/>
          </w:tcPr>
          <w:p w14:paraId="555376D2"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lastRenderedPageBreak/>
              <w:t xml:space="preserve">Little difference in consumption was </w:t>
            </w:r>
            <w:r w:rsidRPr="00485321">
              <w:rPr>
                <w:rFonts w:ascii="Times New Roman" w:hAnsi="Times New Roman" w:cs="Times New Roman"/>
                <w:sz w:val="20"/>
                <w:szCs w:val="20"/>
              </w:rPr>
              <w:lastRenderedPageBreak/>
              <w:t>apparent between cases and non-cases in the period leading up to diagnosis or censoring after adjustment for confounding factors.</w:t>
            </w:r>
          </w:p>
        </w:tc>
        <w:tc>
          <w:tcPr>
            <w:tcW w:w="445" w:type="pct"/>
          </w:tcPr>
          <w:p w14:paraId="7E022A6E"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lastRenderedPageBreak/>
              <w:t xml:space="preserve">The interaction GWAS identified a </w:t>
            </w:r>
            <w:r w:rsidRPr="00485321">
              <w:rPr>
                <w:rFonts w:ascii="Times New Roman" w:hAnsi="Times New Roman" w:cs="Times New Roman"/>
                <w:sz w:val="20"/>
                <w:szCs w:val="20"/>
              </w:rPr>
              <w:lastRenderedPageBreak/>
              <w:t>genetic variant that exhibits a sex-specific interaction with moderate alcohol consumption in relation to type 2 diabetes risk</w:t>
            </w:r>
          </w:p>
        </w:tc>
        <w:tc>
          <w:tcPr>
            <w:tcW w:w="463" w:type="pct"/>
          </w:tcPr>
          <w:p w14:paraId="3422BD7D"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lastRenderedPageBreak/>
              <w:t xml:space="preserve">Adjusting for measured confounders, people with </w:t>
            </w:r>
            <w:r w:rsidRPr="00485321">
              <w:rPr>
                <w:rFonts w:ascii="Times New Roman" w:hAnsi="Times New Roman" w:cs="Times New Roman"/>
                <w:sz w:val="20"/>
                <w:szCs w:val="20"/>
              </w:rPr>
              <w:lastRenderedPageBreak/>
              <w:t xml:space="preserve">AUD had higher rates of ESRD, lower limb amputation, stroke, CVD, and all-cause mortality compared with people without AUD. </w:t>
            </w:r>
          </w:p>
        </w:tc>
        <w:tc>
          <w:tcPr>
            <w:tcW w:w="445" w:type="pct"/>
          </w:tcPr>
          <w:p w14:paraId="33CC443F"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lastRenderedPageBreak/>
              <w:t xml:space="preserve">The findings demonstrate an independent </w:t>
            </w:r>
            <w:r w:rsidRPr="00485321">
              <w:rPr>
                <w:rFonts w:ascii="Times New Roman" w:hAnsi="Times New Roman" w:cs="Times New Roman"/>
                <w:sz w:val="20"/>
                <w:szCs w:val="20"/>
              </w:rPr>
              <w:lastRenderedPageBreak/>
              <w:t>effect of binge-pattern alcohol consumption on the risk of metabolic and liver-related diseases.</w:t>
            </w:r>
          </w:p>
        </w:tc>
        <w:tc>
          <w:tcPr>
            <w:tcW w:w="452" w:type="pct"/>
          </w:tcPr>
          <w:p w14:paraId="3E62E494"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lastRenderedPageBreak/>
              <w:t xml:space="preserve">People with AUD have over double the rates of </w:t>
            </w:r>
            <w:r w:rsidRPr="00485321">
              <w:rPr>
                <w:rFonts w:ascii="Times New Roman" w:hAnsi="Times New Roman" w:cs="Times New Roman"/>
                <w:sz w:val="20"/>
                <w:szCs w:val="20"/>
              </w:rPr>
              <w:lastRenderedPageBreak/>
              <w:t>depression and anxiety following T2DM diagnosis than those without AUD.</w:t>
            </w:r>
          </w:p>
        </w:tc>
        <w:tc>
          <w:tcPr>
            <w:tcW w:w="445" w:type="pct"/>
          </w:tcPr>
          <w:p w14:paraId="72E7C460"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lastRenderedPageBreak/>
              <w:t xml:space="preserve">In current drinkers, moderate drinking of </w:t>
            </w:r>
            <w:r w:rsidRPr="00485321">
              <w:rPr>
                <w:rFonts w:ascii="Times New Roman" w:hAnsi="Times New Roman" w:cs="Times New Roman"/>
                <w:sz w:val="20"/>
                <w:szCs w:val="20"/>
              </w:rPr>
              <w:lastRenderedPageBreak/>
              <w:t>alcohol, especially wine, with meals, is associated with a lower risk of T2D.</w:t>
            </w:r>
          </w:p>
        </w:tc>
        <w:tc>
          <w:tcPr>
            <w:tcW w:w="416" w:type="pct"/>
          </w:tcPr>
          <w:p w14:paraId="40658312"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lastRenderedPageBreak/>
              <w:t xml:space="preserve">Participants consuming increasing </w:t>
            </w:r>
            <w:r w:rsidRPr="00485321">
              <w:rPr>
                <w:rFonts w:ascii="Times New Roman" w:hAnsi="Times New Roman" w:cs="Times New Roman"/>
                <w:sz w:val="20"/>
                <w:szCs w:val="20"/>
              </w:rPr>
              <w:lastRenderedPageBreak/>
              <w:t>amounts of alcohol had increased incidence rates for diabetes and other studied conditions.</w:t>
            </w:r>
          </w:p>
        </w:tc>
      </w:tr>
      <w:tr w:rsidR="005E1B99" w:rsidRPr="00485321" w14:paraId="0E859B69" w14:textId="77777777" w:rsidTr="002663D9">
        <w:trPr>
          <w:trHeight w:val="890"/>
        </w:trPr>
        <w:tc>
          <w:tcPr>
            <w:tcW w:w="185" w:type="pct"/>
          </w:tcPr>
          <w:p w14:paraId="7E9D7EC4" w14:textId="77777777" w:rsidR="005E1B99" w:rsidRPr="00485321" w:rsidRDefault="005E1B99" w:rsidP="002663D9">
            <w:pPr>
              <w:contextualSpacing/>
              <w:rPr>
                <w:rFonts w:ascii="Times New Roman" w:hAnsi="Times New Roman" w:cs="Times New Roman"/>
                <w:sz w:val="20"/>
                <w:szCs w:val="20"/>
              </w:rPr>
            </w:pPr>
            <w:r w:rsidRPr="00485321">
              <w:rPr>
                <w:rFonts w:ascii="Times New Roman" w:hAnsi="Times New Roman" w:cs="Times New Roman"/>
                <w:sz w:val="20"/>
                <w:szCs w:val="20"/>
              </w:rPr>
              <w:lastRenderedPageBreak/>
              <w:t xml:space="preserve">8. </w:t>
            </w:r>
          </w:p>
        </w:tc>
        <w:tc>
          <w:tcPr>
            <w:tcW w:w="434" w:type="pct"/>
          </w:tcPr>
          <w:p w14:paraId="7B1528D9" w14:textId="77777777" w:rsidR="005E1B99" w:rsidRPr="00485321" w:rsidRDefault="005E1B99" w:rsidP="002663D9">
            <w:pPr>
              <w:spacing w:before="10" w:after="240"/>
              <w:rPr>
                <w:rFonts w:ascii="Times New Roman" w:hAnsi="Times New Roman" w:cs="Times New Roman"/>
                <w:b/>
                <w:bCs/>
                <w:color w:val="000000"/>
                <w:spacing w:val="1"/>
                <w:sz w:val="20"/>
                <w:szCs w:val="20"/>
              </w:rPr>
            </w:pPr>
            <w:r w:rsidRPr="00485321">
              <w:rPr>
                <w:rFonts w:ascii="Times New Roman" w:hAnsi="Times New Roman" w:cs="Times New Roman"/>
                <w:color w:val="000000"/>
                <w:spacing w:val="1"/>
                <w:kern w:val="2"/>
                <w:sz w:val="20"/>
                <w:szCs w:val="20"/>
                <w:lang w:eastAsia="zh-CN"/>
              </w:rPr>
              <w:t>How precise are the results?</w:t>
            </w:r>
          </w:p>
        </w:tc>
        <w:tc>
          <w:tcPr>
            <w:tcW w:w="445" w:type="pct"/>
          </w:tcPr>
          <w:p w14:paraId="75CD1293"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574E9A72"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383" w:type="pct"/>
          </w:tcPr>
          <w:p w14:paraId="7D87E9CB"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6220FD8A"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26AB8D72"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63" w:type="pct"/>
          </w:tcPr>
          <w:p w14:paraId="1E5E20FD"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1C2443D5"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52" w:type="pct"/>
          </w:tcPr>
          <w:p w14:paraId="364B0584"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771F6933"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16" w:type="pct"/>
          </w:tcPr>
          <w:p w14:paraId="0B13B7FA"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r>
      <w:tr w:rsidR="005E1B99" w:rsidRPr="00485321" w14:paraId="4371E8A9" w14:textId="77777777" w:rsidTr="002663D9">
        <w:trPr>
          <w:trHeight w:val="746"/>
        </w:trPr>
        <w:tc>
          <w:tcPr>
            <w:tcW w:w="185" w:type="pct"/>
          </w:tcPr>
          <w:p w14:paraId="36A7B75A" w14:textId="77777777" w:rsidR="005E1B99" w:rsidRPr="00485321" w:rsidRDefault="005E1B99" w:rsidP="002663D9">
            <w:pPr>
              <w:contextualSpacing/>
              <w:rPr>
                <w:rFonts w:ascii="Times New Roman" w:hAnsi="Times New Roman" w:cs="Times New Roman"/>
                <w:sz w:val="20"/>
                <w:szCs w:val="20"/>
              </w:rPr>
            </w:pPr>
            <w:r w:rsidRPr="00485321">
              <w:rPr>
                <w:rFonts w:ascii="Times New Roman" w:hAnsi="Times New Roman" w:cs="Times New Roman"/>
                <w:sz w:val="20"/>
                <w:szCs w:val="20"/>
              </w:rPr>
              <w:t>9.</w:t>
            </w:r>
          </w:p>
        </w:tc>
        <w:tc>
          <w:tcPr>
            <w:tcW w:w="434" w:type="pct"/>
          </w:tcPr>
          <w:p w14:paraId="5B31D7FA" w14:textId="77777777" w:rsidR="005E1B99" w:rsidRPr="00485321" w:rsidRDefault="005E1B99" w:rsidP="002663D9">
            <w:pPr>
              <w:spacing w:before="10" w:after="240"/>
              <w:rPr>
                <w:rFonts w:ascii="Times New Roman" w:hAnsi="Times New Roman" w:cs="Times New Roman"/>
                <w:b/>
                <w:bCs/>
                <w:color w:val="000000"/>
                <w:spacing w:val="1"/>
                <w:sz w:val="20"/>
                <w:szCs w:val="20"/>
              </w:rPr>
            </w:pPr>
            <w:r w:rsidRPr="00485321">
              <w:rPr>
                <w:rFonts w:ascii="Times New Roman" w:hAnsi="Times New Roman" w:cs="Times New Roman"/>
                <w:color w:val="000000"/>
                <w:spacing w:val="1"/>
                <w:kern w:val="2"/>
                <w:sz w:val="20"/>
                <w:szCs w:val="20"/>
                <w:lang w:eastAsia="zh-CN"/>
              </w:rPr>
              <w:t>Do you believe the results?</w:t>
            </w:r>
          </w:p>
        </w:tc>
        <w:tc>
          <w:tcPr>
            <w:tcW w:w="445" w:type="pct"/>
          </w:tcPr>
          <w:p w14:paraId="22377B52"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4582C90A"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383" w:type="pct"/>
          </w:tcPr>
          <w:p w14:paraId="45674CB7"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26F6D848"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66D406CA"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63" w:type="pct"/>
          </w:tcPr>
          <w:p w14:paraId="6F155BE8"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2173BC09"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52" w:type="pct"/>
          </w:tcPr>
          <w:p w14:paraId="70015658"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7E5A6D32"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16" w:type="pct"/>
          </w:tcPr>
          <w:p w14:paraId="6E1C017C"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r>
      <w:tr w:rsidR="005E1B99" w:rsidRPr="00485321" w14:paraId="1E37FC90" w14:textId="77777777" w:rsidTr="002663D9">
        <w:trPr>
          <w:trHeight w:val="1365"/>
        </w:trPr>
        <w:tc>
          <w:tcPr>
            <w:tcW w:w="185" w:type="pct"/>
          </w:tcPr>
          <w:p w14:paraId="03F7638E" w14:textId="77777777" w:rsidR="005E1B99" w:rsidRPr="00485321" w:rsidRDefault="005E1B99" w:rsidP="002663D9">
            <w:pPr>
              <w:contextualSpacing/>
              <w:rPr>
                <w:rFonts w:ascii="Times New Roman" w:hAnsi="Times New Roman" w:cs="Times New Roman"/>
                <w:sz w:val="20"/>
                <w:szCs w:val="20"/>
              </w:rPr>
            </w:pPr>
            <w:r w:rsidRPr="00485321">
              <w:rPr>
                <w:rFonts w:ascii="Times New Roman" w:hAnsi="Times New Roman" w:cs="Times New Roman"/>
                <w:sz w:val="20"/>
                <w:szCs w:val="20"/>
              </w:rPr>
              <w:t>10.</w:t>
            </w:r>
          </w:p>
        </w:tc>
        <w:tc>
          <w:tcPr>
            <w:tcW w:w="434" w:type="pct"/>
          </w:tcPr>
          <w:p w14:paraId="44B2EEFD" w14:textId="77777777" w:rsidR="005E1B99" w:rsidRPr="00485321" w:rsidRDefault="005E1B99" w:rsidP="002663D9">
            <w:pPr>
              <w:spacing w:before="10"/>
              <w:rPr>
                <w:rFonts w:ascii="Times New Roman" w:hAnsi="Times New Roman" w:cs="Times New Roman"/>
                <w:b/>
                <w:bCs/>
                <w:color w:val="000000"/>
                <w:spacing w:val="1"/>
                <w:kern w:val="2"/>
                <w:sz w:val="20"/>
                <w:szCs w:val="20"/>
                <w:lang w:eastAsia="zh-CN"/>
              </w:rPr>
            </w:pPr>
            <w:r w:rsidRPr="00485321">
              <w:rPr>
                <w:rFonts w:ascii="Times New Roman" w:hAnsi="Times New Roman" w:cs="Times New Roman"/>
                <w:color w:val="000000"/>
                <w:spacing w:val="1"/>
                <w:kern w:val="2"/>
                <w:sz w:val="20"/>
                <w:szCs w:val="20"/>
                <w:lang w:eastAsia="zh-CN"/>
              </w:rPr>
              <w:t>Can the results be applied to the local population?</w:t>
            </w:r>
          </w:p>
        </w:tc>
        <w:tc>
          <w:tcPr>
            <w:tcW w:w="445" w:type="pct"/>
          </w:tcPr>
          <w:p w14:paraId="1F8746CA"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23B375EC"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383" w:type="pct"/>
          </w:tcPr>
          <w:p w14:paraId="36BF9D9A"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700DDFA1"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5F4916A7"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63" w:type="pct"/>
          </w:tcPr>
          <w:p w14:paraId="11F6E58E"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47D126BE"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52" w:type="pct"/>
          </w:tcPr>
          <w:p w14:paraId="3DC81CAB"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41009733"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16" w:type="pct"/>
          </w:tcPr>
          <w:p w14:paraId="4EB55984"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r>
      <w:tr w:rsidR="005E1B99" w:rsidRPr="00485321" w14:paraId="561177DE" w14:textId="77777777" w:rsidTr="002663D9">
        <w:trPr>
          <w:trHeight w:val="1554"/>
        </w:trPr>
        <w:tc>
          <w:tcPr>
            <w:tcW w:w="185" w:type="pct"/>
          </w:tcPr>
          <w:p w14:paraId="64E0F175" w14:textId="77777777" w:rsidR="005E1B99" w:rsidRPr="00485321" w:rsidRDefault="005E1B99" w:rsidP="002663D9">
            <w:pPr>
              <w:contextualSpacing/>
              <w:rPr>
                <w:rFonts w:ascii="Times New Roman" w:hAnsi="Times New Roman" w:cs="Times New Roman"/>
                <w:sz w:val="20"/>
                <w:szCs w:val="20"/>
              </w:rPr>
            </w:pPr>
            <w:r w:rsidRPr="00485321">
              <w:rPr>
                <w:rFonts w:ascii="Times New Roman" w:hAnsi="Times New Roman" w:cs="Times New Roman"/>
                <w:sz w:val="20"/>
                <w:szCs w:val="20"/>
              </w:rPr>
              <w:t xml:space="preserve">11. </w:t>
            </w:r>
          </w:p>
        </w:tc>
        <w:tc>
          <w:tcPr>
            <w:tcW w:w="434" w:type="pct"/>
          </w:tcPr>
          <w:p w14:paraId="249C0AD8" w14:textId="77777777" w:rsidR="005E1B99" w:rsidRPr="00485321" w:rsidRDefault="005E1B99" w:rsidP="002663D9">
            <w:pPr>
              <w:spacing w:before="10"/>
              <w:rPr>
                <w:rFonts w:ascii="Times New Roman" w:hAnsi="Times New Roman" w:cs="Times New Roman"/>
                <w:color w:val="000000"/>
                <w:kern w:val="2"/>
                <w:sz w:val="20"/>
                <w:szCs w:val="20"/>
                <w:lang w:eastAsia="zh-CN"/>
              </w:rPr>
            </w:pPr>
            <w:r w:rsidRPr="00485321">
              <w:rPr>
                <w:rFonts w:ascii="Times New Roman" w:hAnsi="Times New Roman" w:cs="Times New Roman"/>
                <w:color w:val="000000"/>
                <w:kern w:val="2"/>
                <w:sz w:val="20"/>
                <w:szCs w:val="20"/>
                <w:lang w:eastAsia="zh-CN"/>
              </w:rPr>
              <w:t>Do the results of this study fit with other available evidence?</w:t>
            </w:r>
          </w:p>
        </w:tc>
        <w:tc>
          <w:tcPr>
            <w:tcW w:w="445" w:type="pct"/>
          </w:tcPr>
          <w:p w14:paraId="1158C52E"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15913ED8"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383" w:type="pct"/>
          </w:tcPr>
          <w:p w14:paraId="0024A2BD"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1883DDF7"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15E71424"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63" w:type="pct"/>
          </w:tcPr>
          <w:p w14:paraId="5CFC6EE4"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5B370D9B"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52" w:type="pct"/>
          </w:tcPr>
          <w:p w14:paraId="6A11CB1F"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47AA5FF8"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16" w:type="pct"/>
          </w:tcPr>
          <w:p w14:paraId="6E3082A9"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r>
      <w:tr w:rsidR="005E1B99" w:rsidRPr="00485321" w14:paraId="5034BE4B" w14:textId="77777777" w:rsidTr="002663D9">
        <w:trPr>
          <w:trHeight w:val="1554"/>
        </w:trPr>
        <w:tc>
          <w:tcPr>
            <w:tcW w:w="185" w:type="pct"/>
          </w:tcPr>
          <w:p w14:paraId="77305DD5" w14:textId="77777777" w:rsidR="005E1B99" w:rsidRPr="00485321" w:rsidRDefault="005E1B99" w:rsidP="002663D9">
            <w:pPr>
              <w:contextualSpacing/>
              <w:rPr>
                <w:rFonts w:ascii="Times New Roman" w:hAnsi="Times New Roman" w:cs="Times New Roman"/>
                <w:sz w:val="20"/>
                <w:szCs w:val="20"/>
              </w:rPr>
            </w:pPr>
            <w:r w:rsidRPr="00485321">
              <w:rPr>
                <w:rFonts w:ascii="Times New Roman" w:hAnsi="Times New Roman" w:cs="Times New Roman"/>
                <w:sz w:val="20"/>
                <w:szCs w:val="20"/>
              </w:rPr>
              <w:lastRenderedPageBreak/>
              <w:t>12.</w:t>
            </w:r>
          </w:p>
        </w:tc>
        <w:tc>
          <w:tcPr>
            <w:tcW w:w="434" w:type="pct"/>
          </w:tcPr>
          <w:p w14:paraId="158C9A96" w14:textId="77777777" w:rsidR="005E1B99" w:rsidRPr="00485321" w:rsidRDefault="005E1B99" w:rsidP="002663D9">
            <w:pPr>
              <w:spacing w:before="10"/>
              <w:rPr>
                <w:rFonts w:ascii="Times New Roman" w:hAnsi="Times New Roman" w:cs="Times New Roman"/>
                <w:color w:val="000000"/>
                <w:kern w:val="2"/>
                <w:sz w:val="20"/>
                <w:szCs w:val="20"/>
                <w:lang w:eastAsia="zh-CN"/>
              </w:rPr>
            </w:pPr>
            <w:r w:rsidRPr="00485321">
              <w:rPr>
                <w:rFonts w:ascii="Times New Roman" w:hAnsi="Times New Roman" w:cs="Times New Roman"/>
                <w:color w:val="000000"/>
                <w:kern w:val="2"/>
                <w:sz w:val="20"/>
                <w:szCs w:val="20"/>
                <w:lang w:eastAsia="zh-CN"/>
              </w:rPr>
              <w:t>What are the implications of this study for practice?</w:t>
            </w:r>
          </w:p>
        </w:tc>
        <w:tc>
          <w:tcPr>
            <w:tcW w:w="445" w:type="pct"/>
          </w:tcPr>
          <w:p w14:paraId="4E1316AD"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4D59CECD"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383" w:type="pct"/>
          </w:tcPr>
          <w:p w14:paraId="095F7427"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2DF7C24D"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14E5DE6A"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63" w:type="pct"/>
          </w:tcPr>
          <w:p w14:paraId="51924533"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7375944F"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52" w:type="pct"/>
          </w:tcPr>
          <w:p w14:paraId="00C7924A"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45" w:type="pct"/>
          </w:tcPr>
          <w:p w14:paraId="0343D077"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c>
          <w:tcPr>
            <w:tcW w:w="416" w:type="pct"/>
          </w:tcPr>
          <w:p w14:paraId="5BA125D2"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Y</w:t>
            </w:r>
          </w:p>
        </w:tc>
      </w:tr>
      <w:tr w:rsidR="005E1B99" w:rsidRPr="00485321" w14:paraId="197F2B56" w14:textId="77777777" w:rsidTr="002663D9">
        <w:trPr>
          <w:trHeight w:val="270"/>
        </w:trPr>
        <w:tc>
          <w:tcPr>
            <w:tcW w:w="185" w:type="pct"/>
          </w:tcPr>
          <w:p w14:paraId="12751C0A" w14:textId="77777777" w:rsidR="005E1B99" w:rsidRPr="00485321" w:rsidRDefault="005E1B99" w:rsidP="002663D9">
            <w:pPr>
              <w:contextualSpacing/>
              <w:rPr>
                <w:rFonts w:ascii="Times New Roman" w:hAnsi="Times New Roman" w:cs="Times New Roman"/>
                <w:sz w:val="20"/>
                <w:szCs w:val="20"/>
              </w:rPr>
            </w:pPr>
          </w:p>
        </w:tc>
        <w:tc>
          <w:tcPr>
            <w:tcW w:w="434" w:type="pct"/>
          </w:tcPr>
          <w:p w14:paraId="31C1687A" w14:textId="77777777" w:rsidR="005E1B99" w:rsidRPr="00485321" w:rsidRDefault="005E1B99" w:rsidP="002663D9">
            <w:pPr>
              <w:spacing w:before="10"/>
              <w:rPr>
                <w:rFonts w:ascii="Times New Roman" w:eastAsia="Times New Roman" w:hAnsi="Times New Roman" w:cs="Times New Roman"/>
                <w:color w:val="000000"/>
                <w:kern w:val="2"/>
                <w:sz w:val="20"/>
                <w:szCs w:val="20"/>
                <w:lang w:eastAsia="zh-CN"/>
              </w:rPr>
            </w:pPr>
          </w:p>
        </w:tc>
        <w:tc>
          <w:tcPr>
            <w:tcW w:w="445" w:type="pct"/>
          </w:tcPr>
          <w:p w14:paraId="63D1D6AD"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Effective public health interventions to prevent and/or reduce smoking and alcohol consumption are unlikely to reduce T2D prevalence</w:t>
            </w:r>
          </w:p>
        </w:tc>
        <w:tc>
          <w:tcPr>
            <w:tcW w:w="445" w:type="pct"/>
          </w:tcPr>
          <w:p w14:paraId="04259A32"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Heavy alcohol consumption could lead to increased measures of obesity as well as increased risk of type 2 diabetes</w:t>
            </w:r>
          </w:p>
        </w:tc>
        <w:tc>
          <w:tcPr>
            <w:tcW w:w="383" w:type="pct"/>
          </w:tcPr>
          <w:p w14:paraId="3199207E"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Alcohol use should not be promoted as a part of a healthy diet and lifestyle</w:t>
            </w:r>
          </w:p>
        </w:tc>
        <w:tc>
          <w:tcPr>
            <w:tcW w:w="445" w:type="pct"/>
          </w:tcPr>
          <w:p w14:paraId="5A8061AE"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The decision to drink alcohol cannot be motivated by a perceived benefit to T2DM risk</w:t>
            </w:r>
          </w:p>
        </w:tc>
        <w:tc>
          <w:tcPr>
            <w:tcW w:w="445" w:type="pct"/>
          </w:tcPr>
          <w:p w14:paraId="0A303D3C"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Genetic variation may play a role in the differential effects of alcohol consumption on type 2 diabetes risk between men and women</w:t>
            </w:r>
          </w:p>
        </w:tc>
        <w:tc>
          <w:tcPr>
            <w:tcW w:w="463" w:type="pct"/>
          </w:tcPr>
          <w:p w14:paraId="77A9E549"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The findings underline the importance of a holistic, integrated care approach for alcohol use control, which includes consideration of the wider context</w:t>
            </w:r>
          </w:p>
        </w:tc>
        <w:tc>
          <w:tcPr>
            <w:tcW w:w="445" w:type="pct"/>
          </w:tcPr>
          <w:p w14:paraId="4BCE0E17"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The findings support stratification of drinkers for cirrhosis screening, behavioural intervention, or selection for clinical trials, based on a combination of risk factors</w:t>
            </w:r>
          </w:p>
        </w:tc>
        <w:tc>
          <w:tcPr>
            <w:tcW w:w="452" w:type="pct"/>
          </w:tcPr>
          <w:p w14:paraId="3AFF69D6"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A holistic approach incorporating mental health support is needed to improve health outcomes for people with AUD who develop T2DM</w:t>
            </w:r>
          </w:p>
        </w:tc>
        <w:tc>
          <w:tcPr>
            <w:tcW w:w="445" w:type="pct"/>
          </w:tcPr>
          <w:p w14:paraId="738C1CA4"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The findings emphasise the importance of considering the timing of alcohol intake in the relationship between alcohol consumption and the risk of T2DM</w:t>
            </w:r>
          </w:p>
        </w:tc>
        <w:tc>
          <w:tcPr>
            <w:tcW w:w="416" w:type="pct"/>
          </w:tcPr>
          <w:p w14:paraId="6133C0FA"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The occurrence of many co-morbid conditions in those who abstained from alcohol suggests that public health measures may be indicated.</w:t>
            </w:r>
          </w:p>
        </w:tc>
      </w:tr>
      <w:tr w:rsidR="005E1B99" w:rsidRPr="00485321" w14:paraId="0E4CA8A4" w14:textId="77777777" w:rsidTr="002663D9">
        <w:trPr>
          <w:trHeight w:val="568"/>
        </w:trPr>
        <w:tc>
          <w:tcPr>
            <w:tcW w:w="185" w:type="pct"/>
          </w:tcPr>
          <w:p w14:paraId="3EAE4707" w14:textId="77777777" w:rsidR="005E1B99" w:rsidRPr="00485321" w:rsidRDefault="005E1B99" w:rsidP="002663D9">
            <w:pPr>
              <w:contextualSpacing/>
              <w:rPr>
                <w:rFonts w:ascii="Times New Roman" w:hAnsi="Times New Roman" w:cs="Times New Roman"/>
                <w:sz w:val="20"/>
                <w:szCs w:val="20"/>
              </w:rPr>
            </w:pPr>
            <w:r w:rsidRPr="00485321">
              <w:rPr>
                <w:rFonts w:ascii="Times New Roman" w:hAnsi="Times New Roman" w:cs="Times New Roman"/>
                <w:sz w:val="20"/>
                <w:szCs w:val="20"/>
              </w:rPr>
              <w:t xml:space="preserve"> </w:t>
            </w:r>
          </w:p>
        </w:tc>
        <w:tc>
          <w:tcPr>
            <w:tcW w:w="434" w:type="pct"/>
          </w:tcPr>
          <w:p w14:paraId="3EE7A7A4"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Overall quality</w:t>
            </w:r>
          </w:p>
        </w:tc>
        <w:tc>
          <w:tcPr>
            <w:tcW w:w="445" w:type="pct"/>
          </w:tcPr>
          <w:p w14:paraId="58171F16"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High</w:t>
            </w:r>
          </w:p>
        </w:tc>
        <w:tc>
          <w:tcPr>
            <w:tcW w:w="445" w:type="pct"/>
          </w:tcPr>
          <w:p w14:paraId="0A106709"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High</w:t>
            </w:r>
          </w:p>
        </w:tc>
        <w:tc>
          <w:tcPr>
            <w:tcW w:w="383" w:type="pct"/>
          </w:tcPr>
          <w:p w14:paraId="324D8828"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High</w:t>
            </w:r>
          </w:p>
        </w:tc>
        <w:tc>
          <w:tcPr>
            <w:tcW w:w="445" w:type="pct"/>
          </w:tcPr>
          <w:p w14:paraId="636D2FBC"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High</w:t>
            </w:r>
          </w:p>
        </w:tc>
        <w:tc>
          <w:tcPr>
            <w:tcW w:w="445" w:type="pct"/>
          </w:tcPr>
          <w:p w14:paraId="6ECD2AE4"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 xml:space="preserve">Moderate </w:t>
            </w:r>
          </w:p>
        </w:tc>
        <w:tc>
          <w:tcPr>
            <w:tcW w:w="463" w:type="pct"/>
          </w:tcPr>
          <w:p w14:paraId="4FF366BC"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High</w:t>
            </w:r>
          </w:p>
        </w:tc>
        <w:tc>
          <w:tcPr>
            <w:tcW w:w="445" w:type="pct"/>
          </w:tcPr>
          <w:p w14:paraId="47B92884"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High</w:t>
            </w:r>
          </w:p>
        </w:tc>
        <w:tc>
          <w:tcPr>
            <w:tcW w:w="452" w:type="pct"/>
          </w:tcPr>
          <w:p w14:paraId="25543136"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High</w:t>
            </w:r>
          </w:p>
        </w:tc>
        <w:tc>
          <w:tcPr>
            <w:tcW w:w="445" w:type="pct"/>
          </w:tcPr>
          <w:p w14:paraId="29F0B59E"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High</w:t>
            </w:r>
          </w:p>
        </w:tc>
        <w:tc>
          <w:tcPr>
            <w:tcW w:w="416" w:type="pct"/>
          </w:tcPr>
          <w:p w14:paraId="12742F70" w14:textId="77777777" w:rsidR="005E1B99" w:rsidRPr="00485321" w:rsidRDefault="005E1B99" w:rsidP="002663D9">
            <w:pPr>
              <w:rPr>
                <w:rFonts w:ascii="Times New Roman" w:hAnsi="Times New Roman" w:cs="Times New Roman"/>
                <w:sz w:val="20"/>
                <w:szCs w:val="20"/>
              </w:rPr>
            </w:pPr>
            <w:r w:rsidRPr="00485321">
              <w:rPr>
                <w:rFonts w:ascii="Times New Roman" w:hAnsi="Times New Roman" w:cs="Times New Roman"/>
                <w:sz w:val="20"/>
                <w:szCs w:val="20"/>
              </w:rPr>
              <w:t xml:space="preserve">Moderate </w:t>
            </w:r>
          </w:p>
        </w:tc>
      </w:tr>
    </w:tbl>
    <w:bookmarkEnd w:id="11"/>
    <w:p w14:paraId="2DEE63F6" w14:textId="77777777" w:rsidR="005E1B99" w:rsidRPr="00485321" w:rsidRDefault="005E1B99" w:rsidP="005E1B99">
      <w:pPr>
        <w:spacing w:line="480" w:lineRule="auto"/>
        <w:rPr>
          <w:rFonts w:ascii="Times New Roman" w:eastAsia="Arial Unicode MS" w:hAnsi="Times New Roman" w:cs="Times New Roman"/>
        </w:rPr>
      </w:pPr>
      <w:r w:rsidRPr="00485321">
        <w:rPr>
          <w:rFonts w:ascii="Times New Roman" w:hAnsi="Times New Roman" w:cs="Times New Roman"/>
        </w:rPr>
        <w:t xml:space="preserve">Abbreviations: Y, </w:t>
      </w:r>
      <w:proofErr w:type="gramStart"/>
      <w:r w:rsidRPr="00485321">
        <w:rPr>
          <w:rFonts w:ascii="Times New Roman" w:hAnsi="Times New Roman" w:cs="Times New Roman"/>
        </w:rPr>
        <w:t>Yes</w:t>
      </w:r>
      <w:proofErr w:type="gramEnd"/>
      <w:r w:rsidRPr="00485321">
        <w:rPr>
          <w:rFonts w:ascii="Times New Roman" w:hAnsi="Times New Roman" w:cs="Times New Roman"/>
        </w:rPr>
        <w:t xml:space="preserve">; N, </w:t>
      </w:r>
      <w:proofErr w:type="gramStart"/>
      <w:r w:rsidRPr="00485321">
        <w:rPr>
          <w:rFonts w:ascii="Times New Roman" w:hAnsi="Times New Roman" w:cs="Times New Roman"/>
        </w:rPr>
        <w:t>No</w:t>
      </w:r>
      <w:proofErr w:type="gramEnd"/>
      <w:r w:rsidRPr="00485321">
        <w:rPr>
          <w:rFonts w:ascii="Times New Roman" w:hAnsi="Times New Roman" w:cs="Times New Roman"/>
        </w:rPr>
        <w:t xml:space="preserve">; C, </w:t>
      </w:r>
      <w:proofErr w:type="gramStart"/>
      <w:r w:rsidRPr="00485321">
        <w:rPr>
          <w:rFonts w:ascii="Times New Roman" w:hAnsi="Times New Roman" w:cs="Times New Roman"/>
        </w:rPr>
        <w:t>Can’t</w:t>
      </w:r>
      <w:proofErr w:type="gramEnd"/>
      <w:r w:rsidRPr="00485321">
        <w:rPr>
          <w:rFonts w:ascii="Times New Roman" w:hAnsi="Times New Roman" w:cs="Times New Roman"/>
        </w:rPr>
        <w:t xml:space="preserve"> tell.</w:t>
      </w:r>
    </w:p>
    <w:p w14:paraId="5AD29210" w14:textId="77777777" w:rsidR="005E1B99" w:rsidRPr="00485321" w:rsidRDefault="005E1B99">
      <w:pPr>
        <w:rPr>
          <w:rFonts w:ascii="Times New Roman" w:hAnsi="Times New Roman" w:cs="Times New Roman"/>
        </w:rPr>
        <w:sectPr w:rsidR="005E1B99" w:rsidRPr="00485321" w:rsidSect="00747D97">
          <w:pgSz w:w="16838" w:h="11906" w:orient="landscape"/>
          <w:pgMar w:top="1440" w:right="1440" w:bottom="1440" w:left="1440" w:header="709" w:footer="709" w:gutter="0"/>
          <w:cols w:space="708"/>
          <w:docGrid w:linePitch="360"/>
        </w:sectPr>
      </w:pPr>
    </w:p>
    <w:p w14:paraId="259BA517" w14:textId="77777777" w:rsidR="00A054A2" w:rsidRPr="00485321" w:rsidRDefault="00A054A2" w:rsidP="00A054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Times New Roman" w:eastAsia="Arial Unicode MS" w:hAnsi="Times New Roman" w:cs="Times New Roman"/>
          <w:b/>
          <w:bCs/>
          <w:sz w:val="28"/>
          <w:szCs w:val="28"/>
        </w:rPr>
      </w:pPr>
      <w:r w:rsidRPr="00485321">
        <w:rPr>
          <w:rFonts w:ascii="Times New Roman" w:eastAsia="Arial Unicode MS" w:hAnsi="Times New Roman" w:cs="Times New Roman"/>
          <w:b/>
          <w:bCs/>
          <w:sz w:val="28"/>
          <w:szCs w:val="28"/>
        </w:rPr>
        <w:lastRenderedPageBreak/>
        <w:t>Discussion</w:t>
      </w:r>
    </w:p>
    <w:p w14:paraId="5F1917E1" w14:textId="77777777" w:rsidR="00A054A2" w:rsidRPr="00485321" w:rsidRDefault="00A054A2" w:rsidP="00A054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rPr>
      </w:pPr>
      <w:r w:rsidRPr="00485321">
        <w:rPr>
          <w:rFonts w:ascii="Times New Roman" w:eastAsia="Arial Unicode MS" w:hAnsi="Times New Roman" w:cs="Times New Roman"/>
        </w:rPr>
        <w:t>This review explored the correlation between binge drinking and T2DM among individuals aged over 18 years in the UK. The notable findings are highlighted as follows. (1) Alcohol exerts harmful or null effects on cardiometabolic health at all levels of use; however, these outcomes are mediated by sex, BMI, drinking patterns, type of beverage, and whether alcohol is consumed with meals (Lankester et al., 2021; Reed et al., 2025). (2) Binge drinking was particularly pronounced with drinks such as beer and spirits, which were associated with a higher prevalence of T2DM and related complications. In contrast, higher wine intake was linked to a lower risk of T2DM. (3) Associations between alcohol intake, obesity, and diabetes risk were stronger in women than in men, suggesting sex specific metabolic and genetic interactions (</w:t>
      </w:r>
      <w:proofErr w:type="spellStart"/>
      <w:r w:rsidRPr="00485321">
        <w:rPr>
          <w:rFonts w:ascii="Times New Roman" w:eastAsia="Arial Unicode MS" w:hAnsi="Times New Roman" w:cs="Times New Roman"/>
        </w:rPr>
        <w:t>Belzile</w:t>
      </w:r>
      <w:proofErr w:type="spellEnd"/>
      <w:r w:rsidRPr="00485321">
        <w:rPr>
          <w:rFonts w:ascii="Times New Roman" w:eastAsia="Arial Unicode MS" w:hAnsi="Times New Roman" w:cs="Times New Roman"/>
        </w:rPr>
        <w:t xml:space="preserve"> et al., 2025; Lu et al., 2023). Overall, the evidence reinforces the conclusion that binge drinking should not be promoted as part of a healthy lifestyle.</w:t>
      </w:r>
    </w:p>
    <w:p w14:paraId="0D0B35D0" w14:textId="77777777" w:rsidR="009360B0" w:rsidRDefault="009360B0" w:rsidP="00A054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b/>
          <w:bCs/>
          <w:i/>
          <w:iCs/>
        </w:rPr>
      </w:pPr>
    </w:p>
    <w:p w14:paraId="60B5F93D" w14:textId="1D3B752E" w:rsidR="00A054A2" w:rsidRPr="00485321" w:rsidRDefault="00A054A2" w:rsidP="00A054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b/>
          <w:bCs/>
          <w:i/>
          <w:iCs/>
        </w:rPr>
      </w:pPr>
      <w:r w:rsidRPr="00485321">
        <w:rPr>
          <w:rFonts w:ascii="Times New Roman" w:eastAsia="Arial Unicode MS" w:hAnsi="Times New Roman" w:cs="Times New Roman"/>
          <w:b/>
          <w:bCs/>
          <w:i/>
          <w:iCs/>
        </w:rPr>
        <w:t xml:space="preserve">Glucose monitoring </w:t>
      </w:r>
    </w:p>
    <w:p w14:paraId="40278595" w14:textId="77777777" w:rsidR="00A054A2" w:rsidRPr="00485321" w:rsidRDefault="00A054A2" w:rsidP="00A054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rPr>
      </w:pPr>
      <w:r w:rsidRPr="00485321">
        <w:rPr>
          <w:rFonts w:ascii="Times New Roman" w:eastAsia="Arial Unicode MS" w:hAnsi="Times New Roman" w:cs="Times New Roman"/>
        </w:rPr>
        <w:t>Observational data suggest that higher amounts of alcohol intake are associated with lower HbA1c levels and higher concentrations of high-density lipoprotein cholesterol in a dose–response fashion. HbA1c represents glycated haemoglobin, a marker of average blood glucose levels over the preceding 12 weeks (Nakatani et al., 2018). Its lower proportion in the blood among drinkers may suggest reduced average glucose levels. While this could be interpreted as alcohol exerting a beneficial effect on glycaemia, the chronic rise in high-density lipoprotein cholesterol implies altered insulin sensitivity, suggesting that alcohol modifies lipid metabolism and glucose homeostasis in ways that are not necessarily protective. Furthermore, lower HbA1c levels may reflect impaired gluconeogenesis in the liver, consistent with alcohol’s inhibitory effect on hepatic glucose production. This mechanism could artificially lower circulating glucose and HbA1c values without genuinely improving long-term glycaemic control, thereby masking underlying metabolic dysfunction (Lankester et al., 2021). Consequently, the apparent inverse association between alcohol consumption and HbA1c may represent a measurement artefact or confounding effect rather than a genuine reduction in diabetes risk.</w:t>
      </w:r>
    </w:p>
    <w:p w14:paraId="0D05C5CC" w14:textId="77777777" w:rsidR="009360B0" w:rsidRDefault="009360B0" w:rsidP="00A054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b/>
          <w:bCs/>
          <w:i/>
          <w:iCs/>
        </w:rPr>
      </w:pPr>
    </w:p>
    <w:p w14:paraId="473C7899" w14:textId="021C26B6" w:rsidR="00A054A2" w:rsidRPr="00485321" w:rsidRDefault="00A054A2" w:rsidP="00A054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b/>
          <w:bCs/>
          <w:i/>
          <w:iCs/>
        </w:rPr>
      </w:pPr>
      <w:r w:rsidRPr="00485321">
        <w:rPr>
          <w:rFonts w:ascii="Times New Roman" w:eastAsia="Arial Unicode MS" w:hAnsi="Times New Roman" w:cs="Times New Roman"/>
          <w:b/>
          <w:bCs/>
          <w:i/>
          <w:iCs/>
        </w:rPr>
        <w:t>Confounding factors</w:t>
      </w:r>
    </w:p>
    <w:p w14:paraId="75EB6CC1" w14:textId="77777777" w:rsidR="00A054A2" w:rsidRPr="00485321" w:rsidRDefault="00A054A2" w:rsidP="00A054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rPr>
      </w:pPr>
      <w:r w:rsidRPr="00485321">
        <w:rPr>
          <w:rFonts w:ascii="Times New Roman" w:eastAsia="Arial Unicode MS" w:hAnsi="Times New Roman" w:cs="Times New Roman"/>
        </w:rPr>
        <w:t xml:space="preserve">Different factors mediate the effect of alcohol consumption on T2DM outcomes. The study reveals that BMI plays a mediating role in the relationship between alcohol consumption and T2DM. This finding confirms previous reports by Beulens et al. (2008), which indicated BMI as a possible confounding factor. Specifically, the apparent protective association between alcohol intake and reduced risk of T2DM was attenuated once BMI was adjusted for, whereas the association appeared stronger when BMI adjustment was not made. This finding indicates that the observed benefits of alcohol consumption may be largely explained by differences in body composition rather than a direct metabolic effect of alcohol itself. Further, it implies that BMI acts as both a mediator and a confounder, shaping the </w:t>
      </w:r>
      <w:r w:rsidRPr="00485321">
        <w:rPr>
          <w:rFonts w:ascii="Times New Roman" w:eastAsia="Arial Unicode MS" w:hAnsi="Times New Roman" w:cs="Times New Roman"/>
        </w:rPr>
        <w:lastRenderedPageBreak/>
        <w:t xml:space="preserve">relationship between alcohol intake and diabetes risk. An inverse association may be a technical artefact, and the outcomes may be influenced by confounding factors such as diet, BMI, and socioeconomic status. </w:t>
      </w:r>
    </w:p>
    <w:p w14:paraId="63B82CE2" w14:textId="77777777" w:rsidR="00A054A2" w:rsidRPr="00485321" w:rsidRDefault="00A054A2" w:rsidP="00A054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rPr>
      </w:pPr>
      <w:r w:rsidRPr="00485321">
        <w:rPr>
          <w:rFonts w:ascii="Times New Roman" w:eastAsia="Arial Unicode MS" w:hAnsi="Times New Roman" w:cs="Times New Roman"/>
        </w:rPr>
        <w:t xml:space="preserve">Genetic and </w:t>
      </w:r>
      <w:r w:rsidRPr="00485321">
        <w:rPr>
          <w:rFonts w:ascii="Times New Roman" w:hAnsi="Times New Roman" w:cs="Times New Roman"/>
        </w:rPr>
        <w:t>Mendelian randomisation</w:t>
      </w:r>
      <w:r w:rsidRPr="00485321">
        <w:rPr>
          <w:rFonts w:ascii="Times New Roman" w:eastAsia="Arial Unicode MS" w:hAnsi="Times New Roman" w:cs="Times New Roman"/>
        </w:rPr>
        <w:t xml:space="preserve"> studies further support this interpretation (Lu et al., 2023; Reed et al., 2025). These analyses consistently demonstrate that alcohol consumption does not exert a true protective effect on T2DM risk, and that associations observed in epidemiological studies are likely driven by residual confounding. Genetically predicted higher alcohol intake has been linked to increased fat mass, higher odds of obesity, and elevated fasting glucose, all of which are established risk factors for T2DM. This suggests that the pathway from alcohol to diabetes risk is indirect, operating through obesity and metabolic dysfunction rather than through improved glycaemic control. </w:t>
      </w:r>
    </w:p>
    <w:p w14:paraId="2B9ED536" w14:textId="77777777" w:rsidR="00A054A2" w:rsidRPr="00485321" w:rsidRDefault="00A054A2" w:rsidP="00A054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rPr>
      </w:pPr>
      <w:r w:rsidRPr="00485321">
        <w:rPr>
          <w:rFonts w:ascii="Times New Roman" w:eastAsia="Arial Unicode MS" w:hAnsi="Times New Roman" w:cs="Times New Roman"/>
        </w:rPr>
        <w:t>Moderate drinkers often display different lifestyle profiles compared with abstainers or heavy drinkers, which may explain the apparent protective associations observed in some studies. They are more likely to have healthier diets, higher socioeconomic status, lower smoking prevalence, and more regular drinking patterns, such as consuming wine with meals (Ma et al., 2022). These lifestyle factors contribute to lower BMI, improved lipid profiles, and reduced inflammation, thereby confounding the relationship between alcohol and T2DM outcomes. Moderate drinkers also tend to distribute their alcohol intake across the week rather than consuming similar quantities in a single sitting, which further influences outcomes. Beneficial associations of moderate drinking were observed only among those who consumed alcohol with meals, suggesting that the context of drinking, rather than alcohol itself, explains the apparent protective effect. When these lifestyle and behavioural factors are accounted for, the protective association of moderate drinking typically disappears, reinforcing the conclusion that alcohol itself is not beneficial for diabetes prevention.</w:t>
      </w:r>
    </w:p>
    <w:p w14:paraId="5F87A4D5" w14:textId="77777777" w:rsidR="009360B0" w:rsidRDefault="009360B0" w:rsidP="00A054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b/>
          <w:bCs/>
          <w:i/>
          <w:iCs/>
        </w:rPr>
      </w:pPr>
    </w:p>
    <w:p w14:paraId="07663CCE" w14:textId="3181E6FF" w:rsidR="00A054A2" w:rsidRPr="00485321" w:rsidRDefault="00A054A2" w:rsidP="00A054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b/>
          <w:bCs/>
          <w:i/>
          <w:iCs/>
        </w:rPr>
      </w:pPr>
      <w:r w:rsidRPr="00485321">
        <w:rPr>
          <w:rFonts w:ascii="Times New Roman" w:eastAsia="Arial Unicode MS" w:hAnsi="Times New Roman" w:cs="Times New Roman"/>
          <w:b/>
          <w:bCs/>
          <w:i/>
          <w:iCs/>
        </w:rPr>
        <w:t>Alcoholic beverage type</w:t>
      </w:r>
    </w:p>
    <w:p w14:paraId="7837698C" w14:textId="77777777" w:rsidR="00A054A2" w:rsidRPr="00485321" w:rsidRDefault="00A054A2" w:rsidP="00A054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rPr>
      </w:pPr>
      <w:r w:rsidRPr="00485321">
        <w:rPr>
          <w:rFonts w:ascii="Times New Roman" w:eastAsia="Arial Unicode MS" w:hAnsi="Times New Roman" w:cs="Times New Roman"/>
        </w:rPr>
        <w:t xml:space="preserve">Mayer and </w:t>
      </w:r>
      <w:proofErr w:type="spellStart"/>
      <w:r w:rsidRPr="00485321">
        <w:rPr>
          <w:rFonts w:ascii="Times New Roman" w:eastAsia="Arial Unicode MS" w:hAnsi="Times New Roman" w:cs="Times New Roman"/>
        </w:rPr>
        <w:t>Fontelo</w:t>
      </w:r>
      <w:proofErr w:type="spellEnd"/>
      <w:r w:rsidRPr="00485321">
        <w:rPr>
          <w:rFonts w:ascii="Times New Roman" w:eastAsia="Arial Unicode MS" w:hAnsi="Times New Roman" w:cs="Times New Roman"/>
        </w:rPr>
        <w:t xml:space="preserve"> (2024) confirmed that beer and fortified wine were particularly associated with greater disease prevalence, while spirits also contributed to increased incidence. These findings have been corroborated across other settings, demonstrating that beverage type plays an important role in shaping outcomes. Wine appears less harmful than other alcoholic beverages, though not truly protective at higher levels of consumption. Evidence from China has shown that disparities in raw materials, fermentation techniques, production environments, and other associated factors in the production of alcoholic beverages tend to produce different non-ethanol component profiles, resulting in varying degrees of health effects; notably, an inverse relationship between wine intake and T2DM risk (Kang et al., 2023). The heterogeneity of findings across populations and beverage types underscores the importance of considering cultural, dietary, and biological differences when interpreting associations between alcohol and T2DM risk. Nevertheless, even in settings where certain beverages appear less harmful, the evidence does not support alcohol as a protective factor at higher levels of intake. For instance, </w:t>
      </w:r>
      <w:proofErr w:type="spellStart"/>
      <w:r w:rsidRPr="00485321">
        <w:rPr>
          <w:rFonts w:ascii="Times New Roman" w:eastAsia="Arial Unicode MS" w:hAnsi="Times New Roman" w:cs="Times New Roman"/>
        </w:rPr>
        <w:t>Fagherazzi</w:t>
      </w:r>
      <w:proofErr w:type="spellEnd"/>
      <w:r w:rsidRPr="00485321">
        <w:rPr>
          <w:rFonts w:ascii="Times New Roman" w:eastAsia="Arial Unicode MS" w:hAnsi="Times New Roman" w:cs="Times New Roman"/>
        </w:rPr>
        <w:t xml:space="preserve"> et al. (2014) reported an inverse relationship between wine </w:t>
      </w:r>
      <w:r w:rsidRPr="00485321">
        <w:rPr>
          <w:rFonts w:ascii="Times New Roman" w:eastAsia="Arial Unicode MS" w:hAnsi="Times New Roman" w:cs="Times New Roman"/>
        </w:rPr>
        <w:lastRenderedPageBreak/>
        <w:t xml:space="preserve">intake and T2DM risk, but this association was observed only among overweight women.  </w:t>
      </w:r>
    </w:p>
    <w:p w14:paraId="25EEC415" w14:textId="77777777" w:rsidR="009360B0" w:rsidRDefault="009360B0" w:rsidP="00A054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b/>
          <w:bCs/>
          <w:i/>
          <w:iCs/>
        </w:rPr>
      </w:pPr>
    </w:p>
    <w:p w14:paraId="00D92157" w14:textId="71CB7906" w:rsidR="00A054A2" w:rsidRPr="00485321" w:rsidRDefault="00A054A2" w:rsidP="00A054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b/>
          <w:bCs/>
          <w:i/>
          <w:iCs/>
        </w:rPr>
      </w:pPr>
      <w:r w:rsidRPr="00485321">
        <w:rPr>
          <w:rFonts w:ascii="Times New Roman" w:eastAsia="Arial Unicode MS" w:hAnsi="Times New Roman" w:cs="Times New Roman"/>
          <w:b/>
          <w:bCs/>
          <w:i/>
          <w:iCs/>
        </w:rPr>
        <w:t>Sex-specific differences</w:t>
      </w:r>
    </w:p>
    <w:p w14:paraId="24E0B54A" w14:textId="77777777" w:rsidR="00A054A2" w:rsidRPr="00485321" w:rsidRDefault="00A054A2" w:rsidP="00A054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rPr>
      </w:pPr>
      <w:r w:rsidRPr="00485321">
        <w:rPr>
          <w:rFonts w:ascii="Times New Roman" w:eastAsia="Arial Unicode MS" w:hAnsi="Times New Roman" w:cs="Times New Roman"/>
        </w:rPr>
        <w:t xml:space="preserve">The genetic variant rs78681203 was found to exert opposite effects in men and women depending on intake levels, highlighting the complexity of gene-sex-alcohol interactions. Moreover, the onset of T2DM associated with binge drinking in women was faster than in men. This finding was similarly reported by </w:t>
      </w:r>
      <w:proofErr w:type="spellStart"/>
      <w:r w:rsidRPr="00485321">
        <w:rPr>
          <w:rFonts w:ascii="Times New Roman" w:eastAsia="Arial Unicode MS" w:hAnsi="Times New Roman" w:cs="Times New Roman"/>
        </w:rPr>
        <w:t>Muilwijk</w:t>
      </w:r>
      <w:proofErr w:type="spellEnd"/>
      <w:r w:rsidRPr="00485321">
        <w:rPr>
          <w:rFonts w:ascii="Times New Roman" w:eastAsia="Arial Unicode MS" w:hAnsi="Times New Roman" w:cs="Times New Roman"/>
        </w:rPr>
        <w:t xml:space="preserve"> et al. (2022), who observed that after a median of 3.0 years of follow-up in the Netherlands, 198 (2.1%) women and 137 (1.9%) men developed T2DM, indicating a faster onset in women. These findings suggest that women may be more vulnerable to the diabetogenic effects of alcohol, particularly in the context of binge drinking and obesity. The evidence indicates that biological differences in metabolism, hormonal regulation, and genetic predisposition may interact with alcohol exposure to accelerate disease onset in women compared with men. The findings further underscore the need for replication and mechanistic studies to clarify the role of sex specific factors in mediating alcohol’s impact on diabetes risk, and to inform tailored prevention strategies that account for gender differences in susceptibility.</w:t>
      </w:r>
    </w:p>
    <w:p w14:paraId="16E982D3" w14:textId="77777777" w:rsidR="009360B0" w:rsidRDefault="009360B0" w:rsidP="00A054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b/>
          <w:bCs/>
          <w:i/>
          <w:iCs/>
        </w:rPr>
      </w:pPr>
    </w:p>
    <w:p w14:paraId="5B979194" w14:textId="53E5187E" w:rsidR="00A054A2" w:rsidRPr="00485321" w:rsidRDefault="00A054A2" w:rsidP="00A054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b/>
          <w:bCs/>
          <w:i/>
          <w:iCs/>
        </w:rPr>
      </w:pPr>
      <w:r w:rsidRPr="00485321">
        <w:rPr>
          <w:rFonts w:ascii="Times New Roman" w:eastAsia="Arial Unicode MS" w:hAnsi="Times New Roman" w:cs="Times New Roman"/>
          <w:b/>
          <w:bCs/>
          <w:i/>
          <w:iCs/>
        </w:rPr>
        <w:t>AUD</w:t>
      </w:r>
    </w:p>
    <w:p w14:paraId="60B8BADC" w14:textId="77777777" w:rsidR="00A054A2" w:rsidRPr="00485321" w:rsidRDefault="00A054A2" w:rsidP="00A054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rPr>
      </w:pPr>
      <w:r w:rsidRPr="00485321">
        <w:rPr>
          <w:rFonts w:ascii="Times New Roman" w:eastAsia="Arial Unicode MS" w:hAnsi="Times New Roman" w:cs="Times New Roman"/>
        </w:rPr>
        <w:t>The risks of binge drinking are particularly pronounced among individuals with AUD. Beyond the direct metabolic consequences, AUD was also associated with other consequences, including cardiac conditions and elevated rates of mental health conditions. Cook et al. (2024) demonstrated that individuals with AUD had more than double the rates of depression and anxiety following T2DM diagnosis compared with those without AUD and were approximately 50% more likely to develop these conditions after diabetes onset. These co-morbid health disorders are clinically significant, as they contribute to glycaemic variability, lower adherence to treatment regimens, and increased risk of diabetes complications and mortality (Huang et al., 2023). The combination of binge drinking and AUD, therefore, amplifies both physical and psychological burdens, underscoring the importance of integrated care approaches that address substance use and mental health alongside diabetes management.</w:t>
      </w:r>
    </w:p>
    <w:p w14:paraId="29E57539" w14:textId="77777777" w:rsidR="00A054A2" w:rsidRPr="00485321" w:rsidRDefault="00A054A2" w:rsidP="00A054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b/>
        </w:rPr>
      </w:pPr>
      <w:r w:rsidRPr="00485321">
        <w:rPr>
          <w:rFonts w:ascii="Times New Roman" w:eastAsia="Arial Unicode MS" w:hAnsi="Times New Roman" w:cs="Times New Roman"/>
          <w:b/>
        </w:rPr>
        <w:br w:type="page"/>
      </w:r>
    </w:p>
    <w:p w14:paraId="62CEC361" w14:textId="77777777" w:rsidR="00A054A2" w:rsidRPr="00485321" w:rsidRDefault="00A054A2" w:rsidP="00A054A2">
      <w:pPr>
        <w:pStyle w:val="Heading1"/>
        <w:jc w:val="center"/>
        <w:rPr>
          <w:rFonts w:ascii="Times New Roman" w:hAnsi="Times New Roman" w:cs="Times New Roman"/>
        </w:rPr>
      </w:pPr>
      <w:bookmarkStart w:id="12" w:name="_Toc216438668"/>
      <w:r w:rsidRPr="00485321">
        <w:rPr>
          <w:rFonts w:ascii="Times New Roman" w:hAnsi="Times New Roman" w:cs="Times New Roman"/>
        </w:rPr>
        <w:lastRenderedPageBreak/>
        <w:t>CHAPTER 5: RECOMMENDATIONS AND CONCLUSION</w:t>
      </w:r>
      <w:bookmarkEnd w:id="12"/>
    </w:p>
    <w:p w14:paraId="312A3881" w14:textId="77777777" w:rsidR="00A054A2" w:rsidRPr="00485321" w:rsidRDefault="00A054A2" w:rsidP="00A054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Times New Roman" w:eastAsia="Arial Unicode MS" w:hAnsi="Times New Roman" w:cs="Times New Roman"/>
          <w:b/>
        </w:rPr>
      </w:pPr>
    </w:p>
    <w:p w14:paraId="3BC685A7" w14:textId="77777777" w:rsidR="00A054A2" w:rsidRPr="00485321" w:rsidRDefault="00A054A2" w:rsidP="00A054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b/>
          <w:bCs/>
          <w:sz w:val="28"/>
          <w:szCs w:val="28"/>
        </w:rPr>
      </w:pPr>
      <w:r w:rsidRPr="00485321">
        <w:rPr>
          <w:rFonts w:ascii="Times New Roman" w:eastAsia="Arial Unicode MS" w:hAnsi="Times New Roman" w:cs="Times New Roman"/>
          <w:b/>
          <w:bCs/>
          <w:sz w:val="28"/>
          <w:szCs w:val="28"/>
        </w:rPr>
        <w:t xml:space="preserve">Recommendations </w:t>
      </w:r>
    </w:p>
    <w:p w14:paraId="4A023ADF" w14:textId="77777777" w:rsidR="00A054A2" w:rsidRPr="00485321" w:rsidRDefault="00A054A2" w:rsidP="00A054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rPr>
      </w:pPr>
      <w:r w:rsidRPr="00485321">
        <w:rPr>
          <w:rFonts w:ascii="Times New Roman" w:eastAsia="Arial Unicode MS" w:hAnsi="Times New Roman" w:cs="Times New Roman"/>
        </w:rPr>
        <w:t>The findings of this review carry important implications for clinical practice and public health interventions. The study shows the significant consequences of how alcohol consumption should be addressed in diabetes prevention strategies. From a public health perspective, healthcare providers should be cautious in interpreting lower HbA1c levels among individuals with higher alcohol intake. As discussed, these reductions may be artefacts of red blood cell changes rather than genuine improvements in glycaemic control. Therefore, the following recommendations are suggested:</w:t>
      </w:r>
    </w:p>
    <w:p w14:paraId="529969BB" w14:textId="77777777" w:rsidR="00A054A2" w:rsidRPr="00485321" w:rsidRDefault="00A054A2" w:rsidP="00A054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b/>
          <w:bCs/>
          <w:i/>
          <w:iCs/>
        </w:rPr>
      </w:pPr>
      <w:r w:rsidRPr="00485321">
        <w:rPr>
          <w:rFonts w:ascii="Times New Roman" w:eastAsia="Arial Unicode MS" w:hAnsi="Times New Roman" w:cs="Times New Roman"/>
          <w:b/>
          <w:bCs/>
          <w:i/>
          <w:iCs/>
        </w:rPr>
        <w:t>Clinical practice</w:t>
      </w:r>
    </w:p>
    <w:p w14:paraId="627A1A46" w14:textId="77777777" w:rsidR="00A054A2" w:rsidRPr="00485321" w:rsidRDefault="00A054A2" w:rsidP="00A054A2">
      <w:pPr>
        <w:pStyle w:val="ListParagraph"/>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rPr>
      </w:pPr>
      <w:r w:rsidRPr="00485321">
        <w:rPr>
          <w:rFonts w:ascii="Times New Roman" w:eastAsia="Arial Unicode MS" w:hAnsi="Times New Roman" w:cs="Times New Roman"/>
        </w:rPr>
        <w:t xml:space="preserve">Clinicians should apply caution in reassuring patients that moderate or heavy drinking is beneficial for diabetes management. </w:t>
      </w:r>
    </w:p>
    <w:p w14:paraId="014EEC7D" w14:textId="77777777" w:rsidR="00A054A2" w:rsidRPr="00485321" w:rsidRDefault="00A054A2" w:rsidP="00A054A2">
      <w:pPr>
        <w:pStyle w:val="ListParagraph"/>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rPr>
      </w:pPr>
      <w:r w:rsidRPr="00485321">
        <w:rPr>
          <w:rFonts w:ascii="Times New Roman" w:eastAsia="Arial Unicode MS" w:hAnsi="Times New Roman" w:cs="Times New Roman"/>
        </w:rPr>
        <w:t xml:space="preserve">Alcohol use should be assessed routinely in clinical encounters, with particular attention to patterns of binge drinking and AUD, both of which are associated with earlier onset of T2DM, higher complication rates, and poorer mental health outcomes (Cook et al., 2025). </w:t>
      </w:r>
    </w:p>
    <w:p w14:paraId="4BD330F4" w14:textId="77777777" w:rsidR="00A054A2" w:rsidRPr="00485321" w:rsidRDefault="00A054A2" w:rsidP="00A054A2">
      <w:pPr>
        <w:pStyle w:val="ListParagraph"/>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rPr>
      </w:pPr>
      <w:r w:rsidRPr="00485321">
        <w:rPr>
          <w:rFonts w:ascii="Times New Roman" w:eastAsia="Arial Unicode MS" w:hAnsi="Times New Roman" w:cs="Times New Roman"/>
        </w:rPr>
        <w:t>Integrating alcohol screening into diabetes care pathways can help identify at‑risk individuals and provide opportunities for early intervention (Reed et al., 2025).</w:t>
      </w:r>
    </w:p>
    <w:p w14:paraId="0009EDAB" w14:textId="77777777" w:rsidR="00A054A2" w:rsidRPr="00485321" w:rsidRDefault="00A054A2" w:rsidP="00A054A2">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b/>
          <w:bCs/>
          <w:i/>
          <w:iCs/>
        </w:rPr>
      </w:pPr>
      <w:r w:rsidRPr="00485321">
        <w:rPr>
          <w:rFonts w:ascii="Times New Roman" w:eastAsia="Arial Unicode MS" w:hAnsi="Times New Roman" w:cs="Times New Roman"/>
          <w:b/>
          <w:bCs/>
          <w:i/>
          <w:iCs/>
        </w:rPr>
        <w:t>Policy</w:t>
      </w:r>
    </w:p>
    <w:p w14:paraId="17EF5CB7" w14:textId="77777777" w:rsidR="00A054A2" w:rsidRPr="00485321" w:rsidRDefault="00A054A2" w:rsidP="00A054A2">
      <w:pPr>
        <w:pStyle w:val="ListParagraph"/>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rPr>
      </w:pPr>
      <w:r w:rsidRPr="00485321">
        <w:rPr>
          <w:rFonts w:ascii="Times New Roman" w:eastAsia="Arial Unicode MS" w:hAnsi="Times New Roman" w:cs="Times New Roman"/>
        </w:rPr>
        <w:t xml:space="preserve">Public health policy must also reflect the evidence that alcohol is not protective against T2DM, as the promotion of moderate drinking as part of a healthy lifestyle may be misleading and potentially harmful (Lankester et al., 2021). </w:t>
      </w:r>
    </w:p>
    <w:p w14:paraId="54C496AC" w14:textId="77777777" w:rsidR="00A054A2" w:rsidRPr="00485321" w:rsidRDefault="00A054A2" w:rsidP="00A054A2">
      <w:pPr>
        <w:pStyle w:val="ListParagraph"/>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rPr>
      </w:pPr>
      <w:r w:rsidRPr="00485321">
        <w:rPr>
          <w:rFonts w:ascii="Times New Roman" w:eastAsia="Arial Unicode MS" w:hAnsi="Times New Roman" w:cs="Times New Roman"/>
        </w:rPr>
        <w:t xml:space="preserve">Campaigns should emphasise that any potential benefits observed in moderate drinkers are likely explained by their healthier lifestyle profiles, such as diet quality and socioeconomic status, rather than alcohol itself (Lankester et al., 2021). </w:t>
      </w:r>
    </w:p>
    <w:p w14:paraId="14D522D7" w14:textId="77777777" w:rsidR="00A054A2" w:rsidRPr="00485321" w:rsidRDefault="00A054A2" w:rsidP="00A054A2">
      <w:pPr>
        <w:pStyle w:val="ListParagraph"/>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rPr>
      </w:pPr>
      <w:r w:rsidRPr="00485321">
        <w:rPr>
          <w:rFonts w:ascii="Times New Roman" w:eastAsia="Arial Unicode MS" w:hAnsi="Times New Roman" w:cs="Times New Roman"/>
        </w:rPr>
        <w:t>Policies should also prioritise reducing harmful drinking patterns, discouraging binge drinking, and addressing the broader social determinants of health that contribute to both alcohol misuse and diabetes risk. Given the strong associations between AUD and mental health disorders, integrated public health strategies that combine substance use prevention with mental health support are particularly warranted (Cook et al., 2025).</w:t>
      </w:r>
    </w:p>
    <w:p w14:paraId="4FA65803" w14:textId="77777777" w:rsidR="00A054A2" w:rsidRPr="00485321" w:rsidRDefault="00A054A2" w:rsidP="00A054A2">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b/>
          <w:bCs/>
          <w:i/>
          <w:iCs/>
        </w:rPr>
      </w:pPr>
      <w:r w:rsidRPr="00485321">
        <w:rPr>
          <w:rFonts w:ascii="Times New Roman" w:eastAsia="Arial Unicode MS" w:hAnsi="Times New Roman" w:cs="Times New Roman"/>
          <w:b/>
          <w:bCs/>
          <w:i/>
          <w:iCs/>
        </w:rPr>
        <w:t>Research</w:t>
      </w:r>
    </w:p>
    <w:p w14:paraId="3B8B56FD" w14:textId="77777777" w:rsidR="00A054A2" w:rsidRPr="00485321" w:rsidRDefault="00A054A2" w:rsidP="00A054A2">
      <w:pPr>
        <w:pStyle w:val="ListParagraph"/>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rPr>
      </w:pPr>
      <w:r w:rsidRPr="00485321">
        <w:rPr>
          <w:rFonts w:ascii="Times New Roman" w:eastAsia="Arial Unicode MS" w:hAnsi="Times New Roman" w:cs="Times New Roman"/>
        </w:rPr>
        <w:t>Future research should include replication of sex‑specific genetic findings, given the findings from this review, which suggest that women may be more vulnerable to the diabetogenic effects of alcohol (</w:t>
      </w:r>
      <w:proofErr w:type="spellStart"/>
      <w:r w:rsidRPr="00485321">
        <w:rPr>
          <w:rFonts w:ascii="Times New Roman" w:eastAsia="Arial Unicode MS" w:hAnsi="Times New Roman" w:cs="Times New Roman"/>
        </w:rPr>
        <w:t>Belzile</w:t>
      </w:r>
      <w:proofErr w:type="spellEnd"/>
      <w:r w:rsidRPr="00485321">
        <w:rPr>
          <w:rFonts w:ascii="Times New Roman" w:eastAsia="Arial Unicode MS" w:hAnsi="Times New Roman" w:cs="Times New Roman"/>
        </w:rPr>
        <w:t xml:space="preserve"> et al., 2025). </w:t>
      </w:r>
    </w:p>
    <w:p w14:paraId="6B94F0F7" w14:textId="77777777" w:rsidR="00A054A2" w:rsidRPr="00485321" w:rsidRDefault="00A054A2" w:rsidP="00A054A2">
      <w:pPr>
        <w:pStyle w:val="ListParagraph"/>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rPr>
      </w:pPr>
      <w:r w:rsidRPr="00485321">
        <w:rPr>
          <w:rFonts w:ascii="Times New Roman" w:eastAsia="Arial Unicode MS" w:hAnsi="Times New Roman" w:cs="Times New Roman"/>
        </w:rPr>
        <w:t xml:space="preserve">Mechanistic studies should be undertaken to clarify how genetic variants interact with alcohol </w:t>
      </w:r>
      <w:r w:rsidRPr="00485321">
        <w:rPr>
          <w:rFonts w:ascii="Times New Roman" w:eastAsia="Arial Unicode MS" w:hAnsi="Times New Roman" w:cs="Times New Roman"/>
        </w:rPr>
        <w:lastRenderedPageBreak/>
        <w:t>metabolism and hormonal regulation to influence diabetes risk (</w:t>
      </w:r>
      <w:proofErr w:type="spellStart"/>
      <w:r w:rsidRPr="00485321">
        <w:rPr>
          <w:rFonts w:ascii="Times New Roman" w:eastAsia="Arial Unicode MS" w:hAnsi="Times New Roman" w:cs="Times New Roman"/>
        </w:rPr>
        <w:t>Belzile</w:t>
      </w:r>
      <w:proofErr w:type="spellEnd"/>
      <w:r w:rsidRPr="00485321">
        <w:rPr>
          <w:rFonts w:ascii="Times New Roman" w:eastAsia="Arial Unicode MS" w:hAnsi="Times New Roman" w:cs="Times New Roman"/>
        </w:rPr>
        <w:t xml:space="preserve"> et al., 2025). </w:t>
      </w:r>
    </w:p>
    <w:p w14:paraId="4BED1164" w14:textId="77777777" w:rsidR="00A054A2" w:rsidRPr="00485321" w:rsidRDefault="00A054A2" w:rsidP="00A054A2">
      <w:pPr>
        <w:pStyle w:val="ListParagraph"/>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rPr>
      </w:pPr>
      <w:r w:rsidRPr="00485321">
        <w:rPr>
          <w:rFonts w:ascii="Times New Roman" w:eastAsia="Arial Unicode MS" w:hAnsi="Times New Roman" w:cs="Times New Roman"/>
        </w:rPr>
        <w:t>More culturally diverse studies are needed to capture the variability in beverage types, production methods, and non‑ethanol components that may shape outcomes in different populations. For example, disparities in fermentation techniques and raw materials (Ma et al., 2022).</w:t>
      </w:r>
    </w:p>
    <w:p w14:paraId="60C10543" w14:textId="77777777" w:rsidR="00A054A2" w:rsidRPr="00485321" w:rsidRDefault="00A054A2" w:rsidP="00A054A2">
      <w:pPr>
        <w:pStyle w:val="ListParagraph"/>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rPr>
      </w:pPr>
      <w:r w:rsidRPr="00485321">
        <w:rPr>
          <w:rFonts w:ascii="Times New Roman" w:eastAsia="Arial Unicode MS" w:hAnsi="Times New Roman" w:cs="Times New Roman"/>
        </w:rPr>
        <w:t xml:space="preserve">Finally, longitudinal studies that integrate lifestyle, genetic, and metabolic data will be critical to investigating the complex pathways linking alcohol consumption to diabetes risk. Such studies should move beyond simple measures of intake volume to incorporate drinking context, frequency, and beverage type, as these factors significantly modify outcomes (Ding et al., 2023). </w:t>
      </w:r>
    </w:p>
    <w:p w14:paraId="67F3D6AB" w14:textId="77777777" w:rsidR="00A054A2" w:rsidRPr="00485321" w:rsidRDefault="00A054A2" w:rsidP="00A054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b/>
          <w:bCs/>
          <w:i/>
          <w:iCs/>
          <w:sz w:val="28"/>
          <w:szCs w:val="28"/>
        </w:rPr>
      </w:pPr>
    </w:p>
    <w:p w14:paraId="107F5D94" w14:textId="77777777" w:rsidR="00A054A2" w:rsidRPr="00485321" w:rsidRDefault="00A054A2" w:rsidP="00A054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b/>
          <w:bCs/>
          <w:i/>
          <w:iCs/>
          <w:sz w:val="28"/>
          <w:szCs w:val="28"/>
        </w:rPr>
      </w:pPr>
      <w:r w:rsidRPr="00485321">
        <w:rPr>
          <w:rFonts w:ascii="Times New Roman" w:eastAsia="Arial Unicode MS" w:hAnsi="Times New Roman" w:cs="Times New Roman"/>
          <w:b/>
          <w:bCs/>
          <w:i/>
          <w:iCs/>
          <w:sz w:val="28"/>
          <w:szCs w:val="28"/>
        </w:rPr>
        <w:t>Strengths of the study</w:t>
      </w:r>
    </w:p>
    <w:p w14:paraId="0135A91F" w14:textId="77777777" w:rsidR="00A054A2" w:rsidRPr="00485321" w:rsidRDefault="00A054A2" w:rsidP="00A054A2">
      <w:pPr>
        <w:spacing w:line="360" w:lineRule="auto"/>
        <w:jc w:val="both"/>
        <w:rPr>
          <w:rFonts w:ascii="Times New Roman" w:hAnsi="Times New Roman" w:cs="Times New Roman"/>
        </w:rPr>
      </w:pPr>
      <w:r w:rsidRPr="00485321">
        <w:rPr>
          <w:rFonts w:ascii="Times New Roman" w:hAnsi="Times New Roman" w:cs="Times New Roman"/>
        </w:rPr>
        <w:t>The strength of this review lies in its inclusion of studies with more than 3.8 million participants, predominantly from the UK Biobank and GWAS datasets, which provide substantial statistical power and enhance the reliability of the findings. By incorporating both longitudinal cohort studies and Mendelian randomisation analyses, the review benefits from a diversity of methodological approaches, allowing observational associations to be compared with causal inference models. This triangulation of evidence strengthens the conclusions and reduces the likelihood that findings are driven solely by confounding. Another strength lies in the outcome measures. The studies considered sex</w:t>
      </w:r>
      <w:r w:rsidRPr="00485321">
        <w:rPr>
          <w:rFonts w:ascii="Times New Roman" w:hAnsi="Times New Roman" w:cs="Times New Roman"/>
        </w:rPr>
        <w:noBreakHyphen/>
        <w:t>specific differences, drinking context such as consumption with meals, BMI as a mediating factor, beverage type, and drinking frequency. This multidimensional approach provides a more nuanced understanding of how alcohol consumption may influence T2DM risk. Furthermore, the reliance on contemporary data published between 2015 and 2025 ensures that the findings reflect current population trends and analytic techniques, adding to their relevance.</w:t>
      </w:r>
    </w:p>
    <w:p w14:paraId="02A5C024" w14:textId="77777777" w:rsidR="00A054A2" w:rsidRPr="00485321" w:rsidRDefault="00A054A2" w:rsidP="00A054A2">
      <w:pPr>
        <w:spacing w:line="360" w:lineRule="auto"/>
        <w:jc w:val="both"/>
        <w:rPr>
          <w:rFonts w:ascii="Times New Roman" w:hAnsi="Times New Roman" w:cs="Times New Roman"/>
        </w:rPr>
      </w:pPr>
    </w:p>
    <w:p w14:paraId="2BC8C932" w14:textId="77777777" w:rsidR="00A054A2" w:rsidRPr="00485321" w:rsidRDefault="00A054A2" w:rsidP="00A054A2">
      <w:pPr>
        <w:spacing w:line="360" w:lineRule="auto"/>
        <w:jc w:val="both"/>
        <w:rPr>
          <w:rFonts w:ascii="Times New Roman" w:hAnsi="Times New Roman" w:cs="Times New Roman"/>
          <w:b/>
          <w:bCs/>
          <w:i/>
          <w:iCs/>
          <w:sz w:val="28"/>
          <w:szCs w:val="28"/>
        </w:rPr>
      </w:pPr>
      <w:r w:rsidRPr="00485321">
        <w:rPr>
          <w:rFonts w:ascii="Times New Roman" w:hAnsi="Times New Roman" w:cs="Times New Roman"/>
          <w:b/>
          <w:bCs/>
          <w:i/>
          <w:iCs/>
          <w:sz w:val="28"/>
          <w:szCs w:val="28"/>
        </w:rPr>
        <w:t>Limitations of the study</w:t>
      </w:r>
    </w:p>
    <w:p w14:paraId="50DB5745" w14:textId="77777777" w:rsidR="00A054A2" w:rsidRPr="00485321" w:rsidRDefault="00A054A2" w:rsidP="00A054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rPr>
      </w:pPr>
      <w:r w:rsidRPr="00485321">
        <w:rPr>
          <w:rFonts w:ascii="Times New Roman" w:hAnsi="Times New Roman" w:cs="Times New Roman"/>
        </w:rPr>
        <w:t>This review is limited by its restriction to UK populations, which reduces the generalisability of the findings to other cultural and dietary contexts where alcohol types, production methods, and drinking patterns differ. Furthermore, the diversity of beverage types was also limited, with most analyses focusing on wine, beer, and spirits, while variations in non-ethanol components across different cultural contexts were not fully captured. Finally, although sex</w:t>
      </w:r>
      <w:r w:rsidRPr="00485321">
        <w:rPr>
          <w:rFonts w:ascii="Times New Roman" w:hAnsi="Times New Roman" w:cs="Times New Roman"/>
        </w:rPr>
        <w:noBreakHyphen/>
        <w:t>specific differences and genetic variants were identified, these findings require replication in larger and more diverse cohorts to confirm their validity.</w:t>
      </w:r>
    </w:p>
    <w:p w14:paraId="09AFC3EE" w14:textId="77777777" w:rsidR="00A054A2" w:rsidRDefault="00A054A2" w:rsidP="00A054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Times New Roman" w:eastAsia="Arial Unicode MS" w:hAnsi="Times New Roman" w:cs="Times New Roman"/>
          <w:sz w:val="24"/>
          <w:szCs w:val="24"/>
        </w:rPr>
      </w:pPr>
    </w:p>
    <w:p w14:paraId="727433F2" w14:textId="77777777" w:rsidR="009360B0" w:rsidRDefault="009360B0" w:rsidP="00A054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Times New Roman" w:eastAsia="Arial Unicode MS" w:hAnsi="Times New Roman" w:cs="Times New Roman"/>
          <w:sz w:val="24"/>
          <w:szCs w:val="24"/>
        </w:rPr>
      </w:pPr>
    </w:p>
    <w:p w14:paraId="7E1AA4DA" w14:textId="77777777" w:rsidR="009360B0" w:rsidRPr="00485321" w:rsidRDefault="009360B0" w:rsidP="00A054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Times New Roman" w:eastAsia="Arial Unicode MS" w:hAnsi="Times New Roman" w:cs="Times New Roman"/>
          <w:sz w:val="24"/>
          <w:szCs w:val="24"/>
        </w:rPr>
      </w:pPr>
    </w:p>
    <w:p w14:paraId="36FC32C4" w14:textId="77777777" w:rsidR="00A054A2" w:rsidRPr="00485321" w:rsidRDefault="00A054A2" w:rsidP="00A054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Times New Roman" w:eastAsia="Arial Unicode MS" w:hAnsi="Times New Roman" w:cs="Times New Roman"/>
          <w:b/>
          <w:bCs/>
          <w:sz w:val="28"/>
          <w:szCs w:val="28"/>
        </w:rPr>
      </w:pPr>
      <w:r w:rsidRPr="00485321">
        <w:rPr>
          <w:rFonts w:ascii="Times New Roman" w:eastAsia="Arial Unicode MS" w:hAnsi="Times New Roman" w:cs="Times New Roman"/>
          <w:b/>
          <w:bCs/>
          <w:sz w:val="28"/>
          <w:szCs w:val="28"/>
        </w:rPr>
        <w:lastRenderedPageBreak/>
        <w:t>Conclusion</w:t>
      </w:r>
    </w:p>
    <w:p w14:paraId="0434509D" w14:textId="77777777" w:rsidR="00A054A2" w:rsidRPr="00485321" w:rsidRDefault="00A054A2" w:rsidP="00A054A2">
      <w:pPr>
        <w:adjustRightInd w:val="0"/>
        <w:spacing w:line="360" w:lineRule="auto"/>
        <w:mirrorIndents/>
        <w:jc w:val="both"/>
        <w:rPr>
          <w:rFonts w:ascii="Times New Roman" w:eastAsia="Arial Unicode MS" w:hAnsi="Times New Roman" w:cs="Times New Roman"/>
        </w:rPr>
      </w:pPr>
      <w:r w:rsidRPr="00485321">
        <w:rPr>
          <w:rFonts w:ascii="Times New Roman" w:eastAsia="Arial Unicode MS" w:hAnsi="Times New Roman" w:cs="Times New Roman"/>
        </w:rPr>
        <w:t xml:space="preserve">This review examined the complex relationship between alcohol consumption and T2DM, integrating evidence from observational studies, </w:t>
      </w:r>
      <w:r w:rsidRPr="00485321">
        <w:rPr>
          <w:rFonts w:ascii="Times New Roman" w:hAnsi="Times New Roman" w:cs="Times New Roman"/>
        </w:rPr>
        <w:t>Mendelian randomisation</w:t>
      </w:r>
      <w:r w:rsidRPr="00485321">
        <w:rPr>
          <w:rFonts w:ascii="Times New Roman" w:eastAsia="Arial Unicode MS" w:hAnsi="Times New Roman" w:cs="Times New Roman"/>
        </w:rPr>
        <w:t xml:space="preserve"> analyses, genetic investigations, and clinical data. The study satisfied the first objective of identifying 10 primary research articles on the association between binge drinking patterns and T2DM risks. The findings demonstrate that when cofounding factors, such as BMI, lifestyle differences, and socioeconomic status, are accounted for, the evidence points to alcohol exerting harmful or null effects on diabetes risk, particularly at higher levels of intake. The review demonstrates that the positive association between alcohol consumption and T2DM risk was attenuated once BMI was adjusted for, indicating that obesity is a key pathway through which alcohol influences metabolic outcomes. Heavy drinking was consistently associated with increased fat mass, higher odds of obesity, and elevated diabetes risk, underscoring the indirect but significant role of alcohol in promoting metabolic dysfunction.</w:t>
      </w:r>
    </w:p>
    <w:p w14:paraId="66054E7B" w14:textId="77777777" w:rsidR="00A054A2" w:rsidRPr="00485321" w:rsidRDefault="00A054A2" w:rsidP="00A054A2">
      <w:pPr>
        <w:adjustRightInd w:val="0"/>
        <w:spacing w:line="360" w:lineRule="auto"/>
        <w:mirrorIndents/>
        <w:jc w:val="both"/>
        <w:rPr>
          <w:rFonts w:ascii="Times New Roman" w:eastAsia="Arial Unicode MS" w:hAnsi="Times New Roman" w:cs="Times New Roman"/>
        </w:rPr>
      </w:pPr>
      <w:r w:rsidRPr="00485321">
        <w:rPr>
          <w:rFonts w:ascii="Times New Roman" w:eastAsia="Arial Unicode MS" w:hAnsi="Times New Roman" w:cs="Times New Roman"/>
        </w:rPr>
        <w:t>In line with the second objective on sex-specific differences, alcohol-associated T2DM onset was revealed to be influenced by sex‑specific differences and genetic interactions. Women appeared more vulnerable to the diabetogenic effects of alcohol, with stronger associations between intake, obesity, and diabetes risk compared to men. Genetic variants such as rs78681203 demonstrated opposite effects depending on sex and intake levels, highlighting the complexity of gene-sex-alcohol interactions. These findings underscore the need for replication and mechanistic studies to clarify biological pathways and inform tailored prevention strategies. The risks of AUD were particularly pronounced. Individuals with AUD not only had higher rates of diabetes complications but also elevated rates of depression and anxiety following T2DM diagnosis. These co‑morbid mental health conditions worsen glycaemic variability, reduce treatment adherence, and increase mortality, emphasising the importance of integrated care approaches that address both physical and psychological health in people with diabetes.</w:t>
      </w:r>
    </w:p>
    <w:p w14:paraId="74A0AE68" w14:textId="77777777" w:rsidR="00A054A2" w:rsidRPr="00485321" w:rsidRDefault="00A054A2" w:rsidP="00A054A2">
      <w:pPr>
        <w:adjustRightInd w:val="0"/>
        <w:spacing w:line="360" w:lineRule="auto"/>
        <w:mirrorIndents/>
        <w:jc w:val="both"/>
        <w:rPr>
          <w:rFonts w:ascii="Times New Roman" w:eastAsia="Arial Unicode MS" w:hAnsi="Times New Roman" w:cs="Times New Roman"/>
        </w:rPr>
      </w:pPr>
      <w:r w:rsidRPr="00485321">
        <w:rPr>
          <w:rFonts w:ascii="Times New Roman" w:eastAsia="Arial Unicode MS" w:hAnsi="Times New Roman" w:cs="Times New Roman"/>
        </w:rPr>
        <w:t>For the confounders assessment (third objective), drinking context and beverage type shaped outcomes. Alcohol consumed with meals, particularly wine, was associated with lower inflammatory markers and a modest reduction in diabetes risk compared to alcohol consumed outside of meals. However, these associations were likely driven by healthier lifestyle profiles among moderate drinkers, including better diets, lower smoking prevalence, and higher socioeconomic status. Beer, spirits, and fortified wine were consistently linked to increased risk, reinforcing that beverage type matters, but none confer true protection at higher levels of intake.</w:t>
      </w:r>
    </w:p>
    <w:p w14:paraId="534FB0EF" w14:textId="77777777" w:rsidR="00A054A2" w:rsidRPr="00485321" w:rsidRDefault="00A054A2" w:rsidP="00A054A2">
      <w:pPr>
        <w:adjustRightInd w:val="0"/>
        <w:spacing w:line="360" w:lineRule="auto"/>
        <w:mirrorIndents/>
        <w:jc w:val="both"/>
        <w:rPr>
          <w:rFonts w:ascii="Times New Roman" w:eastAsia="Arial Unicode MS" w:hAnsi="Times New Roman" w:cs="Times New Roman"/>
        </w:rPr>
      </w:pPr>
      <w:r w:rsidRPr="00485321">
        <w:rPr>
          <w:rFonts w:ascii="Times New Roman" w:eastAsia="Arial Unicode MS" w:hAnsi="Times New Roman" w:cs="Times New Roman"/>
        </w:rPr>
        <w:t xml:space="preserve">Taken together, the evidence demonstrates that alcohol should not be promoted as protective for T2DM or cardiometabolic health. While moderate drinking, particularly wine with meals, may appear less harmful, these associations are likely confounded and do not represent true biological protection. Heavy and binge drinking are harmful, increasing obesity, metabolic dysfunction, and complications, especially among genetically predisposed individuals and women. Public health strategies should therefore focus on reducing alcohol consumption, discouraging binge drinking, and integrating mental </w:t>
      </w:r>
      <w:r w:rsidRPr="00485321">
        <w:rPr>
          <w:rFonts w:ascii="Times New Roman" w:eastAsia="Arial Unicode MS" w:hAnsi="Times New Roman" w:cs="Times New Roman"/>
        </w:rPr>
        <w:lastRenderedPageBreak/>
        <w:t>health support into diabetes care. Future research should prioritise replication of sex specific and genetic findings, explore cultural variations in beverage composition, and employ causal inference methods to disentangle confounding. Ultimately, the safest and most effective approach to reducing diabetes risk is to minimise alcohol consumption and promote healthier lifestyle behaviours.</w:t>
      </w:r>
    </w:p>
    <w:p w14:paraId="3343A30E" w14:textId="77777777" w:rsidR="00A054A2" w:rsidRPr="00485321" w:rsidRDefault="00A054A2" w:rsidP="00A054A2">
      <w:pPr>
        <w:rPr>
          <w:rFonts w:ascii="Times New Roman" w:eastAsia="Arial Unicode MS" w:hAnsi="Times New Roman" w:cs="Times New Roman"/>
          <w:b/>
          <w:sz w:val="28"/>
          <w:szCs w:val="28"/>
        </w:rPr>
      </w:pPr>
      <w:r w:rsidRPr="00485321">
        <w:rPr>
          <w:rFonts w:ascii="Times New Roman" w:eastAsia="Arial Unicode MS" w:hAnsi="Times New Roman" w:cs="Times New Roman"/>
          <w:b/>
          <w:sz w:val="28"/>
          <w:szCs w:val="28"/>
        </w:rPr>
        <w:br w:type="page"/>
      </w:r>
    </w:p>
    <w:p w14:paraId="44D32EF2" w14:textId="77777777" w:rsidR="00A054A2" w:rsidRPr="00485321" w:rsidRDefault="00A054A2" w:rsidP="00A054A2">
      <w:pPr>
        <w:pStyle w:val="Heading1"/>
        <w:rPr>
          <w:rFonts w:ascii="Times New Roman" w:hAnsi="Times New Roman" w:cs="Times New Roman"/>
        </w:rPr>
      </w:pPr>
      <w:bookmarkStart w:id="13" w:name="_Toc216438669"/>
      <w:r w:rsidRPr="00485321">
        <w:rPr>
          <w:rFonts w:ascii="Times New Roman" w:hAnsi="Times New Roman" w:cs="Times New Roman"/>
        </w:rPr>
        <w:lastRenderedPageBreak/>
        <w:t>REFERENCES</w:t>
      </w:r>
      <w:bookmarkEnd w:id="13"/>
      <w:r w:rsidRPr="00485321">
        <w:rPr>
          <w:rFonts w:ascii="Times New Roman" w:hAnsi="Times New Roman" w:cs="Times New Roman"/>
        </w:rPr>
        <w:t xml:space="preserve"> </w:t>
      </w:r>
    </w:p>
    <w:p w14:paraId="74BCD21A" w14:textId="77777777" w:rsidR="00A054A2" w:rsidRPr="00485321" w:rsidRDefault="00A054A2" w:rsidP="00A054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Times New Roman" w:eastAsia="Arial Unicode MS" w:hAnsi="Times New Roman" w:cs="Times New Roman"/>
        </w:rPr>
      </w:pPr>
      <w:bookmarkStart w:id="14" w:name="_Hlk213004516"/>
    </w:p>
    <w:bookmarkEnd w:id="14"/>
    <w:p w14:paraId="0AD527A2" w14:textId="77777777" w:rsidR="00A054A2" w:rsidRPr="00485321" w:rsidRDefault="00A054A2" w:rsidP="00A054A2">
      <w:pPr>
        <w:spacing w:after="160" w:line="360" w:lineRule="auto"/>
        <w:ind w:left="709" w:hanging="709"/>
        <w:jc w:val="both"/>
        <w:rPr>
          <w:rFonts w:ascii="Times New Roman" w:eastAsia="Arial Unicode MS" w:hAnsi="Times New Roman" w:cs="Times New Roman"/>
          <w:b/>
        </w:rPr>
      </w:pPr>
      <w:r w:rsidRPr="00485321">
        <w:rPr>
          <w:rFonts w:ascii="Times New Roman" w:eastAsia="Arial Unicode MS" w:hAnsi="Times New Roman" w:cs="Times New Roman"/>
          <w:lang w:val="en-US"/>
        </w:rPr>
        <w:t xml:space="preserve">Åberg, F., Byrne, C. D., </w:t>
      </w:r>
      <w:proofErr w:type="spellStart"/>
      <w:r w:rsidRPr="00485321">
        <w:rPr>
          <w:rFonts w:ascii="Times New Roman" w:eastAsia="Arial Unicode MS" w:hAnsi="Times New Roman" w:cs="Times New Roman"/>
          <w:lang w:val="en-US"/>
        </w:rPr>
        <w:t>Pirola</w:t>
      </w:r>
      <w:proofErr w:type="spellEnd"/>
      <w:r w:rsidRPr="00485321">
        <w:rPr>
          <w:rFonts w:ascii="Times New Roman" w:eastAsia="Arial Unicode MS" w:hAnsi="Times New Roman" w:cs="Times New Roman"/>
          <w:lang w:val="en-US"/>
        </w:rPr>
        <w:t xml:space="preserve">, C. J., Männistö, V., and </w:t>
      </w:r>
      <w:proofErr w:type="spellStart"/>
      <w:r w:rsidRPr="00485321">
        <w:rPr>
          <w:rFonts w:ascii="Times New Roman" w:eastAsia="Arial Unicode MS" w:hAnsi="Times New Roman" w:cs="Times New Roman"/>
          <w:lang w:val="en-US"/>
        </w:rPr>
        <w:t>Sookoian</w:t>
      </w:r>
      <w:proofErr w:type="spellEnd"/>
      <w:r w:rsidRPr="00485321">
        <w:rPr>
          <w:rFonts w:ascii="Times New Roman" w:eastAsia="Arial Unicode MS" w:hAnsi="Times New Roman" w:cs="Times New Roman"/>
          <w:lang w:val="en-US"/>
        </w:rPr>
        <w:t>, S. (2023). Alcohol consumption and metabolic syndrome: Clinical and epidemiological impact on liver disease. </w:t>
      </w:r>
      <w:r w:rsidRPr="00485321">
        <w:rPr>
          <w:rFonts w:ascii="Times New Roman" w:eastAsia="Arial Unicode MS" w:hAnsi="Times New Roman" w:cs="Times New Roman"/>
          <w:i/>
          <w:iCs/>
          <w:lang w:val="en-US"/>
        </w:rPr>
        <w:t>Journal of hepatology</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78</w:t>
      </w:r>
      <w:r w:rsidRPr="00485321">
        <w:rPr>
          <w:rFonts w:ascii="Times New Roman" w:eastAsia="Arial Unicode MS" w:hAnsi="Times New Roman" w:cs="Times New Roman"/>
          <w:lang w:val="en-US"/>
        </w:rPr>
        <w:t>(1), 191–206. https://doi.org/10.1016/j.jhep.2022.08.030</w:t>
      </w:r>
    </w:p>
    <w:p w14:paraId="2E5E32D1"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lang w:val="en-US"/>
        </w:rPr>
        <w:t>Al Sayah, F., Majumdar, S. R., Williams, B., Robertson, S., and Johnson, J. A. (2013). Health literacy and health outcomes in diabetes: A systematic review. </w:t>
      </w:r>
      <w:r w:rsidRPr="00485321">
        <w:rPr>
          <w:rFonts w:ascii="Times New Roman" w:eastAsia="Arial Unicode MS" w:hAnsi="Times New Roman" w:cs="Times New Roman"/>
          <w:i/>
          <w:iCs/>
          <w:lang w:val="en-US"/>
        </w:rPr>
        <w:t>Journal of general internal medicine</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28</w:t>
      </w:r>
      <w:r w:rsidRPr="00485321">
        <w:rPr>
          <w:rFonts w:ascii="Times New Roman" w:eastAsia="Arial Unicode MS" w:hAnsi="Times New Roman" w:cs="Times New Roman"/>
          <w:lang w:val="en-US"/>
        </w:rPr>
        <w:t>(3), 444–452. https://doi.org/10.1007/s11606-012-2241-z</w:t>
      </w:r>
    </w:p>
    <w:p w14:paraId="6ED041E8"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lang w:val="en-US"/>
        </w:rPr>
        <w:t>Baliunas, D. O., Taylor, B. J., Irving, H., Roerecke, M., Patra, J., Mohapatra, S., and Rehm, J. (2009). Alcohol as a risk factor for type 2 diabetes: A systematic review and meta-analysis. </w:t>
      </w:r>
      <w:r w:rsidRPr="00485321">
        <w:rPr>
          <w:rFonts w:ascii="Times New Roman" w:eastAsia="Arial Unicode MS" w:hAnsi="Times New Roman" w:cs="Times New Roman"/>
          <w:i/>
          <w:iCs/>
          <w:lang w:val="en-US"/>
        </w:rPr>
        <w:t>Diabetes care</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32</w:t>
      </w:r>
      <w:r w:rsidRPr="00485321">
        <w:rPr>
          <w:rFonts w:ascii="Times New Roman" w:eastAsia="Arial Unicode MS" w:hAnsi="Times New Roman" w:cs="Times New Roman"/>
          <w:lang w:val="en-US"/>
        </w:rPr>
        <w:t>(11), 2123–2132. https://doi.org/10.2337/dc09-0227</w:t>
      </w:r>
    </w:p>
    <w:p w14:paraId="467D5425"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lang w:val="en-US"/>
        </w:rPr>
        <w:t>Banday, M. Z., Sameer, A. S., and Nissar, S. (2020). Pathophysiology of diabetes: An overview. </w:t>
      </w:r>
      <w:r w:rsidRPr="00485321">
        <w:rPr>
          <w:rFonts w:ascii="Times New Roman" w:eastAsia="Arial Unicode MS" w:hAnsi="Times New Roman" w:cs="Times New Roman"/>
          <w:i/>
          <w:iCs/>
          <w:lang w:val="en-US"/>
        </w:rPr>
        <w:t>Avicenna journal of medicine</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10</w:t>
      </w:r>
      <w:r w:rsidRPr="00485321">
        <w:rPr>
          <w:rFonts w:ascii="Times New Roman" w:eastAsia="Arial Unicode MS" w:hAnsi="Times New Roman" w:cs="Times New Roman"/>
          <w:lang w:val="en-US"/>
        </w:rPr>
        <w:t>(4), 174–188. https://doi.org/10.4103/ajm.ajm_53_20</w:t>
      </w:r>
    </w:p>
    <w:p w14:paraId="5111FAD0" w14:textId="77777777" w:rsidR="00A054A2" w:rsidRPr="00485321" w:rsidRDefault="00A054A2" w:rsidP="00A054A2">
      <w:pPr>
        <w:spacing w:after="160" w:line="360" w:lineRule="auto"/>
        <w:ind w:left="720" w:hanging="720"/>
        <w:jc w:val="both"/>
        <w:rPr>
          <w:rFonts w:ascii="Times New Roman" w:hAnsi="Times New Roman" w:cs="Times New Roman"/>
          <w:lang w:val="nl-NL"/>
        </w:rPr>
      </w:pPr>
      <w:proofErr w:type="spellStart"/>
      <w:r w:rsidRPr="00485321">
        <w:rPr>
          <w:rFonts w:ascii="Times New Roman" w:hAnsi="Times New Roman" w:cs="Times New Roman"/>
          <w:lang w:val="en-US"/>
        </w:rPr>
        <w:t>Belzile</w:t>
      </w:r>
      <w:proofErr w:type="spellEnd"/>
      <w:r w:rsidRPr="00485321">
        <w:rPr>
          <w:rFonts w:ascii="Times New Roman" w:hAnsi="Times New Roman" w:cs="Times New Roman"/>
          <w:lang w:val="en-US"/>
        </w:rPr>
        <w:t xml:space="preserve">, A., </w:t>
      </w:r>
      <w:proofErr w:type="spellStart"/>
      <w:r w:rsidRPr="00485321">
        <w:rPr>
          <w:rFonts w:ascii="Times New Roman" w:hAnsi="Times New Roman" w:cs="Times New Roman"/>
          <w:lang w:val="en-US"/>
        </w:rPr>
        <w:t>Ayivi</w:t>
      </w:r>
      <w:proofErr w:type="spellEnd"/>
      <w:r w:rsidRPr="00485321">
        <w:rPr>
          <w:rFonts w:ascii="Times New Roman" w:hAnsi="Times New Roman" w:cs="Times New Roman"/>
          <w:lang w:val="en-US"/>
        </w:rPr>
        <w:t>, S. P. G., Asselin, G., Provost, S., Perreault, L. P. L., Cyr, M. C., and Dubé, M. P. (2025). A genome-wide study of the effect of alcohol consumption on the risk of type 2 diabetes. </w:t>
      </w:r>
      <w:r w:rsidRPr="00485321">
        <w:rPr>
          <w:rFonts w:ascii="Times New Roman" w:hAnsi="Times New Roman" w:cs="Times New Roman"/>
          <w:i/>
          <w:iCs/>
          <w:lang w:val="nl-NL"/>
        </w:rPr>
        <w:t>Clinical Nutrition Open Science</w:t>
      </w:r>
      <w:r w:rsidRPr="00485321">
        <w:rPr>
          <w:rFonts w:ascii="Times New Roman" w:hAnsi="Times New Roman" w:cs="Times New Roman"/>
          <w:lang w:val="nl-NL"/>
        </w:rPr>
        <w:t>, </w:t>
      </w:r>
      <w:r w:rsidRPr="00485321">
        <w:rPr>
          <w:rFonts w:ascii="Times New Roman" w:hAnsi="Times New Roman" w:cs="Times New Roman"/>
          <w:i/>
          <w:iCs/>
          <w:lang w:val="nl-NL"/>
        </w:rPr>
        <w:t>60</w:t>
      </w:r>
      <w:r w:rsidRPr="00485321">
        <w:rPr>
          <w:rFonts w:ascii="Times New Roman" w:hAnsi="Times New Roman" w:cs="Times New Roman"/>
          <w:lang w:val="nl-NL"/>
        </w:rPr>
        <w:t xml:space="preserve">, 78-88. https://doi.org/10.1016/j.nutos.2025.02.001 </w:t>
      </w:r>
    </w:p>
    <w:p w14:paraId="39CFE291" w14:textId="77777777" w:rsidR="00A054A2" w:rsidRPr="00485321" w:rsidRDefault="00A054A2" w:rsidP="00A054A2">
      <w:pPr>
        <w:spacing w:after="160" w:line="360" w:lineRule="auto"/>
        <w:ind w:left="720" w:hanging="720"/>
        <w:jc w:val="both"/>
        <w:rPr>
          <w:rFonts w:ascii="Times New Roman" w:hAnsi="Times New Roman" w:cs="Times New Roman"/>
          <w:sz w:val="24"/>
          <w:szCs w:val="24"/>
        </w:rPr>
      </w:pPr>
      <w:r w:rsidRPr="00485321">
        <w:rPr>
          <w:rFonts w:ascii="Times New Roman" w:hAnsi="Times New Roman" w:cs="Times New Roman"/>
          <w:color w:val="222222"/>
          <w:shd w:val="clear" w:color="auto" w:fill="FFFFFF"/>
          <w:lang w:val="nl-NL"/>
        </w:rPr>
        <w:t xml:space="preserve">Beulens, J. W., van der Schouw, Y. T., Bergmann, M. M., Rohrmann, S., Schulze, M. B., Buijsse, B., Grobbee, D. E., Arriola, L., Cauchi, S., Tormo, M. J., Allen, N. E., van der A, D. L., Balkau, B., Boeing, H., Clavel-Chapelon, F., de Lauzon-Guillan, B., Franks, P., Froguel, P., Gonzales, C., Halkjaer, J., … </w:t>
      </w:r>
      <w:proofErr w:type="spellStart"/>
      <w:r w:rsidRPr="00485321">
        <w:rPr>
          <w:rFonts w:ascii="Times New Roman" w:hAnsi="Times New Roman" w:cs="Times New Roman"/>
          <w:color w:val="222222"/>
          <w:shd w:val="clear" w:color="auto" w:fill="FFFFFF"/>
          <w:lang w:val="en-US"/>
        </w:rPr>
        <w:t>InterAct</w:t>
      </w:r>
      <w:proofErr w:type="spellEnd"/>
      <w:r w:rsidRPr="00485321">
        <w:rPr>
          <w:rFonts w:ascii="Times New Roman" w:hAnsi="Times New Roman" w:cs="Times New Roman"/>
          <w:color w:val="222222"/>
          <w:shd w:val="clear" w:color="auto" w:fill="FFFFFF"/>
          <w:lang w:val="en-US"/>
        </w:rPr>
        <w:t xml:space="preserve"> Consortium (2012). Alcohol consumption and risk of type 2 diabetes in European men and women: Influence of beverage type and body size </w:t>
      </w:r>
      <w:proofErr w:type="gramStart"/>
      <w:r w:rsidRPr="00485321">
        <w:rPr>
          <w:rFonts w:ascii="Times New Roman" w:hAnsi="Times New Roman" w:cs="Times New Roman"/>
          <w:color w:val="222222"/>
          <w:shd w:val="clear" w:color="auto" w:fill="FFFFFF"/>
          <w:lang w:val="en-US"/>
        </w:rPr>
        <w:t>The</w:t>
      </w:r>
      <w:proofErr w:type="gramEnd"/>
      <w:r w:rsidRPr="00485321">
        <w:rPr>
          <w:rFonts w:ascii="Times New Roman" w:hAnsi="Times New Roman" w:cs="Times New Roman"/>
          <w:color w:val="222222"/>
          <w:shd w:val="clear" w:color="auto" w:fill="FFFFFF"/>
          <w:lang w:val="en-US"/>
        </w:rPr>
        <w:t xml:space="preserve"> EPIC-</w:t>
      </w:r>
      <w:proofErr w:type="spellStart"/>
      <w:r w:rsidRPr="00485321">
        <w:rPr>
          <w:rFonts w:ascii="Times New Roman" w:hAnsi="Times New Roman" w:cs="Times New Roman"/>
          <w:color w:val="222222"/>
          <w:shd w:val="clear" w:color="auto" w:fill="FFFFFF"/>
          <w:lang w:val="en-US"/>
        </w:rPr>
        <w:t>InterAct</w:t>
      </w:r>
      <w:proofErr w:type="spellEnd"/>
      <w:r w:rsidRPr="00485321">
        <w:rPr>
          <w:rFonts w:ascii="Times New Roman" w:hAnsi="Times New Roman" w:cs="Times New Roman"/>
          <w:color w:val="222222"/>
          <w:shd w:val="clear" w:color="auto" w:fill="FFFFFF"/>
          <w:lang w:val="en-US"/>
        </w:rPr>
        <w:t xml:space="preserve"> study. </w:t>
      </w:r>
      <w:r w:rsidRPr="00485321">
        <w:rPr>
          <w:rFonts w:ascii="Times New Roman" w:hAnsi="Times New Roman" w:cs="Times New Roman"/>
          <w:i/>
          <w:iCs/>
          <w:color w:val="222222"/>
          <w:shd w:val="clear" w:color="auto" w:fill="FFFFFF"/>
          <w:lang w:val="en-US"/>
        </w:rPr>
        <w:t>Journal of internal medicine</w:t>
      </w:r>
      <w:r w:rsidRPr="00485321">
        <w:rPr>
          <w:rFonts w:ascii="Times New Roman" w:hAnsi="Times New Roman" w:cs="Times New Roman"/>
          <w:color w:val="222222"/>
          <w:shd w:val="clear" w:color="auto" w:fill="FFFFFF"/>
          <w:lang w:val="en-US"/>
        </w:rPr>
        <w:t>, </w:t>
      </w:r>
      <w:r w:rsidRPr="00485321">
        <w:rPr>
          <w:rFonts w:ascii="Times New Roman" w:hAnsi="Times New Roman" w:cs="Times New Roman"/>
          <w:i/>
          <w:iCs/>
          <w:color w:val="222222"/>
          <w:shd w:val="clear" w:color="auto" w:fill="FFFFFF"/>
          <w:lang w:val="en-US"/>
        </w:rPr>
        <w:t>272</w:t>
      </w:r>
      <w:r w:rsidRPr="00485321">
        <w:rPr>
          <w:rFonts w:ascii="Times New Roman" w:hAnsi="Times New Roman" w:cs="Times New Roman"/>
          <w:color w:val="222222"/>
          <w:shd w:val="clear" w:color="auto" w:fill="FFFFFF"/>
          <w:lang w:val="en-US"/>
        </w:rPr>
        <w:t>(4), 358–370. https://doi.org/10.1111/j.1365-2796.2012.02532.x</w:t>
      </w:r>
    </w:p>
    <w:p w14:paraId="7733A8D1"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rPr>
        <w:t>Braun, V., and Clarke, V. (2006). Using thematic analysis in psychology. </w:t>
      </w:r>
      <w:r w:rsidRPr="00485321">
        <w:rPr>
          <w:rFonts w:ascii="Times New Roman" w:eastAsia="Arial Unicode MS" w:hAnsi="Times New Roman" w:cs="Times New Roman"/>
          <w:i/>
          <w:iCs/>
        </w:rPr>
        <w:t>Qualitative research in psychology</w:t>
      </w:r>
      <w:r w:rsidRPr="00485321">
        <w:rPr>
          <w:rFonts w:ascii="Times New Roman" w:eastAsia="Arial Unicode MS" w:hAnsi="Times New Roman" w:cs="Times New Roman"/>
        </w:rPr>
        <w:t>, </w:t>
      </w:r>
      <w:r w:rsidRPr="00485321">
        <w:rPr>
          <w:rFonts w:ascii="Times New Roman" w:eastAsia="Arial Unicode MS" w:hAnsi="Times New Roman" w:cs="Times New Roman"/>
          <w:i/>
          <w:iCs/>
        </w:rPr>
        <w:t>3</w:t>
      </w:r>
      <w:r w:rsidRPr="00485321">
        <w:rPr>
          <w:rFonts w:ascii="Times New Roman" w:eastAsia="Arial Unicode MS" w:hAnsi="Times New Roman" w:cs="Times New Roman"/>
        </w:rPr>
        <w:t>(2), 77-101. https://doi.org/10.1191/1478088706qp063oa</w:t>
      </w:r>
    </w:p>
    <w:p w14:paraId="13E05975"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lang w:val="en-US"/>
        </w:rPr>
        <w:t xml:space="preserve">Brignardello-Petersen, R., </w:t>
      </w:r>
      <w:proofErr w:type="spellStart"/>
      <w:r w:rsidRPr="00485321">
        <w:rPr>
          <w:rFonts w:ascii="Times New Roman" w:eastAsia="Arial Unicode MS" w:hAnsi="Times New Roman" w:cs="Times New Roman"/>
          <w:lang w:val="en-US"/>
        </w:rPr>
        <w:t>Santesso</w:t>
      </w:r>
      <w:proofErr w:type="spellEnd"/>
      <w:r w:rsidRPr="00485321">
        <w:rPr>
          <w:rFonts w:ascii="Times New Roman" w:eastAsia="Arial Unicode MS" w:hAnsi="Times New Roman" w:cs="Times New Roman"/>
          <w:lang w:val="en-US"/>
        </w:rPr>
        <w:t>, N., and Guyatt, G. H. (2025). Systematic reviews of the literature: An introduction to current methods. </w:t>
      </w:r>
      <w:r w:rsidRPr="00485321">
        <w:rPr>
          <w:rFonts w:ascii="Times New Roman" w:eastAsia="Arial Unicode MS" w:hAnsi="Times New Roman" w:cs="Times New Roman"/>
          <w:i/>
          <w:iCs/>
          <w:lang w:val="en-US"/>
        </w:rPr>
        <w:t>American journal of epidemiology</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194</w:t>
      </w:r>
      <w:r w:rsidRPr="00485321">
        <w:rPr>
          <w:rFonts w:ascii="Times New Roman" w:eastAsia="Arial Unicode MS" w:hAnsi="Times New Roman" w:cs="Times New Roman"/>
          <w:lang w:val="en-US"/>
        </w:rPr>
        <w:t>(2), 536–542. https://doi.org/10.1093/aje/kwae232</w:t>
      </w:r>
      <w:r w:rsidRPr="00485321">
        <w:rPr>
          <w:rFonts w:ascii="Times New Roman" w:eastAsia="Arial Unicode MS" w:hAnsi="Times New Roman" w:cs="Times New Roman"/>
        </w:rPr>
        <w:t xml:space="preserve"> </w:t>
      </w:r>
    </w:p>
    <w:p w14:paraId="20D496FA"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rPr>
        <w:t xml:space="preserve">Capili, B. (2020). How does research start? </w:t>
      </w:r>
      <w:r w:rsidRPr="00485321">
        <w:rPr>
          <w:rFonts w:ascii="Times New Roman" w:eastAsia="Arial Unicode MS" w:hAnsi="Times New Roman" w:cs="Times New Roman"/>
          <w:i/>
          <w:iCs/>
        </w:rPr>
        <w:t>American Journal of Nursing</w:t>
      </w:r>
      <w:r w:rsidRPr="00485321">
        <w:rPr>
          <w:rFonts w:ascii="Times New Roman" w:eastAsia="Arial Unicode MS" w:hAnsi="Times New Roman" w:cs="Times New Roman"/>
        </w:rPr>
        <w:t>. 120(10), 41-44.</w:t>
      </w:r>
    </w:p>
    <w:p w14:paraId="16B0B483" w14:textId="77777777" w:rsidR="00A054A2" w:rsidRPr="00485321" w:rsidRDefault="00A054A2" w:rsidP="00A054A2">
      <w:pPr>
        <w:spacing w:after="160" w:line="360" w:lineRule="auto"/>
        <w:ind w:left="720" w:hanging="720"/>
        <w:jc w:val="both"/>
        <w:rPr>
          <w:rFonts w:ascii="Times New Roman" w:hAnsi="Times New Roman" w:cs="Times New Roman"/>
        </w:rPr>
      </w:pPr>
      <w:r w:rsidRPr="00485321">
        <w:rPr>
          <w:rFonts w:ascii="Times New Roman" w:hAnsi="Times New Roman" w:cs="Times New Roman"/>
          <w:lang w:val="en-US"/>
        </w:rPr>
        <w:t xml:space="preserve">Cook, S., Osborn, D., Mathur, R., Forbes, H., Parekh, R., Maini, A., Neves, A. L., Gnani, S., Beaney, </w:t>
      </w:r>
      <w:r w:rsidRPr="00485321">
        <w:rPr>
          <w:rFonts w:ascii="Times New Roman" w:hAnsi="Times New Roman" w:cs="Times New Roman"/>
          <w:lang w:val="en-US"/>
        </w:rPr>
        <w:lastRenderedPageBreak/>
        <w:t>T., Walters, K., Saxena, S., and Quint, J. K. (2024). Is alcohol use disorder associated with higher rates of depression and anxiety among people with new onset type 2 diabetes? A cohort study using linked primary care data in England. </w:t>
      </w:r>
      <w:r w:rsidRPr="00485321">
        <w:rPr>
          <w:rFonts w:ascii="Times New Roman" w:hAnsi="Times New Roman" w:cs="Times New Roman"/>
          <w:i/>
          <w:iCs/>
          <w:lang w:val="en-US"/>
        </w:rPr>
        <w:t>BMC primary care</w:t>
      </w:r>
      <w:r w:rsidRPr="00485321">
        <w:rPr>
          <w:rFonts w:ascii="Times New Roman" w:hAnsi="Times New Roman" w:cs="Times New Roman"/>
          <w:lang w:val="en-US"/>
        </w:rPr>
        <w:t>, </w:t>
      </w:r>
      <w:r w:rsidRPr="00485321">
        <w:rPr>
          <w:rFonts w:ascii="Times New Roman" w:hAnsi="Times New Roman" w:cs="Times New Roman"/>
          <w:i/>
          <w:iCs/>
          <w:lang w:val="en-US"/>
        </w:rPr>
        <w:t>25</w:t>
      </w:r>
      <w:r w:rsidRPr="00485321">
        <w:rPr>
          <w:rFonts w:ascii="Times New Roman" w:hAnsi="Times New Roman" w:cs="Times New Roman"/>
          <w:lang w:val="en-US"/>
        </w:rPr>
        <w:t>(1), 386. https://doi.org/10.1186/s12875-024-02628-6</w:t>
      </w:r>
      <w:r w:rsidRPr="00485321">
        <w:rPr>
          <w:rFonts w:ascii="Times New Roman" w:hAnsi="Times New Roman" w:cs="Times New Roman"/>
        </w:rPr>
        <w:t xml:space="preserve"> </w:t>
      </w:r>
    </w:p>
    <w:p w14:paraId="1409C834" w14:textId="77777777" w:rsidR="00A054A2" w:rsidRPr="00485321" w:rsidRDefault="00A054A2" w:rsidP="00A054A2">
      <w:pPr>
        <w:spacing w:after="160" w:line="360" w:lineRule="auto"/>
        <w:ind w:left="720" w:hanging="720"/>
        <w:jc w:val="both"/>
        <w:rPr>
          <w:rFonts w:ascii="Times New Roman" w:hAnsi="Times New Roman" w:cs="Times New Roman"/>
        </w:rPr>
      </w:pPr>
      <w:r w:rsidRPr="00485321">
        <w:rPr>
          <w:rFonts w:ascii="Times New Roman" w:hAnsi="Times New Roman" w:cs="Times New Roman"/>
          <w:lang w:val="en-US"/>
        </w:rPr>
        <w:t>Cook, S., Saxena, S., Mathur, R., Beaney, T., Gnani, S., Neves, A. L., Maini, A., Parekh, R., Walters, K., Osborn, D., and Quint, J. K. (2025). Diabetes complications in people with alcohol use disorder and type 2 diabetes. </w:t>
      </w:r>
      <w:r w:rsidRPr="00485321">
        <w:rPr>
          <w:rFonts w:ascii="Times New Roman" w:hAnsi="Times New Roman" w:cs="Times New Roman"/>
          <w:i/>
          <w:iCs/>
          <w:lang w:val="en-US"/>
        </w:rPr>
        <w:t>BJGP open</w:t>
      </w:r>
      <w:r w:rsidRPr="00485321">
        <w:rPr>
          <w:rFonts w:ascii="Times New Roman" w:hAnsi="Times New Roman" w:cs="Times New Roman"/>
          <w:lang w:val="en-US"/>
        </w:rPr>
        <w:t>, </w:t>
      </w:r>
      <w:r w:rsidRPr="00485321">
        <w:rPr>
          <w:rFonts w:ascii="Times New Roman" w:hAnsi="Times New Roman" w:cs="Times New Roman"/>
          <w:i/>
          <w:iCs/>
          <w:lang w:val="en-US"/>
        </w:rPr>
        <w:t>9</w:t>
      </w:r>
      <w:r w:rsidRPr="00485321">
        <w:rPr>
          <w:rFonts w:ascii="Times New Roman" w:hAnsi="Times New Roman" w:cs="Times New Roman"/>
          <w:lang w:val="en-US"/>
        </w:rPr>
        <w:t>(2), BJGPO.2024.0133. https://doi.org/10.3399/BJGPO.2024.0133</w:t>
      </w:r>
      <w:r w:rsidRPr="00485321">
        <w:rPr>
          <w:rFonts w:ascii="Times New Roman" w:hAnsi="Times New Roman" w:cs="Times New Roman"/>
        </w:rPr>
        <w:t xml:space="preserve"> </w:t>
      </w:r>
    </w:p>
    <w:p w14:paraId="565238B9"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lang w:val="en-US"/>
        </w:rPr>
        <w:t xml:space="preserve">Critical Appraisal Skills </w:t>
      </w:r>
      <w:proofErr w:type="spellStart"/>
      <w:r w:rsidRPr="00485321">
        <w:rPr>
          <w:rFonts w:ascii="Times New Roman" w:eastAsia="Arial Unicode MS" w:hAnsi="Times New Roman" w:cs="Times New Roman"/>
          <w:lang w:val="en-US"/>
        </w:rPr>
        <w:t>Programme</w:t>
      </w:r>
      <w:proofErr w:type="spellEnd"/>
      <w:r w:rsidRPr="00485321">
        <w:rPr>
          <w:rFonts w:ascii="Times New Roman" w:eastAsia="Arial Unicode MS" w:hAnsi="Times New Roman" w:cs="Times New Roman"/>
          <w:lang w:val="en-US"/>
        </w:rPr>
        <w:t xml:space="preserve"> (</w:t>
      </w:r>
      <w:r w:rsidRPr="00485321">
        <w:rPr>
          <w:rFonts w:ascii="Times New Roman" w:eastAsia="Arial Unicode MS" w:hAnsi="Times New Roman" w:cs="Times New Roman"/>
        </w:rPr>
        <w:t>CASP). (2024). CASP checklist: CASP cohort study checklist. Available at: https://casp-uk.net/casp-tools-checklists/ (Accessed: 6th November 2025)</w:t>
      </w:r>
    </w:p>
    <w:p w14:paraId="2B56F623"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rPr>
        <w:t>Department of Health. (2016). Alcohol guidelines review – Report from the Guidelines Development Group to the UK Chief Medical Officers (Published January 2016 with the consultation on the language and understanding of the UK Chief Medical Officers low-risk alcohol guidelines). Available at: https://assets.publishing.service.gov.uk/media/5a7507d8ed915d3c7d529d6f/GDG_report-Jan2016.pdf (Accessed: 25th October 2025)</w:t>
      </w:r>
    </w:p>
    <w:p w14:paraId="422D69E4" w14:textId="77777777" w:rsidR="00A054A2" w:rsidRPr="00485321" w:rsidRDefault="00A054A2" w:rsidP="00A054A2">
      <w:pPr>
        <w:spacing w:after="160" w:line="360" w:lineRule="auto"/>
        <w:ind w:left="720" w:hanging="720"/>
        <w:jc w:val="both"/>
        <w:rPr>
          <w:rFonts w:ascii="Times New Roman" w:hAnsi="Times New Roman" w:cs="Times New Roman"/>
        </w:rPr>
      </w:pPr>
      <w:r w:rsidRPr="00485321">
        <w:rPr>
          <w:rFonts w:ascii="Times New Roman" w:hAnsi="Times New Roman" w:cs="Times New Roman"/>
          <w:lang w:val="en-US"/>
        </w:rPr>
        <w:t xml:space="preserve">Ding, C., Ng Fat, L., Britton, A., </w:t>
      </w:r>
      <w:proofErr w:type="spellStart"/>
      <w:r w:rsidRPr="00485321">
        <w:rPr>
          <w:rFonts w:ascii="Times New Roman" w:hAnsi="Times New Roman" w:cs="Times New Roman"/>
          <w:lang w:val="en-US"/>
        </w:rPr>
        <w:t>Im</w:t>
      </w:r>
      <w:proofErr w:type="spellEnd"/>
      <w:r w:rsidRPr="00485321">
        <w:rPr>
          <w:rFonts w:ascii="Times New Roman" w:hAnsi="Times New Roman" w:cs="Times New Roman"/>
          <w:lang w:val="en-US"/>
        </w:rPr>
        <w:t>, P. K., Lin, K., Topiwala, A., Li, L., Chen, Z., Millwood, I. Y., Bell, S., and Mehta, G. (2023). Binge-pattern alcohol consumption and genetic risk as determinants of alcohol-related liver disease. </w:t>
      </w:r>
      <w:r w:rsidRPr="00485321">
        <w:rPr>
          <w:rFonts w:ascii="Times New Roman" w:hAnsi="Times New Roman" w:cs="Times New Roman"/>
          <w:i/>
          <w:iCs/>
          <w:lang w:val="en-US"/>
        </w:rPr>
        <w:t>Nature communications</w:t>
      </w:r>
      <w:r w:rsidRPr="00485321">
        <w:rPr>
          <w:rFonts w:ascii="Times New Roman" w:hAnsi="Times New Roman" w:cs="Times New Roman"/>
          <w:lang w:val="en-US"/>
        </w:rPr>
        <w:t>, </w:t>
      </w:r>
      <w:r w:rsidRPr="00485321">
        <w:rPr>
          <w:rFonts w:ascii="Times New Roman" w:hAnsi="Times New Roman" w:cs="Times New Roman"/>
          <w:i/>
          <w:iCs/>
          <w:lang w:val="en-US"/>
        </w:rPr>
        <w:t>14</w:t>
      </w:r>
      <w:r w:rsidRPr="00485321">
        <w:rPr>
          <w:rFonts w:ascii="Times New Roman" w:hAnsi="Times New Roman" w:cs="Times New Roman"/>
          <w:lang w:val="en-US"/>
        </w:rPr>
        <w:t>(1), 8041. https://doi.org/10.1038/s41467-023-43064-x</w:t>
      </w:r>
    </w:p>
    <w:p w14:paraId="63442D1D"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lang w:val="en-US"/>
        </w:rPr>
        <w:t xml:space="preserve">El Kirat, H., van Belle, S., Khattabi, A., and </w:t>
      </w:r>
      <w:proofErr w:type="spellStart"/>
      <w:r w:rsidRPr="00485321">
        <w:rPr>
          <w:rFonts w:ascii="Times New Roman" w:eastAsia="Arial Unicode MS" w:hAnsi="Times New Roman" w:cs="Times New Roman"/>
          <w:lang w:val="en-US"/>
        </w:rPr>
        <w:t>Belrhiti</w:t>
      </w:r>
      <w:proofErr w:type="spellEnd"/>
      <w:r w:rsidRPr="00485321">
        <w:rPr>
          <w:rFonts w:ascii="Times New Roman" w:eastAsia="Arial Unicode MS" w:hAnsi="Times New Roman" w:cs="Times New Roman"/>
          <w:lang w:val="en-US"/>
        </w:rPr>
        <w:t>, Z. (2024). Behavioral change interventions, theories, and techniques to reduce physical inactivity and sedentary behavior in the general population: A scoping review. </w:t>
      </w:r>
      <w:r w:rsidRPr="00485321">
        <w:rPr>
          <w:rFonts w:ascii="Times New Roman" w:eastAsia="Arial Unicode MS" w:hAnsi="Times New Roman" w:cs="Times New Roman"/>
          <w:i/>
          <w:iCs/>
          <w:lang w:val="en-US"/>
        </w:rPr>
        <w:t>BMC public health</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24</w:t>
      </w:r>
      <w:r w:rsidRPr="00485321">
        <w:rPr>
          <w:rFonts w:ascii="Times New Roman" w:eastAsia="Arial Unicode MS" w:hAnsi="Times New Roman" w:cs="Times New Roman"/>
          <w:lang w:val="en-US"/>
        </w:rPr>
        <w:t>(1), 2099. https://doi.org/10.1186/s12889-024-19600-9</w:t>
      </w:r>
    </w:p>
    <w:p w14:paraId="498390D8"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lang w:val="en-US"/>
        </w:rPr>
        <w:t xml:space="preserve">Fagherazzi, G., </w:t>
      </w:r>
      <w:proofErr w:type="spellStart"/>
      <w:r w:rsidRPr="00485321">
        <w:rPr>
          <w:rFonts w:ascii="Times New Roman" w:eastAsia="Arial Unicode MS" w:hAnsi="Times New Roman" w:cs="Times New Roman"/>
          <w:lang w:val="en-US"/>
        </w:rPr>
        <w:t>Vilier</w:t>
      </w:r>
      <w:proofErr w:type="spellEnd"/>
      <w:r w:rsidRPr="00485321">
        <w:rPr>
          <w:rFonts w:ascii="Times New Roman" w:eastAsia="Arial Unicode MS" w:hAnsi="Times New Roman" w:cs="Times New Roman"/>
          <w:lang w:val="en-US"/>
        </w:rPr>
        <w:t xml:space="preserve">, A., </w:t>
      </w:r>
      <w:proofErr w:type="spellStart"/>
      <w:r w:rsidRPr="00485321">
        <w:rPr>
          <w:rFonts w:ascii="Times New Roman" w:eastAsia="Arial Unicode MS" w:hAnsi="Times New Roman" w:cs="Times New Roman"/>
          <w:lang w:val="en-US"/>
        </w:rPr>
        <w:t>Lajous</w:t>
      </w:r>
      <w:proofErr w:type="spellEnd"/>
      <w:r w:rsidRPr="00485321">
        <w:rPr>
          <w:rFonts w:ascii="Times New Roman" w:eastAsia="Arial Unicode MS" w:hAnsi="Times New Roman" w:cs="Times New Roman"/>
          <w:lang w:val="en-US"/>
        </w:rPr>
        <w:t xml:space="preserve">, M., Boutron-Ruault, M. C., </w:t>
      </w:r>
      <w:proofErr w:type="spellStart"/>
      <w:r w:rsidRPr="00485321">
        <w:rPr>
          <w:rFonts w:ascii="Times New Roman" w:eastAsia="Arial Unicode MS" w:hAnsi="Times New Roman" w:cs="Times New Roman"/>
          <w:lang w:val="en-US"/>
        </w:rPr>
        <w:t>Balkau</w:t>
      </w:r>
      <w:proofErr w:type="spellEnd"/>
      <w:r w:rsidRPr="00485321">
        <w:rPr>
          <w:rFonts w:ascii="Times New Roman" w:eastAsia="Arial Unicode MS" w:hAnsi="Times New Roman" w:cs="Times New Roman"/>
          <w:lang w:val="en-US"/>
        </w:rPr>
        <w:t>, B., Clavel-</w:t>
      </w:r>
      <w:proofErr w:type="spellStart"/>
      <w:r w:rsidRPr="00485321">
        <w:rPr>
          <w:rFonts w:ascii="Times New Roman" w:eastAsia="Arial Unicode MS" w:hAnsi="Times New Roman" w:cs="Times New Roman"/>
          <w:lang w:val="en-US"/>
        </w:rPr>
        <w:t>Chapelon</w:t>
      </w:r>
      <w:proofErr w:type="spellEnd"/>
      <w:r w:rsidRPr="00485321">
        <w:rPr>
          <w:rFonts w:ascii="Times New Roman" w:eastAsia="Arial Unicode MS" w:hAnsi="Times New Roman" w:cs="Times New Roman"/>
          <w:lang w:val="en-US"/>
        </w:rPr>
        <w:t>, F., and Bonnet, F. (2014). Wine consumption throughout life is inversely associated with type 2 diabetes risk, but only in overweight individuals: results from a large female French cohort study. </w:t>
      </w:r>
      <w:r w:rsidRPr="00485321">
        <w:rPr>
          <w:rFonts w:ascii="Times New Roman" w:eastAsia="Arial Unicode MS" w:hAnsi="Times New Roman" w:cs="Times New Roman"/>
          <w:i/>
          <w:iCs/>
          <w:lang w:val="en-US"/>
        </w:rPr>
        <w:t>European journal of epidemiology</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29</w:t>
      </w:r>
      <w:r w:rsidRPr="00485321">
        <w:rPr>
          <w:rFonts w:ascii="Times New Roman" w:eastAsia="Arial Unicode MS" w:hAnsi="Times New Roman" w:cs="Times New Roman"/>
          <w:lang w:val="en-US"/>
        </w:rPr>
        <w:t>(11), 831–839. https://doi.org/10.1007/s10654-014-9955-7</w:t>
      </w:r>
    </w:p>
    <w:p w14:paraId="57588A1B"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rPr>
        <w:t xml:space="preserve">GOV.UK (2025). Diabetes profile: Statistical commentary, March 2025. Available at: </w:t>
      </w:r>
      <w:hyperlink r:id="rId6" w:history="1">
        <w:r w:rsidRPr="00485321">
          <w:rPr>
            <w:rFonts w:ascii="Times New Roman" w:eastAsia="Arial Unicode MS" w:hAnsi="Times New Roman" w:cs="Times New Roman"/>
            <w:color w:val="0000FF"/>
            <w:u w:val="single"/>
          </w:rPr>
          <w:t>https://www.gov.uk/government/statistics/diabetes-profile-update-march-2025/diabetes-profile-statistical-commentary-march-2025</w:t>
        </w:r>
      </w:hyperlink>
      <w:r w:rsidRPr="00485321">
        <w:rPr>
          <w:rFonts w:ascii="Times New Roman" w:eastAsia="Arial Unicode MS" w:hAnsi="Times New Roman" w:cs="Times New Roman"/>
        </w:rPr>
        <w:t xml:space="preserve"> (Accessed: 2nd November 2025)</w:t>
      </w:r>
    </w:p>
    <w:p w14:paraId="7AB70D44"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lang w:val="en-US"/>
        </w:rPr>
        <w:lastRenderedPageBreak/>
        <w:t>Hollingsworth D. F. (1983). Rationing and economic constraints on food consumption in Britain since the Second World War. </w:t>
      </w:r>
      <w:r w:rsidRPr="00485321">
        <w:rPr>
          <w:rFonts w:ascii="Times New Roman" w:eastAsia="Arial Unicode MS" w:hAnsi="Times New Roman" w:cs="Times New Roman"/>
          <w:i/>
          <w:iCs/>
          <w:lang w:val="en-US"/>
        </w:rPr>
        <w:t>World review of nutrition and dietetics</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42</w:t>
      </w:r>
      <w:r w:rsidRPr="00485321">
        <w:rPr>
          <w:rFonts w:ascii="Times New Roman" w:eastAsia="Arial Unicode MS" w:hAnsi="Times New Roman" w:cs="Times New Roman"/>
          <w:lang w:val="en-US"/>
        </w:rPr>
        <w:t>, 191–218. https://doi.org/10.1159/000408354</w:t>
      </w:r>
    </w:p>
    <w:p w14:paraId="5B84D347"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sz w:val="24"/>
          <w:szCs w:val="24"/>
        </w:rPr>
      </w:pPr>
      <w:r w:rsidRPr="00485321">
        <w:rPr>
          <w:rFonts w:ascii="Times New Roman" w:eastAsia="Times New Roman" w:hAnsi="Times New Roman" w:cs="Times New Roman"/>
          <w:color w:val="222222"/>
          <w:shd w:val="clear" w:color="auto" w:fill="FFFFFF"/>
          <w:lang w:val="en-US" w:bidi="ar-SA"/>
        </w:rPr>
        <w:t>Huang, L., Pan, Y., Zhou, K., Liu, H., and Zhong, S. (2023). Correlation between glycemic variability and diabetic complications: A narrative review. </w:t>
      </w:r>
      <w:r w:rsidRPr="00485321">
        <w:rPr>
          <w:rFonts w:ascii="Times New Roman" w:eastAsia="Times New Roman" w:hAnsi="Times New Roman" w:cs="Times New Roman"/>
          <w:i/>
          <w:iCs/>
          <w:color w:val="222222"/>
          <w:shd w:val="clear" w:color="auto" w:fill="FFFFFF"/>
          <w:lang w:val="en-US" w:bidi="ar-SA"/>
        </w:rPr>
        <w:t>International journal of general medicine</w:t>
      </w:r>
      <w:r w:rsidRPr="00485321">
        <w:rPr>
          <w:rFonts w:ascii="Times New Roman" w:eastAsia="Times New Roman" w:hAnsi="Times New Roman" w:cs="Times New Roman"/>
          <w:color w:val="222222"/>
          <w:shd w:val="clear" w:color="auto" w:fill="FFFFFF"/>
          <w:lang w:val="en-US" w:bidi="ar-SA"/>
        </w:rPr>
        <w:t>, </w:t>
      </w:r>
      <w:r w:rsidRPr="00485321">
        <w:rPr>
          <w:rFonts w:ascii="Times New Roman" w:eastAsia="Times New Roman" w:hAnsi="Times New Roman" w:cs="Times New Roman"/>
          <w:i/>
          <w:iCs/>
          <w:color w:val="222222"/>
          <w:shd w:val="clear" w:color="auto" w:fill="FFFFFF"/>
          <w:lang w:val="en-US" w:bidi="ar-SA"/>
        </w:rPr>
        <w:t>16</w:t>
      </w:r>
      <w:r w:rsidRPr="00485321">
        <w:rPr>
          <w:rFonts w:ascii="Times New Roman" w:eastAsia="Times New Roman" w:hAnsi="Times New Roman" w:cs="Times New Roman"/>
          <w:color w:val="222222"/>
          <w:shd w:val="clear" w:color="auto" w:fill="FFFFFF"/>
          <w:lang w:val="en-US" w:bidi="ar-SA"/>
        </w:rPr>
        <w:t>, 3083–3094. https://doi.org/10.2147/IJGM.S418520</w:t>
      </w:r>
    </w:p>
    <w:p w14:paraId="11AA2216"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lang w:val="en-US"/>
        </w:rPr>
        <w:t xml:space="preserve">Huckle, T., Casswell, S., Mackintosh, A. M., </w:t>
      </w:r>
      <w:proofErr w:type="spellStart"/>
      <w:r w:rsidRPr="00485321">
        <w:rPr>
          <w:rFonts w:ascii="Times New Roman" w:eastAsia="Arial Unicode MS" w:hAnsi="Times New Roman" w:cs="Times New Roman"/>
          <w:lang w:val="en-US"/>
        </w:rPr>
        <w:t>Chaiyasong</w:t>
      </w:r>
      <w:proofErr w:type="spellEnd"/>
      <w:r w:rsidRPr="00485321">
        <w:rPr>
          <w:rFonts w:ascii="Times New Roman" w:eastAsia="Arial Unicode MS" w:hAnsi="Times New Roman" w:cs="Times New Roman"/>
          <w:lang w:val="en-US"/>
        </w:rPr>
        <w:t xml:space="preserve">, S., Viet Cuong, P., </w:t>
      </w:r>
      <w:proofErr w:type="spellStart"/>
      <w:r w:rsidRPr="00485321">
        <w:rPr>
          <w:rFonts w:ascii="Times New Roman" w:eastAsia="Arial Unicode MS" w:hAnsi="Times New Roman" w:cs="Times New Roman"/>
          <w:lang w:val="en-US"/>
        </w:rPr>
        <w:t>Morojele</w:t>
      </w:r>
      <w:proofErr w:type="spellEnd"/>
      <w:r w:rsidRPr="00485321">
        <w:rPr>
          <w:rFonts w:ascii="Times New Roman" w:eastAsia="Arial Unicode MS" w:hAnsi="Times New Roman" w:cs="Times New Roman"/>
          <w:lang w:val="en-US"/>
        </w:rPr>
        <w:t xml:space="preserve">, N., Parry, C. D. H., Meier, P., Holmes, J., Callinan, S., Piazza, M., Kazantseva, E., </w:t>
      </w:r>
      <w:proofErr w:type="spellStart"/>
      <w:r w:rsidRPr="00485321">
        <w:rPr>
          <w:rFonts w:ascii="Times New Roman" w:eastAsia="Arial Unicode MS" w:hAnsi="Times New Roman" w:cs="Times New Roman"/>
          <w:lang w:val="en-US"/>
        </w:rPr>
        <w:t>Bayandorj</w:t>
      </w:r>
      <w:proofErr w:type="spellEnd"/>
      <w:r w:rsidRPr="00485321">
        <w:rPr>
          <w:rFonts w:ascii="Times New Roman" w:eastAsia="Arial Unicode MS" w:hAnsi="Times New Roman" w:cs="Times New Roman"/>
          <w:lang w:val="en-US"/>
        </w:rPr>
        <w:t>, T., Gray-Phillip, G., Haliday, S., Chun, S., Welch, M., Graydon-Guy, T., and Parker, K. (2018). The international alcohol control study: Methodology and implementation. </w:t>
      </w:r>
      <w:r w:rsidRPr="00485321">
        <w:rPr>
          <w:rFonts w:ascii="Times New Roman" w:eastAsia="Arial Unicode MS" w:hAnsi="Times New Roman" w:cs="Times New Roman"/>
          <w:i/>
          <w:iCs/>
          <w:lang w:val="en-US"/>
        </w:rPr>
        <w:t>Drug and alcohol review</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37 Suppl 2</w:t>
      </w:r>
      <w:r w:rsidRPr="00485321">
        <w:rPr>
          <w:rFonts w:ascii="Times New Roman" w:eastAsia="Arial Unicode MS" w:hAnsi="Times New Roman" w:cs="Times New Roman"/>
          <w:lang w:val="en-US"/>
        </w:rPr>
        <w:t>(Suppl 2), S10–S17. https://doi.org/10.1111/dar.12650</w:t>
      </w:r>
    </w:p>
    <w:p w14:paraId="46EA70EC"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lang w:val="en-US"/>
        </w:rPr>
        <w:t xml:space="preserve">Iqbal, S. (2023). Cultural factors influencing the eating </w:t>
      </w:r>
      <w:proofErr w:type="spellStart"/>
      <w:r w:rsidRPr="00485321">
        <w:rPr>
          <w:rFonts w:ascii="Times New Roman" w:eastAsia="Arial Unicode MS" w:hAnsi="Times New Roman" w:cs="Times New Roman"/>
          <w:lang w:val="en-US"/>
        </w:rPr>
        <w:t>behaviours</w:t>
      </w:r>
      <w:proofErr w:type="spellEnd"/>
      <w:r w:rsidRPr="00485321">
        <w:rPr>
          <w:rFonts w:ascii="Times New Roman" w:eastAsia="Arial Unicode MS" w:hAnsi="Times New Roman" w:cs="Times New Roman"/>
          <w:lang w:val="en-US"/>
        </w:rPr>
        <w:t xml:space="preserve"> of type 2 diabetes in the British South-Asian population: A scoping review of the literature. </w:t>
      </w:r>
      <w:r w:rsidRPr="00485321">
        <w:rPr>
          <w:rFonts w:ascii="Times New Roman" w:eastAsia="Arial Unicode MS" w:hAnsi="Times New Roman" w:cs="Times New Roman"/>
          <w:i/>
          <w:iCs/>
          <w:lang w:val="en-US"/>
        </w:rPr>
        <w:t>Journal of Global Health Reports</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7</w:t>
      </w:r>
      <w:r w:rsidRPr="00485321">
        <w:rPr>
          <w:rFonts w:ascii="Times New Roman" w:eastAsia="Arial Unicode MS" w:hAnsi="Times New Roman" w:cs="Times New Roman"/>
          <w:lang w:val="en-US"/>
        </w:rPr>
        <w:t>, e2023050. https://doi.org/10.29392/001c.84191</w:t>
      </w:r>
    </w:p>
    <w:p w14:paraId="2AFAD9CA"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lang w:val="nl-NL"/>
        </w:rPr>
      </w:pPr>
      <w:r w:rsidRPr="00485321">
        <w:rPr>
          <w:rFonts w:ascii="Times New Roman" w:eastAsia="Arial Unicode MS" w:hAnsi="Times New Roman" w:cs="Times New Roman"/>
          <w:lang w:val="en-US"/>
        </w:rPr>
        <w:t>Islam, K. F., Awal, A., Mazumder, H., Munni, U. R., Majumder, K., Afroz, K., Tabassum, M. N., and Hossain, M. M. (2023). Social cognitive theory-based health promotion in primary care practice: A scoping review. </w:t>
      </w:r>
      <w:r w:rsidRPr="00485321">
        <w:rPr>
          <w:rFonts w:ascii="Times New Roman" w:eastAsia="Arial Unicode MS" w:hAnsi="Times New Roman" w:cs="Times New Roman"/>
          <w:i/>
          <w:iCs/>
          <w:lang w:val="nl-NL"/>
        </w:rPr>
        <w:t>Heliyon</w:t>
      </w:r>
      <w:r w:rsidRPr="00485321">
        <w:rPr>
          <w:rFonts w:ascii="Times New Roman" w:eastAsia="Arial Unicode MS" w:hAnsi="Times New Roman" w:cs="Times New Roman"/>
          <w:lang w:val="nl-NL"/>
        </w:rPr>
        <w:t>, </w:t>
      </w:r>
      <w:r w:rsidRPr="00485321">
        <w:rPr>
          <w:rFonts w:ascii="Times New Roman" w:eastAsia="Arial Unicode MS" w:hAnsi="Times New Roman" w:cs="Times New Roman"/>
          <w:i/>
          <w:iCs/>
          <w:lang w:val="nl-NL"/>
        </w:rPr>
        <w:t>9</w:t>
      </w:r>
      <w:r w:rsidRPr="00485321">
        <w:rPr>
          <w:rFonts w:ascii="Times New Roman" w:eastAsia="Arial Unicode MS" w:hAnsi="Times New Roman" w:cs="Times New Roman"/>
          <w:lang w:val="nl-NL"/>
        </w:rPr>
        <w:t>(4), e14889. https://doi.org/10.1016/j.heliyon.2023.e14889</w:t>
      </w:r>
    </w:p>
    <w:p w14:paraId="7481DBDE"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lang w:val="nl-NL"/>
        </w:rPr>
        <w:t xml:space="preserve">Joosten, M. M., Grobbee, D. E., van der A, D. L., Verschuren, W. M., Hendriks, H. F., and Beulens, J. W. (2010). </w:t>
      </w:r>
      <w:r w:rsidRPr="00485321">
        <w:rPr>
          <w:rFonts w:ascii="Times New Roman" w:eastAsia="Arial Unicode MS" w:hAnsi="Times New Roman" w:cs="Times New Roman"/>
          <w:lang w:val="en-US"/>
        </w:rPr>
        <w:t>Combined effect of alcohol consumption and lifestyle behaviors on risk of type 2 diabetes. </w:t>
      </w:r>
      <w:r w:rsidRPr="00485321">
        <w:rPr>
          <w:rFonts w:ascii="Times New Roman" w:eastAsia="Arial Unicode MS" w:hAnsi="Times New Roman" w:cs="Times New Roman"/>
          <w:i/>
          <w:iCs/>
          <w:lang w:val="en-US"/>
        </w:rPr>
        <w:t>The American journal of clinical nutrition</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91</w:t>
      </w:r>
      <w:r w:rsidRPr="00485321">
        <w:rPr>
          <w:rFonts w:ascii="Times New Roman" w:eastAsia="Arial Unicode MS" w:hAnsi="Times New Roman" w:cs="Times New Roman"/>
          <w:lang w:val="en-US"/>
        </w:rPr>
        <w:t>(6), 1777–1783. https://doi.org/10.3945/ajcn.2010.29170</w:t>
      </w:r>
    </w:p>
    <w:p w14:paraId="34DCCA69"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lang w:val="en-US"/>
        </w:rPr>
        <w:t>Kang, Q., Sun, J., Wang, B., and Sun, B. (2023). Wine, beer and Chinese Baijiu in relation to cardiovascular health: The impact of moderate drinking. </w:t>
      </w:r>
      <w:r w:rsidRPr="00485321">
        <w:rPr>
          <w:rFonts w:ascii="Times New Roman" w:eastAsia="Arial Unicode MS" w:hAnsi="Times New Roman" w:cs="Times New Roman"/>
          <w:i/>
          <w:iCs/>
          <w:lang w:val="en-US"/>
        </w:rPr>
        <w:t>Food Science and Human Wellness</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12</w:t>
      </w:r>
      <w:r w:rsidRPr="00485321">
        <w:rPr>
          <w:rFonts w:ascii="Times New Roman" w:eastAsia="Arial Unicode MS" w:hAnsi="Times New Roman" w:cs="Times New Roman"/>
          <w:lang w:val="en-US"/>
        </w:rPr>
        <w:t>(1), 1–13. https://doi.org/10.1016/j.fshw.2022.07.013</w:t>
      </w:r>
    </w:p>
    <w:p w14:paraId="154DF43D"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lang w:val="en-US"/>
        </w:rPr>
        <w:t>Kim, S. J., and Kim, D. J. (2012). Alcoholism and diabetes mellitus. </w:t>
      </w:r>
      <w:r w:rsidRPr="00485321">
        <w:rPr>
          <w:rFonts w:ascii="Times New Roman" w:eastAsia="Arial Unicode MS" w:hAnsi="Times New Roman" w:cs="Times New Roman"/>
          <w:i/>
          <w:iCs/>
          <w:lang w:val="en-US"/>
        </w:rPr>
        <w:t>Diabetes and metabolism journal</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36</w:t>
      </w:r>
      <w:r w:rsidRPr="00485321">
        <w:rPr>
          <w:rFonts w:ascii="Times New Roman" w:eastAsia="Arial Unicode MS" w:hAnsi="Times New Roman" w:cs="Times New Roman"/>
          <w:lang w:val="en-US"/>
        </w:rPr>
        <w:t>(2), 108–115. https://doi.org/10.4093/dmj.2012.36.2.108</w:t>
      </w:r>
    </w:p>
    <w:p w14:paraId="6A9F96AF" w14:textId="77777777" w:rsidR="00A054A2" w:rsidRPr="00485321" w:rsidRDefault="00A054A2" w:rsidP="00A054A2">
      <w:pPr>
        <w:spacing w:after="160" w:line="360" w:lineRule="auto"/>
        <w:ind w:left="720" w:hanging="720"/>
        <w:jc w:val="both"/>
        <w:rPr>
          <w:rFonts w:ascii="Times New Roman" w:hAnsi="Times New Roman" w:cs="Times New Roman"/>
        </w:rPr>
      </w:pPr>
      <w:r w:rsidRPr="00485321">
        <w:rPr>
          <w:rFonts w:ascii="Times New Roman" w:hAnsi="Times New Roman" w:cs="Times New Roman"/>
          <w:lang w:val="en-US"/>
        </w:rPr>
        <w:t>Knott, C. S., Britton, A., and Bell, S. (2018). Trajectories of alcohol consumption prior to the diagnosis of type 2 diabetes: A longitudinal case-cohort study. </w:t>
      </w:r>
      <w:r w:rsidRPr="00485321">
        <w:rPr>
          <w:rFonts w:ascii="Times New Roman" w:hAnsi="Times New Roman" w:cs="Times New Roman"/>
          <w:i/>
          <w:iCs/>
          <w:lang w:val="en-US"/>
        </w:rPr>
        <w:t>International journal of epidemiology</w:t>
      </w:r>
      <w:r w:rsidRPr="00485321">
        <w:rPr>
          <w:rFonts w:ascii="Times New Roman" w:hAnsi="Times New Roman" w:cs="Times New Roman"/>
          <w:lang w:val="en-US"/>
        </w:rPr>
        <w:t>, </w:t>
      </w:r>
      <w:r w:rsidRPr="00485321">
        <w:rPr>
          <w:rFonts w:ascii="Times New Roman" w:hAnsi="Times New Roman" w:cs="Times New Roman"/>
          <w:i/>
          <w:iCs/>
          <w:lang w:val="en-US"/>
        </w:rPr>
        <w:t>47</w:t>
      </w:r>
      <w:r w:rsidRPr="00485321">
        <w:rPr>
          <w:rFonts w:ascii="Times New Roman" w:hAnsi="Times New Roman" w:cs="Times New Roman"/>
          <w:lang w:val="en-US"/>
        </w:rPr>
        <w:t>(3), 953–965. https://doi.org/10.1093/ije/dyx274</w:t>
      </w:r>
      <w:r w:rsidRPr="00485321">
        <w:rPr>
          <w:rFonts w:ascii="Times New Roman" w:hAnsi="Times New Roman" w:cs="Times New Roman"/>
        </w:rPr>
        <w:t xml:space="preserve"> </w:t>
      </w:r>
    </w:p>
    <w:p w14:paraId="07649F34"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lang w:val="en-US"/>
        </w:rPr>
        <w:t xml:space="preserve">Krieger, H., Young, C. M., </w:t>
      </w:r>
      <w:proofErr w:type="spellStart"/>
      <w:r w:rsidRPr="00485321">
        <w:rPr>
          <w:rFonts w:ascii="Times New Roman" w:eastAsia="Arial Unicode MS" w:hAnsi="Times New Roman" w:cs="Times New Roman"/>
          <w:lang w:val="en-US"/>
        </w:rPr>
        <w:t>Anthenien</w:t>
      </w:r>
      <w:proofErr w:type="spellEnd"/>
      <w:r w:rsidRPr="00485321">
        <w:rPr>
          <w:rFonts w:ascii="Times New Roman" w:eastAsia="Arial Unicode MS" w:hAnsi="Times New Roman" w:cs="Times New Roman"/>
          <w:lang w:val="en-US"/>
        </w:rPr>
        <w:t>, A. M., and Neighbors, C. (2018). The epidemiology of binge drinking among college-age individuals in the United States. </w:t>
      </w:r>
      <w:r w:rsidRPr="00485321">
        <w:rPr>
          <w:rFonts w:ascii="Times New Roman" w:eastAsia="Arial Unicode MS" w:hAnsi="Times New Roman" w:cs="Times New Roman"/>
          <w:i/>
          <w:iCs/>
          <w:lang w:val="en-US"/>
        </w:rPr>
        <w:t>Alcohol research: current reviews</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39</w:t>
      </w:r>
      <w:r w:rsidRPr="00485321">
        <w:rPr>
          <w:rFonts w:ascii="Times New Roman" w:eastAsia="Arial Unicode MS" w:hAnsi="Times New Roman" w:cs="Times New Roman"/>
          <w:lang w:val="en-US"/>
        </w:rPr>
        <w:t>(1), 23–30.</w:t>
      </w:r>
    </w:p>
    <w:p w14:paraId="3A3C4962" w14:textId="77777777" w:rsidR="00A054A2" w:rsidRPr="00485321" w:rsidRDefault="00A054A2" w:rsidP="00A054A2">
      <w:pPr>
        <w:spacing w:after="160" w:line="360" w:lineRule="auto"/>
        <w:ind w:left="720" w:hanging="720"/>
        <w:jc w:val="both"/>
        <w:rPr>
          <w:rFonts w:ascii="Times New Roman" w:hAnsi="Times New Roman" w:cs="Times New Roman"/>
        </w:rPr>
      </w:pPr>
      <w:r w:rsidRPr="00485321">
        <w:rPr>
          <w:rFonts w:ascii="Times New Roman" w:hAnsi="Times New Roman" w:cs="Times New Roman"/>
          <w:lang w:val="en-US"/>
        </w:rPr>
        <w:lastRenderedPageBreak/>
        <w:t xml:space="preserve">Lankester, J., Zanetti, D., Ingelsson, E., and </w:t>
      </w:r>
      <w:proofErr w:type="spellStart"/>
      <w:r w:rsidRPr="00485321">
        <w:rPr>
          <w:rFonts w:ascii="Times New Roman" w:hAnsi="Times New Roman" w:cs="Times New Roman"/>
          <w:lang w:val="en-US"/>
        </w:rPr>
        <w:t>Assimes</w:t>
      </w:r>
      <w:proofErr w:type="spellEnd"/>
      <w:r w:rsidRPr="00485321">
        <w:rPr>
          <w:rFonts w:ascii="Times New Roman" w:hAnsi="Times New Roman" w:cs="Times New Roman"/>
          <w:lang w:val="en-US"/>
        </w:rPr>
        <w:t>, T. L. (2021). Alcohol use and cardiometabolic risk in the UK Biobank: A Mendelian randomization study. </w:t>
      </w:r>
      <w:proofErr w:type="spellStart"/>
      <w:r w:rsidRPr="00485321">
        <w:rPr>
          <w:rFonts w:ascii="Times New Roman" w:hAnsi="Times New Roman" w:cs="Times New Roman"/>
          <w:i/>
          <w:iCs/>
          <w:lang w:val="en-US"/>
        </w:rPr>
        <w:t>PloS</w:t>
      </w:r>
      <w:proofErr w:type="spellEnd"/>
      <w:r w:rsidRPr="00485321">
        <w:rPr>
          <w:rFonts w:ascii="Times New Roman" w:hAnsi="Times New Roman" w:cs="Times New Roman"/>
          <w:i/>
          <w:iCs/>
          <w:lang w:val="en-US"/>
        </w:rPr>
        <w:t xml:space="preserve"> one</w:t>
      </w:r>
      <w:r w:rsidRPr="00485321">
        <w:rPr>
          <w:rFonts w:ascii="Times New Roman" w:hAnsi="Times New Roman" w:cs="Times New Roman"/>
          <w:lang w:val="en-US"/>
        </w:rPr>
        <w:t>, </w:t>
      </w:r>
      <w:r w:rsidRPr="00485321">
        <w:rPr>
          <w:rFonts w:ascii="Times New Roman" w:hAnsi="Times New Roman" w:cs="Times New Roman"/>
          <w:i/>
          <w:iCs/>
          <w:lang w:val="en-US"/>
        </w:rPr>
        <w:t>16</w:t>
      </w:r>
      <w:r w:rsidRPr="00485321">
        <w:rPr>
          <w:rFonts w:ascii="Times New Roman" w:hAnsi="Times New Roman" w:cs="Times New Roman"/>
          <w:lang w:val="en-US"/>
        </w:rPr>
        <w:t>(8), e0255801. https://doi.org/10.1371/journal.pone.0255801</w:t>
      </w:r>
      <w:r w:rsidRPr="00485321">
        <w:rPr>
          <w:rFonts w:ascii="Times New Roman" w:hAnsi="Times New Roman" w:cs="Times New Roman"/>
        </w:rPr>
        <w:t xml:space="preserve"> </w:t>
      </w:r>
    </w:p>
    <w:p w14:paraId="35D816FC"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lang w:val="en-US"/>
        </w:rPr>
        <w:t xml:space="preserve">Li, X., Hur, J., Smith-Warner, S. A., Song, M., Liang, L., </w:t>
      </w:r>
      <w:proofErr w:type="spellStart"/>
      <w:r w:rsidRPr="00485321">
        <w:rPr>
          <w:rFonts w:ascii="Times New Roman" w:eastAsia="Arial Unicode MS" w:hAnsi="Times New Roman" w:cs="Times New Roman"/>
          <w:lang w:val="en-US"/>
        </w:rPr>
        <w:t>Mukamal</w:t>
      </w:r>
      <w:proofErr w:type="spellEnd"/>
      <w:r w:rsidRPr="00485321">
        <w:rPr>
          <w:rFonts w:ascii="Times New Roman" w:eastAsia="Arial Unicode MS" w:hAnsi="Times New Roman" w:cs="Times New Roman"/>
          <w:lang w:val="en-US"/>
        </w:rPr>
        <w:t>, K. J., Rimm, E. B., and Giovannucci, E. L. (2025). Alcohol intake, drinking pattern, and risk of type 2 diabetes in three prospective cohorts of U.S. women and men. </w:t>
      </w:r>
      <w:r w:rsidRPr="00485321">
        <w:rPr>
          <w:rFonts w:ascii="Times New Roman" w:eastAsia="Arial Unicode MS" w:hAnsi="Times New Roman" w:cs="Times New Roman"/>
          <w:i/>
          <w:iCs/>
          <w:lang w:val="en-US"/>
        </w:rPr>
        <w:t>Diabetes care</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48</w:t>
      </w:r>
      <w:r w:rsidRPr="00485321">
        <w:rPr>
          <w:rFonts w:ascii="Times New Roman" w:eastAsia="Arial Unicode MS" w:hAnsi="Times New Roman" w:cs="Times New Roman"/>
          <w:lang w:val="en-US"/>
        </w:rPr>
        <w:t>(7), 1189–1197. https://doi.org/10.2337/dc24-1902</w:t>
      </w:r>
    </w:p>
    <w:p w14:paraId="3DF687FB"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lang w:val="en-US"/>
        </w:rPr>
        <w:t xml:space="preserve">Liu, A. Y., Silvestre, M. P., and </w:t>
      </w:r>
      <w:proofErr w:type="spellStart"/>
      <w:r w:rsidRPr="00485321">
        <w:rPr>
          <w:rFonts w:ascii="Times New Roman" w:eastAsia="Arial Unicode MS" w:hAnsi="Times New Roman" w:cs="Times New Roman"/>
          <w:lang w:val="en-US"/>
        </w:rPr>
        <w:t>Poppitt</w:t>
      </w:r>
      <w:proofErr w:type="spellEnd"/>
      <w:r w:rsidRPr="00485321">
        <w:rPr>
          <w:rFonts w:ascii="Times New Roman" w:eastAsia="Arial Unicode MS" w:hAnsi="Times New Roman" w:cs="Times New Roman"/>
          <w:lang w:val="en-US"/>
        </w:rPr>
        <w:t xml:space="preserve">, S. D. (2015). Prevention of type 2 diabetes through lifestyle modification: Is there a role for higher-protein </w:t>
      </w:r>
      <w:proofErr w:type="gramStart"/>
      <w:r w:rsidRPr="00485321">
        <w:rPr>
          <w:rFonts w:ascii="Times New Roman" w:eastAsia="Arial Unicode MS" w:hAnsi="Times New Roman" w:cs="Times New Roman"/>
          <w:lang w:val="en-US"/>
        </w:rPr>
        <w:t>diets?.</w:t>
      </w:r>
      <w:proofErr w:type="gramEnd"/>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Advances in nutrition (Bethesda, Md.)</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6</w:t>
      </w:r>
      <w:r w:rsidRPr="00485321">
        <w:rPr>
          <w:rFonts w:ascii="Times New Roman" w:eastAsia="Arial Unicode MS" w:hAnsi="Times New Roman" w:cs="Times New Roman"/>
          <w:lang w:val="en-US"/>
        </w:rPr>
        <w:t>(6), 665–673. https://doi.org/10.3945/an.115.008821</w:t>
      </w:r>
    </w:p>
    <w:p w14:paraId="35CB7822"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lang w:val="en-US"/>
        </w:rPr>
        <w:t>Llerena, S., Arias-</w:t>
      </w:r>
      <w:proofErr w:type="spellStart"/>
      <w:r w:rsidRPr="00485321">
        <w:rPr>
          <w:rFonts w:ascii="Times New Roman" w:eastAsia="Arial Unicode MS" w:hAnsi="Times New Roman" w:cs="Times New Roman"/>
          <w:lang w:val="en-US"/>
        </w:rPr>
        <w:t>Loste</w:t>
      </w:r>
      <w:proofErr w:type="spellEnd"/>
      <w:r w:rsidRPr="00485321">
        <w:rPr>
          <w:rFonts w:ascii="Times New Roman" w:eastAsia="Arial Unicode MS" w:hAnsi="Times New Roman" w:cs="Times New Roman"/>
          <w:lang w:val="en-US"/>
        </w:rPr>
        <w:t xml:space="preserve">, M. T., Puente, A., Cabezas, J., Crespo, J., and </w:t>
      </w:r>
      <w:proofErr w:type="spellStart"/>
      <w:r w:rsidRPr="00485321">
        <w:rPr>
          <w:rFonts w:ascii="Times New Roman" w:eastAsia="Arial Unicode MS" w:hAnsi="Times New Roman" w:cs="Times New Roman"/>
          <w:lang w:val="en-US"/>
        </w:rPr>
        <w:t>Fábrega</w:t>
      </w:r>
      <w:proofErr w:type="spellEnd"/>
      <w:r w:rsidRPr="00485321">
        <w:rPr>
          <w:rFonts w:ascii="Times New Roman" w:eastAsia="Arial Unicode MS" w:hAnsi="Times New Roman" w:cs="Times New Roman"/>
          <w:lang w:val="en-US"/>
        </w:rPr>
        <w:t>, E. (2015). Binge drinking: Burden of liver disease and beyond. </w:t>
      </w:r>
      <w:r w:rsidRPr="00485321">
        <w:rPr>
          <w:rFonts w:ascii="Times New Roman" w:eastAsia="Arial Unicode MS" w:hAnsi="Times New Roman" w:cs="Times New Roman"/>
          <w:i/>
          <w:iCs/>
          <w:lang w:val="en-US"/>
        </w:rPr>
        <w:t>World journal of hepatology</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7</w:t>
      </w:r>
      <w:r w:rsidRPr="00485321">
        <w:rPr>
          <w:rFonts w:ascii="Times New Roman" w:eastAsia="Arial Unicode MS" w:hAnsi="Times New Roman" w:cs="Times New Roman"/>
          <w:lang w:val="en-US"/>
        </w:rPr>
        <w:t>(27), 2703–2715. https://doi.org/10.4254/wjh.v7.i27.2703</w:t>
      </w:r>
    </w:p>
    <w:p w14:paraId="59CC82EC" w14:textId="77777777" w:rsidR="00A054A2" w:rsidRPr="00485321" w:rsidRDefault="00A054A2" w:rsidP="00A054A2">
      <w:pPr>
        <w:spacing w:after="160" w:line="360" w:lineRule="auto"/>
        <w:ind w:left="720" w:hanging="720"/>
        <w:jc w:val="both"/>
        <w:rPr>
          <w:rFonts w:ascii="Times New Roman" w:hAnsi="Times New Roman" w:cs="Times New Roman"/>
        </w:rPr>
      </w:pPr>
      <w:r w:rsidRPr="00485321">
        <w:rPr>
          <w:rFonts w:ascii="Times New Roman" w:hAnsi="Times New Roman" w:cs="Times New Roman"/>
          <w:lang w:val="en-US"/>
        </w:rPr>
        <w:t>Lu, T., Nakanishi, T., Yoshiji, S., Butler-Laporte, G., Greenwood, C. M. T., and Richards, J. B. (2023). Dose-dependent association of alcohol consumption with obesity and type 2 diabetes: Mendelian randomization analyses. </w:t>
      </w:r>
      <w:r w:rsidRPr="00485321">
        <w:rPr>
          <w:rFonts w:ascii="Times New Roman" w:hAnsi="Times New Roman" w:cs="Times New Roman"/>
          <w:i/>
          <w:iCs/>
          <w:lang w:val="en-US"/>
        </w:rPr>
        <w:t>The Journal of clinical endocrinology and metabolism</w:t>
      </w:r>
      <w:r w:rsidRPr="00485321">
        <w:rPr>
          <w:rFonts w:ascii="Times New Roman" w:hAnsi="Times New Roman" w:cs="Times New Roman"/>
          <w:lang w:val="en-US"/>
        </w:rPr>
        <w:t>, </w:t>
      </w:r>
      <w:r w:rsidRPr="00485321">
        <w:rPr>
          <w:rFonts w:ascii="Times New Roman" w:hAnsi="Times New Roman" w:cs="Times New Roman"/>
          <w:i/>
          <w:iCs/>
          <w:lang w:val="en-US"/>
        </w:rPr>
        <w:t>108</w:t>
      </w:r>
      <w:r w:rsidRPr="00485321">
        <w:rPr>
          <w:rFonts w:ascii="Times New Roman" w:hAnsi="Times New Roman" w:cs="Times New Roman"/>
          <w:lang w:val="en-US"/>
        </w:rPr>
        <w:t>(12), 3320–3329. https://doi.org/10.1210/clinem/dgad324</w:t>
      </w:r>
    </w:p>
    <w:p w14:paraId="15C77805" w14:textId="77777777" w:rsidR="00A054A2" w:rsidRPr="00485321" w:rsidRDefault="00A054A2" w:rsidP="00A054A2">
      <w:pPr>
        <w:spacing w:after="160" w:line="360" w:lineRule="auto"/>
        <w:ind w:left="720" w:hanging="720"/>
        <w:jc w:val="both"/>
        <w:rPr>
          <w:rFonts w:ascii="Times New Roman" w:hAnsi="Times New Roman" w:cs="Times New Roman"/>
        </w:rPr>
      </w:pPr>
      <w:r w:rsidRPr="00485321">
        <w:rPr>
          <w:rFonts w:ascii="Times New Roman" w:hAnsi="Times New Roman" w:cs="Times New Roman"/>
          <w:lang w:val="en-US"/>
        </w:rPr>
        <w:t xml:space="preserve">Ma, H., Wang, X., Li, X., </w:t>
      </w:r>
      <w:proofErr w:type="spellStart"/>
      <w:r w:rsidRPr="00485321">
        <w:rPr>
          <w:rFonts w:ascii="Times New Roman" w:hAnsi="Times New Roman" w:cs="Times New Roman"/>
          <w:lang w:val="en-US"/>
        </w:rPr>
        <w:t>Heianza</w:t>
      </w:r>
      <w:proofErr w:type="spellEnd"/>
      <w:r w:rsidRPr="00485321">
        <w:rPr>
          <w:rFonts w:ascii="Times New Roman" w:hAnsi="Times New Roman" w:cs="Times New Roman"/>
          <w:lang w:val="en-US"/>
        </w:rPr>
        <w:t>, Y., and Qi, L. (2022). Moderate alcohol drinking with meals is related to lower incidence of type 2 diabetes. </w:t>
      </w:r>
      <w:r w:rsidRPr="00485321">
        <w:rPr>
          <w:rFonts w:ascii="Times New Roman" w:hAnsi="Times New Roman" w:cs="Times New Roman"/>
          <w:i/>
          <w:iCs/>
          <w:lang w:val="en-US"/>
        </w:rPr>
        <w:t>The American journal of clinical nutrition</w:t>
      </w:r>
      <w:r w:rsidRPr="00485321">
        <w:rPr>
          <w:rFonts w:ascii="Times New Roman" w:hAnsi="Times New Roman" w:cs="Times New Roman"/>
          <w:lang w:val="en-US"/>
        </w:rPr>
        <w:t>, </w:t>
      </w:r>
      <w:r w:rsidRPr="00485321">
        <w:rPr>
          <w:rFonts w:ascii="Times New Roman" w:hAnsi="Times New Roman" w:cs="Times New Roman"/>
          <w:i/>
          <w:iCs/>
          <w:lang w:val="en-US"/>
        </w:rPr>
        <w:t>116</w:t>
      </w:r>
      <w:r w:rsidRPr="00485321">
        <w:rPr>
          <w:rFonts w:ascii="Times New Roman" w:hAnsi="Times New Roman" w:cs="Times New Roman"/>
          <w:lang w:val="en-US"/>
        </w:rPr>
        <w:t>(6), 1507–1514. https://doi.org/10.1093/ajcn/nqac207</w:t>
      </w:r>
      <w:r w:rsidRPr="00485321">
        <w:rPr>
          <w:rFonts w:ascii="Times New Roman" w:hAnsi="Times New Roman" w:cs="Times New Roman"/>
        </w:rPr>
        <w:t xml:space="preserve"> </w:t>
      </w:r>
    </w:p>
    <w:p w14:paraId="20541AF4" w14:textId="77777777" w:rsidR="00A054A2" w:rsidRPr="00485321" w:rsidRDefault="00A054A2" w:rsidP="00A054A2">
      <w:pPr>
        <w:spacing w:after="160" w:line="360" w:lineRule="auto"/>
        <w:ind w:left="720" w:hanging="720"/>
        <w:jc w:val="both"/>
        <w:rPr>
          <w:rFonts w:ascii="Times New Roman" w:hAnsi="Times New Roman" w:cs="Times New Roman"/>
        </w:rPr>
      </w:pPr>
      <w:r w:rsidRPr="00485321">
        <w:rPr>
          <w:rFonts w:ascii="Times New Roman" w:hAnsi="Times New Roman" w:cs="Times New Roman"/>
          <w:lang w:val="en-US"/>
        </w:rPr>
        <w:t xml:space="preserve">Mayer, C. S., and </w:t>
      </w:r>
      <w:proofErr w:type="spellStart"/>
      <w:r w:rsidRPr="00485321">
        <w:rPr>
          <w:rFonts w:ascii="Times New Roman" w:hAnsi="Times New Roman" w:cs="Times New Roman"/>
          <w:lang w:val="en-US"/>
        </w:rPr>
        <w:t>Fontelo</w:t>
      </w:r>
      <w:proofErr w:type="spellEnd"/>
      <w:r w:rsidRPr="00485321">
        <w:rPr>
          <w:rFonts w:ascii="Times New Roman" w:hAnsi="Times New Roman" w:cs="Times New Roman"/>
          <w:lang w:val="en-US"/>
        </w:rPr>
        <w:t>, P. (2024). Alcohol consumption and its correlation with medical conditions: A UK Biobank study. </w:t>
      </w:r>
      <w:r w:rsidRPr="00485321">
        <w:rPr>
          <w:rFonts w:ascii="Times New Roman" w:hAnsi="Times New Roman" w:cs="Times New Roman"/>
          <w:i/>
          <w:iCs/>
          <w:lang w:val="en-US"/>
        </w:rPr>
        <w:t>Frontiers in public health</w:t>
      </w:r>
      <w:r w:rsidRPr="00485321">
        <w:rPr>
          <w:rFonts w:ascii="Times New Roman" w:hAnsi="Times New Roman" w:cs="Times New Roman"/>
          <w:lang w:val="en-US"/>
        </w:rPr>
        <w:t>, </w:t>
      </w:r>
      <w:r w:rsidRPr="00485321">
        <w:rPr>
          <w:rFonts w:ascii="Times New Roman" w:hAnsi="Times New Roman" w:cs="Times New Roman"/>
          <w:i/>
          <w:iCs/>
          <w:lang w:val="en-US"/>
        </w:rPr>
        <w:t>12</w:t>
      </w:r>
      <w:r w:rsidRPr="00485321">
        <w:rPr>
          <w:rFonts w:ascii="Times New Roman" w:hAnsi="Times New Roman" w:cs="Times New Roman"/>
          <w:lang w:val="en-US"/>
        </w:rPr>
        <w:t>, 1294492. https://doi.org/10.3389/fpubh.2024.1294492</w:t>
      </w:r>
      <w:r w:rsidRPr="00485321">
        <w:rPr>
          <w:rFonts w:ascii="Times New Roman" w:hAnsi="Times New Roman" w:cs="Times New Roman"/>
        </w:rPr>
        <w:t xml:space="preserve"> </w:t>
      </w:r>
    </w:p>
    <w:p w14:paraId="559AD2E3"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lang w:val="en-US"/>
        </w:rPr>
        <w:t>McCrae, N. (2008). Football and beer in the 1960s: Transformation of the British brewing industry and its impact on local identity. </w:t>
      </w:r>
      <w:r w:rsidRPr="00485321">
        <w:rPr>
          <w:rFonts w:ascii="Times New Roman" w:eastAsia="Arial Unicode MS" w:hAnsi="Times New Roman" w:cs="Times New Roman"/>
          <w:i/>
          <w:iCs/>
          <w:lang w:val="en-US"/>
        </w:rPr>
        <w:t>Sport in History</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28</w:t>
      </w:r>
      <w:r w:rsidRPr="00485321">
        <w:rPr>
          <w:rFonts w:ascii="Times New Roman" w:eastAsia="Arial Unicode MS" w:hAnsi="Times New Roman" w:cs="Times New Roman"/>
          <w:lang w:val="en-US"/>
        </w:rPr>
        <w:t>(2), 236</w:t>
      </w:r>
      <w:r w:rsidRPr="00485321">
        <w:rPr>
          <w:rFonts w:ascii="Times New Roman" w:hAnsi="Times New Roman" w:cs="Times New Roman"/>
          <w:lang w:val="en-US"/>
        </w:rPr>
        <w:t>–</w:t>
      </w:r>
      <w:r w:rsidRPr="00485321">
        <w:rPr>
          <w:rFonts w:ascii="Times New Roman" w:eastAsia="Arial Unicode MS" w:hAnsi="Times New Roman" w:cs="Times New Roman"/>
          <w:lang w:val="en-US"/>
        </w:rPr>
        <w:t>258. https://doi.org/10.1080/17460260802090727</w:t>
      </w:r>
    </w:p>
    <w:p w14:paraId="2F993CE9"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lang w:val="en-US"/>
        </w:rPr>
        <w:t xml:space="preserve">Meader, N., King, K., Moe-Byrne, T., Wright, K., Graham, H., Petticrew, M., Power, C., White, M., and Sowden, A. J. (2016). A systematic review on the clustering and co-occurrence of multiple risk </w:t>
      </w:r>
      <w:proofErr w:type="spellStart"/>
      <w:r w:rsidRPr="00485321">
        <w:rPr>
          <w:rFonts w:ascii="Times New Roman" w:eastAsia="Arial Unicode MS" w:hAnsi="Times New Roman" w:cs="Times New Roman"/>
          <w:lang w:val="en-US"/>
        </w:rPr>
        <w:t>behaviours</w:t>
      </w:r>
      <w:proofErr w:type="spellEnd"/>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BMC public health</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16</w:t>
      </w:r>
      <w:r w:rsidRPr="00485321">
        <w:rPr>
          <w:rFonts w:ascii="Times New Roman" w:eastAsia="Arial Unicode MS" w:hAnsi="Times New Roman" w:cs="Times New Roman"/>
          <w:lang w:val="en-US"/>
        </w:rPr>
        <w:t>, 657. https://doi.org/10.1186/s12889-016-3373-6</w:t>
      </w:r>
    </w:p>
    <w:p w14:paraId="24C28672"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proofErr w:type="spellStart"/>
      <w:r w:rsidRPr="00485321">
        <w:rPr>
          <w:rFonts w:ascii="Times New Roman" w:eastAsia="Times New Roman" w:hAnsi="Times New Roman" w:cs="Times New Roman"/>
          <w:color w:val="222222"/>
          <w:shd w:val="clear" w:color="auto" w:fill="FFFFFF"/>
          <w:lang w:val="en-US" w:bidi="ar-SA"/>
        </w:rPr>
        <w:t>Muilwijk</w:t>
      </w:r>
      <w:proofErr w:type="spellEnd"/>
      <w:r w:rsidRPr="00485321">
        <w:rPr>
          <w:rFonts w:ascii="Times New Roman" w:eastAsia="Times New Roman" w:hAnsi="Times New Roman" w:cs="Times New Roman"/>
          <w:color w:val="222222"/>
          <w:shd w:val="clear" w:color="auto" w:fill="FFFFFF"/>
          <w:lang w:val="en-US" w:bidi="ar-SA"/>
        </w:rPr>
        <w:t xml:space="preserve">, M., Bolijn, R., </w:t>
      </w:r>
      <w:proofErr w:type="spellStart"/>
      <w:r w:rsidRPr="00485321">
        <w:rPr>
          <w:rFonts w:ascii="Times New Roman" w:eastAsia="Times New Roman" w:hAnsi="Times New Roman" w:cs="Times New Roman"/>
          <w:color w:val="222222"/>
          <w:shd w:val="clear" w:color="auto" w:fill="FFFFFF"/>
          <w:lang w:val="en-US" w:bidi="ar-SA"/>
        </w:rPr>
        <w:t>Galenkamp</w:t>
      </w:r>
      <w:proofErr w:type="spellEnd"/>
      <w:r w:rsidRPr="00485321">
        <w:rPr>
          <w:rFonts w:ascii="Times New Roman" w:eastAsia="Times New Roman" w:hAnsi="Times New Roman" w:cs="Times New Roman"/>
          <w:color w:val="222222"/>
          <w:shd w:val="clear" w:color="auto" w:fill="FFFFFF"/>
          <w:lang w:val="en-US" w:bidi="ar-SA"/>
        </w:rPr>
        <w:t xml:space="preserve">, H., </w:t>
      </w:r>
      <w:proofErr w:type="spellStart"/>
      <w:r w:rsidRPr="00485321">
        <w:rPr>
          <w:rFonts w:ascii="Times New Roman" w:eastAsia="Times New Roman" w:hAnsi="Times New Roman" w:cs="Times New Roman"/>
          <w:color w:val="222222"/>
          <w:shd w:val="clear" w:color="auto" w:fill="FFFFFF"/>
          <w:lang w:val="en-US" w:bidi="ar-SA"/>
        </w:rPr>
        <w:t>Stronks</w:t>
      </w:r>
      <w:proofErr w:type="spellEnd"/>
      <w:r w:rsidRPr="00485321">
        <w:rPr>
          <w:rFonts w:ascii="Times New Roman" w:eastAsia="Times New Roman" w:hAnsi="Times New Roman" w:cs="Times New Roman"/>
          <w:color w:val="222222"/>
          <w:shd w:val="clear" w:color="auto" w:fill="FFFFFF"/>
          <w:lang w:val="en-US" w:bidi="ar-SA"/>
        </w:rPr>
        <w:t xml:space="preserve">, K., van Charante, E. M., and van </w:t>
      </w:r>
      <w:proofErr w:type="spellStart"/>
      <w:r w:rsidRPr="00485321">
        <w:rPr>
          <w:rFonts w:ascii="Times New Roman" w:eastAsia="Times New Roman" w:hAnsi="Times New Roman" w:cs="Times New Roman"/>
          <w:color w:val="222222"/>
          <w:shd w:val="clear" w:color="auto" w:fill="FFFFFF"/>
          <w:lang w:val="en-US" w:bidi="ar-SA"/>
        </w:rPr>
        <w:t>Valkengoed</w:t>
      </w:r>
      <w:proofErr w:type="spellEnd"/>
      <w:r w:rsidRPr="00485321">
        <w:rPr>
          <w:rFonts w:ascii="Times New Roman" w:eastAsia="Times New Roman" w:hAnsi="Times New Roman" w:cs="Times New Roman"/>
          <w:color w:val="222222"/>
          <w:shd w:val="clear" w:color="auto" w:fill="FFFFFF"/>
          <w:lang w:val="en-US" w:bidi="ar-SA"/>
        </w:rPr>
        <w:t>, I. G. M. (2022). The association between gender-related characteristics and type 2 diabetes risk in a multi-ethnic population: The HELIUS study. </w:t>
      </w:r>
      <w:r w:rsidRPr="00485321">
        <w:rPr>
          <w:rFonts w:ascii="Times New Roman" w:eastAsia="Times New Roman" w:hAnsi="Times New Roman" w:cs="Times New Roman"/>
          <w:i/>
          <w:iCs/>
          <w:color w:val="222222"/>
          <w:shd w:val="clear" w:color="auto" w:fill="FFFFFF"/>
          <w:lang w:val="en-US" w:bidi="ar-SA"/>
        </w:rPr>
        <w:t>Nutrition, metabolism, and cardiovascular diseases: NMCD</w:t>
      </w:r>
      <w:r w:rsidRPr="00485321">
        <w:rPr>
          <w:rFonts w:ascii="Times New Roman" w:eastAsia="Times New Roman" w:hAnsi="Times New Roman" w:cs="Times New Roman"/>
          <w:color w:val="222222"/>
          <w:shd w:val="clear" w:color="auto" w:fill="FFFFFF"/>
          <w:lang w:val="en-US" w:bidi="ar-SA"/>
        </w:rPr>
        <w:t>, </w:t>
      </w:r>
      <w:r w:rsidRPr="00485321">
        <w:rPr>
          <w:rFonts w:ascii="Times New Roman" w:eastAsia="Times New Roman" w:hAnsi="Times New Roman" w:cs="Times New Roman"/>
          <w:i/>
          <w:iCs/>
          <w:color w:val="222222"/>
          <w:shd w:val="clear" w:color="auto" w:fill="FFFFFF"/>
          <w:lang w:val="en-US" w:bidi="ar-SA"/>
        </w:rPr>
        <w:t>32</w:t>
      </w:r>
      <w:r w:rsidRPr="00485321">
        <w:rPr>
          <w:rFonts w:ascii="Times New Roman" w:eastAsia="Times New Roman" w:hAnsi="Times New Roman" w:cs="Times New Roman"/>
          <w:color w:val="222222"/>
          <w:shd w:val="clear" w:color="auto" w:fill="FFFFFF"/>
          <w:lang w:val="en-US" w:bidi="ar-SA"/>
        </w:rPr>
        <w:t>(1), 142–150. https://doi.org/10.1016/j.numecd.2021.09.015</w:t>
      </w:r>
    </w:p>
    <w:p w14:paraId="55AC880C"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lang w:val="en-US"/>
        </w:rPr>
        <w:lastRenderedPageBreak/>
        <w:t xml:space="preserve">Nakatani, R., Murata, T., Usui, T., </w:t>
      </w:r>
      <w:proofErr w:type="spellStart"/>
      <w:r w:rsidRPr="00485321">
        <w:rPr>
          <w:rFonts w:ascii="Times New Roman" w:eastAsia="Arial Unicode MS" w:hAnsi="Times New Roman" w:cs="Times New Roman"/>
          <w:lang w:val="en-US"/>
        </w:rPr>
        <w:t>Moriyoshi</w:t>
      </w:r>
      <w:proofErr w:type="spellEnd"/>
      <w:r w:rsidRPr="00485321">
        <w:rPr>
          <w:rFonts w:ascii="Times New Roman" w:eastAsia="Arial Unicode MS" w:hAnsi="Times New Roman" w:cs="Times New Roman"/>
          <w:lang w:val="en-US"/>
        </w:rPr>
        <w:t xml:space="preserve">, K., Komeda, T., Masuda, Y., Kakita-Kobayashi, M., Tagami, T., </w:t>
      </w:r>
      <w:proofErr w:type="spellStart"/>
      <w:r w:rsidRPr="00485321">
        <w:rPr>
          <w:rFonts w:ascii="Times New Roman" w:eastAsia="Arial Unicode MS" w:hAnsi="Times New Roman" w:cs="Times New Roman"/>
          <w:lang w:val="en-US"/>
        </w:rPr>
        <w:t>Imashuku</w:t>
      </w:r>
      <w:proofErr w:type="spellEnd"/>
      <w:r w:rsidRPr="00485321">
        <w:rPr>
          <w:rFonts w:ascii="Times New Roman" w:eastAsia="Arial Unicode MS" w:hAnsi="Times New Roman" w:cs="Times New Roman"/>
          <w:lang w:val="en-US"/>
        </w:rPr>
        <w:t xml:space="preserve">, S., Kono, S., Yamada, K., and </w:t>
      </w:r>
      <w:proofErr w:type="spellStart"/>
      <w:r w:rsidRPr="00485321">
        <w:rPr>
          <w:rFonts w:ascii="Times New Roman" w:eastAsia="Arial Unicode MS" w:hAnsi="Times New Roman" w:cs="Times New Roman"/>
          <w:lang w:val="en-US"/>
        </w:rPr>
        <w:t>Shimatsu</w:t>
      </w:r>
      <w:proofErr w:type="spellEnd"/>
      <w:r w:rsidRPr="00485321">
        <w:rPr>
          <w:rFonts w:ascii="Times New Roman" w:eastAsia="Arial Unicode MS" w:hAnsi="Times New Roman" w:cs="Times New Roman"/>
          <w:lang w:val="en-US"/>
        </w:rPr>
        <w:t>, A. (2018). Importance of the average glucose level and estimated glycated hemoglobin in a diabetic patient with hereditary hemolytic anemia and liver cirrhosis. </w:t>
      </w:r>
      <w:r w:rsidRPr="00485321">
        <w:rPr>
          <w:rFonts w:ascii="Times New Roman" w:eastAsia="Arial Unicode MS" w:hAnsi="Times New Roman" w:cs="Times New Roman"/>
          <w:i/>
          <w:iCs/>
          <w:lang w:val="en-US"/>
        </w:rPr>
        <w:t>Internal medicine (Tokyo, Japan)</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57</w:t>
      </w:r>
      <w:r w:rsidRPr="00485321">
        <w:rPr>
          <w:rFonts w:ascii="Times New Roman" w:eastAsia="Arial Unicode MS" w:hAnsi="Times New Roman" w:cs="Times New Roman"/>
          <w:lang w:val="en-US"/>
        </w:rPr>
        <w:t>(4), 537–543. https://doi.org/10.2169/internalmedicine.9135-17</w:t>
      </w:r>
      <w:r w:rsidRPr="00485321">
        <w:rPr>
          <w:rFonts w:ascii="Times New Roman" w:eastAsia="Arial Unicode MS" w:hAnsi="Times New Roman" w:cs="Times New Roman"/>
        </w:rPr>
        <w:t xml:space="preserve"> </w:t>
      </w:r>
    </w:p>
    <w:p w14:paraId="56EC1CE2"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proofErr w:type="spellStart"/>
      <w:r w:rsidRPr="00485321">
        <w:rPr>
          <w:rFonts w:ascii="Times New Roman" w:eastAsia="Arial Unicode MS" w:hAnsi="Times New Roman" w:cs="Times New Roman"/>
          <w:lang w:val="en-US"/>
        </w:rPr>
        <w:t>Omodara</w:t>
      </w:r>
      <w:proofErr w:type="spellEnd"/>
      <w:r w:rsidRPr="00485321">
        <w:rPr>
          <w:rFonts w:ascii="Times New Roman" w:eastAsia="Arial Unicode MS" w:hAnsi="Times New Roman" w:cs="Times New Roman"/>
          <w:lang w:val="en-US"/>
        </w:rPr>
        <w:t>, D. A., Gibson, L., and Bowpitt, G. (2022). Exploring the impact of cultural beliefs in the self-management of type 2 diabetes among Black sub-Saharan Africans in the UK - A qualitative study informed by the PEN-3 cultural model. </w:t>
      </w:r>
      <w:r w:rsidRPr="00485321">
        <w:rPr>
          <w:rFonts w:ascii="Times New Roman" w:eastAsia="Arial Unicode MS" w:hAnsi="Times New Roman" w:cs="Times New Roman"/>
          <w:i/>
          <w:iCs/>
          <w:lang w:val="en-US"/>
        </w:rPr>
        <w:t>Ethnicity and health</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27</w:t>
      </w:r>
      <w:r w:rsidRPr="00485321">
        <w:rPr>
          <w:rFonts w:ascii="Times New Roman" w:eastAsia="Arial Unicode MS" w:hAnsi="Times New Roman" w:cs="Times New Roman"/>
          <w:lang w:val="en-US"/>
        </w:rPr>
        <w:t>(6), 1358–1376. https://doi.org/10.1080/13557858.2021.1881764</w:t>
      </w:r>
    </w:p>
    <w:p w14:paraId="3B1CF2DA"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lang w:val="en-US"/>
        </w:rPr>
      </w:pPr>
      <w:r w:rsidRPr="00485321">
        <w:rPr>
          <w:rFonts w:ascii="Times New Roman" w:eastAsia="Arial Unicode MS" w:hAnsi="Times New Roman" w:cs="Times New Roman"/>
          <w:lang w:val="en-US"/>
        </w:rPr>
        <w:t xml:space="preserve">Page, M. J., McKenzie, J. E., Bossuyt, P. M., Boutron, I., Hoffmann, T. C., Mulrow, C. D., </w:t>
      </w:r>
      <w:proofErr w:type="spellStart"/>
      <w:r w:rsidRPr="00485321">
        <w:rPr>
          <w:rFonts w:ascii="Times New Roman" w:eastAsia="Arial Unicode MS" w:hAnsi="Times New Roman" w:cs="Times New Roman"/>
          <w:lang w:val="en-US"/>
        </w:rPr>
        <w:t>Shamseer</w:t>
      </w:r>
      <w:proofErr w:type="spellEnd"/>
      <w:r w:rsidRPr="00485321">
        <w:rPr>
          <w:rFonts w:ascii="Times New Roman" w:eastAsia="Arial Unicode MS" w:hAnsi="Times New Roman" w:cs="Times New Roman"/>
          <w:lang w:val="en-US"/>
        </w:rPr>
        <w:t>, L., Tetzlaff, J. M., Akl, E. A., Brennan, S. E., Chou, R., Glanville, J., Grimshaw, J. M., Hróbjartsson, A., Lalu, M. M., Li, T., Loder, E. W., Mayo-Wilson, E., McDonald, S., McGuinness, L. A., … Moher, D. (2021). The PRISMA 2020 statement: An updated guideline for reporting systematic reviews. </w:t>
      </w:r>
      <w:r w:rsidRPr="00485321">
        <w:rPr>
          <w:rFonts w:ascii="Times New Roman" w:eastAsia="Arial Unicode MS" w:hAnsi="Times New Roman" w:cs="Times New Roman"/>
          <w:i/>
          <w:iCs/>
          <w:lang w:val="en-US"/>
        </w:rPr>
        <w:t>BMJ (Clinical research ed.)</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372</w:t>
      </w:r>
      <w:r w:rsidRPr="00485321">
        <w:rPr>
          <w:rFonts w:ascii="Times New Roman" w:eastAsia="Arial Unicode MS" w:hAnsi="Times New Roman" w:cs="Times New Roman"/>
          <w:lang w:val="en-US"/>
        </w:rPr>
        <w:t>, n71. https://doi.org/10.1136/bmj.n71</w:t>
      </w:r>
    </w:p>
    <w:p w14:paraId="609D6C7C"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rPr>
        <w:t xml:space="preserve">Popay, J., Roberts, H., Sowden, A., Petticrew, M., Arai, L., Rodgers, M., Britten, N., Roen, K. and Duffy, S. (2006). Guidance on the conduct of narrative synthesis in systematic reviews. </w:t>
      </w:r>
      <w:r w:rsidRPr="00485321">
        <w:rPr>
          <w:rFonts w:ascii="Times New Roman" w:eastAsia="Arial Unicode MS" w:hAnsi="Times New Roman" w:cs="Times New Roman"/>
          <w:i/>
          <w:iCs/>
        </w:rPr>
        <w:t>A product from the ESRC methods programme</w:t>
      </w:r>
      <w:r w:rsidRPr="00485321">
        <w:rPr>
          <w:rFonts w:ascii="Times New Roman" w:eastAsia="Arial Unicode MS" w:hAnsi="Times New Roman" w:cs="Times New Roman"/>
        </w:rPr>
        <w:t xml:space="preserve"> Version, 1(1), b92.</w:t>
      </w:r>
    </w:p>
    <w:p w14:paraId="1257C257"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lang w:val="en-US"/>
        </w:rPr>
        <w:t xml:space="preserve">Rahelić, V., Perković, T., Romić, L., Perković, P., Klobučar, S., Pavić, E., and </w:t>
      </w:r>
      <w:proofErr w:type="spellStart"/>
      <w:r w:rsidRPr="00485321">
        <w:rPr>
          <w:rFonts w:ascii="Times New Roman" w:eastAsia="Arial Unicode MS" w:hAnsi="Times New Roman" w:cs="Times New Roman"/>
          <w:lang w:val="en-US"/>
        </w:rPr>
        <w:t>Rahelić</w:t>
      </w:r>
      <w:proofErr w:type="spellEnd"/>
      <w:r w:rsidRPr="00485321">
        <w:rPr>
          <w:rFonts w:ascii="Times New Roman" w:eastAsia="Arial Unicode MS" w:hAnsi="Times New Roman" w:cs="Times New Roman"/>
          <w:lang w:val="en-US"/>
        </w:rPr>
        <w:t>, D. (2024). The role of behavioral factors on chronic diseases - Practice and knowledge gaps. </w:t>
      </w:r>
      <w:r w:rsidRPr="00485321">
        <w:rPr>
          <w:rFonts w:ascii="Times New Roman" w:eastAsia="Arial Unicode MS" w:hAnsi="Times New Roman" w:cs="Times New Roman"/>
          <w:i/>
          <w:iCs/>
          <w:lang w:val="en-US"/>
        </w:rPr>
        <w:t>Healthcare (Basel, Switzerland)</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12</w:t>
      </w:r>
      <w:r w:rsidRPr="00485321">
        <w:rPr>
          <w:rFonts w:ascii="Times New Roman" w:eastAsia="Arial Unicode MS" w:hAnsi="Times New Roman" w:cs="Times New Roman"/>
          <w:lang w:val="en-US"/>
        </w:rPr>
        <w:t>(24), 2520. https://doi.org/10.3390/healthcare12242520.</w:t>
      </w:r>
    </w:p>
    <w:p w14:paraId="4BC74FA8"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lang w:val="en-US"/>
        </w:rPr>
        <w:t>Rai, H. K., Cavalcanti Barroso, A., Yates, L., Schneider, J., and Orrell, M. (2020). Involvement of people with dementia in the development of technology-based interventions: Narrative synthesis review and best practice guidelines. </w:t>
      </w:r>
      <w:r w:rsidRPr="00485321">
        <w:rPr>
          <w:rFonts w:ascii="Times New Roman" w:eastAsia="Arial Unicode MS" w:hAnsi="Times New Roman" w:cs="Times New Roman"/>
          <w:i/>
          <w:iCs/>
          <w:lang w:val="en-US"/>
        </w:rPr>
        <w:t>Journal of medical Internet research</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22</w:t>
      </w:r>
      <w:r w:rsidRPr="00485321">
        <w:rPr>
          <w:rFonts w:ascii="Times New Roman" w:eastAsia="Arial Unicode MS" w:hAnsi="Times New Roman" w:cs="Times New Roman"/>
          <w:lang w:val="en-US"/>
        </w:rPr>
        <w:t>(12), e17531. https://doi.org/10.2196/17531</w:t>
      </w:r>
      <w:r w:rsidRPr="00485321">
        <w:rPr>
          <w:rFonts w:ascii="Times New Roman" w:eastAsia="Arial Unicode MS" w:hAnsi="Times New Roman" w:cs="Times New Roman"/>
        </w:rPr>
        <w:t xml:space="preserve"> </w:t>
      </w:r>
    </w:p>
    <w:p w14:paraId="3847C7E2"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lang w:val="en-US"/>
        </w:rPr>
        <w:t xml:space="preserve">Reed, J., Bain, S., and </w:t>
      </w:r>
      <w:proofErr w:type="spellStart"/>
      <w:r w:rsidRPr="00485321">
        <w:rPr>
          <w:rFonts w:ascii="Times New Roman" w:eastAsia="Arial Unicode MS" w:hAnsi="Times New Roman" w:cs="Times New Roman"/>
          <w:lang w:val="en-US"/>
        </w:rPr>
        <w:t>Kanamarlapudi</w:t>
      </w:r>
      <w:proofErr w:type="spellEnd"/>
      <w:r w:rsidRPr="00485321">
        <w:rPr>
          <w:rFonts w:ascii="Times New Roman" w:eastAsia="Arial Unicode MS" w:hAnsi="Times New Roman" w:cs="Times New Roman"/>
          <w:lang w:val="en-US"/>
        </w:rPr>
        <w:t xml:space="preserve">, V. (2021). A review of current trends with type 2 diabetes epidemiology, </w:t>
      </w:r>
      <w:proofErr w:type="spellStart"/>
      <w:r w:rsidRPr="00485321">
        <w:rPr>
          <w:rFonts w:ascii="Times New Roman" w:eastAsia="Arial Unicode MS" w:hAnsi="Times New Roman" w:cs="Times New Roman"/>
          <w:lang w:val="en-US"/>
        </w:rPr>
        <w:t>aetiology</w:t>
      </w:r>
      <w:proofErr w:type="spellEnd"/>
      <w:r w:rsidRPr="00485321">
        <w:rPr>
          <w:rFonts w:ascii="Times New Roman" w:eastAsia="Arial Unicode MS" w:hAnsi="Times New Roman" w:cs="Times New Roman"/>
          <w:lang w:val="en-US"/>
        </w:rPr>
        <w:t>, pathogenesis, treatments and future perspectives. </w:t>
      </w:r>
      <w:r w:rsidRPr="00485321">
        <w:rPr>
          <w:rFonts w:ascii="Times New Roman" w:eastAsia="Arial Unicode MS" w:hAnsi="Times New Roman" w:cs="Times New Roman"/>
          <w:i/>
          <w:iCs/>
          <w:lang w:val="en-US"/>
        </w:rPr>
        <w:t>Diabetes, metabolic syndrome and obesity: targets and therapy</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14</w:t>
      </w:r>
      <w:r w:rsidRPr="00485321">
        <w:rPr>
          <w:rFonts w:ascii="Times New Roman" w:eastAsia="Arial Unicode MS" w:hAnsi="Times New Roman" w:cs="Times New Roman"/>
          <w:lang w:val="en-US"/>
        </w:rPr>
        <w:t>, 3567–3602. https://doi.org/10.2147/DMSO.S319895</w:t>
      </w:r>
    </w:p>
    <w:p w14:paraId="34CBF980" w14:textId="77777777" w:rsidR="00A054A2" w:rsidRPr="00485321" w:rsidRDefault="00A054A2" w:rsidP="00A054A2">
      <w:pPr>
        <w:spacing w:after="160" w:line="360" w:lineRule="auto"/>
        <w:ind w:left="720" w:hanging="720"/>
        <w:jc w:val="both"/>
        <w:rPr>
          <w:rFonts w:ascii="Times New Roman" w:hAnsi="Times New Roman" w:cs="Times New Roman"/>
          <w:color w:val="0000FF"/>
          <w:u w:val="single"/>
        </w:rPr>
      </w:pPr>
      <w:r w:rsidRPr="00485321">
        <w:rPr>
          <w:rFonts w:ascii="Times New Roman" w:hAnsi="Times New Roman" w:cs="Times New Roman"/>
          <w:lang w:val="en-US"/>
        </w:rPr>
        <w:t xml:space="preserve">Reed, Z. E., Sallis, H. M., Richmond, R. C., Attwood, A. S., Lawlor, D. A., and </w:t>
      </w:r>
      <w:proofErr w:type="spellStart"/>
      <w:r w:rsidRPr="00485321">
        <w:rPr>
          <w:rFonts w:ascii="Times New Roman" w:hAnsi="Times New Roman" w:cs="Times New Roman"/>
          <w:lang w:val="en-US"/>
        </w:rPr>
        <w:t>Munafò</w:t>
      </w:r>
      <w:proofErr w:type="spellEnd"/>
      <w:r w:rsidRPr="00485321">
        <w:rPr>
          <w:rFonts w:ascii="Times New Roman" w:hAnsi="Times New Roman" w:cs="Times New Roman"/>
          <w:lang w:val="en-US"/>
        </w:rPr>
        <w:t xml:space="preserve">, M. R. (2025). Investigating whether smoking and alcohol </w:t>
      </w:r>
      <w:proofErr w:type="spellStart"/>
      <w:r w:rsidRPr="00485321">
        <w:rPr>
          <w:rFonts w:ascii="Times New Roman" w:hAnsi="Times New Roman" w:cs="Times New Roman"/>
          <w:lang w:val="en-US"/>
        </w:rPr>
        <w:t>behaviours</w:t>
      </w:r>
      <w:proofErr w:type="spellEnd"/>
      <w:r w:rsidRPr="00485321">
        <w:rPr>
          <w:rFonts w:ascii="Times New Roman" w:hAnsi="Times New Roman" w:cs="Times New Roman"/>
          <w:lang w:val="en-US"/>
        </w:rPr>
        <w:t xml:space="preserve"> influence risk of type 2 diabetes using a Mendelian </w:t>
      </w:r>
      <w:proofErr w:type="spellStart"/>
      <w:r w:rsidRPr="00485321">
        <w:rPr>
          <w:rFonts w:ascii="Times New Roman" w:hAnsi="Times New Roman" w:cs="Times New Roman"/>
          <w:lang w:val="en-US"/>
        </w:rPr>
        <w:t>randomisation</w:t>
      </w:r>
      <w:proofErr w:type="spellEnd"/>
      <w:r w:rsidRPr="00485321">
        <w:rPr>
          <w:rFonts w:ascii="Times New Roman" w:hAnsi="Times New Roman" w:cs="Times New Roman"/>
          <w:lang w:val="en-US"/>
        </w:rPr>
        <w:t xml:space="preserve"> study. </w:t>
      </w:r>
      <w:r w:rsidRPr="00485321">
        <w:rPr>
          <w:rFonts w:ascii="Times New Roman" w:hAnsi="Times New Roman" w:cs="Times New Roman"/>
          <w:i/>
          <w:iCs/>
          <w:lang w:val="en-US"/>
        </w:rPr>
        <w:t>Scientific reports</w:t>
      </w:r>
      <w:r w:rsidRPr="00485321">
        <w:rPr>
          <w:rFonts w:ascii="Times New Roman" w:hAnsi="Times New Roman" w:cs="Times New Roman"/>
          <w:lang w:val="en-US"/>
        </w:rPr>
        <w:t>, </w:t>
      </w:r>
      <w:r w:rsidRPr="00485321">
        <w:rPr>
          <w:rFonts w:ascii="Times New Roman" w:hAnsi="Times New Roman" w:cs="Times New Roman"/>
          <w:i/>
          <w:iCs/>
          <w:lang w:val="en-US"/>
        </w:rPr>
        <w:t>15</w:t>
      </w:r>
      <w:r w:rsidRPr="00485321">
        <w:rPr>
          <w:rFonts w:ascii="Times New Roman" w:hAnsi="Times New Roman" w:cs="Times New Roman"/>
          <w:lang w:val="en-US"/>
        </w:rPr>
        <w:t>(1), 7985. https://doi.org/10.1038/s41598-025-90437-x</w:t>
      </w:r>
    </w:p>
    <w:p w14:paraId="102F7985"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lang w:val="en-US"/>
        </w:rPr>
        <w:lastRenderedPageBreak/>
        <w:t xml:space="preserve">Rosenberg, G., Bauld, L., Hooper, L., </w:t>
      </w:r>
      <w:proofErr w:type="spellStart"/>
      <w:r w:rsidRPr="00485321">
        <w:rPr>
          <w:rFonts w:ascii="Times New Roman" w:eastAsia="Arial Unicode MS" w:hAnsi="Times New Roman" w:cs="Times New Roman"/>
          <w:lang w:val="en-US"/>
        </w:rPr>
        <w:t>Buykx</w:t>
      </w:r>
      <w:proofErr w:type="spellEnd"/>
      <w:r w:rsidRPr="00485321">
        <w:rPr>
          <w:rFonts w:ascii="Times New Roman" w:eastAsia="Arial Unicode MS" w:hAnsi="Times New Roman" w:cs="Times New Roman"/>
          <w:lang w:val="en-US"/>
        </w:rPr>
        <w:t xml:space="preserve">, P., Holmes, J., and Vohra, J. (2018). New national alcohol guidelines in the UK: Public awareness, understanding and </w:t>
      </w:r>
      <w:proofErr w:type="spellStart"/>
      <w:r w:rsidRPr="00485321">
        <w:rPr>
          <w:rFonts w:ascii="Times New Roman" w:eastAsia="Arial Unicode MS" w:hAnsi="Times New Roman" w:cs="Times New Roman"/>
          <w:lang w:val="en-US"/>
        </w:rPr>
        <w:t>behavioural</w:t>
      </w:r>
      <w:proofErr w:type="spellEnd"/>
      <w:r w:rsidRPr="00485321">
        <w:rPr>
          <w:rFonts w:ascii="Times New Roman" w:eastAsia="Arial Unicode MS" w:hAnsi="Times New Roman" w:cs="Times New Roman"/>
          <w:lang w:val="en-US"/>
        </w:rPr>
        <w:t xml:space="preserve"> intentions. </w:t>
      </w:r>
      <w:r w:rsidRPr="00485321">
        <w:rPr>
          <w:rFonts w:ascii="Times New Roman" w:eastAsia="Arial Unicode MS" w:hAnsi="Times New Roman" w:cs="Times New Roman"/>
          <w:i/>
          <w:iCs/>
          <w:lang w:val="en-US"/>
        </w:rPr>
        <w:t>Journal of public health (Oxford, England)</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40</w:t>
      </w:r>
      <w:r w:rsidRPr="00485321">
        <w:rPr>
          <w:rFonts w:ascii="Times New Roman" w:eastAsia="Arial Unicode MS" w:hAnsi="Times New Roman" w:cs="Times New Roman"/>
          <w:lang w:val="en-US"/>
        </w:rPr>
        <w:t>(3), 549–556. https://doi.org/10.1093/pubmed/fdx126</w:t>
      </w:r>
    </w:p>
    <w:p w14:paraId="0855AAE0"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lang w:val="en-US"/>
        </w:rPr>
        <w:t xml:space="preserve">Sadiq I. Z. (2023). Lifestyle medicine </w:t>
      </w:r>
      <w:proofErr w:type="gramStart"/>
      <w:r w:rsidRPr="00485321">
        <w:rPr>
          <w:rFonts w:ascii="Times New Roman" w:eastAsia="Arial Unicode MS" w:hAnsi="Times New Roman" w:cs="Times New Roman"/>
          <w:lang w:val="en-US"/>
        </w:rPr>
        <w:t>as</w:t>
      </w:r>
      <w:proofErr w:type="gramEnd"/>
      <w:r w:rsidRPr="00485321">
        <w:rPr>
          <w:rFonts w:ascii="Times New Roman" w:eastAsia="Arial Unicode MS" w:hAnsi="Times New Roman" w:cs="Times New Roman"/>
          <w:lang w:val="en-US"/>
        </w:rPr>
        <w:t xml:space="preserve"> a modality for prevention and management of chronic diseases. </w:t>
      </w:r>
      <w:r w:rsidRPr="00485321">
        <w:rPr>
          <w:rFonts w:ascii="Times New Roman" w:eastAsia="Arial Unicode MS" w:hAnsi="Times New Roman" w:cs="Times New Roman"/>
          <w:i/>
          <w:iCs/>
          <w:lang w:val="en-US"/>
        </w:rPr>
        <w:t>Journal of Taibah University Medical Sciences</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18</w:t>
      </w:r>
      <w:r w:rsidRPr="00485321">
        <w:rPr>
          <w:rFonts w:ascii="Times New Roman" w:eastAsia="Arial Unicode MS" w:hAnsi="Times New Roman" w:cs="Times New Roman"/>
          <w:lang w:val="en-US"/>
        </w:rPr>
        <w:t>(5), 1115–1117. https://doi.org/10.1016/j.jtumed.2023.04.001</w:t>
      </w:r>
    </w:p>
    <w:p w14:paraId="598918C2"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lang w:val="en-US"/>
        </w:rPr>
        <w:t xml:space="preserve">Sattar, Z., Shrimpton, L., Alderson, H., </w:t>
      </w:r>
      <w:proofErr w:type="spellStart"/>
      <w:r w:rsidRPr="00485321">
        <w:rPr>
          <w:rFonts w:ascii="Times New Roman" w:eastAsia="Arial Unicode MS" w:hAnsi="Times New Roman" w:cs="Times New Roman"/>
          <w:lang w:val="en-US"/>
        </w:rPr>
        <w:t>Lhussier</w:t>
      </w:r>
      <w:proofErr w:type="spellEnd"/>
      <w:r w:rsidRPr="00485321">
        <w:rPr>
          <w:rFonts w:ascii="Times New Roman" w:eastAsia="Arial Unicode MS" w:hAnsi="Times New Roman" w:cs="Times New Roman"/>
          <w:lang w:val="en-US"/>
        </w:rPr>
        <w:t>, M., McGovern, R., and McGovern, W. (2024). British South Asian and Muslim community's perceptions and experiences of addiction and traditional drug and alcohol treatment services. </w:t>
      </w:r>
      <w:r w:rsidRPr="00485321">
        <w:rPr>
          <w:rFonts w:ascii="Times New Roman" w:eastAsia="Arial Unicode MS" w:hAnsi="Times New Roman" w:cs="Times New Roman"/>
          <w:i/>
          <w:iCs/>
          <w:lang w:val="en-US"/>
        </w:rPr>
        <w:t>International journal of environmental research and public health</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21</w:t>
      </w:r>
      <w:r w:rsidRPr="00485321">
        <w:rPr>
          <w:rFonts w:ascii="Times New Roman" w:eastAsia="Arial Unicode MS" w:hAnsi="Times New Roman" w:cs="Times New Roman"/>
          <w:lang w:val="en-US"/>
        </w:rPr>
        <w:t>(10), 1338. https://doi.org/10.3390/ijerph21101338</w:t>
      </w:r>
    </w:p>
    <w:p w14:paraId="7B87ABF4"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proofErr w:type="spellStart"/>
      <w:r w:rsidRPr="00485321">
        <w:rPr>
          <w:rFonts w:ascii="Times New Roman" w:eastAsia="Arial Unicode MS" w:hAnsi="Times New Roman" w:cs="Times New Roman"/>
          <w:lang w:val="en-US"/>
        </w:rPr>
        <w:t>Sudhinaraset</w:t>
      </w:r>
      <w:proofErr w:type="spellEnd"/>
      <w:r w:rsidRPr="00485321">
        <w:rPr>
          <w:rFonts w:ascii="Times New Roman" w:eastAsia="Arial Unicode MS" w:hAnsi="Times New Roman" w:cs="Times New Roman"/>
          <w:lang w:val="en-US"/>
        </w:rPr>
        <w:t>, M., Wigglesworth, C., and Takeuchi, D. T. (2016). Social and cultural contexts of alcohol use: Influences in a social-ecological framework. </w:t>
      </w:r>
      <w:r w:rsidRPr="00485321">
        <w:rPr>
          <w:rFonts w:ascii="Times New Roman" w:eastAsia="Arial Unicode MS" w:hAnsi="Times New Roman" w:cs="Times New Roman"/>
          <w:i/>
          <w:iCs/>
          <w:lang w:val="en-US"/>
        </w:rPr>
        <w:t>Alcohol research: current reviews</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38</w:t>
      </w:r>
      <w:r w:rsidRPr="00485321">
        <w:rPr>
          <w:rFonts w:ascii="Times New Roman" w:eastAsia="Arial Unicode MS" w:hAnsi="Times New Roman" w:cs="Times New Roman"/>
          <w:lang w:val="en-US"/>
        </w:rPr>
        <w:t>(1), 35–45.</w:t>
      </w:r>
    </w:p>
    <w:p w14:paraId="1EDCBBE9"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lang w:val="en-US"/>
        </w:rPr>
        <w:t>Thomson, L. J. M., and Chatterjee, H. J. (2024). Barriers and enablers of integrated care in the UK: A rapid evidence review of review articles and grey literature 2018-2022. </w:t>
      </w:r>
      <w:r w:rsidRPr="00485321">
        <w:rPr>
          <w:rFonts w:ascii="Times New Roman" w:eastAsia="Arial Unicode MS" w:hAnsi="Times New Roman" w:cs="Times New Roman"/>
          <w:i/>
          <w:iCs/>
          <w:lang w:val="en-US"/>
        </w:rPr>
        <w:t>Frontiers in public health</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11</w:t>
      </w:r>
      <w:r w:rsidRPr="00485321">
        <w:rPr>
          <w:rFonts w:ascii="Times New Roman" w:eastAsia="Arial Unicode MS" w:hAnsi="Times New Roman" w:cs="Times New Roman"/>
          <w:lang w:val="en-US"/>
        </w:rPr>
        <w:t xml:space="preserve">, 1286479. https://doi.org/10.3389/fpubh.2023.1286479 </w:t>
      </w:r>
    </w:p>
    <w:p w14:paraId="15218E52"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lang w:val="en-US"/>
        </w:rPr>
        <w:t xml:space="preserve">Tilg, H., Adolph, T. E., and </w:t>
      </w:r>
      <w:proofErr w:type="spellStart"/>
      <w:r w:rsidRPr="00485321">
        <w:rPr>
          <w:rFonts w:ascii="Times New Roman" w:eastAsia="Arial Unicode MS" w:hAnsi="Times New Roman" w:cs="Times New Roman"/>
          <w:lang w:val="en-US"/>
        </w:rPr>
        <w:t>Moschen</w:t>
      </w:r>
      <w:proofErr w:type="spellEnd"/>
      <w:r w:rsidRPr="00485321">
        <w:rPr>
          <w:rFonts w:ascii="Times New Roman" w:eastAsia="Arial Unicode MS" w:hAnsi="Times New Roman" w:cs="Times New Roman"/>
          <w:lang w:val="en-US"/>
        </w:rPr>
        <w:t>, A. R. (2021). Multiple parallel hits hypothesis in nonalcoholic fatty liver disease: Revisited after a decade. </w:t>
      </w:r>
      <w:r w:rsidRPr="00485321">
        <w:rPr>
          <w:rFonts w:ascii="Times New Roman" w:eastAsia="Arial Unicode MS" w:hAnsi="Times New Roman" w:cs="Times New Roman"/>
          <w:i/>
          <w:iCs/>
          <w:lang w:val="en-US"/>
        </w:rPr>
        <w:t>Hepatology (Baltimore, Md.)</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73</w:t>
      </w:r>
      <w:r w:rsidRPr="00485321">
        <w:rPr>
          <w:rFonts w:ascii="Times New Roman" w:eastAsia="Arial Unicode MS" w:hAnsi="Times New Roman" w:cs="Times New Roman"/>
          <w:lang w:val="en-US"/>
        </w:rPr>
        <w:t>(2), 833–842. https://doi.org/10.1002/hep.31518</w:t>
      </w:r>
    </w:p>
    <w:p w14:paraId="435DADDD"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lang w:val="en-US"/>
        </w:rPr>
        <w:t xml:space="preserve">Valencia Martín, J. L., Galán, I., Segura García, L., </w:t>
      </w:r>
      <w:proofErr w:type="spellStart"/>
      <w:r w:rsidRPr="00485321">
        <w:rPr>
          <w:rFonts w:ascii="Times New Roman" w:eastAsia="Arial Unicode MS" w:hAnsi="Times New Roman" w:cs="Times New Roman"/>
          <w:lang w:val="en-US"/>
        </w:rPr>
        <w:t>Camarelles</w:t>
      </w:r>
      <w:proofErr w:type="spellEnd"/>
      <w:r w:rsidRPr="00485321">
        <w:rPr>
          <w:rFonts w:ascii="Times New Roman" w:eastAsia="Arial Unicode MS" w:hAnsi="Times New Roman" w:cs="Times New Roman"/>
          <w:lang w:val="en-US"/>
        </w:rPr>
        <w:t xml:space="preserve"> Guillem, F., Suárez Cardona, M., and </w:t>
      </w:r>
      <w:proofErr w:type="spellStart"/>
      <w:r w:rsidRPr="00485321">
        <w:rPr>
          <w:rFonts w:ascii="Times New Roman" w:eastAsia="Arial Unicode MS" w:hAnsi="Times New Roman" w:cs="Times New Roman"/>
          <w:lang w:val="en-US"/>
        </w:rPr>
        <w:t>Brime</w:t>
      </w:r>
      <w:proofErr w:type="spellEnd"/>
      <w:r w:rsidRPr="00485321">
        <w:rPr>
          <w:rFonts w:ascii="Times New Roman" w:eastAsia="Arial Unicode MS" w:hAnsi="Times New Roman" w:cs="Times New Roman"/>
          <w:lang w:val="en-US"/>
        </w:rPr>
        <w:t xml:space="preserve"> Beteta, B. (2020). </w:t>
      </w:r>
      <w:proofErr w:type="spellStart"/>
      <w:r w:rsidRPr="00485321">
        <w:rPr>
          <w:rFonts w:ascii="Times New Roman" w:eastAsia="Arial Unicode MS" w:hAnsi="Times New Roman" w:cs="Times New Roman"/>
          <w:lang w:val="en-US"/>
        </w:rPr>
        <w:t>Episodios</w:t>
      </w:r>
      <w:proofErr w:type="spellEnd"/>
      <w:r w:rsidRPr="00485321">
        <w:rPr>
          <w:rFonts w:ascii="Times New Roman" w:eastAsia="Arial Unicode MS" w:hAnsi="Times New Roman" w:cs="Times New Roman"/>
          <w:lang w:val="en-US"/>
        </w:rPr>
        <w:t xml:space="preserve"> de </w:t>
      </w:r>
      <w:proofErr w:type="spellStart"/>
      <w:r w:rsidRPr="00485321">
        <w:rPr>
          <w:rFonts w:ascii="Times New Roman" w:eastAsia="Arial Unicode MS" w:hAnsi="Times New Roman" w:cs="Times New Roman"/>
          <w:lang w:val="en-US"/>
        </w:rPr>
        <w:t>consumo</w:t>
      </w:r>
      <w:proofErr w:type="spellEnd"/>
      <w:r w:rsidRPr="00485321">
        <w:rPr>
          <w:rFonts w:ascii="Times New Roman" w:eastAsia="Arial Unicode MS" w:hAnsi="Times New Roman" w:cs="Times New Roman"/>
          <w:lang w:val="en-US"/>
        </w:rPr>
        <w:t xml:space="preserve"> </w:t>
      </w:r>
      <w:proofErr w:type="spellStart"/>
      <w:r w:rsidRPr="00485321">
        <w:rPr>
          <w:rFonts w:ascii="Times New Roman" w:eastAsia="Arial Unicode MS" w:hAnsi="Times New Roman" w:cs="Times New Roman"/>
          <w:lang w:val="en-US"/>
        </w:rPr>
        <w:t>intensivo</w:t>
      </w:r>
      <w:proofErr w:type="spellEnd"/>
      <w:r w:rsidRPr="00485321">
        <w:rPr>
          <w:rFonts w:ascii="Times New Roman" w:eastAsia="Arial Unicode MS" w:hAnsi="Times New Roman" w:cs="Times New Roman"/>
          <w:lang w:val="en-US"/>
        </w:rPr>
        <w:t xml:space="preserve"> de alcohol “Binge drinking”: </w:t>
      </w:r>
      <w:proofErr w:type="spellStart"/>
      <w:r w:rsidRPr="00485321">
        <w:rPr>
          <w:rFonts w:ascii="Times New Roman" w:eastAsia="Arial Unicode MS" w:hAnsi="Times New Roman" w:cs="Times New Roman"/>
          <w:lang w:val="en-US"/>
        </w:rPr>
        <w:t>retos</w:t>
      </w:r>
      <w:proofErr w:type="spellEnd"/>
      <w:r w:rsidRPr="00485321">
        <w:rPr>
          <w:rFonts w:ascii="Times New Roman" w:eastAsia="Arial Unicode MS" w:hAnsi="Times New Roman" w:cs="Times New Roman"/>
          <w:lang w:val="en-US"/>
        </w:rPr>
        <w:t xml:space="preserve"> </w:t>
      </w:r>
      <w:proofErr w:type="spellStart"/>
      <w:r w:rsidRPr="00485321">
        <w:rPr>
          <w:rFonts w:ascii="Times New Roman" w:eastAsia="Arial Unicode MS" w:hAnsi="Times New Roman" w:cs="Times New Roman"/>
          <w:lang w:val="en-US"/>
        </w:rPr>
        <w:t>en</w:t>
      </w:r>
      <w:proofErr w:type="spellEnd"/>
      <w:r w:rsidRPr="00485321">
        <w:rPr>
          <w:rFonts w:ascii="Times New Roman" w:eastAsia="Arial Unicode MS" w:hAnsi="Times New Roman" w:cs="Times New Roman"/>
          <w:lang w:val="en-US"/>
        </w:rPr>
        <w:t xml:space="preserve"> </w:t>
      </w:r>
      <w:proofErr w:type="spellStart"/>
      <w:r w:rsidRPr="00485321">
        <w:rPr>
          <w:rFonts w:ascii="Times New Roman" w:eastAsia="Arial Unicode MS" w:hAnsi="Times New Roman" w:cs="Times New Roman"/>
          <w:lang w:val="en-US"/>
        </w:rPr>
        <w:t>su</w:t>
      </w:r>
      <w:proofErr w:type="spellEnd"/>
      <w:r w:rsidRPr="00485321">
        <w:rPr>
          <w:rFonts w:ascii="Times New Roman" w:eastAsia="Arial Unicode MS" w:hAnsi="Times New Roman" w:cs="Times New Roman"/>
          <w:lang w:val="en-US"/>
        </w:rPr>
        <w:t xml:space="preserve"> </w:t>
      </w:r>
      <w:proofErr w:type="spellStart"/>
      <w:r w:rsidRPr="00485321">
        <w:rPr>
          <w:rFonts w:ascii="Times New Roman" w:eastAsia="Arial Unicode MS" w:hAnsi="Times New Roman" w:cs="Times New Roman"/>
          <w:lang w:val="en-US"/>
        </w:rPr>
        <w:t>definición</w:t>
      </w:r>
      <w:proofErr w:type="spellEnd"/>
      <w:r w:rsidRPr="00485321">
        <w:rPr>
          <w:rFonts w:ascii="Times New Roman" w:eastAsia="Arial Unicode MS" w:hAnsi="Times New Roman" w:cs="Times New Roman"/>
          <w:lang w:val="en-US"/>
        </w:rPr>
        <w:t xml:space="preserve"> e </w:t>
      </w:r>
      <w:proofErr w:type="spellStart"/>
      <w:r w:rsidRPr="00485321">
        <w:rPr>
          <w:rFonts w:ascii="Times New Roman" w:eastAsia="Arial Unicode MS" w:hAnsi="Times New Roman" w:cs="Times New Roman"/>
          <w:lang w:val="en-US"/>
        </w:rPr>
        <w:t>impacto</w:t>
      </w:r>
      <w:proofErr w:type="spellEnd"/>
      <w:r w:rsidRPr="00485321">
        <w:rPr>
          <w:rFonts w:ascii="Times New Roman" w:eastAsia="Arial Unicode MS" w:hAnsi="Times New Roman" w:cs="Times New Roman"/>
          <w:lang w:val="en-US"/>
        </w:rPr>
        <w:t xml:space="preserve"> </w:t>
      </w:r>
      <w:proofErr w:type="spellStart"/>
      <w:r w:rsidRPr="00485321">
        <w:rPr>
          <w:rFonts w:ascii="Times New Roman" w:eastAsia="Arial Unicode MS" w:hAnsi="Times New Roman" w:cs="Times New Roman"/>
          <w:lang w:val="en-US"/>
        </w:rPr>
        <w:t>en</w:t>
      </w:r>
      <w:proofErr w:type="spellEnd"/>
      <w:r w:rsidRPr="00485321">
        <w:rPr>
          <w:rFonts w:ascii="Times New Roman" w:eastAsia="Arial Unicode MS" w:hAnsi="Times New Roman" w:cs="Times New Roman"/>
          <w:lang w:val="en-US"/>
        </w:rPr>
        <w:t xml:space="preserve"> </w:t>
      </w:r>
      <w:proofErr w:type="spellStart"/>
      <w:r w:rsidRPr="00485321">
        <w:rPr>
          <w:rFonts w:ascii="Times New Roman" w:eastAsia="Arial Unicode MS" w:hAnsi="Times New Roman" w:cs="Times New Roman"/>
          <w:lang w:val="en-US"/>
        </w:rPr>
        <w:t>salud</w:t>
      </w:r>
      <w:proofErr w:type="spellEnd"/>
      <w:r w:rsidRPr="00485321">
        <w:rPr>
          <w:rFonts w:ascii="Times New Roman" w:eastAsia="Arial Unicode MS" w:hAnsi="Times New Roman" w:cs="Times New Roman"/>
          <w:lang w:val="en-US"/>
        </w:rPr>
        <w:t xml:space="preserve"> [Binge drinking: the challenges of definition and its impact on health.]. </w:t>
      </w:r>
      <w:r w:rsidRPr="00485321">
        <w:rPr>
          <w:rFonts w:ascii="Times New Roman" w:eastAsia="Arial Unicode MS" w:hAnsi="Times New Roman" w:cs="Times New Roman"/>
          <w:i/>
          <w:iCs/>
          <w:lang w:val="en-US"/>
        </w:rPr>
        <w:t xml:space="preserve">Revista </w:t>
      </w:r>
      <w:proofErr w:type="spellStart"/>
      <w:r w:rsidRPr="00485321">
        <w:rPr>
          <w:rFonts w:ascii="Times New Roman" w:eastAsia="Arial Unicode MS" w:hAnsi="Times New Roman" w:cs="Times New Roman"/>
          <w:i/>
          <w:iCs/>
          <w:lang w:val="en-US"/>
        </w:rPr>
        <w:t>espanola</w:t>
      </w:r>
      <w:proofErr w:type="spellEnd"/>
      <w:r w:rsidRPr="00485321">
        <w:rPr>
          <w:rFonts w:ascii="Times New Roman" w:eastAsia="Arial Unicode MS" w:hAnsi="Times New Roman" w:cs="Times New Roman"/>
          <w:i/>
          <w:iCs/>
          <w:lang w:val="en-US"/>
        </w:rPr>
        <w:t xml:space="preserve"> de </w:t>
      </w:r>
      <w:proofErr w:type="spellStart"/>
      <w:r w:rsidRPr="00485321">
        <w:rPr>
          <w:rFonts w:ascii="Times New Roman" w:eastAsia="Arial Unicode MS" w:hAnsi="Times New Roman" w:cs="Times New Roman"/>
          <w:i/>
          <w:iCs/>
          <w:lang w:val="en-US"/>
        </w:rPr>
        <w:t>salud</w:t>
      </w:r>
      <w:proofErr w:type="spellEnd"/>
      <w:r w:rsidRPr="00485321">
        <w:rPr>
          <w:rFonts w:ascii="Times New Roman" w:eastAsia="Arial Unicode MS" w:hAnsi="Times New Roman" w:cs="Times New Roman"/>
          <w:i/>
          <w:iCs/>
          <w:lang w:val="en-US"/>
        </w:rPr>
        <w:t xml:space="preserve"> publica</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94</w:t>
      </w:r>
      <w:r w:rsidRPr="00485321">
        <w:rPr>
          <w:rFonts w:ascii="Times New Roman" w:eastAsia="Arial Unicode MS" w:hAnsi="Times New Roman" w:cs="Times New Roman"/>
          <w:lang w:val="en-US"/>
        </w:rPr>
        <w:t>, e202011170.</w:t>
      </w:r>
    </w:p>
    <w:p w14:paraId="7BE3DB76"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lang w:val="en-US"/>
        </w:rPr>
        <w:t xml:space="preserve">Viet Cuong, P., Casswell, S., Parker, K., Callinan, S., </w:t>
      </w:r>
      <w:proofErr w:type="spellStart"/>
      <w:r w:rsidRPr="00485321">
        <w:rPr>
          <w:rFonts w:ascii="Times New Roman" w:eastAsia="Arial Unicode MS" w:hAnsi="Times New Roman" w:cs="Times New Roman"/>
          <w:lang w:val="en-US"/>
        </w:rPr>
        <w:t>Chaiyasong</w:t>
      </w:r>
      <w:proofErr w:type="spellEnd"/>
      <w:r w:rsidRPr="00485321">
        <w:rPr>
          <w:rFonts w:ascii="Times New Roman" w:eastAsia="Arial Unicode MS" w:hAnsi="Times New Roman" w:cs="Times New Roman"/>
          <w:lang w:val="en-US"/>
        </w:rPr>
        <w:t xml:space="preserve">, S., Kazantseva, E., Meier, P., </w:t>
      </w:r>
      <w:proofErr w:type="spellStart"/>
      <w:r w:rsidRPr="00485321">
        <w:rPr>
          <w:rFonts w:ascii="Times New Roman" w:eastAsia="Arial Unicode MS" w:hAnsi="Times New Roman" w:cs="Times New Roman"/>
          <w:lang w:val="en-US"/>
        </w:rPr>
        <w:t>MacKintosh</w:t>
      </w:r>
      <w:proofErr w:type="spellEnd"/>
      <w:r w:rsidRPr="00485321">
        <w:rPr>
          <w:rFonts w:ascii="Times New Roman" w:eastAsia="Arial Unicode MS" w:hAnsi="Times New Roman" w:cs="Times New Roman"/>
          <w:lang w:val="en-US"/>
        </w:rPr>
        <w:t>, A. M., Piazza, M., Gray-Phillip, G., and Parry, C. D. H. (2018). Cross-country comparison of proportion of alcohol consumed in harmful drinking occasions using the International Alcohol Control Study. </w:t>
      </w:r>
      <w:r w:rsidRPr="00485321">
        <w:rPr>
          <w:rFonts w:ascii="Times New Roman" w:eastAsia="Arial Unicode MS" w:hAnsi="Times New Roman" w:cs="Times New Roman"/>
          <w:i/>
          <w:iCs/>
          <w:lang w:val="en-US"/>
        </w:rPr>
        <w:t>Drug and alcohol review</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37 Suppl 2</w:t>
      </w:r>
      <w:r w:rsidRPr="00485321">
        <w:rPr>
          <w:rFonts w:ascii="Times New Roman" w:eastAsia="Arial Unicode MS" w:hAnsi="Times New Roman" w:cs="Times New Roman"/>
          <w:lang w:val="en-US"/>
        </w:rPr>
        <w:t xml:space="preserve">(Suppl </w:t>
      </w:r>
      <w:proofErr w:type="spellStart"/>
      <w:r w:rsidRPr="00485321">
        <w:rPr>
          <w:rFonts w:ascii="Times New Roman" w:eastAsia="Arial Unicode MS" w:hAnsi="Times New Roman" w:cs="Times New Roman"/>
          <w:lang w:val="en-US"/>
        </w:rPr>
        <w:t>Suppl</w:t>
      </w:r>
      <w:proofErr w:type="spellEnd"/>
      <w:r w:rsidRPr="00485321">
        <w:rPr>
          <w:rFonts w:ascii="Times New Roman" w:eastAsia="Arial Unicode MS" w:hAnsi="Times New Roman" w:cs="Times New Roman"/>
          <w:lang w:val="en-US"/>
        </w:rPr>
        <w:t xml:space="preserve"> 2), S45–S52. https://doi.org/10.1111/dar.12665</w:t>
      </w:r>
    </w:p>
    <w:p w14:paraId="6F673873"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lang w:val="en-US"/>
        </w:rPr>
        <w:t xml:space="preserve">Viner, R. M., and Taylor, B. (2007). Adult outcomes of binge drinking in adolescence: Findings from a UK national birth </w:t>
      </w:r>
      <w:proofErr w:type="gramStart"/>
      <w:r w:rsidRPr="00485321">
        <w:rPr>
          <w:rFonts w:ascii="Times New Roman" w:eastAsia="Arial Unicode MS" w:hAnsi="Times New Roman" w:cs="Times New Roman"/>
          <w:lang w:val="en-US"/>
        </w:rPr>
        <w:t>cohort</w:t>
      </w:r>
      <w:proofErr w:type="gramEnd"/>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Journal of epidemiology and community health</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61</w:t>
      </w:r>
      <w:r w:rsidRPr="00485321">
        <w:rPr>
          <w:rFonts w:ascii="Times New Roman" w:eastAsia="Arial Unicode MS" w:hAnsi="Times New Roman" w:cs="Times New Roman"/>
          <w:lang w:val="en-US"/>
        </w:rPr>
        <w:t>(10), 902–907. https://doi.org/10.1136/jech.2005.038117</w:t>
      </w:r>
    </w:p>
    <w:p w14:paraId="65ED73E9"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lang w:val="nl-NL"/>
        </w:rPr>
        <w:lastRenderedPageBreak/>
        <w:t xml:space="preserve">Wang, Q., Zhang, Y., and Wu, C. (2022). </w:t>
      </w:r>
      <w:r w:rsidRPr="00485321">
        <w:rPr>
          <w:rFonts w:ascii="Times New Roman" w:eastAsia="Arial Unicode MS" w:hAnsi="Times New Roman" w:cs="Times New Roman"/>
          <w:lang w:val="en-US"/>
        </w:rPr>
        <w:t>Alcohol consumption and associated factors among middle-aged and older adults: Results from China Health and Retirement Longitudinal Study. </w:t>
      </w:r>
      <w:r w:rsidRPr="00485321">
        <w:rPr>
          <w:rFonts w:ascii="Times New Roman" w:eastAsia="Arial Unicode MS" w:hAnsi="Times New Roman" w:cs="Times New Roman"/>
          <w:i/>
          <w:iCs/>
          <w:lang w:val="en-US"/>
        </w:rPr>
        <w:t>BMC public health</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22</w:t>
      </w:r>
      <w:r w:rsidRPr="00485321">
        <w:rPr>
          <w:rFonts w:ascii="Times New Roman" w:eastAsia="Arial Unicode MS" w:hAnsi="Times New Roman" w:cs="Times New Roman"/>
          <w:lang w:val="en-US"/>
        </w:rPr>
        <w:t>(1), 322. https://doi.org/10.1186/s12889-022-12718-8</w:t>
      </w:r>
    </w:p>
    <w:p w14:paraId="61848D48"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lang w:val="en-US"/>
        </w:rPr>
        <w:t>Yan, Z., Cai, M., Han, X., Chen, Q., and Lu, H. (2023). The interaction between age and risk factors for diabetes and prediabetes: A community-based cross-sectional study. </w:t>
      </w:r>
      <w:r w:rsidRPr="00485321">
        <w:rPr>
          <w:rFonts w:ascii="Times New Roman" w:eastAsia="Arial Unicode MS" w:hAnsi="Times New Roman" w:cs="Times New Roman"/>
          <w:i/>
          <w:iCs/>
          <w:lang w:val="en-US"/>
        </w:rPr>
        <w:t>Diabetes, metabolic syndrome and obesity: Targets and therapy</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16</w:t>
      </w:r>
      <w:r w:rsidRPr="00485321">
        <w:rPr>
          <w:rFonts w:ascii="Times New Roman" w:eastAsia="Arial Unicode MS" w:hAnsi="Times New Roman" w:cs="Times New Roman"/>
          <w:lang w:val="en-US"/>
        </w:rPr>
        <w:t>, 85–93. https://doi.org/10.2147/DMSO.S390857</w:t>
      </w:r>
    </w:p>
    <w:p w14:paraId="352CE29E" w14:textId="77777777" w:rsidR="00A054A2" w:rsidRPr="00485321" w:rsidRDefault="00A054A2" w:rsidP="00A054A2">
      <w:pPr>
        <w:widowControl/>
        <w:autoSpaceDE/>
        <w:autoSpaceDN/>
        <w:spacing w:after="160" w:line="360" w:lineRule="auto"/>
        <w:ind w:left="720" w:hanging="720"/>
        <w:jc w:val="both"/>
        <w:rPr>
          <w:rFonts w:ascii="Times New Roman" w:eastAsia="Arial Unicode MS" w:hAnsi="Times New Roman" w:cs="Times New Roman"/>
        </w:rPr>
      </w:pPr>
      <w:r w:rsidRPr="00485321">
        <w:rPr>
          <w:rFonts w:ascii="Times New Roman" w:eastAsia="Arial Unicode MS" w:hAnsi="Times New Roman" w:cs="Times New Roman"/>
          <w:lang w:val="en-US"/>
        </w:rPr>
        <w:t>Zhu, J., Duan, Y., Li, Y., Zhou, Y., Lu, Z., Chen, N., Luo, J., Wang, X., Dong, X., Cheng, A. S. K., and Liu, Y. (2025). Insulin resistance as a mediator of the association between obesity, high-intensity binge drinking, and liver enzyme abnormalities in young and middle-aged adults: a cross-sectional study. </w:t>
      </w:r>
      <w:r w:rsidRPr="00485321">
        <w:rPr>
          <w:rFonts w:ascii="Times New Roman" w:eastAsia="Arial Unicode MS" w:hAnsi="Times New Roman" w:cs="Times New Roman"/>
          <w:i/>
          <w:iCs/>
          <w:lang w:val="en-US"/>
        </w:rPr>
        <w:t>Frontiers in nutrition</w:t>
      </w:r>
      <w:r w:rsidRPr="00485321">
        <w:rPr>
          <w:rFonts w:ascii="Times New Roman" w:eastAsia="Arial Unicode MS" w:hAnsi="Times New Roman" w:cs="Times New Roman"/>
          <w:lang w:val="en-US"/>
        </w:rPr>
        <w:t>, </w:t>
      </w:r>
      <w:r w:rsidRPr="00485321">
        <w:rPr>
          <w:rFonts w:ascii="Times New Roman" w:eastAsia="Arial Unicode MS" w:hAnsi="Times New Roman" w:cs="Times New Roman"/>
          <w:i/>
          <w:iCs/>
          <w:lang w:val="en-US"/>
        </w:rPr>
        <w:t>12</w:t>
      </w:r>
      <w:r w:rsidRPr="00485321">
        <w:rPr>
          <w:rFonts w:ascii="Times New Roman" w:eastAsia="Arial Unicode MS" w:hAnsi="Times New Roman" w:cs="Times New Roman"/>
          <w:lang w:val="en-US"/>
        </w:rPr>
        <w:t>, 1554392. https://doi.org/10.3389/fnut.2025.1554392</w:t>
      </w:r>
    </w:p>
    <w:p w14:paraId="15FE8A9D" w14:textId="77777777" w:rsidR="00A054A2" w:rsidRPr="00485321" w:rsidRDefault="00A054A2" w:rsidP="00A054A2">
      <w:pPr>
        <w:rPr>
          <w:rFonts w:ascii="Times New Roman" w:eastAsia="Arial Unicode MS" w:hAnsi="Times New Roman" w:cs="Times New Roman"/>
          <w:b/>
          <w:iCs/>
        </w:rPr>
        <w:sectPr w:rsidR="00A054A2" w:rsidRPr="00485321" w:rsidSect="00A054A2">
          <w:pgSz w:w="11906" w:h="16838"/>
          <w:pgMar w:top="1440" w:right="1440" w:bottom="1440" w:left="1440" w:header="708" w:footer="708" w:gutter="0"/>
          <w:cols w:space="708"/>
          <w:titlePg/>
          <w:docGrid w:linePitch="360"/>
        </w:sectPr>
      </w:pPr>
    </w:p>
    <w:p w14:paraId="611859E3" w14:textId="77777777" w:rsidR="00A054A2" w:rsidRPr="00485321" w:rsidRDefault="00A054A2" w:rsidP="00A054A2">
      <w:pPr>
        <w:pStyle w:val="Heading1"/>
        <w:rPr>
          <w:rFonts w:ascii="Times New Roman" w:eastAsia="Aptos" w:hAnsi="Times New Roman" w:cs="Times New Roman"/>
          <w:b/>
          <w:bCs/>
          <w:kern w:val="3"/>
        </w:rPr>
      </w:pPr>
      <w:bookmarkStart w:id="15" w:name="_Toc216438670"/>
      <w:r w:rsidRPr="00485321">
        <w:rPr>
          <w:rFonts w:ascii="Times New Roman" w:hAnsi="Times New Roman" w:cs="Times New Roman"/>
        </w:rPr>
        <w:lastRenderedPageBreak/>
        <w:t>APPENDICES</w:t>
      </w:r>
      <w:bookmarkEnd w:id="15"/>
    </w:p>
    <w:p w14:paraId="7E3D43C9" w14:textId="77777777" w:rsidR="00A054A2" w:rsidRPr="00485321" w:rsidRDefault="00A054A2" w:rsidP="00A054A2">
      <w:pPr>
        <w:suppressAutoHyphens/>
        <w:spacing w:line="276" w:lineRule="auto"/>
        <w:rPr>
          <w:rFonts w:ascii="Times New Roman" w:eastAsia="Aptos" w:hAnsi="Times New Roman" w:cs="Times New Roman"/>
          <w:b/>
          <w:bCs/>
          <w:kern w:val="3"/>
        </w:rPr>
      </w:pPr>
      <w:r w:rsidRPr="00485321">
        <w:rPr>
          <w:rFonts w:ascii="Times New Roman" w:eastAsia="Aptos" w:hAnsi="Times New Roman" w:cs="Times New Roman"/>
          <w:b/>
          <w:bCs/>
          <w:kern w:val="3"/>
        </w:rPr>
        <w:t>Appendix I: PRISMA Flow Diagram</w:t>
      </w:r>
    </w:p>
    <w:p w14:paraId="0F5E6C8F" w14:textId="77777777" w:rsidR="00A054A2" w:rsidRPr="00485321" w:rsidRDefault="00A054A2" w:rsidP="00A054A2">
      <w:pPr>
        <w:suppressAutoHyphens/>
        <w:spacing w:line="276" w:lineRule="auto"/>
        <w:rPr>
          <w:rFonts w:ascii="Times New Roman" w:eastAsia="Aptos" w:hAnsi="Times New Roman" w:cs="Times New Roman"/>
          <w:b/>
          <w:bCs/>
          <w:kern w:val="3"/>
        </w:rPr>
      </w:pPr>
    </w:p>
    <w:p w14:paraId="626A99A2" w14:textId="347127A6" w:rsidR="00A054A2" w:rsidRPr="00485321" w:rsidRDefault="00A054A2" w:rsidP="00A054A2">
      <w:pPr>
        <w:widowControl/>
        <w:autoSpaceDE/>
        <w:autoSpaceDN/>
        <w:spacing w:after="160" w:line="278" w:lineRule="auto"/>
        <w:rPr>
          <w:rFonts w:ascii="Times New Roman" w:eastAsia="Aptos" w:hAnsi="Times New Roman" w:cs="Times New Roman"/>
          <w:b/>
          <w:bCs/>
          <w:kern w:val="3"/>
        </w:rPr>
        <w:sectPr w:rsidR="00A054A2" w:rsidRPr="00485321" w:rsidSect="00A054A2">
          <w:pgSz w:w="11906" w:h="16838"/>
          <w:pgMar w:top="1440" w:right="1440" w:bottom="1440" w:left="1440" w:header="709" w:footer="709" w:gutter="0"/>
          <w:cols w:space="708"/>
          <w:titlePg/>
          <w:docGrid w:linePitch="360"/>
        </w:sectPr>
      </w:pPr>
      <w:r w:rsidRPr="00485321">
        <w:rPr>
          <w:rFonts w:ascii="Times New Roman" w:hAnsi="Times New Roman" w:cs="Times New Roman"/>
          <w:noProof/>
        </w:rPr>
        <w:drawing>
          <wp:inline distT="0" distB="0" distL="0" distR="0" wp14:anchorId="6458D879" wp14:editId="3F757C57">
            <wp:extent cx="4207267" cy="4738044"/>
            <wp:effectExtent l="0" t="0" r="0" b="0"/>
            <wp:docPr id="833547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
                      <a:extLst>
                        <a:ext uri="{28A0092B-C50C-407E-A947-70E740481C1C}">
                          <a14:useLocalDpi xmlns:a14="http://schemas.microsoft.com/office/drawing/2010/main" val="0"/>
                        </a:ext>
                      </a:extLst>
                    </a:blip>
                    <a:srcRect l="9696" r="42832"/>
                    <a:stretch>
                      <a:fillRect/>
                    </a:stretch>
                  </pic:blipFill>
                  <pic:spPr bwMode="auto">
                    <a:xfrm>
                      <a:off x="0" y="0"/>
                      <a:ext cx="4207557" cy="4738370"/>
                    </a:xfrm>
                    <a:prstGeom prst="rect">
                      <a:avLst/>
                    </a:prstGeom>
                    <a:noFill/>
                    <a:ln>
                      <a:noFill/>
                    </a:ln>
                    <a:extLst>
                      <a:ext uri="{53640926-AAD7-44D8-BBD7-CCE9431645EC}">
                        <a14:shadowObscured xmlns:a14="http://schemas.microsoft.com/office/drawing/2010/main"/>
                      </a:ext>
                    </a:extLst>
                  </pic:spPr>
                </pic:pic>
              </a:graphicData>
            </a:graphic>
          </wp:inline>
        </w:drawing>
      </w:r>
    </w:p>
    <w:p w14:paraId="34776B36" w14:textId="77777777" w:rsidR="00A054A2" w:rsidRPr="00485321" w:rsidRDefault="00A054A2" w:rsidP="00A054A2">
      <w:pPr>
        <w:widowControl/>
        <w:autoSpaceDE/>
        <w:autoSpaceDN/>
        <w:spacing w:after="160" w:line="278" w:lineRule="auto"/>
        <w:rPr>
          <w:rFonts w:ascii="Times New Roman" w:eastAsia="Aptos" w:hAnsi="Times New Roman" w:cs="Times New Roman"/>
          <w:b/>
          <w:bCs/>
          <w:kern w:val="3"/>
        </w:rPr>
        <w:sectPr w:rsidR="00A054A2" w:rsidRPr="00485321" w:rsidSect="00A054A2">
          <w:pgSz w:w="16838" w:h="11906" w:orient="landscape"/>
          <w:pgMar w:top="1440" w:right="1440" w:bottom="1440" w:left="1440" w:header="709" w:footer="709" w:gutter="0"/>
          <w:cols w:space="708"/>
          <w:titlePg/>
          <w:docGrid w:linePitch="360"/>
        </w:sectPr>
      </w:pPr>
    </w:p>
    <w:p w14:paraId="740AC7C5" w14:textId="4B5AAB48" w:rsidR="00A504BB" w:rsidRPr="00485321" w:rsidRDefault="00A504BB" w:rsidP="00A504BB">
      <w:pPr>
        <w:rPr>
          <w:rFonts w:ascii="Times New Roman" w:hAnsi="Times New Roman" w:cs="Times New Roman"/>
        </w:rPr>
      </w:pPr>
    </w:p>
    <w:p w14:paraId="5C9EC0CF" w14:textId="77777777" w:rsidR="00A504BB" w:rsidRPr="00485321" w:rsidRDefault="00A504BB" w:rsidP="00A504BB">
      <w:pPr>
        <w:rPr>
          <w:rFonts w:ascii="Times New Roman" w:hAnsi="Times New Roman" w:cs="Times New Roman"/>
        </w:rPr>
      </w:pPr>
    </w:p>
    <w:p w14:paraId="5157A2EF" w14:textId="77777777" w:rsidR="00A504BB" w:rsidRPr="00485321" w:rsidRDefault="00A504BB" w:rsidP="00A504BB">
      <w:pPr>
        <w:rPr>
          <w:rFonts w:ascii="Times New Roman" w:hAnsi="Times New Roman" w:cs="Times New Roman"/>
        </w:rPr>
      </w:pPr>
    </w:p>
    <w:p w14:paraId="2A128D95" w14:textId="77777777" w:rsidR="00A504BB" w:rsidRPr="00485321" w:rsidRDefault="00A504BB" w:rsidP="00A504BB">
      <w:pPr>
        <w:suppressAutoHyphens/>
        <w:spacing w:line="276" w:lineRule="auto"/>
        <w:rPr>
          <w:rFonts w:ascii="Times New Roman" w:eastAsia="Aptos" w:hAnsi="Times New Roman" w:cs="Times New Roman"/>
          <w:kern w:val="3"/>
          <w:lang w:eastAsia="en-US"/>
        </w:rPr>
      </w:pPr>
      <w:r w:rsidRPr="00485321">
        <w:rPr>
          <w:rFonts w:ascii="Times New Roman" w:eastAsia="Aptos" w:hAnsi="Times New Roman" w:cs="Times New Roman"/>
          <w:b/>
          <w:bCs/>
          <w:kern w:val="3"/>
        </w:rPr>
        <w:t>Appendix II: Participants’ characteristics</w:t>
      </w:r>
    </w:p>
    <w:tbl>
      <w:tblPr>
        <w:tblW w:w="5238" w:type="pct"/>
        <w:tblBorders>
          <w:top w:val="single" w:sz="4" w:space="0" w:color="auto"/>
          <w:bottom w:val="single" w:sz="4" w:space="0" w:color="auto"/>
        </w:tblBorders>
        <w:tblLook w:val="04A0" w:firstRow="1" w:lastRow="0" w:firstColumn="1" w:lastColumn="0" w:noHBand="0" w:noVBand="1"/>
      </w:tblPr>
      <w:tblGrid>
        <w:gridCol w:w="848"/>
        <w:gridCol w:w="3307"/>
        <w:gridCol w:w="1339"/>
        <w:gridCol w:w="1869"/>
        <w:gridCol w:w="2097"/>
        <w:gridCol w:w="1255"/>
        <w:gridCol w:w="3907"/>
      </w:tblGrid>
      <w:tr w:rsidR="00A504BB" w:rsidRPr="00485321" w14:paraId="6BB48F8B" w14:textId="77777777" w:rsidTr="002663D9">
        <w:trPr>
          <w:trHeight w:val="786"/>
        </w:trPr>
        <w:tc>
          <w:tcPr>
            <w:tcW w:w="290" w:type="pct"/>
            <w:tcBorders>
              <w:top w:val="single" w:sz="4" w:space="0" w:color="auto"/>
              <w:bottom w:val="single" w:sz="4" w:space="0" w:color="auto"/>
            </w:tcBorders>
          </w:tcPr>
          <w:p w14:paraId="24CE500B" w14:textId="77777777" w:rsidR="00A504BB" w:rsidRPr="00485321" w:rsidRDefault="00A504BB" w:rsidP="002663D9">
            <w:pPr>
              <w:suppressAutoHyphens/>
              <w:rPr>
                <w:rFonts w:ascii="Times New Roman" w:eastAsia="Aptos" w:hAnsi="Times New Roman" w:cs="Times New Roman"/>
                <w:b/>
                <w:bCs/>
                <w:kern w:val="3"/>
                <w:sz w:val="20"/>
                <w:szCs w:val="20"/>
                <w:lang w:eastAsia="en-US"/>
              </w:rPr>
            </w:pPr>
          </w:p>
          <w:p w14:paraId="19E17158" w14:textId="77777777" w:rsidR="00A504BB" w:rsidRPr="00485321" w:rsidRDefault="00A504BB" w:rsidP="002663D9">
            <w:pPr>
              <w:suppressAutoHyphens/>
              <w:rPr>
                <w:rFonts w:ascii="Times New Roman" w:eastAsia="Aptos" w:hAnsi="Times New Roman" w:cs="Times New Roman"/>
                <w:b/>
                <w:bCs/>
                <w:kern w:val="3"/>
                <w:sz w:val="20"/>
                <w:szCs w:val="20"/>
                <w:lang w:eastAsia="en-US"/>
              </w:rPr>
            </w:pPr>
            <w:r w:rsidRPr="00485321">
              <w:rPr>
                <w:rFonts w:ascii="Times New Roman" w:eastAsia="Aptos" w:hAnsi="Times New Roman" w:cs="Times New Roman"/>
                <w:b/>
                <w:bCs/>
                <w:kern w:val="3"/>
                <w:sz w:val="20"/>
                <w:szCs w:val="20"/>
                <w:lang w:eastAsia="en-US"/>
              </w:rPr>
              <w:t>S/N</w:t>
            </w:r>
          </w:p>
          <w:p w14:paraId="78C5EB0C" w14:textId="77777777" w:rsidR="00A504BB" w:rsidRPr="00485321" w:rsidRDefault="00A504BB" w:rsidP="002663D9">
            <w:pPr>
              <w:rPr>
                <w:rFonts w:ascii="Times New Roman" w:hAnsi="Times New Roman" w:cs="Times New Roman"/>
                <w:b/>
                <w:bCs/>
                <w:sz w:val="20"/>
                <w:szCs w:val="20"/>
              </w:rPr>
            </w:pPr>
          </w:p>
        </w:tc>
        <w:tc>
          <w:tcPr>
            <w:tcW w:w="1131" w:type="pct"/>
            <w:tcBorders>
              <w:top w:val="single" w:sz="4" w:space="0" w:color="auto"/>
              <w:bottom w:val="single" w:sz="4" w:space="0" w:color="auto"/>
            </w:tcBorders>
          </w:tcPr>
          <w:p w14:paraId="5BD72065" w14:textId="77777777" w:rsidR="00A504BB" w:rsidRPr="00485321" w:rsidRDefault="00A504BB" w:rsidP="002663D9">
            <w:pPr>
              <w:suppressAutoHyphens/>
              <w:rPr>
                <w:rFonts w:ascii="Times New Roman" w:eastAsia="Aptos" w:hAnsi="Times New Roman" w:cs="Times New Roman"/>
                <w:b/>
                <w:bCs/>
                <w:kern w:val="3"/>
                <w:sz w:val="20"/>
                <w:szCs w:val="20"/>
                <w:lang w:eastAsia="en-US"/>
              </w:rPr>
            </w:pPr>
          </w:p>
          <w:p w14:paraId="6702B867" w14:textId="77777777" w:rsidR="00A504BB" w:rsidRPr="00485321" w:rsidRDefault="00A504BB" w:rsidP="002663D9">
            <w:pPr>
              <w:rPr>
                <w:rFonts w:ascii="Times New Roman" w:hAnsi="Times New Roman" w:cs="Times New Roman"/>
                <w:b/>
                <w:bCs/>
                <w:sz w:val="20"/>
                <w:szCs w:val="20"/>
              </w:rPr>
            </w:pPr>
            <w:r w:rsidRPr="00485321">
              <w:rPr>
                <w:rFonts w:ascii="Times New Roman" w:eastAsia="Aptos" w:hAnsi="Times New Roman" w:cs="Times New Roman"/>
                <w:b/>
                <w:bCs/>
                <w:kern w:val="3"/>
                <w:sz w:val="20"/>
                <w:szCs w:val="20"/>
                <w:lang w:eastAsia="en-US"/>
              </w:rPr>
              <w:t xml:space="preserve">Article title </w:t>
            </w:r>
          </w:p>
        </w:tc>
        <w:tc>
          <w:tcPr>
            <w:tcW w:w="458" w:type="pct"/>
            <w:tcBorders>
              <w:top w:val="single" w:sz="4" w:space="0" w:color="auto"/>
              <w:bottom w:val="single" w:sz="4" w:space="0" w:color="auto"/>
            </w:tcBorders>
          </w:tcPr>
          <w:p w14:paraId="6E692EF7" w14:textId="77777777" w:rsidR="00A504BB" w:rsidRPr="00485321" w:rsidRDefault="00A504BB" w:rsidP="002663D9">
            <w:pPr>
              <w:suppressAutoHyphens/>
              <w:rPr>
                <w:rFonts w:ascii="Times New Roman" w:eastAsia="Aptos" w:hAnsi="Times New Roman" w:cs="Times New Roman"/>
                <w:b/>
                <w:bCs/>
                <w:kern w:val="3"/>
                <w:sz w:val="20"/>
                <w:szCs w:val="20"/>
                <w:lang w:eastAsia="en-US"/>
              </w:rPr>
            </w:pPr>
            <w:r w:rsidRPr="00485321">
              <w:rPr>
                <w:rFonts w:ascii="Times New Roman" w:eastAsia="Aptos" w:hAnsi="Times New Roman" w:cs="Times New Roman"/>
                <w:b/>
                <w:bCs/>
                <w:kern w:val="3"/>
                <w:sz w:val="20"/>
                <w:szCs w:val="20"/>
                <w:lang w:eastAsia="en-US"/>
              </w:rPr>
              <w:t>Citation</w:t>
            </w:r>
          </w:p>
        </w:tc>
        <w:tc>
          <w:tcPr>
            <w:tcW w:w="639" w:type="pct"/>
            <w:tcBorders>
              <w:top w:val="single" w:sz="4" w:space="0" w:color="auto"/>
              <w:bottom w:val="single" w:sz="4" w:space="0" w:color="auto"/>
            </w:tcBorders>
          </w:tcPr>
          <w:p w14:paraId="543BBAFB" w14:textId="77777777" w:rsidR="00A504BB" w:rsidRPr="00485321" w:rsidRDefault="00A504BB" w:rsidP="002663D9">
            <w:pPr>
              <w:suppressAutoHyphens/>
              <w:rPr>
                <w:rFonts w:ascii="Times New Roman" w:eastAsia="Aptos" w:hAnsi="Times New Roman" w:cs="Times New Roman"/>
                <w:b/>
                <w:bCs/>
                <w:kern w:val="3"/>
                <w:sz w:val="20"/>
                <w:szCs w:val="20"/>
                <w:lang w:eastAsia="en-US"/>
              </w:rPr>
            </w:pPr>
            <w:r w:rsidRPr="00485321">
              <w:rPr>
                <w:rFonts w:ascii="Times New Roman" w:eastAsia="Aptos" w:hAnsi="Times New Roman" w:cs="Times New Roman"/>
                <w:b/>
                <w:bCs/>
                <w:kern w:val="3"/>
                <w:sz w:val="20"/>
                <w:szCs w:val="20"/>
                <w:lang w:eastAsia="en-US"/>
              </w:rPr>
              <w:t>Participants and region</w:t>
            </w:r>
          </w:p>
        </w:tc>
        <w:tc>
          <w:tcPr>
            <w:tcW w:w="717" w:type="pct"/>
            <w:tcBorders>
              <w:top w:val="single" w:sz="4" w:space="0" w:color="auto"/>
              <w:bottom w:val="single" w:sz="4" w:space="0" w:color="auto"/>
            </w:tcBorders>
          </w:tcPr>
          <w:p w14:paraId="128115C3" w14:textId="77777777" w:rsidR="00A504BB" w:rsidRPr="00485321" w:rsidRDefault="00A504BB" w:rsidP="002663D9">
            <w:pPr>
              <w:suppressAutoHyphens/>
              <w:rPr>
                <w:rFonts w:ascii="Times New Roman" w:eastAsia="Aptos" w:hAnsi="Times New Roman" w:cs="Times New Roman"/>
                <w:b/>
                <w:bCs/>
                <w:kern w:val="3"/>
                <w:sz w:val="20"/>
                <w:szCs w:val="20"/>
                <w:lang w:eastAsia="en-US"/>
              </w:rPr>
            </w:pPr>
          </w:p>
          <w:p w14:paraId="7D2CA6DD" w14:textId="77777777" w:rsidR="00A504BB" w:rsidRPr="00485321" w:rsidRDefault="00A504BB" w:rsidP="002663D9">
            <w:pPr>
              <w:rPr>
                <w:rFonts w:ascii="Times New Roman" w:hAnsi="Times New Roman" w:cs="Times New Roman"/>
                <w:b/>
                <w:bCs/>
                <w:sz w:val="20"/>
                <w:szCs w:val="20"/>
              </w:rPr>
            </w:pPr>
            <w:r w:rsidRPr="00485321">
              <w:rPr>
                <w:rFonts w:ascii="Times New Roman" w:eastAsia="Aptos" w:hAnsi="Times New Roman" w:cs="Times New Roman"/>
                <w:b/>
                <w:bCs/>
                <w:kern w:val="3"/>
                <w:sz w:val="20"/>
                <w:szCs w:val="20"/>
                <w:lang w:eastAsia="en-US"/>
              </w:rPr>
              <w:t>Methodology</w:t>
            </w:r>
          </w:p>
        </w:tc>
        <w:tc>
          <w:tcPr>
            <w:tcW w:w="429" w:type="pct"/>
            <w:tcBorders>
              <w:top w:val="single" w:sz="4" w:space="0" w:color="auto"/>
              <w:bottom w:val="single" w:sz="4" w:space="0" w:color="auto"/>
            </w:tcBorders>
          </w:tcPr>
          <w:p w14:paraId="350A6200" w14:textId="77777777" w:rsidR="00A504BB" w:rsidRPr="00485321" w:rsidRDefault="00A504BB" w:rsidP="002663D9">
            <w:pPr>
              <w:suppressAutoHyphens/>
              <w:rPr>
                <w:rFonts w:ascii="Times New Roman" w:eastAsia="Aptos" w:hAnsi="Times New Roman" w:cs="Times New Roman"/>
                <w:b/>
                <w:bCs/>
                <w:kern w:val="3"/>
                <w:sz w:val="20"/>
                <w:szCs w:val="20"/>
                <w:lang w:eastAsia="en-US"/>
              </w:rPr>
            </w:pPr>
          </w:p>
          <w:p w14:paraId="6A5E5B43" w14:textId="77777777" w:rsidR="00A504BB" w:rsidRPr="00485321" w:rsidRDefault="00A504BB" w:rsidP="002663D9">
            <w:pPr>
              <w:rPr>
                <w:rFonts w:ascii="Times New Roman" w:hAnsi="Times New Roman" w:cs="Times New Roman"/>
                <w:b/>
                <w:bCs/>
                <w:sz w:val="20"/>
                <w:szCs w:val="20"/>
              </w:rPr>
            </w:pPr>
            <w:r w:rsidRPr="00485321">
              <w:rPr>
                <w:rFonts w:ascii="Times New Roman" w:eastAsia="Aptos" w:hAnsi="Times New Roman" w:cs="Times New Roman"/>
                <w:b/>
                <w:bCs/>
                <w:kern w:val="3"/>
                <w:sz w:val="20"/>
                <w:szCs w:val="20"/>
                <w:lang w:eastAsia="en-US"/>
              </w:rPr>
              <w:t>Sample size</w:t>
            </w:r>
          </w:p>
        </w:tc>
        <w:tc>
          <w:tcPr>
            <w:tcW w:w="1336" w:type="pct"/>
            <w:tcBorders>
              <w:top w:val="single" w:sz="4" w:space="0" w:color="auto"/>
              <w:bottom w:val="single" w:sz="4" w:space="0" w:color="auto"/>
            </w:tcBorders>
          </w:tcPr>
          <w:p w14:paraId="40DFFB32" w14:textId="77777777" w:rsidR="00A504BB" w:rsidRPr="00485321" w:rsidRDefault="00A504BB" w:rsidP="002663D9">
            <w:pPr>
              <w:suppressAutoHyphens/>
              <w:rPr>
                <w:rFonts w:ascii="Times New Roman" w:eastAsia="Aptos" w:hAnsi="Times New Roman" w:cs="Times New Roman"/>
                <w:b/>
                <w:bCs/>
                <w:kern w:val="3"/>
                <w:sz w:val="20"/>
                <w:szCs w:val="20"/>
              </w:rPr>
            </w:pPr>
            <w:r w:rsidRPr="00485321">
              <w:rPr>
                <w:rFonts w:ascii="Times New Roman" w:eastAsia="Aptos" w:hAnsi="Times New Roman" w:cs="Times New Roman"/>
                <w:b/>
                <w:bCs/>
                <w:kern w:val="3"/>
                <w:sz w:val="20"/>
                <w:szCs w:val="20"/>
              </w:rPr>
              <w:t>Outcomes</w:t>
            </w:r>
          </w:p>
        </w:tc>
      </w:tr>
      <w:tr w:rsidR="00A504BB" w:rsidRPr="00485321" w14:paraId="3418E670" w14:textId="77777777" w:rsidTr="002663D9">
        <w:trPr>
          <w:trHeight w:val="1608"/>
        </w:trPr>
        <w:tc>
          <w:tcPr>
            <w:tcW w:w="290" w:type="pct"/>
            <w:tcBorders>
              <w:top w:val="single" w:sz="4" w:space="0" w:color="auto"/>
            </w:tcBorders>
          </w:tcPr>
          <w:p w14:paraId="08F3B44C" w14:textId="77777777" w:rsidR="00A504BB" w:rsidRPr="00485321" w:rsidRDefault="00A504BB" w:rsidP="00A504BB">
            <w:pPr>
              <w:pStyle w:val="ListParagraph"/>
              <w:widowControl/>
              <w:numPr>
                <w:ilvl w:val="0"/>
                <w:numId w:val="3"/>
              </w:numPr>
              <w:autoSpaceDE/>
              <w:autoSpaceDN/>
              <w:rPr>
                <w:rFonts w:ascii="Times New Roman" w:hAnsi="Times New Roman" w:cs="Times New Roman"/>
                <w:sz w:val="20"/>
                <w:szCs w:val="20"/>
              </w:rPr>
            </w:pPr>
          </w:p>
        </w:tc>
        <w:tc>
          <w:tcPr>
            <w:tcW w:w="1131" w:type="pct"/>
            <w:tcBorders>
              <w:top w:val="single" w:sz="4" w:space="0" w:color="auto"/>
            </w:tcBorders>
          </w:tcPr>
          <w:p w14:paraId="08587133"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Investigating whether smoking and alcohol behaviours influence risk of type 2 diabetes using a Mendelian randomisation study</w:t>
            </w:r>
          </w:p>
        </w:tc>
        <w:tc>
          <w:tcPr>
            <w:tcW w:w="458" w:type="pct"/>
            <w:tcBorders>
              <w:top w:val="single" w:sz="4" w:space="0" w:color="auto"/>
            </w:tcBorders>
          </w:tcPr>
          <w:p w14:paraId="43FB5DBC"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Reed et al., 2025</w:t>
            </w:r>
          </w:p>
        </w:tc>
        <w:tc>
          <w:tcPr>
            <w:tcW w:w="639" w:type="pct"/>
            <w:tcBorders>
              <w:top w:val="single" w:sz="4" w:space="0" w:color="auto"/>
            </w:tcBorders>
          </w:tcPr>
          <w:p w14:paraId="1D47D595"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UK Biobank</w:t>
            </w:r>
          </w:p>
        </w:tc>
        <w:tc>
          <w:tcPr>
            <w:tcW w:w="717" w:type="pct"/>
            <w:tcBorders>
              <w:top w:val="single" w:sz="4" w:space="0" w:color="auto"/>
            </w:tcBorders>
          </w:tcPr>
          <w:p w14:paraId="67D97843"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Mendelian randomisation study</w:t>
            </w:r>
          </w:p>
          <w:p w14:paraId="1CE798F4" w14:textId="77777777" w:rsidR="00A504BB" w:rsidRPr="00485321" w:rsidRDefault="00A504BB" w:rsidP="002663D9">
            <w:pPr>
              <w:rPr>
                <w:rFonts w:ascii="Times New Roman" w:hAnsi="Times New Roman" w:cs="Times New Roman"/>
                <w:sz w:val="20"/>
                <w:szCs w:val="20"/>
              </w:rPr>
            </w:pPr>
          </w:p>
        </w:tc>
        <w:tc>
          <w:tcPr>
            <w:tcW w:w="429" w:type="pct"/>
            <w:tcBorders>
              <w:top w:val="single" w:sz="4" w:space="0" w:color="auto"/>
            </w:tcBorders>
          </w:tcPr>
          <w:p w14:paraId="7BE390B8" w14:textId="77777777" w:rsidR="00A504BB" w:rsidRPr="00485321" w:rsidRDefault="00A504BB" w:rsidP="002663D9">
            <w:pPr>
              <w:rPr>
                <w:rFonts w:ascii="Times New Roman" w:hAnsi="Times New Roman" w:cs="Times New Roman"/>
                <w:sz w:val="20"/>
                <w:szCs w:val="20"/>
              </w:rPr>
            </w:pPr>
            <w:r w:rsidRPr="00485321">
              <w:rPr>
                <w:rFonts w:ascii="Times New Roman" w:eastAsia="Aptos" w:hAnsi="Times New Roman" w:cs="Times New Roman"/>
                <w:kern w:val="3"/>
                <w:sz w:val="20"/>
                <w:szCs w:val="20"/>
                <w:lang w:eastAsia="en-US"/>
              </w:rPr>
              <w:t>503,317 participants</w:t>
            </w:r>
          </w:p>
        </w:tc>
        <w:tc>
          <w:tcPr>
            <w:tcW w:w="1336" w:type="pct"/>
            <w:tcBorders>
              <w:top w:val="single" w:sz="4" w:space="0" w:color="auto"/>
            </w:tcBorders>
          </w:tcPr>
          <w:p w14:paraId="6433D901" w14:textId="77777777" w:rsidR="00A504BB" w:rsidRPr="00485321" w:rsidRDefault="00A504BB" w:rsidP="002663D9">
            <w:pPr>
              <w:rPr>
                <w:rFonts w:ascii="Times New Roman" w:eastAsia="Aptos" w:hAnsi="Times New Roman" w:cs="Times New Roman"/>
                <w:kern w:val="3"/>
                <w:sz w:val="20"/>
                <w:szCs w:val="20"/>
              </w:rPr>
            </w:pPr>
            <w:r w:rsidRPr="00485321">
              <w:rPr>
                <w:rFonts w:ascii="Times New Roman" w:hAnsi="Times New Roman" w:cs="Times New Roman"/>
                <w:sz w:val="20"/>
                <w:szCs w:val="20"/>
              </w:rPr>
              <w:t>No robust evidence that higher drinks per week influenced T2D risk; however, there was a potential causal effect on higher fasting glucose, though this was attenuated when accounting for body mass index.</w:t>
            </w:r>
          </w:p>
        </w:tc>
      </w:tr>
      <w:tr w:rsidR="00A504BB" w:rsidRPr="00485321" w14:paraId="741A0F7F" w14:textId="77777777" w:rsidTr="002663D9">
        <w:trPr>
          <w:trHeight w:val="988"/>
        </w:trPr>
        <w:tc>
          <w:tcPr>
            <w:tcW w:w="290" w:type="pct"/>
          </w:tcPr>
          <w:p w14:paraId="3A4D1FD1" w14:textId="77777777" w:rsidR="00A504BB" w:rsidRPr="00485321" w:rsidRDefault="00A504BB" w:rsidP="00A504BB">
            <w:pPr>
              <w:pStyle w:val="ListParagraph"/>
              <w:widowControl/>
              <w:numPr>
                <w:ilvl w:val="0"/>
                <w:numId w:val="3"/>
              </w:numPr>
              <w:autoSpaceDE/>
              <w:autoSpaceDN/>
              <w:rPr>
                <w:rFonts w:ascii="Times New Roman" w:hAnsi="Times New Roman" w:cs="Times New Roman"/>
                <w:sz w:val="20"/>
                <w:szCs w:val="20"/>
              </w:rPr>
            </w:pPr>
          </w:p>
        </w:tc>
        <w:tc>
          <w:tcPr>
            <w:tcW w:w="1131" w:type="pct"/>
          </w:tcPr>
          <w:p w14:paraId="3BCA798E"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 xml:space="preserve">Dose-dependent Association of Alcohol Consumption </w:t>
            </w:r>
            <w:proofErr w:type="gramStart"/>
            <w:r w:rsidRPr="00485321">
              <w:rPr>
                <w:rFonts w:ascii="Times New Roman" w:hAnsi="Times New Roman" w:cs="Times New Roman"/>
                <w:sz w:val="20"/>
                <w:szCs w:val="20"/>
              </w:rPr>
              <w:t>With</w:t>
            </w:r>
            <w:proofErr w:type="gramEnd"/>
            <w:r w:rsidRPr="00485321">
              <w:rPr>
                <w:rFonts w:ascii="Times New Roman" w:hAnsi="Times New Roman" w:cs="Times New Roman"/>
                <w:sz w:val="20"/>
                <w:szCs w:val="20"/>
              </w:rPr>
              <w:t xml:space="preserve"> Obesity and Type 2 Diabetes: Mendelian Randomisation Analyses</w:t>
            </w:r>
          </w:p>
        </w:tc>
        <w:tc>
          <w:tcPr>
            <w:tcW w:w="458" w:type="pct"/>
          </w:tcPr>
          <w:p w14:paraId="61A61440"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Lu et al., 2023</w:t>
            </w:r>
          </w:p>
        </w:tc>
        <w:tc>
          <w:tcPr>
            <w:tcW w:w="639" w:type="pct"/>
          </w:tcPr>
          <w:p w14:paraId="3B63C905"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UK Biobank</w:t>
            </w:r>
          </w:p>
        </w:tc>
        <w:tc>
          <w:tcPr>
            <w:tcW w:w="717" w:type="pct"/>
          </w:tcPr>
          <w:p w14:paraId="7E23A2A0"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Mendelian Randomisation Analyses</w:t>
            </w:r>
          </w:p>
        </w:tc>
        <w:tc>
          <w:tcPr>
            <w:tcW w:w="429" w:type="pct"/>
          </w:tcPr>
          <w:p w14:paraId="3822BDDA"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408 540 participants</w:t>
            </w:r>
          </w:p>
        </w:tc>
        <w:tc>
          <w:tcPr>
            <w:tcW w:w="1336" w:type="pct"/>
          </w:tcPr>
          <w:p w14:paraId="27DA1310"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No protective effects of modest alcohol consumption on obesity traits and type 2 diabetes</w:t>
            </w:r>
          </w:p>
        </w:tc>
      </w:tr>
      <w:tr w:rsidR="00A504BB" w:rsidRPr="00485321" w14:paraId="3F1C5C14" w14:textId="77777777" w:rsidTr="002663D9">
        <w:trPr>
          <w:trHeight w:val="987"/>
        </w:trPr>
        <w:tc>
          <w:tcPr>
            <w:tcW w:w="290" w:type="pct"/>
          </w:tcPr>
          <w:p w14:paraId="26D16E4E" w14:textId="77777777" w:rsidR="00A504BB" w:rsidRPr="00485321" w:rsidRDefault="00A504BB" w:rsidP="00A504BB">
            <w:pPr>
              <w:pStyle w:val="ListParagraph"/>
              <w:widowControl/>
              <w:numPr>
                <w:ilvl w:val="0"/>
                <w:numId w:val="3"/>
              </w:numPr>
              <w:autoSpaceDE/>
              <w:autoSpaceDN/>
              <w:rPr>
                <w:rFonts w:ascii="Times New Roman" w:hAnsi="Times New Roman" w:cs="Times New Roman"/>
                <w:sz w:val="20"/>
                <w:szCs w:val="20"/>
              </w:rPr>
            </w:pPr>
          </w:p>
        </w:tc>
        <w:tc>
          <w:tcPr>
            <w:tcW w:w="1131" w:type="pct"/>
          </w:tcPr>
          <w:p w14:paraId="4B8160DB"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Alcohol use and cardiometabolic risk in the UK Biobank: A Mendelian randomisation study</w:t>
            </w:r>
          </w:p>
        </w:tc>
        <w:tc>
          <w:tcPr>
            <w:tcW w:w="458" w:type="pct"/>
          </w:tcPr>
          <w:p w14:paraId="3D6D8614"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Lankester et al., 2021</w:t>
            </w:r>
          </w:p>
        </w:tc>
        <w:tc>
          <w:tcPr>
            <w:tcW w:w="639" w:type="pct"/>
          </w:tcPr>
          <w:p w14:paraId="2DBD82E9"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UK Biobank</w:t>
            </w:r>
          </w:p>
        </w:tc>
        <w:tc>
          <w:tcPr>
            <w:tcW w:w="717" w:type="pct"/>
          </w:tcPr>
          <w:p w14:paraId="5A53EFB9"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Mendelian randomisation study</w:t>
            </w:r>
          </w:p>
        </w:tc>
        <w:tc>
          <w:tcPr>
            <w:tcW w:w="429" w:type="pct"/>
          </w:tcPr>
          <w:p w14:paraId="61206632"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481,150 participants</w:t>
            </w:r>
          </w:p>
        </w:tc>
        <w:tc>
          <w:tcPr>
            <w:tcW w:w="1336" w:type="pct"/>
          </w:tcPr>
          <w:p w14:paraId="32FD6BC6"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Alcohol was not protective for any disease outcome with any analysis method, dataset, or strata.</w:t>
            </w:r>
          </w:p>
        </w:tc>
      </w:tr>
      <w:tr w:rsidR="00A504BB" w:rsidRPr="00485321" w14:paraId="6D513BC5" w14:textId="77777777" w:rsidTr="002663D9">
        <w:trPr>
          <w:trHeight w:val="1411"/>
        </w:trPr>
        <w:tc>
          <w:tcPr>
            <w:tcW w:w="290" w:type="pct"/>
          </w:tcPr>
          <w:p w14:paraId="3E053A3E" w14:textId="77777777" w:rsidR="00A504BB" w:rsidRPr="00485321" w:rsidRDefault="00A504BB" w:rsidP="00A504BB">
            <w:pPr>
              <w:pStyle w:val="ListParagraph"/>
              <w:widowControl/>
              <w:numPr>
                <w:ilvl w:val="0"/>
                <w:numId w:val="3"/>
              </w:numPr>
              <w:autoSpaceDE/>
              <w:autoSpaceDN/>
              <w:rPr>
                <w:rFonts w:ascii="Times New Roman" w:hAnsi="Times New Roman" w:cs="Times New Roman"/>
                <w:sz w:val="20"/>
                <w:szCs w:val="20"/>
              </w:rPr>
            </w:pPr>
          </w:p>
        </w:tc>
        <w:tc>
          <w:tcPr>
            <w:tcW w:w="1131" w:type="pct"/>
          </w:tcPr>
          <w:p w14:paraId="6998213B"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 xml:space="preserve">Trajectories of alcohol consumption prior to the diagnosis of type 2 diabetes: a longitudinal case–cohort study </w:t>
            </w:r>
          </w:p>
        </w:tc>
        <w:tc>
          <w:tcPr>
            <w:tcW w:w="458" w:type="pct"/>
          </w:tcPr>
          <w:p w14:paraId="0C3FC3EE"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Knott et al., 2018</w:t>
            </w:r>
          </w:p>
        </w:tc>
        <w:tc>
          <w:tcPr>
            <w:tcW w:w="639" w:type="pct"/>
          </w:tcPr>
          <w:p w14:paraId="054C3FBB"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British civil servants who worked in Whitehall Departments</w:t>
            </w:r>
          </w:p>
        </w:tc>
        <w:tc>
          <w:tcPr>
            <w:tcW w:w="717" w:type="pct"/>
          </w:tcPr>
          <w:p w14:paraId="59359A3C"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longitudinal case–cohort study</w:t>
            </w:r>
          </w:p>
        </w:tc>
        <w:tc>
          <w:tcPr>
            <w:tcW w:w="429" w:type="pct"/>
          </w:tcPr>
          <w:p w14:paraId="786ADD90"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5723 men and 2569 women</w:t>
            </w:r>
          </w:p>
        </w:tc>
        <w:tc>
          <w:tcPr>
            <w:tcW w:w="1336" w:type="pct"/>
          </w:tcPr>
          <w:p w14:paraId="36C2E17D"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Little difference in consumption was apparent between cases and non-cases in the period leading up to diagnosis or censoring after adjustment for confounding factors.</w:t>
            </w:r>
          </w:p>
        </w:tc>
      </w:tr>
      <w:tr w:rsidR="00A504BB" w:rsidRPr="00485321" w14:paraId="106E03EA" w14:textId="77777777" w:rsidTr="002663D9">
        <w:trPr>
          <w:trHeight w:val="1276"/>
        </w:trPr>
        <w:tc>
          <w:tcPr>
            <w:tcW w:w="290" w:type="pct"/>
          </w:tcPr>
          <w:p w14:paraId="606ED9B8" w14:textId="77777777" w:rsidR="00A504BB" w:rsidRPr="00485321" w:rsidRDefault="00A504BB" w:rsidP="00A504BB">
            <w:pPr>
              <w:pStyle w:val="ListParagraph"/>
              <w:widowControl/>
              <w:numPr>
                <w:ilvl w:val="0"/>
                <w:numId w:val="3"/>
              </w:numPr>
              <w:autoSpaceDE/>
              <w:autoSpaceDN/>
              <w:rPr>
                <w:rFonts w:ascii="Times New Roman" w:hAnsi="Times New Roman" w:cs="Times New Roman"/>
                <w:sz w:val="20"/>
                <w:szCs w:val="20"/>
              </w:rPr>
            </w:pPr>
          </w:p>
        </w:tc>
        <w:tc>
          <w:tcPr>
            <w:tcW w:w="1131" w:type="pct"/>
          </w:tcPr>
          <w:p w14:paraId="17A34A14"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A genome-wide study of the effect of alcohol consumption on the risk of type 2 diabetes</w:t>
            </w:r>
          </w:p>
        </w:tc>
        <w:tc>
          <w:tcPr>
            <w:tcW w:w="458" w:type="pct"/>
          </w:tcPr>
          <w:p w14:paraId="6E5D99C2" w14:textId="77777777" w:rsidR="00A504BB" w:rsidRPr="00485321" w:rsidRDefault="00A504BB" w:rsidP="002663D9">
            <w:pPr>
              <w:rPr>
                <w:rFonts w:ascii="Times New Roman" w:hAnsi="Times New Roman" w:cs="Times New Roman"/>
                <w:sz w:val="20"/>
                <w:szCs w:val="20"/>
              </w:rPr>
            </w:pPr>
            <w:proofErr w:type="spellStart"/>
            <w:r w:rsidRPr="00485321">
              <w:rPr>
                <w:rFonts w:ascii="Times New Roman" w:hAnsi="Times New Roman" w:cs="Times New Roman"/>
                <w:sz w:val="20"/>
                <w:szCs w:val="20"/>
              </w:rPr>
              <w:t>Belzile</w:t>
            </w:r>
            <w:proofErr w:type="spellEnd"/>
            <w:r w:rsidRPr="00485321">
              <w:rPr>
                <w:rFonts w:ascii="Times New Roman" w:hAnsi="Times New Roman" w:cs="Times New Roman"/>
                <w:sz w:val="20"/>
                <w:szCs w:val="20"/>
              </w:rPr>
              <w:t xml:space="preserve"> et al., 2025</w:t>
            </w:r>
          </w:p>
        </w:tc>
        <w:tc>
          <w:tcPr>
            <w:tcW w:w="639" w:type="pct"/>
          </w:tcPr>
          <w:p w14:paraId="17E0A609"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UK Biobank</w:t>
            </w:r>
          </w:p>
        </w:tc>
        <w:tc>
          <w:tcPr>
            <w:tcW w:w="717" w:type="pct"/>
          </w:tcPr>
          <w:p w14:paraId="204E52CE"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genome-wide association study (GWAS)</w:t>
            </w:r>
          </w:p>
        </w:tc>
        <w:tc>
          <w:tcPr>
            <w:tcW w:w="429" w:type="pct"/>
          </w:tcPr>
          <w:p w14:paraId="77CB70C4"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192,005 women and 132,192 men </w:t>
            </w:r>
          </w:p>
        </w:tc>
        <w:tc>
          <w:tcPr>
            <w:tcW w:w="1336" w:type="pct"/>
          </w:tcPr>
          <w:p w14:paraId="52B1F76D"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The interaction GWAS identified a genetic variant that exhibits a sex-specific interaction with moderate alcohol consumption in relation to type 2 diabetes risk</w:t>
            </w:r>
          </w:p>
        </w:tc>
      </w:tr>
      <w:tr w:rsidR="00A504BB" w:rsidRPr="00485321" w14:paraId="6D4AE81F" w14:textId="77777777" w:rsidTr="002663D9">
        <w:trPr>
          <w:trHeight w:val="1134"/>
        </w:trPr>
        <w:tc>
          <w:tcPr>
            <w:tcW w:w="290" w:type="pct"/>
          </w:tcPr>
          <w:p w14:paraId="6798F063" w14:textId="77777777" w:rsidR="00A504BB" w:rsidRPr="00485321" w:rsidRDefault="00A504BB" w:rsidP="00A504BB">
            <w:pPr>
              <w:pStyle w:val="ListParagraph"/>
              <w:widowControl/>
              <w:numPr>
                <w:ilvl w:val="0"/>
                <w:numId w:val="3"/>
              </w:numPr>
              <w:autoSpaceDE/>
              <w:autoSpaceDN/>
              <w:rPr>
                <w:rFonts w:ascii="Times New Roman" w:hAnsi="Times New Roman" w:cs="Times New Roman"/>
                <w:sz w:val="20"/>
                <w:szCs w:val="20"/>
              </w:rPr>
            </w:pPr>
          </w:p>
        </w:tc>
        <w:tc>
          <w:tcPr>
            <w:tcW w:w="1131" w:type="pct"/>
          </w:tcPr>
          <w:p w14:paraId="714AF1A2"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Diabetes complications in people with alcohol use disorder and type 2 diabetes</w:t>
            </w:r>
          </w:p>
        </w:tc>
        <w:tc>
          <w:tcPr>
            <w:tcW w:w="458" w:type="pct"/>
          </w:tcPr>
          <w:p w14:paraId="6324D4BA"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Cook et al., 2025</w:t>
            </w:r>
          </w:p>
        </w:tc>
        <w:tc>
          <w:tcPr>
            <w:tcW w:w="639" w:type="pct"/>
          </w:tcPr>
          <w:p w14:paraId="1701CD99"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 xml:space="preserve">Clinical Practice Research Datalink </w:t>
            </w:r>
            <w:proofErr w:type="spellStart"/>
            <w:r w:rsidRPr="00485321">
              <w:rPr>
                <w:rFonts w:ascii="Times New Roman" w:hAnsi="Times New Roman" w:cs="Times New Roman"/>
                <w:sz w:val="20"/>
                <w:szCs w:val="20"/>
              </w:rPr>
              <w:t>Aurum</w:t>
            </w:r>
            <w:proofErr w:type="spellEnd"/>
          </w:p>
        </w:tc>
        <w:tc>
          <w:tcPr>
            <w:tcW w:w="717" w:type="pct"/>
          </w:tcPr>
          <w:p w14:paraId="3B391AE2"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Observational study</w:t>
            </w:r>
          </w:p>
        </w:tc>
        <w:tc>
          <w:tcPr>
            <w:tcW w:w="429" w:type="pct"/>
          </w:tcPr>
          <w:p w14:paraId="18C921B4"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543,509 people</w:t>
            </w:r>
          </w:p>
        </w:tc>
        <w:tc>
          <w:tcPr>
            <w:tcW w:w="1336" w:type="pct"/>
          </w:tcPr>
          <w:p w14:paraId="771EA272"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 xml:space="preserve">Adjusting for measured confounders, people with AUD had higher rates of ESRD, lower limb amputation, stroke, CVD, and all-cause mortality compared with people without AUD. </w:t>
            </w:r>
          </w:p>
        </w:tc>
      </w:tr>
      <w:tr w:rsidR="00A504BB" w:rsidRPr="00485321" w14:paraId="4CCE1CE2" w14:textId="77777777" w:rsidTr="002663D9">
        <w:trPr>
          <w:trHeight w:val="1135"/>
        </w:trPr>
        <w:tc>
          <w:tcPr>
            <w:tcW w:w="290" w:type="pct"/>
          </w:tcPr>
          <w:p w14:paraId="6DB7DF13" w14:textId="77777777" w:rsidR="00A504BB" w:rsidRPr="00485321" w:rsidRDefault="00A504BB" w:rsidP="00A504BB">
            <w:pPr>
              <w:pStyle w:val="ListParagraph"/>
              <w:widowControl/>
              <w:numPr>
                <w:ilvl w:val="0"/>
                <w:numId w:val="3"/>
              </w:numPr>
              <w:autoSpaceDE/>
              <w:autoSpaceDN/>
              <w:rPr>
                <w:rFonts w:ascii="Times New Roman" w:hAnsi="Times New Roman" w:cs="Times New Roman"/>
                <w:sz w:val="20"/>
                <w:szCs w:val="20"/>
              </w:rPr>
            </w:pPr>
          </w:p>
        </w:tc>
        <w:tc>
          <w:tcPr>
            <w:tcW w:w="1131" w:type="pct"/>
          </w:tcPr>
          <w:p w14:paraId="41F5D8CF"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Binge-pattern alcohol consumption and genetic risk as determinants of alcohol-related liver disease</w:t>
            </w:r>
          </w:p>
        </w:tc>
        <w:tc>
          <w:tcPr>
            <w:tcW w:w="458" w:type="pct"/>
          </w:tcPr>
          <w:p w14:paraId="0F8B4F40"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Ding et al., 2023</w:t>
            </w:r>
          </w:p>
        </w:tc>
        <w:tc>
          <w:tcPr>
            <w:tcW w:w="639" w:type="pct"/>
          </w:tcPr>
          <w:p w14:paraId="6E6BF9C1"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UK Biobank</w:t>
            </w:r>
          </w:p>
        </w:tc>
        <w:tc>
          <w:tcPr>
            <w:tcW w:w="717" w:type="pct"/>
          </w:tcPr>
          <w:p w14:paraId="3F594119"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Prospective population-based study</w:t>
            </w:r>
          </w:p>
        </w:tc>
        <w:tc>
          <w:tcPr>
            <w:tcW w:w="429" w:type="pct"/>
          </w:tcPr>
          <w:p w14:paraId="5E2329C8"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312,599 participants</w:t>
            </w:r>
          </w:p>
        </w:tc>
        <w:tc>
          <w:tcPr>
            <w:tcW w:w="1336" w:type="pct"/>
          </w:tcPr>
          <w:p w14:paraId="0606C55C"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The findings demonstrate an independent effect of binge-pattern alcohol consumption on the risk of metabolic and liver-related diseases.</w:t>
            </w:r>
          </w:p>
        </w:tc>
      </w:tr>
      <w:tr w:rsidR="00A504BB" w:rsidRPr="00485321" w14:paraId="4EE519A3" w14:textId="77777777" w:rsidTr="002663D9">
        <w:trPr>
          <w:trHeight w:val="1548"/>
        </w:trPr>
        <w:tc>
          <w:tcPr>
            <w:tcW w:w="290" w:type="pct"/>
          </w:tcPr>
          <w:p w14:paraId="1A36E85D" w14:textId="77777777" w:rsidR="00A504BB" w:rsidRPr="00485321" w:rsidRDefault="00A504BB" w:rsidP="00A504BB">
            <w:pPr>
              <w:pStyle w:val="ListParagraph"/>
              <w:widowControl/>
              <w:numPr>
                <w:ilvl w:val="0"/>
                <w:numId w:val="3"/>
              </w:numPr>
              <w:autoSpaceDE/>
              <w:autoSpaceDN/>
              <w:rPr>
                <w:rFonts w:ascii="Times New Roman" w:hAnsi="Times New Roman" w:cs="Times New Roman"/>
                <w:sz w:val="20"/>
                <w:szCs w:val="20"/>
              </w:rPr>
            </w:pPr>
          </w:p>
        </w:tc>
        <w:tc>
          <w:tcPr>
            <w:tcW w:w="1131" w:type="pct"/>
          </w:tcPr>
          <w:p w14:paraId="477CFE98"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Is alcohol use disorder associated with higher rates of depression and anxiety among people with new onset type 2 diabetes? A cohort study using linked primary care data in England</w:t>
            </w:r>
          </w:p>
        </w:tc>
        <w:tc>
          <w:tcPr>
            <w:tcW w:w="458" w:type="pct"/>
          </w:tcPr>
          <w:p w14:paraId="213FD9A6"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Cook et al., 2024</w:t>
            </w:r>
          </w:p>
        </w:tc>
        <w:tc>
          <w:tcPr>
            <w:tcW w:w="639" w:type="pct"/>
          </w:tcPr>
          <w:p w14:paraId="298D7346"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 xml:space="preserve">Clinical Practice Research </w:t>
            </w:r>
            <w:proofErr w:type="gramStart"/>
            <w:r w:rsidRPr="00485321">
              <w:rPr>
                <w:rFonts w:ascii="Times New Roman" w:hAnsi="Times New Roman" w:cs="Times New Roman"/>
                <w:sz w:val="20"/>
                <w:szCs w:val="20"/>
              </w:rPr>
              <w:t xml:space="preserve">Datalink  </w:t>
            </w:r>
            <w:proofErr w:type="spellStart"/>
            <w:r w:rsidRPr="00485321">
              <w:rPr>
                <w:rFonts w:ascii="Times New Roman" w:hAnsi="Times New Roman" w:cs="Times New Roman"/>
                <w:sz w:val="20"/>
                <w:szCs w:val="20"/>
              </w:rPr>
              <w:t>Aurum</w:t>
            </w:r>
            <w:proofErr w:type="spellEnd"/>
            <w:proofErr w:type="gramEnd"/>
          </w:p>
        </w:tc>
        <w:tc>
          <w:tcPr>
            <w:tcW w:w="717" w:type="pct"/>
          </w:tcPr>
          <w:p w14:paraId="328C0039"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A cohort study</w:t>
            </w:r>
          </w:p>
        </w:tc>
        <w:tc>
          <w:tcPr>
            <w:tcW w:w="429" w:type="pct"/>
          </w:tcPr>
          <w:p w14:paraId="3FF16299"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479,447 people</w:t>
            </w:r>
          </w:p>
        </w:tc>
        <w:tc>
          <w:tcPr>
            <w:tcW w:w="1336" w:type="pct"/>
          </w:tcPr>
          <w:p w14:paraId="2A6063E5"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People with AUD have over double the rates of depression and anxiety following T2DM diagnosis than those without AUD.</w:t>
            </w:r>
          </w:p>
        </w:tc>
      </w:tr>
      <w:tr w:rsidR="00A504BB" w:rsidRPr="00485321" w14:paraId="04FF621A" w14:textId="77777777" w:rsidTr="002663D9">
        <w:trPr>
          <w:trHeight w:val="1144"/>
        </w:trPr>
        <w:tc>
          <w:tcPr>
            <w:tcW w:w="290" w:type="pct"/>
          </w:tcPr>
          <w:p w14:paraId="46156D10" w14:textId="77777777" w:rsidR="00A504BB" w:rsidRPr="00485321" w:rsidRDefault="00A504BB" w:rsidP="00A504BB">
            <w:pPr>
              <w:pStyle w:val="ListParagraph"/>
              <w:widowControl/>
              <w:numPr>
                <w:ilvl w:val="0"/>
                <w:numId w:val="3"/>
              </w:numPr>
              <w:autoSpaceDE/>
              <w:autoSpaceDN/>
              <w:rPr>
                <w:rFonts w:ascii="Times New Roman" w:hAnsi="Times New Roman" w:cs="Times New Roman"/>
                <w:sz w:val="20"/>
                <w:szCs w:val="20"/>
              </w:rPr>
            </w:pPr>
          </w:p>
        </w:tc>
        <w:tc>
          <w:tcPr>
            <w:tcW w:w="1131" w:type="pct"/>
          </w:tcPr>
          <w:p w14:paraId="3F05D967"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Moderate alcohol drinking with meals is related to a lower incidence of type 2 diabetes</w:t>
            </w:r>
          </w:p>
        </w:tc>
        <w:tc>
          <w:tcPr>
            <w:tcW w:w="458" w:type="pct"/>
          </w:tcPr>
          <w:p w14:paraId="5E720F0C"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Ma et al., 2022</w:t>
            </w:r>
          </w:p>
        </w:tc>
        <w:tc>
          <w:tcPr>
            <w:tcW w:w="639" w:type="pct"/>
          </w:tcPr>
          <w:p w14:paraId="58B815E6"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UK Biobank</w:t>
            </w:r>
          </w:p>
        </w:tc>
        <w:tc>
          <w:tcPr>
            <w:tcW w:w="717" w:type="pct"/>
          </w:tcPr>
          <w:p w14:paraId="292D10E4"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Population-based cohort study</w:t>
            </w:r>
          </w:p>
        </w:tc>
        <w:tc>
          <w:tcPr>
            <w:tcW w:w="429" w:type="pct"/>
          </w:tcPr>
          <w:p w14:paraId="40EDC9BA"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312,388 participants</w:t>
            </w:r>
          </w:p>
        </w:tc>
        <w:tc>
          <w:tcPr>
            <w:tcW w:w="1336" w:type="pct"/>
          </w:tcPr>
          <w:p w14:paraId="7D60C8AC"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In current drinkers, moderate drinking of alcohol, especially wine, with meals is associated with a lower risk of T2D.</w:t>
            </w:r>
          </w:p>
        </w:tc>
      </w:tr>
      <w:tr w:rsidR="00A504BB" w:rsidRPr="00485321" w14:paraId="37FDAE5F" w14:textId="77777777" w:rsidTr="002663D9">
        <w:trPr>
          <w:trHeight w:val="1260"/>
        </w:trPr>
        <w:tc>
          <w:tcPr>
            <w:tcW w:w="290" w:type="pct"/>
          </w:tcPr>
          <w:p w14:paraId="54633D69" w14:textId="77777777" w:rsidR="00A504BB" w:rsidRPr="00485321" w:rsidRDefault="00A504BB" w:rsidP="00A504BB">
            <w:pPr>
              <w:pStyle w:val="ListParagraph"/>
              <w:widowControl/>
              <w:numPr>
                <w:ilvl w:val="0"/>
                <w:numId w:val="3"/>
              </w:numPr>
              <w:autoSpaceDE/>
              <w:autoSpaceDN/>
              <w:rPr>
                <w:rFonts w:ascii="Times New Roman" w:hAnsi="Times New Roman" w:cs="Times New Roman"/>
                <w:sz w:val="20"/>
                <w:szCs w:val="20"/>
              </w:rPr>
            </w:pPr>
          </w:p>
        </w:tc>
        <w:tc>
          <w:tcPr>
            <w:tcW w:w="1131" w:type="pct"/>
          </w:tcPr>
          <w:p w14:paraId="7E37C74C"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Alcohol consumption and its correlation with medical conditions: a UK Biobank study</w:t>
            </w:r>
          </w:p>
        </w:tc>
        <w:tc>
          <w:tcPr>
            <w:tcW w:w="458" w:type="pct"/>
          </w:tcPr>
          <w:p w14:paraId="3CE5ACDD"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 xml:space="preserve">Mayer and </w:t>
            </w:r>
            <w:proofErr w:type="spellStart"/>
            <w:r w:rsidRPr="00485321">
              <w:rPr>
                <w:rFonts w:ascii="Times New Roman" w:hAnsi="Times New Roman" w:cs="Times New Roman"/>
                <w:sz w:val="20"/>
                <w:szCs w:val="20"/>
              </w:rPr>
              <w:t>Fontelo</w:t>
            </w:r>
            <w:proofErr w:type="spellEnd"/>
            <w:r w:rsidRPr="00485321">
              <w:rPr>
                <w:rFonts w:ascii="Times New Roman" w:hAnsi="Times New Roman" w:cs="Times New Roman"/>
                <w:sz w:val="20"/>
                <w:szCs w:val="20"/>
              </w:rPr>
              <w:t>, 2024</w:t>
            </w:r>
          </w:p>
        </w:tc>
        <w:tc>
          <w:tcPr>
            <w:tcW w:w="639" w:type="pct"/>
          </w:tcPr>
          <w:p w14:paraId="522576AC"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UK Biobank</w:t>
            </w:r>
          </w:p>
        </w:tc>
        <w:tc>
          <w:tcPr>
            <w:tcW w:w="717" w:type="pct"/>
          </w:tcPr>
          <w:p w14:paraId="02467CE7"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A cohort study</w:t>
            </w:r>
          </w:p>
        </w:tc>
        <w:tc>
          <w:tcPr>
            <w:tcW w:w="429" w:type="pct"/>
          </w:tcPr>
          <w:p w14:paraId="65326A48"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344,410 participants</w:t>
            </w:r>
          </w:p>
        </w:tc>
        <w:tc>
          <w:tcPr>
            <w:tcW w:w="1336" w:type="pct"/>
          </w:tcPr>
          <w:p w14:paraId="5A24271F" w14:textId="77777777" w:rsidR="00A504BB" w:rsidRPr="00485321" w:rsidRDefault="00A504BB" w:rsidP="002663D9">
            <w:pPr>
              <w:rPr>
                <w:rFonts w:ascii="Times New Roman" w:hAnsi="Times New Roman" w:cs="Times New Roman"/>
                <w:sz w:val="20"/>
                <w:szCs w:val="20"/>
              </w:rPr>
            </w:pPr>
            <w:r w:rsidRPr="00485321">
              <w:rPr>
                <w:rFonts w:ascii="Times New Roman" w:hAnsi="Times New Roman" w:cs="Times New Roman"/>
                <w:sz w:val="20"/>
                <w:szCs w:val="20"/>
              </w:rPr>
              <w:t>Participants consuming increasing amounts of alcohol had increased incidence rates for diabetes and other studied conditions.</w:t>
            </w:r>
          </w:p>
        </w:tc>
      </w:tr>
    </w:tbl>
    <w:p w14:paraId="1A1751C0" w14:textId="77777777" w:rsidR="00A504BB" w:rsidRDefault="00A504BB" w:rsidP="00A504BB"/>
    <w:p w14:paraId="15AAF033" w14:textId="77777777" w:rsidR="00747D97" w:rsidRDefault="00747D97"/>
    <w:sectPr w:rsidR="00747D97" w:rsidSect="00A054A2">
      <w:pgSz w:w="16838" w:h="11906" w:orient="landscape"/>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4543F4"/>
    <w:multiLevelType w:val="multilevel"/>
    <w:tmpl w:val="3356EB3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6DA10AD6"/>
    <w:multiLevelType w:val="hybridMultilevel"/>
    <w:tmpl w:val="C7C086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1C15821"/>
    <w:multiLevelType w:val="hybridMultilevel"/>
    <w:tmpl w:val="4D96C6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9685073">
    <w:abstractNumId w:val="0"/>
  </w:num>
  <w:num w:numId="2" w16cid:durableId="2142067630">
    <w:abstractNumId w:val="2"/>
  </w:num>
  <w:num w:numId="3" w16cid:durableId="4483559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D5B"/>
    <w:rsid w:val="00157DB2"/>
    <w:rsid w:val="002557E2"/>
    <w:rsid w:val="00321441"/>
    <w:rsid w:val="00485321"/>
    <w:rsid w:val="005E1B99"/>
    <w:rsid w:val="006237CF"/>
    <w:rsid w:val="00747D97"/>
    <w:rsid w:val="00827C38"/>
    <w:rsid w:val="008634F1"/>
    <w:rsid w:val="009360B0"/>
    <w:rsid w:val="009F2D5B"/>
    <w:rsid w:val="009F5FF1"/>
    <w:rsid w:val="00A054A2"/>
    <w:rsid w:val="00A504BB"/>
    <w:rsid w:val="00B5335F"/>
    <w:rsid w:val="00BA25F1"/>
    <w:rsid w:val="00F733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A74C6"/>
  <w15:chartTrackingRefBased/>
  <w15:docId w15:val="{B812FA99-F615-4EC1-850A-86DEA4BB0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9F2D5B"/>
    <w:pPr>
      <w:widowControl w:val="0"/>
      <w:autoSpaceDE w:val="0"/>
      <w:autoSpaceDN w:val="0"/>
      <w:spacing w:after="0" w:line="240" w:lineRule="auto"/>
    </w:pPr>
    <w:rPr>
      <w:rFonts w:ascii="Calibri Light" w:eastAsia="Calibri Light" w:hAnsi="Calibri Light" w:cs="Calibri Light"/>
      <w:kern w:val="0"/>
      <w:sz w:val="22"/>
      <w:szCs w:val="22"/>
      <w:lang w:eastAsia="en-GB" w:bidi="en-GB"/>
      <w14:ligatures w14:val="none"/>
    </w:rPr>
  </w:style>
  <w:style w:type="paragraph" w:styleId="Heading1">
    <w:name w:val="heading 1"/>
    <w:basedOn w:val="Normal"/>
    <w:next w:val="Normal"/>
    <w:link w:val="Heading1Char"/>
    <w:uiPriority w:val="1"/>
    <w:qFormat/>
    <w:rsid w:val="009F2D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2D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2D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2D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2D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2D5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2D5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2D5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2D5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2D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2D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2D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2D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2D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2D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2D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2D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2D5B"/>
    <w:rPr>
      <w:rFonts w:eastAsiaTheme="majorEastAsia" w:cstheme="majorBidi"/>
      <w:color w:val="272727" w:themeColor="text1" w:themeTint="D8"/>
    </w:rPr>
  </w:style>
  <w:style w:type="paragraph" w:styleId="Title">
    <w:name w:val="Title"/>
    <w:basedOn w:val="Normal"/>
    <w:next w:val="Normal"/>
    <w:link w:val="TitleChar"/>
    <w:uiPriority w:val="10"/>
    <w:qFormat/>
    <w:rsid w:val="009F2D5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2D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2D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2D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2D5B"/>
    <w:pPr>
      <w:spacing w:before="160"/>
      <w:jc w:val="center"/>
    </w:pPr>
    <w:rPr>
      <w:i/>
      <w:iCs/>
      <w:color w:val="404040" w:themeColor="text1" w:themeTint="BF"/>
    </w:rPr>
  </w:style>
  <w:style w:type="character" w:customStyle="1" w:styleId="QuoteChar">
    <w:name w:val="Quote Char"/>
    <w:basedOn w:val="DefaultParagraphFont"/>
    <w:link w:val="Quote"/>
    <w:uiPriority w:val="29"/>
    <w:rsid w:val="009F2D5B"/>
    <w:rPr>
      <w:i/>
      <w:iCs/>
      <w:color w:val="404040" w:themeColor="text1" w:themeTint="BF"/>
    </w:rPr>
  </w:style>
  <w:style w:type="paragraph" w:styleId="ListParagraph">
    <w:name w:val="List Paragraph"/>
    <w:basedOn w:val="Normal"/>
    <w:uiPriority w:val="34"/>
    <w:qFormat/>
    <w:rsid w:val="009F2D5B"/>
    <w:pPr>
      <w:ind w:left="720"/>
      <w:contextualSpacing/>
    </w:pPr>
  </w:style>
  <w:style w:type="character" w:styleId="IntenseEmphasis">
    <w:name w:val="Intense Emphasis"/>
    <w:basedOn w:val="DefaultParagraphFont"/>
    <w:uiPriority w:val="21"/>
    <w:qFormat/>
    <w:rsid w:val="009F2D5B"/>
    <w:rPr>
      <w:i/>
      <w:iCs/>
      <w:color w:val="0F4761" w:themeColor="accent1" w:themeShade="BF"/>
    </w:rPr>
  </w:style>
  <w:style w:type="paragraph" w:styleId="IntenseQuote">
    <w:name w:val="Intense Quote"/>
    <w:basedOn w:val="Normal"/>
    <w:next w:val="Normal"/>
    <w:link w:val="IntenseQuoteChar"/>
    <w:uiPriority w:val="30"/>
    <w:qFormat/>
    <w:rsid w:val="009F2D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2D5B"/>
    <w:rPr>
      <w:i/>
      <w:iCs/>
      <w:color w:val="0F4761" w:themeColor="accent1" w:themeShade="BF"/>
    </w:rPr>
  </w:style>
  <w:style w:type="character" w:styleId="IntenseReference">
    <w:name w:val="Intense Reference"/>
    <w:basedOn w:val="DefaultParagraphFont"/>
    <w:uiPriority w:val="32"/>
    <w:qFormat/>
    <w:rsid w:val="009F2D5B"/>
    <w:rPr>
      <w:b/>
      <w:bCs/>
      <w:smallCaps/>
      <w:color w:val="0F4761" w:themeColor="accent1" w:themeShade="BF"/>
      <w:spacing w:val="5"/>
    </w:rPr>
  </w:style>
  <w:style w:type="paragraph" w:styleId="BodyText">
    <w:name w:val="Body Text"/>
    <w:basedOn w:val="Normal"/>
    <w:link w:val="BodyTextChar"/>
    <w:uiPriority w:val="1"/>
    <w:qFormat/>
    <w:rsid w:val="009F2D5B"/>
  </w:style>
  <w:style w:type="character" w:customStyle="1" w:styleId="BodyTextChar">
    <w:name w:val="Body Text Char"/>
    <w:basedOn w:val="DefaultParagraphFont"/>
    <w:link w:val="BodyText"/>
    <w:uiPriority w:val="1"/>
    <w:rsid w:val="009F2D5B"/>
    <w:rPr>
      <w:rFonts w:ascii="Calibri Light" w:eastAsia="Calibri Light" w:hAnsi="Calibri Light" w:cs="Calibri Light"/>
      <w:kern w:val="0"/>
      <w:sz w:val="22"/>
      <w:szCs w:val="22"/>
      <w:lang w:eastAsia="en-GB" w:bidi="en-GB"/>
      <w14:ligatures w14:val="none"/>
    </w:rPr>
  </w:style>
  <w:style w:type="paragraph" w:styleId="NormalWeb">
    <w:name w:val="Normal (Web)"/>
    <w:basedOn w:val="Normal"/>
    <w:uiPriority w:val="99"/>
    <w:semiHidden/>
    <w:unhideWhenUsed/>
    <w:rsid w:val="009F2D5B"/>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character" w:styleId="Hyperlink">
    <w:name w:val="Hyperlink"/>
    <w:uiPriority w:val="99"/>
    <w:unhideWhenUsed/>
    <w:rsid w:val="009F2D5B"/>
    <w:rPr>
      <w:color w:val="0000FF"/>
      <w:u w:val="single"/>
    </w:rPr>
  </w:style>
  <w:style w:type="character" w:styleId="Strong">
    <w:name w:val="Strong"/>
    <w:uiPriority w:val="22"/>
    <w:qFormat/>
    <w:rsid w:val="009F2D5B"/>
    <w:rPr>
      <w:b/>
      <w:bCs/>
    </w:rPr>
  </w:style>
  <w:style w:type="paragraph" w:styleId="TOCHeading">
    <w:name w:val="TOC Heading"/>
    <w:basedOn w:val="Heading1"/>
    <w:next w:val="Normal"/>
    <w:uiPriority w:val="39"/>
    <w:unhideWhenUsed/>
    <w:qFormat/>
    <w:rsid w:val="009F2D5B"/>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9F2D5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statistics/diabetes-profile-update-march-2025/diabetes-profile-statistical-commentary-march-2025"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TotalTime>
  <Pages>43</Pages>
  <Words>13358</Words>
  <Characters>76144</Characters>
  <Application>Microsoft Office Word</Application>
  <DocSecurity>0</DocSecurity>
  <Lines>634</Lines>
  <Paragraphs>178</Paragraphs>
  <ScaleCrop>false</ScaleCrop>
  <Company/>
  <LinksUpToDate>false</LinksUpToDate>
  <CharactersWithSpaces>89324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Henshaw</dc:creator>
  <cp:keywords/>
  <dc:description/>
  <cp:lastModifiedBy>Grace Henshaw</cp:lastModifiedBy>
  <cp:revision>19</cp:revision>
  <dcterms:created xsi:type="dcterms:W3CDTF">2025-12-14T13:37:00Z</dcterms:created>
  <dcterms:modified xsi:type="dcterms:W3CDTF">2025-12-14T14:55:00Z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0a51b0cb-980e-4f51-93de-82a56100ae24</vt:lpwstr>
  </property>
</Properties>
</file>