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6F292" w14:textId="77777777" w:rsidR="004931B6" w:rsidRPr="00407AB3" w:rsidRDefault="004931B6" w:rsidP="004931B6">
      <w:pPr>
        <w:spacing w:line="360" w:lineRule="auto"/>
        <w:jc w:val="center"/>
        <w:rPr>
          <w:rFonts w:ascii="Arial" w:hAnsi="Arial" w:cs="Arial"/>
          <w:b/>
          <w:bCs/>
          <w:sz w:val="20"/>
          <w:szCs w:val="20"/>
          <w:u w:val="single"/>
        </w:rPr>
      </w:pPr>
      <w:r w:rsidRPr="00407AB3">
        <w:rPr>
          <w:rFonts w:ascii="Arial" w:hAnsi="Arial" w:cs="Arial"/>
          <w:noProof/>
          <w:sz w:val="20"/>
          <w:szCs w:val="20"/>
        </w:rPr>
        <w:drawing>
          <wp:inline distT="0" distB="0" distL="0" distR="0" wp14:anchorId="50D02ADE" wp14:editId="21E099BA">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2824AF85" w14:textId="77777777" w:rsidR="004931B6" w:rsidRPr="00407AB3" w:rsidRDefault="004931B6" w:rsidP="004931B6">
      <w:pPr>
        <w:spacing w:line="360" w:lineRule="auto"/>
        <w:jc w:val="center"/>
        <w:rPr>
          <w:rFonts w:ascii="Arial" w:hAnsi="Arial" w:cs="Arial"/>
          <w:sz w:val="20"/>
          <w:szCs w:val="20"/>
        </w:rPr>
      </w:pPr>
    </w:p>
    <w:p w14:paraId="226E4B0C" w14:textId="77777777" w:rsidR="004931B6" w:rsidRPr="00407AB3" w:rsidRDefault="004931B6" w:rsidP="004931B6">
      <w:pPr>
        <w:spacing w:line="360" w:lineRule="auto"/>
        <w:jc w:val="center"/>
        <w:rPr>
          <w:rFonts w:ascii="Arial" w:hAnsi="Arial" w:cs="Arial"/>
          <w:b/>
          <w:bCs/>
          <w:sz w:val="24"/>
          <w:szCs w:val="24"/>
          <w:u w:val="single"/>
        </w:rPr>
      </w:pPr>
      <w:r w:rsidRPr="00407AB3">
        <w:rPr>
          <w:rFonts w:ascii="Arial" w:hAnsi="Arial" w:cs="Arial"/>
          <w:b/>
          <w:bCs/>
          <w:sz w:val="24"/>
          <w:szCs w:val="24"/>
          <w:u w:val="single"/>
        </w:rPr>
        <w:t>UNIVERSITY OF WALES TRINITY SAINT DAVID</w:t>
      </w:r>
    </w:p>
    <w:p w14:paraId="7C41DB01" w14:textId="77777777" w:rsidR="004931B6" w:rsidRPr="00407AB3" w:rsidRDefault="004931B6" w:rsidP="004931B6">
      <w:pPr>
        <w:spacing w:line="360" w:lineRule="auto"/>
        <w:jc w:val="center"/>
        <w:rPr>
          <w:rFonts w:ascii="Arial" w:hAnsi="Arial" w:cs="Arial"/>
          <w:b/>
          <w:bCs/>
          <w:sz w:val="24"/>
          <w:szCs w:val="24"/>
          <w:u w:val="single"/>
        </w:rPr>
      </w:pPr>
    </w:p>
    <w:p w14:paraId="057BB8CB" w14:textId="53D30D8C" w:rsidR="004931B6" w:rsidRPr="00407AB3" w:rsidRDefault="004931B6" w:rsidP="004931B6">
      <w:pPr>
        <w:spacing w:before="240" w:line="360" w:lineRule="auto"/>
        <w:jc w:val="center"/>
        <w:rPr>
          <w:rFonts w:ascii="Arial" w:hAnsi="Arial" w:cs="Arial"/>
          <w:b/>
          <w:bCs/>
          <w:sz w:val="24"/>
          <w:szCs w:val="24"/>
          <w:u w:val="single"/>
        </w:rPr>
      </w:pPr>
      <w:r>
        <w:rPr>
          <w:rFonts w:ascii="Arial" w:hAnsi="Arial" w:cs="Arial"/>
          <w:b/>
          <w:bCs/>
          <w:sz w:val="24"/>
          <w:szCs w:val="24"/>
          <w:u w:val="single"/>
        </w:rPr>
        <w:t>ACCOUNTING FUNDAMENTALS</w:t>
      </w:r>
      <w:r w:rsidRPr="00407AB3">
        <w:rPr>
          <w:rFonts w:ascii="Arial" w:hAnsi="Arial" w:cs="Arial"/>
          <w:b/>
          <w:bCs/>
          <w:sz w:val="24"/>
          <w:szCs w:val="24"/>
          <w:u w:val="single"/>
        </w:rPr>
        <w:t xml:space="preserve"> </w:t>
      </w:r>
      <w:r w:rsidR="0008220D">
        <w:rPr>
          <w:rFonts w:ascii="Arial" w:hAnsi="Arial" w:cs="Arial"/>
          <w:b/>
          <w:bCs/>
          <w:sz w:val="24"/>
          <w:szCs w:val="24"/>
          <w:u w:val="single"/>
        </w:rPr>
        <w:t>-</w:t>
      </w:r>
      <w:r w:rsidRPr="00407AB3">
        <w:rPr>
          <w:rFonts w:ascii="Arial" w:hAnsi="Arial" w:cs="Arial"/>
          <w:b/>
          <w:bCs/>
          <w:sz w:val="24"/>
          <w:szCs w:val="24"/>
          <w:u w:val="single"/>
        </w:rPr>
        <w:t xml:space="preserve"> LCBB400</w:t>
      </w:r>
      <w:r>
        <w:rPr>
          <w:rFonts w:ascii="Arial" w:hAnsi="Arial" w:cs="Arial"/>
          <w:b/>
          <w:bCs/>
          <w:sz w:val="24"/>
          <w:szCs w:val="24"/>
          <w:u w:val="single"/>
        </w:rPr>
        <w:t>1</w:t>
      </w:r>
    </w:p>
    <w:p w14:paraId="766CE7EF" w14:textId="77777777" w:rsidR="004931B6" w:rsidRPr="00407AB3" w:rsidRDefault="004931B6" w:rsidP="004931B6">
      <w:pPr>
        <w:spacing w:before="240" w:line="360" w:lineRule="auto"/>
        <w:jc w:val="center"/>
        <w:rPr>
          <w:rFonts w:ascii="Arial" w:hAnsi="Arial" w:cs="Arial"/>
          <w:b/>
          <w:bCs/>
          <w:sz w:val="24"/>
          <w:szCs w:val="24"/>
          <w:u w:val="single"/>
        </w:rPr>
      </w:pPr>
    </w:p>
    <w:p w14:paraId="4B0AB1C3" w14:textId="3B2D4A34" w:rsidR="004931B6" w:rsidRPr="00407AB3" w:rsidRDefault="004931B6" w:rsidP="004931B6">
      <w:pPr>
        <w:spacing w:line="360" w:lineRule="auto"/>
        <w:jc w:val="center"/>
        <w:rPr>
          <w:rFonts w:ascii="Arial" w:hAnsi="Arial" w:cs="Arial"/>
          <w:b/>
          <w:bCs/>
          <w:sz w:val="24"/>
          <w:szCs w:val="24"/>
          <w:u w:val="single"/>
        </w:rPr>
      </w:pPr>
      <w:r w:rsidRPr="00407AB3">
        <w:rPr>
          <w:rFonts w:ascii="Arial" w:hAnsi="Arial" w:cs="Arial"/>
          <w:b/>
          <w:bCs/>
          <w:sz w:val="24"/>
          <w:szCs w:val="24"/>
          <w:u w:val="single"/>
        </w:rPr>
        <w:t>LECTURER –</w:t>
      </w:r>
      <w:r w:rsidR="0008220D">
        <w:rPr>
          <w:rFonts w:ascii="Arial" w:hAnsi="Arial" w:cs="Arial"/>
          <w:b/>
          <w:bCs/>
          <w:sz w:val="24"/>
          <w:szCs w:val="24"/>
          <w:u w:val="single"/>
        </w:rPr>
        <w:t xml:space="preserve"> </w:t>
      </w:r>
      <w:r>
        <w:rPr>
          <w:rFonts w:ascii="Arial" w:hAnsi="Arial" w:cs="Arial"/>
          <w:b/>
          <w:bCs/>
          <w:color w:val="373A3C"/>
          <w:sz w:val="24"/>
          <w:szCs w:val="24"/>
          <w:u w:val="single"/>
          <w:shd w:val="clear" w:color="auto" w:fill="FFFFFF"/>
        </w:rPr>
        <w:t>IVANA ROZIC</w:t>
      </w:r>
    </w:p>
    <w:p w14:paraId="74525C14" w14:textId="77777777" w:rsidR="004931B6" w:rsidRPr="00407AB3" w:rsidRDefault="004931B6" w:rsidP="004931B6">
      <w:pPr>
        <w:spacing w:line="360" w:lineRule="auto"/>
        <w:jc w:val="center"/>
        <w:rPr>
          <w:rFonts w:ascii="Arial" w:hAnsi="Arial" w:cs="Arial"/>
          <w:b/>
          <w:bCs/>
          <w:sz w:val="24"/>
          <w:szCs w:val="24"/>
          <w:u w:val="single"/>
        </w:rPr>
      </w:pPr>
    </w:p>
    <w:p w14:paraId="16A36E18" w14:textId="77777777" w:rsidR="004931B6" w:rsidRPr="00407AB3" w:rsidRDefault="004931B6" w:rsidP="004931B6">
      <w:pPr>
        <w:spacing w:line="360" w:lineRule="auto"/>
        <w:jc w:val="center"/>
        <w:rPr>
          <w:rFonts w:ascii="Arial" w:hAnsi="Arial" w:cs="Arial"/>
          <w:b/>
          <w:bCs/>
          <w:sz w:val="24"/>
          <w:szCs w:val="24"/>
          <w:u w:val="single"/>
        </w:rPr>
      </w:pPr>
      <w:r w:rsidRPr="00407AB3">
        <w:rPr>
          <w:rFonts w:ascii="Arial" w:hAnsi="Arial" w:cs="Arial"/>
          <w:b/>
          <w:bCs/>
          <w:sz w:val="24"/>
          <w:szCs w:val="24"/>
          <w:u w:val="single"/>
        </w:rPr>
        <w:t>STUDENT NAME – TSONYO TODOROV</w:t>
      </w:r>
    </w:p>
    <w:p w14:paraId="16C347E4" w14:textId="77777777" w:rsidR="004931B6" w:rsidRPr="00407AB3" w:rsidRDefault="004931B6" w:rsidP="004931B6">
      <w:pPr>
        <w:spacing w:line="360" w:lineRule="auto"/>
        <w:jc w:val="center"/>
        <w:rPr>
          <w:rFonts w:ascii="Arial" w:hAnsi="Arial" w:cs="Arial"/>
          <w:b/>
          <w:bCs/>
          <w:sz w:val="24"/>
          <w:szCs w:val="24"/>
          <w:u w:val="single"/>
        </w:rPr>
      </w:pPr>
    </w:p>
    <w:p w14:paraId="5CA9C001" w14:textId="77777777" w:rsidR="004931B6" w:rsidRPr="00407AB3" w:rsidRDefault="004931B6" w:rsidP="004931B6">
      <w:pPr>
        <w:spacing w:line="360" w:lineRule="auto"/>
        <w:jc w:val="center"/>
        <w:rPr>
          <w:rFonts w:ascii="Arial" w:hAnsi="Arial" w:cs="Arial"/>
          <w:b/>
          <w:bCs/>
          <w:sz w:val="24"/>
          <w:szCs w:val="24"/>
          <w:u w:val="single"/>
        </w:rPr>
      </w:pPr>
      <w:r w:rsidRPr="00407AB3">
        <w:rPr>
          <w:rFonts w:ascii="Arial" w:hAnsi="Arial" w:cs="Arial"/>
          <w:b/>
          <w:bCs/>
          <w:sz w:val="24"/>
          <w:szCs w:val="24"/>
          <w:u w:val="single"/>
        </w:rPr>
        <w:t>STUDENT ID – 2021609</w:t>
      </w:r>
    </w:p>
    <w:p w14:paraId="7737DFD2" w14:textId="77777777" w:rsidR="004931B6" w:rsidRPr="00407AB3" w:rsidRDefault="004931B6" w:rsidP="004931B6">
      <w:pPr>
        <w:spacing w:line="360" w:lineRule="auto"/>
        <w:jc w:val="center"/>
        <w:rPr>
          <w:rFonts w:ascii="Arial" w:hAnsi="Arial" w:cs="Arial"/>
          <w:b/>
          <w:bCs/>
          <w:sz w:val="24"/>
          <w:szCs w:val="24"/>
          <w:u w:val="single"/>
        </w:rPr>
      </w:pPr>
    </w:p>
    <w:p w14:paraId="359265FD" w14:textId="77777777" w:rsidR="004931B6" w:rsidRPr="00407AB3" w:rsidRDefault="004931B6" w:rsidP="004931B6">
      <w:pPr>
        <w:spacing w:line="360" w:lineRule="auto"/>
        <w:jc w:val="center"/>
        <w:rPr>
          <w:rFonts w:ascii="Arial" w:hAnsi="Arial" w:cs="Arial"/>
          <w:b/>
          <w:bCs/>
          <w:sz w:val="24"/>
          <w:szCs w:val="24"/>
          <w:u w:val="single"/>
        </w:rPr>
      </w:pPr>
      <w:r w:rsidRPr="00407AB3">
        <w:rPr>
          <w:rFonts w:ascii="Arial" w:hAnsi="Arial" w:cs="Arial"/>
          <w:b/>
          <w:bCs/>
          <w:sz w:val="24"/>
          <w:szCs w:val="24"/>
          <w:u w:val="single"/>
        </w:rPr>
        <w:t xml:space="preserve">ASSINGMENT </w:t>
      </w:r>
      <w:r>
        <w:rPr>
          <w:rFonts w:ascii="Arial" w:hAnsi="Arial" w:cs="Arial"/>
          <w:b/>
          <w:bCs/>
          <w:sz w:val="24"/>
          <w:szCs w:val="24"/>
          <w:u w:val="single"/>
        </w:rPr>
        <w:t>1</w:t>
      </w:r>
    </w:p>
    <w:p w14:paraId="4C5F6790" w14:textId="77777777" w:rsidR="004931B6" w:rsidRPr="00407AB3" w:rsidRDefault="004931B6" w:rsidP="004931B6">
      <w:pPr>
        <w:spacing w:line="360" w:lineRule="auto"/>
        <w:jc w:val="center"/>
        <w:rPr>
          <w:rFonts w:ascii="Arial" w:hAnsi="Arial" w:cs="Arial"/>
          <w:b/>
          <w:bCs/>
          <w:sz w:val="24"/>
          <w:szCs w:val="24"/>
          <w:u w:val="single"/>
        </w:rPr>
      </w:pPr>
    </w:p>
    <w:p w14:paraId="64E73F5D" w14:textId="77777777" w:rsidR="00331E4B" w:rsidRDefault="00331E4B" w:rsidP="004931B6">
      <w:pPr>
        <w:rPr>
          <w:rFonts w:ascii="Arial" w:hAnsi="Arial" w:cs="Arial"/>
          <w:b/>
          <w:bCs/>
          <w:u w:val="single"/>
        </w:rPr>
      </w:pPr>
    </w:p>
    <w:p w14:paraId="3C628BF4" w14:textId="77777777" w:rsidR="00AE6B71" w:rsidRDefault="00AE6B71" w:rsidP="004931B6">
      <w:pPr>
        <w:rPr>
          <w:rFonts w:ascii="Arial" w:hAnsi="Arial" w:cs="Arial"/>
          <w:b/>
          <w:bCs/>
          <w:u w:val="single"/>
        </w:rPr>
      </w:pPr>
    </w:p>
    <w:p w14:paraId="2E34E33B" w14:textId="77777777" w:rsidR="00AE6B71" w:rsidRDefault="00AE6B71" w:rsidP="004931B6">
      <w:pPr>
        <w:rPr>
          <w:rFonts w:ascii="Arial" w:hAnsi="Arial" w:cs="Arial"/>
          <w:b/>
          <w:bCs/>
          <w:u w:val="single"/>
        </w:rPr>
      </w:pPr>
    </w:p>
    <w:p w14:paraId="5939842A" w14:textId="77777777" w:rsidR="00AE6B71" w:rsidRDefault="00AE6B71" w:rsidP="004931B6">
      <w:pPr>
        <w:rPr>
          <w:rFonts w:ascii="Arial" w:hAnsi="Arial" w:cs="Arial"/>
          <w:b/>
          <w:bCs/>
          <w:u w:val="single"/>
        </w:rPr>
      </w:pPr>
    </w:p>
    <w:p w14:paraId="4831107D" w14:textId="77777777" w:rsidR="00AE6B71" w:rsidRDefault="00AE6B71" w:rsidP="004931B6">
      <w:pPr>
        <w:rPr>
          <w:rFonts w:ascii="Arial" w:hAnsi="Arial" w:cs="Arial"/>
          <w:b/>
          <w:bCs/>
          <w:u w:val="single"/>
        </w:rPr>
      </w:pPr>
    </w:p>
    <w:p w14:paraId="7C764041" w14:textId="77777777" w:rsidR="00AE6B71" w:rsidRDefault="00AE6B71" w:rsidP="004931B6">
      <w:pPr>
        <w:rPr>
          <w:rFonts w:ascii="Arial" w:hAnsi="Arial" w:cs="Arial"/>
          <w:b/>
          <w:bCs/>
          <w:u w:val="single"/>
        </w:rPr>
      </w:pPr>
    </w:p>
    <w:p w14:paraId="1A07DBEB" w14:textId="77777777" w:rsidR="00AE6B71" w:rsidRDefault="00AE6B71" w:rsidP="004931B6">
      <w:pPr>
        <w:rPr>
          <w:rFonts w:ascii="Arial" w:hAnsi="Arial" w:cs="Arial"/>
          <w:b/>
          <w:bCs/>
          <w:u w:val="single"/>
        </w:rPr>
      </w:pPr>
    </w:p>
    <w:p w14:paraId="3AEBE2D7" w14:textId="77777777" w:rsidR="00AE6B71" w:rsidRDefault="00AE6B71" w:rsidP="004931B6">
      <w:pPr>
        <w:rPr>
          <w:rFonts w:ascii="Arial" w:hAnsi="Arial" w:cs="Arial"/>
          <w:b/>
          <w:bCs/>
          <w:u w:val="single"/>
        </w:rPr>
      </w:pPr>
    </w:p>
    <w:p w14:paraId="30F1226D" w14:textId="77777777" w:rsidR="00AE6B71" w:rsidRDefault="00AE6B71" w:rsidP="004931B6">
      <w:pPr>
        <w:rPr>
          <w:rFonts w:ascii="Arial" w:hAnsi="Arial" w:cs="Arial"/>
          <w:b/>
          <w:bCs/>
          <w:u w:val="single"/>
        </w:rPr>
      </w:pPr>
    </w:p>
    <w:sdt>
      <w:sdtPr>
        <w:rPr>
          <w:rFonts w:ascii="Arial" w:hAnsi="Arial" w:cs="Arial"/>
          <w:b/>
          <w:bCs/>
        </w:rPr>
        <w:id w:val="-1945994525"/>
        <w:docPartObj>
          <w:docPartGallery w:val="Table of Contents"/>
          <w:docPartUnique/>
        </w:docPartObj>
      </w:sdtPr>
      <w:sdtEndPr>
        <w:rPr>
          <w:b w:val="0"/>
          <w:bCs w:val="0"/>
        </w:rPr>
      </w:sdtEndPr>
      <w:sdtContent>
        <w:p w14:paraId="2016C459" w14:textId="77777777" w:rsidR="00AE6B71" w:rsidRPr="00AE6B71" w:rsidRDefault="00AE6B71" w:rsidP="00AE6B71">
          <w:pPr>
            <w:spacing w:line="360" w:lineRule="auto"/>
            <w:jc w:val="center"/>
            <w:rPr>
              <w:rFonts w:ascii="Arial" w:hAnsi="Arial" w:cs="Arial"/>
            </w:rPr>
          </w:pPr>
          <w:r w:rsidRPr="00AE6B71">
            <w:rPr>
              <w:rFonts w:ascii="Arial" w:hAnsi="Arial" w:cs="Arial"/>
            </w:rPr>
            <w:t>Table of Contents</w:t>
          </w:r>
        </w:p>
        <w:p w14:paraId="2477509E" w14:textId="4DD7F42F" w:rsidR="00AE6B71" w:rsidRPr="00AE6B71" w:rsidRDefault="00AE6B71" w:rsidP="00AE6B71">
          <w:pPr>
            <w:spacing w:line="360" w:lineRule="auto"/>
            <w:jc w:val="both"/>
            <w:rPr>
              <w:rFonts w:ascii="Arial" w:hAnsi="Arial" w:cs="Arial"/>
            </w:rPr>
          </w:pPr>
          <w:r w:rsidRPr="00AE6B71">
            <w:rPr>
              <w:rFonts w:ascii="Arial" w:hAnsi="Arial" w:cs="Arial"/>
            </w:rPr>
            <w:fldChar w:fldCharType="begin"/>
          </w:r>
          <w:r w:rsidRPr="00AE6B71">
            <w:rPr>
              <w:rFonts w:ascii="Arial" w:hAnsi="Arial" w:cs="Arial"/>
            </w:rPr>
            <w:instrText xml:space="preserve"> TOC \o "1-3" \h \z \u </w:instrText>
          </w:r>
          <w:r w:rsidRPr="00AE6B71">
            <w:rPr>
              <w:rFonts w:ascii="Arial" w:hAnsi="Arial" w:cs="Arial"/>
            </w:rPr>
            <w:fldChar w:fldCharType="separate"/>
          </w:r>
          <w:hyperlink w:anchor="_Toc139970244" w:history="1">
            <w:r w:rsidRPr="00AE6B71">
              <w:rPr>
                <w:rStyle w:val="Hyperlink"/>
                <w:rFonts w:ascii="Arial" w:hAnsi="Arial" w:cs="Arial"/>
              </w:rPr>
              <w:t>Introduction</w:t>
            </w:r>
            <w:r w:rsidRPr="00AE6B71">
              <w:rPr>
                <w:rStyle w:val="Hyperlink"/>
                <w:rFonts w:ascii="Arial" w:hAnsi="Arial" w:cs="Arial"/>
                <w:webHidden/>
              </w:rPr>
              <w:t>……………………………………………………………………………………………..</w:t>
            </w:r>
            <w:r>
              <w:rPr>
                <w:rStyle w:val="Hyperlink"/>
                <w:rFonts w:ascii="Arial" w:hAnsi="Arial" w:cs="Arial"/>
                <w:webHidden/>
              </w:rPr>
              <w:t>2</w:t>
            </w:r>
          </w:hyperlink>
        </w:p>
        <w:p w14:paraId="105C7F6A" w14:textId="6008FCA3" w:rsidR="00AE6B71" w:rsidRPr="00AE6B71" w:rsidRDefault="00000000" w:rsidP="00AE6B71">
          <w:pPr>
            <w:spacing w:line="360" w:lineRule="auto"/>
            <w:jc w:val="both"/>
            <w:rPr>
              <w:rFonts w:ascii="Arial" w:hAnsi="Arial" w:cs="Arial"/>
            </w:rPr>
          </w:pPr>
          <w:hyperlink w:anchor="_Toc139970245" w:history="1">
            <w:r w:rsidR="00AE6B71" w:rsidRPr="00AE6B71">
              <w:rPr>
                <w:rStyle w:val="Hyperlink"/>
                <w:rFonts w:ascii="Arial" w:hAnsi="Arial" w:cs="Arial"/>
              </w:rPr>
              <w:t>Question 1</w:t>
            </w:r>
            <w:r w:rsidR="00AE6B71" w:rsidRPr="00AE6B71">
              <w:rPr>
                <w:rStyle w:val="Hyperlink"/>
                <w:rFonts w:ascii="Arial" w:hAnsi="Arial" w:cs="Arial"/>
                <w:webHidden/>
              </w:rPr>
              <w:t>……………………………………………………………………………………..........….</w:t>
            </w:r>
            <w:r w:rsidR="00AE6B71">
              <w:rPr>
                <w:rStyle w:val="Hyperlink"/>
                <w:rFonts w:ascii="Arial" w:hAnsi="Arial" w:cs="Arial"/>
                <w:webHidden/>
              </w:rPr>
              <w:t>3</w:t>
            </w:r>
          </w:hyperlink>
        </w:p>
        <w:p w14:paraId="4790B9F5" w14:textId="0CDEB607" w:rsidR="00AE6B71" w:rsidRPr="00AE6B71" w:rsidRDefault="00000000" w:rsidP="00AE6B71">
          <w:pPr>
            <w:spacing w:line="360" w:lineRule="auto"/>
            <w:jc w:val="both"/>
            <w:rPr>
              <w:rFonts w:ascii="Arial" w:hAnsi="Arial" w:cs="Arial"/>
            </w:rPr>
          </w:pPr>
          <w:hyperlink w:anchor="_Toc139970246" w:history="1">
            <w:r w:rsidR="00AE6B71" w:rsidRPr="00AE6B71">
              <w:rPr>
                <w:rStyle w:val="Hyperlink"/>
                <w:rFonts w:ascii="Arial" w:hAnsi="Arial" w:cs="Arial"/>
              </w:rPr>
              <w:t>1.a) Income Statement and Statement of Financial Position……………………………………...</w:t>
            </w:r>
            <w:r w:rsidR="00AE6B71">
              <w:rPr>
                <w:rStyle w:val="Hyperlink"/>
                <w:rFonts w:ascii="Arial" w:hAnsi="Arial" w:cs="Arial"/>
              </w:rPr>
              <w:t>3</w:t>
            </w:r>
          </w:hyperlink>
        </w:p>
        <w:p w14:paraId="163ACB8A" w14:textId="5BE6BDA0" w:rsidR="00AE6B71" w:rsidRPr="00AE6B71" w:rsidRDefault="00000000" w:rsidP="00AE6B71">
          <w:pPr>
            <w:spacing w:line="360" w:lineRule="auto"/>
            <w:jc w:val="both"/>
            <w:rPr>
              <w:rFonts w:ascii="Arial" w:hAnsi="Arial" w:cs="Arial"/>
            </w:rPr>
          </w:pPr>
          <w:hyperlink w:anchor="_Toc139970247" w:history="1">
            <w:r w:rsidR="00AE6B71" w:rsidRPr="00AE6B71">
              <w:rPr>
                <w:rStyle w:val="Hyperlink"/>
                <w:rFonts w:ascii="Arial" w:hAnsi="Arial" w:cs="Arial"/>
              </w:rPr>
              <w:t>1.b) Why does the financial position balance?</w:t>
            </w:r>
            <w:r w:rsidR="00AE6B71" w:rsidRPr="00AE6B71">
              <w:rPr>
                <w:rStyle w:val="Hyperlink"/>
                <w:rFonts w:ascii="Arial" w:hAnsi="Arial" w:cs="Arial"/>
                <w:webHidden/>
              </w:rPr>
              <w:t>...........................................................................</w:t>
            </w:r>
            <w:r w:rsidR="00AE6B71">
              <w:rPr>
                <w:rStyle w:val="Hyperlink"/>
                <w:rFonts w:ascii="Arial" w:hAnsi="Arial" w:cs="Arial"/>
                <w:webHidden/>
              </w:rPr>
              <w:t>6</w:t>
            </w:r>
          </w:hyperlink>
        </w:p>
        <w:p w14:paraId="689F374F" w14:textId="42BB370A" w:rsidR="00AE6B71" w:rsidRPr="00AE6B71" w:rsidRDefault="00000000" w:rsidP="00AE6B71">
          <w:pPr>
            <w:spacing w:line="360" w:lineRule="auto"/>
            <w:jc w:val="both"/>
            <w:rPr>
              <w:rFonts w:ascii="Arial" w:hAnsi="Arial" w:cs="Arial"/>
            </w:rPr>
          </w:pPr>
          <w:hyperlink w:anchor="_Toc139970248" w:history="1">
            <w:r w:rsidR="00AE6B71" w:rsidRPr="00AE6B71">
              <w:rPr>
                <w:rStyle w:val="Hyperlink"/>
                <w:rFonts w:ascii="Arial" w:hAnsi="Arial" w:cs="Arial"/>
              </w:rPr>
              <w:t>Question 2:</w:t>
            </w:r>
            <w:r w:rsidR="00AE6B71" w:rsidRPr="00AE6B71">
              <w:rPr>
                <w:rStyle w:val="Hyperlink"/>
                <w:rFonts w:ascii="Arial" w:hAnsi="Arial" w:cs="Arial"/>
                <w:webHidden/>
              </w:rPr>
              <w:t>……………………………………………………………………………………………...</w:t>
            </w:r>
            <w:r w:rsidR="00AE6B71">
              <w:rPr>
                <w:rStyle w:val="Hyperlink"/>
                <w:rFonts w:ascii="Arial" w:hAnsi="Arial" w:cs="Arial"/>
                <w:webHidden/>
              </w:rPr>
              <w:t>8</w:t>
            </w:r>
          </w:hyperlink>
        </w:p>
        <w:p w14:paraId="3F19CB29" w14:textId="38100184" w:rsidR="00AE6B71" w:rsidRPr="00AE6B71" w:rsidRDefault="00000000" w:rsidP="00AE6B71">
          <w:pPr>
            <w:spacing w:line="360" w:lineRule="auto"/>
            <w:jc w:val="both"/>
            <w:rPr>
              <w:rFonts w:ascii="Arial" w:hAnsi="Arial" w:cs="Arial"/>
            </w:rPr>
          </w:pPr>
          <w:hyperlink w:anchor="_Toc139970249" w:history="1">
            <w:r w:rsidR="00AE6B71" w:rsidRPr="00AE6B71">
              <w:rPr>
                <w:rStyle w:val="Hyperlink"/>
                <w:rFonts w:ascii="Arial" w:hAnsi="Arial" w:cs="Arial"/>
              </w:rPr>
              <w:t xml:space="preserve">2.a) </w:t>
            </w:r>
            <w:r w:rsidR="00AE6B71" w:rsidRPr="00AE6B71">
              <w:rPr>
                <w:rStyle w:val="Hyperlink"/>
                <w:rFonts w:ascii="Arial" w:hAnsi="Arial" w:cs="Arial"/>
                <w:u w:val="none"/>
              </w:rPr>
              <w:t>Ratios</w:t>
            </w:r>
            <w:r w:rsidR="00AE6B71" w:rsidRPr="00AE6B71">
              <w:rPr>
                <w:rStyle w:val="Hyperlink"/>
                <w:rFonts w:ascii="Arial" w:hAnsi="Arial" w:cs="Arial"/>
              </w:rPr>
              <w:t xml:space="preserve"> calculation of Sweets Plc and comparison</w:t>
            </w:r>
            <w:r w:rsidR="00AE6B71" w:rsidRPr="00AE6B71">
              <w:rPr>
                <w:rStyle w:val="Hyperlink"/>
                <w:rFonts w:ascii="Arial" w:hAnsi="Arial" w:cs="Arial"/>
                <w:webHidden/>
              </w:rPr>
              <w:t>…………………………………………….</w:t>
            </w:r>
            <w:r w:rsidR="00AE6B71">
              <w:rPr>
                <w:rStyle w:val="Hyperlink"/>
                <w:rFonts w:ascii="Arial" w:hAnsi="Arial" w:cs="Arial"/>
                <w:webHidden/>
              </w:rPr>
              <w:t>8</w:t>
            </w:r>
          </w:hyperlink>
        </w:p>
        <w:p w14:paraId="5B93A83A" w14:textId="77777777" w:rsidR="00AE6B71" w:rsidRPr="00AE6B71" w:rsidRDefault="00AE6B71" w:rsidP="00AE6B71">
          <w:pPr>
            <w:spacing w:line="360" w:lineRule="auto"/>
            <w:jc w:val="both"/>
            <w:rPr>
              <w:rFonts w:ascii="Arial" w:hAnsi="Arial" w:cs="Arial"/>
            </w:rPr>
          </w:pPr>
          <w:r w:rsidRPr="00AE6B71">
            <w:rPr>
              <w:rFonts w:ascii="Arial" w:hAnsi="Arial" w:cs="Arial"/>
            </w:rPr>
            <w:t xml:space="preserve">  </w:t>
          </w:r>
          <w:hyperlink w:anchor="_Toc139970250" w:history="1">
            <w:r w:rsidRPr="00AE6B71">
              <w:rPr>
                <w:rStyle w:val="Hyperlink"/>
                <w:rFonts w:ascii="Arial" w:hAnsi="Arial" w:cs="Arial"/>
              </w:rPr>
              <w:t>2.b) Sweets Plc financial position and performance assessment for the year ended 31-Dec-2021</w:t>
            </w:r>
            <w:r w:rsidRPr="00AE6B71">
              <w:rPr>
                <w:rStyle w:val="Hyperlink"/>
                <w:rFonts w:ascii="Arial" w:hAnsi="Arial" w:cs="Arial"/>
                <w:webHidden/>
              </w:rPr>
              <w:t>…………………………………………..……………………………………………………..…..</w:t>
            </w:r>
            <w:r w:rsidRPr="00AE6B71">
              <w:rPr>
                <w:rStyle w:val="Hyperlink"/>
                <w:rFonts w:ascii="Arial" w:hAnsi="Arial" w:cs="Arial"/>
                <w:webHidden/>
              </w:rPr>
              <w:fldChar w:fldCharType="begin"/>
            </w:r>
            <w:r w:rsidRPr="00AE6B71">
              <w:rPr>
                <w:rStyle w:val="Hyperlink"/>
                <w:rFonts w:ascii="Arial" w:hAnsi="Arial" w:cs="Arial"/>
                <w:webHidden/>
              </w:rPr>
              <w:instrText xml:space="preserve"> PAGEREF _Toc139970250 \h </w:instrText>
            </w:r>
            <w:r w:rsidRPr="00AE6B71">
              <w:rPr>
                <w:rStyle w:val="Hyperlink"/>
                <w:rFonts w:ascii="Arial" w:hAnsi="Arial" w:cs="Arial"/>
                <w:webHidden/>
              </w:rPr>
            </w:r>
            <w:r w:rsidRPr="00AE6B71">
              <w:rPr>
                <w:rStyle w:val="Hyperlink"/>
                <w:rFonts w:ascii="Arial" w:hAnsi="Arial" w:cs="Arial"/>
                <w:webHidden/>
              </w:rPr>
              <w:fldChar w:fldCharType="separate"/>
            </w:r>
            <w:r w:rsidRPr="00AE6B71">
              <w:rPr>
                <w:rStyle w:val="Hyperlink"/>
                <w:rFonts w:ascii="Arial" w:hAnsi="Arial" w:cs="Arial"/>
                <w:webHidden/>
              </w:rPr>
              <w:t>10</w:t>
            </w:r>
            <w:r w:rsidRPr="00AE6B71">
              <w:rPr>
                <w:rStyle w:val="Hyperlink"/>
                <w:rFonts w:ascii="Arial" w:hAnsi="Arial" w:cs="Arial"/>
                <w:webHidden/>
              </w:rPr>
              <w:fldChar w:fldCharType="end"/>
            </w:r>
          </w:hyperlink>
        </w:p>
        <w:p w14:paraId="4AA9AC16" w14:textId="74C55D2B" w:rsidR="00AE6B71" w:rsidRPr="00AE6B71" w:rsidRDefault="00000000" w:rsidP="00AE6B71">
          <w:pPr>
            <w:spacing w:line="360" w:lineRule="auto"/>
            <w:jc w:val="both"/>
            <w:rPr>
              <w:rFonts w:ascii="Arial" w:hAnsi="Arial" w:cs="Arial"/>
            </w:rPr>
          </w:pPr>
          <w:hyperlink w:anchor="_Toc139970251" w:history="1">
            <w:r w:rsidR="00AE6B71" w:rsidRPr="00AE6B71">
              <w:rPr>
                <w:rStyle w:val="Hyperlink"/>
                <w:rFonts w:ascii="Arial" w:hAnsi="Arial" w:cs="Arial"/>
              </w:rPr>
              <w:t>Conclusion</w:t>
            </w:r>
            <w:r w:rsidR="00AE6B71" w:rsidRPr="00AE6B71">
              <w:rPr>
                <w:rStyle w:val="Hyperlink"/>
                <w:rFonts w:ascii="Arial" w:hAnsi="Arial" w:cs="Arial"/>
                <w:webHidden/>
              </w:rPr>
              <w:t>…………………………………………………………………………………………….</w:t>
            </w:r>
            <w:r w:rsidR="00AE6B71" w:rsidRPr="00AE6B71">
              <w:rPr>
                <w:rStyle w:val="Hyperlink"/>
                <w:rFonts w:ascii="Arial" w:hAnsi="Arial" w:cs="Arial"/>
                <w:webHidden/>
              </w:rPr>
              <w:fldChar w:fldCharType="begin"/>
            </w:r>
            <w:r w:rsidR="00AE6B71" w:rsidRPr="00AE6B71">
              <w:rPr>
                <w:rStyle w:val="Hyperlink"/>
                <w:rFonts w:ascii="Arial" w:hAnsi="Arial" w:cs="Arial"/>
                <w:webHidden/>
              </w:rPr>
              <w:instrText xml:space="preserve"> PAGEREF _Toc139970251 \h </w:instrText>
            </w:r>
            <w:r w:rsidR="00AE6B71" w:rsidRPr="00AE6B71">
              <w:rPr>
                <w:rStyle w:val="Hyperlink"/>
                <w:rFonts w:ascii="Arial" w:hAnsi="Arial" w:cs="Arial"/>
                <w:webHidden/>
              </w:rPr>
            </w:r>
            <w:r w:rsidR="00AE6B71" w:rsidRPr="00AE6B71">
              <w:rPr>
                <w:rStyle w:val="Hyperlink"/>
                <w:rFonts w:ascii="Arial" w:hAnsi="Arial" w:cs="Arial"/>
                <w:webHidden/>
              </w:rPr>
              <w:fldChar w:fldCharType="separate"/>
            </w:r>
            <w:r w:rsidR="00AE6B71" w:rsidRPr="00AE6B71">
              <w:rPr>
                <w:rStyle w:val="Hyperlink"/>
                <w:rFonts w:ascii="Arial" w:hAnsi="Arial" w:cs="Arial"/>
                <w:webHidden/>
              </w:rPr>
              <w:t>1</w:t>
            </w:r>
            <w:r w:rsidR="00AE6B71">
              <w:rPr>
                <w:rStyle w:val="Hyperlink"/>
                <w:rFonts w:ascii="Arial" w:hAnsi="Arial" w:cs="Arial"/>
                <w:webHidden/>
              </w:rPr>
              <w:t>2</w:t>
            </w:r>
            <w:r w:rsidR="00AE6B71" w:rsidRPr="00AE6B71">
              <w:rPr>
                <w:rStyle w:val="Hyperlink"/>
                <w:rFonts w:ascii="Arial" w:hAnsi="Arial" w:cs="Arial"/>
                <w:webHidden/>
              </w:rPr>
              <w:fldChar w:fldCharType="end"/>
            </w:r>
          </w:hyperlink>
        </w:p>
        <w:p w14:paraId="6A3B9ADC" w14:textId="1AEF4A6B" w:rsidR="00AE6B71" w:rsidRPr="00AE6B71" w:rsidRDefault="00000000" w:rsidP="00AE6B71">
          <w:pPr>
            <w:spacing w:line="360" w:lineRule="auto"/>
            <w:jc w:val="both"/>
            <w:rPr>
              <w:rFonts w:ascii="Arial" w:hAnsi="Arial" w:cs="Arial"/>
            </w:rPr>
          </w:pPr>
          <w:hyperlink w:anchor="_Toc139970252" w:history="1">
            <w:r w:rsidR="00AE6B71" w:rsidRPr="00AE6B71">
              <w:rPr>
                <w:rStyle w:val="Hyperlink"/>
                <w:rFonts w:ascii="Arial" w:hAnsi="Arial" w:cs="Arial"/>
              </w:rPr>
              <w:t>References…………………………………………………………………………………………….</w:t>
            </w:r>
            <w:r w:rsidR="00AE6B71" w:rsidRPr="00AE6B71">
              <w:rPr>
                <w:rStyle w:val="Hyperlink"/>
                <w:rFonts w:ascii="Arial" w:hAnsi="Arial" w:cs="Arial"/>
                <w:webHidden/>
              </w:rPr>
              <w:fldChar w:fldCharType="begin"/>
            </w:r>
            <w:r w:rsidR="00AE6B71" w:rsidRPr="00AE6B71">
              <w:rPr>
                <w:rStyle w:val="Hyperlink"/>
                <w:rFonts w:ascii="Arial" w:hAnsi="Arial" w:cs="Arial"/>
                <w:webHidden/>
              </w:rPr>
              <w:instrText xml:space="preserve"> PAGEREF _Toc139970252 \h </w:instrText>
            </w:r>
            <w:r w:rsidR="00AE6B71" w:rsidRPr="00AE6B71">
              <w:rPr>
                <w:rStyle w:val="Hyperlink"/>
                <w:rFonts w:ascii="Arial" w:hAnsi="Arial" w:cs="Arial"/>
                <w:webHidden/>
              </w:rPr>
            </w:r>
            <w:r w:rsidR="00AE6B71" w:rsidRPr="00AE6B71">
              <w:rPr>
                <w:rStyle w:val="Hyperlink"/>
                <w:rFonts w:ascii="Arial" w:hAnsi="Arial" w:cs="Arial"/>
                <w:webHidden/>
              </w:rPr>
              <w:fldChar w:fldCharType="separate"/>
            </w:r>
            <w:r w:rsidR="00AE6B71" w:rsidRPr="00AE6B71">
              <w:rPr>
                <w:rStyle w:val="Hyperlink"/>
                <w:rFonts w:ascii="Arial" w:hAnsi="Arial" w:cs="Arial"/>
                <w:webHidden/>
              </w:rPr>
              <w:t>1</w:t>
            </w:r>
            <w:r w:rsidR="00AE6B71">
              <w:rPr>
                <w:rStyle w:val="Hyperlink"/>
                <w:rFonts w:ascii="Arial" w:hAnsi="Arial" w:cs="Arial"/>
                <w:webHidden/>
              </w:rPr>
              <w:t>3</w:t>
            </w:r>
            <w:r w:rsidR="00AE6B71" w:rsidRPr="00AE6B71">
              <w:rPr>
                <w:rStyle w:val="Hyperlink"/>
                <w:rFonts w:ascii="Arial" w:hAnsi="Arial" w:cs="Arial"/>
                <w:webHidden/>
              </w:rPr>
              <w:fldChar w:fldCharType="end"/>
            </w:r>
          </w:hyperlink>
        </w:p>
        <w:p w14:paraId="0BB0E615" w14:textId="77777777" w:rsidR="00AE6B71" w:rsidRPr="00AE6B71" w:rsidRDefault="00AE6B71" w:rsidP="00AE6B71">
          <w:pPr>
            <w:spacing w:line="360" w:lineRule="auto"/>
            <w:jc w:val="both"/>
            <w:rPr>
              <w:rFonts w:ascii="Arial" w:hAnsi="Arial" w:cs="Arial"/>
            </w:rPr>
          </w:pPr>
          <w:r w:rsidRPr="00AE6B71">
            <w:rPr>
              <w:rFonts w:ascii="Arial" w:hAnsi="Arial" w:cs="Arial"/>
            </w:rPr>
            <w:fldChar w:fldCharType="end"/>
          </w:r>
        </w:p>
      </w:sdtContent>
    </w:sdt>
    <w:p w14:paraId="0E2162FD" w14:textId="5B2EA4B4" w:rsidR="00AE6B71" w:rsidRDefault="00AE6B71" w:rsidP="00AE6B71">
      <w:pPr>
        <w:spacing w:line="360" w:lineRule="auto"/>
        <w:jc w:val="both"/>
        <w:rPr>
          <w:rFonts w:ascii="Arial" w:hAnsi="Arial" w:cs="Arial"/>
        </w:rPr>
      </w:pPr>
    </w:p>
    <w:p w14:paraId="48A2A54A" w14:textId="77777777" w:rsidR="00AE6B71" w:rsidRDefault="00AE6B71" w:rsidP="00AE6B71">
      <w:pPr>
        <w:spacing w:line="360" w:lineRule="auto"/>
        <w:jc w:val="both"/>
        <w:rPr>
          <w:rFonts w:ascii="Arial" w:hAnsi="Arial" w:cs="Arial"/>
        </w:rPr>
      </w:pPr>
    </w:p>
    <w:p w14:paraId="3794C128" w14:textId="77777777" w:rsidR="00AE6B71" w:rsidRDefault="00AE6B71" w:rsidP="00AE6B71">
      <w:pPr>
        <w:spacing w:line="360" w:lineRule="auto"/>
        <w:jc w:val="both"/>
        <w:rPr>
          <w:rFonts w:ascii="Arial" w:hAnsi="Arial" w:cs="Arial"/>
        </w:rPr>
      </w:pPr>
    </w:p>
    <w:p w14:paraId="2EDC76C2" w14:textId="77777777" w:rsidR="00AE6B71" w:rsidRDefault="00AE6B71" w:rsidP="00AE6B71">
      <w:pPr>
        <w:spacing w:line="360" w:lineRule="auto"/>
        <w:jc w:val="both"/>
        <w:rPr>
          <w:rFonts w:ascii="Arial" w:hAnsi="Arial" w:cs="Arial"/>
        </w:rPr>
      </w:pPr>
    </w:p>
    <w:p w14:paraId="49C36069" w14:textId="77777777" w:rsidR="00AE6B71" w:rsidRDefault="00AE6B71" w:rsidP="00AE6B71">
      <w:pPr>
        <w:spacing w:line="360" w:lineRule="auto"/>
        <w:jc w:val="both"/>
        <w:rPr>
          <w:rFonts w:ascii="Arial" w:hAnsi="Arial" w:cs="Arial"/>
        </w:rPr>
      </w:pPr>
    </w:p>
    <w:p w14:paraId="7960E894" w14:textId="77777777" w:rsidR="00AE6B71" w:rsidRDefault="00AE6B71" w:rsidP="00AE6B71">
      <w:pPr>
        <w:spacing w:line="360" w:lineRule="auto"/>
        <w:jc w:val="both"/>
        <w:rPr>
          <w:rFonts w:ascii="Arial" w:hAnsi="Arial" w:cs="Arial"/>
        </w:rPr>
      </w:pPr>
    </w:p>
    <w:p w14:paraId="2169ECCE" w14:textId="77777777" w:rsidR="00AE6B71" w:rsidRDefault="00AE6B71" w:rsidP="00AE6B71">
      <w:pPr>
        <w:spacing w:line="360" w:lineRule="auto"/>
        <w:jc w:val="both"/>
        <w:rPr>
          <w:rFonts w:ascii="Arial" w:hAnsi="Arial" w:cs="Arial"/>
        </w:rPr>
      </w:pPr>
    </w:p>
    <w:p w14:paraId="79E18C79" w14:textId="77777777" w:rsidR="00AE6B71" w:rsidRDefault="00AE6B71" w:rsidP="00AE6B71">
      <w:pPr>
        <w:spacing w:line="360" w:lineRule="auto"/>
        <w:jc w:val="both"/>
        <w:rPr>
          <w:rFonts w:ascii="Arial" w:hAnsi="Arial" w:cs="Arial"/>
        </w:rPr>
      </w:pPr>
    </w:p>
    <w:p w14:paraId="40626B50" w14:textId="77777777" w:rsidR="00AE6B71" w:rsidRDefault="00AE6B71" w:rsidP="00AE6B71">
      <w:pPr>
        <w:spacing w:line="360" w:lineRule="auto"/>
        <w:jc w:val="both"/>
        <w:rPr>
          <w:rFonts w:ascii="Arial" w:hAnsi="Arial" w:cs="Arial"/>
        </w:rPr>
      </w:pPr>
    </w:p>
    <w:p w14:paraId="2CF39F77" w14:textId="77777777" w:rsidR="00AE6B71" w:rsidRDefault="00AE6B71" w:rsidP="00AE6B71">
      <w:pPr>
        <w:spacing w:line="360" w:lineRule="auto"/>
        <w:jc w:val="both"/>
        <w:rPr>
          <w:rFonts w:ascii="Arial" w:hAnsi="Arial" w:cs="Arial"/>
        </w:rPr>
      </w:pPr>
    </w:p>
    <w:p w14:paraId="481139CB" w14:textId="77777777" w:rsidR="00AE6B71" w:rsidRDefault="00AE6B71" w:rsidP="00AE6B71">
      <w:pPr>
        <w:spacing w:line="360" w:lineRule="auto"/>
        <w:jc w:val="both"/>
        <w:rPr>
          <w:rFonts w:ascii="Arial" w:hAnsi="Arial" w:cs="Arial"/>
        </w:rPr>
      </w:pPr>
    </w:p>
    <w:p w14:paraId="5CD38B40" w14:textId="77777777" w:rsidR="00AE6B71" w:rsidRDefault="00AE6B71" w:rsidP="00AE6B71">
      <w:pPr>
        <w:spacing w:line="360" w:lineRule="auto"/>
        <w:jc w:val="both"/>
        <w:rPr>
          <w:rFonts w:ascii="Arial" w:hAnsi="Arial" w:cs="Arial"/>
        </w:rPr>
      </w:pPr>
    </w:p>
    <w:p w14:paraId="16BEC377" w14:textId="77777777" w:rsidR="00AE6B71" w:rsidRPr="00AE6B71" w:rsidRDefault="00AE6B71" w:rsidP="00AE6B71">
      <w:pPr>
        <w:spacing w:line="360" w:lineRule="auto"/>
        <w:jc w:val="both"/>
        <w:rPr>
          <w:rFonts w:ascii="Arial" w:hAnsi="Arial" w:cs="Arial"/>
          <w:kern w:val="2"/>
        </w:rPr>
      </w:pPr>
    </w:p>
    <w:p w14:paraId="2F5D7B82" w14:textId="77777777" w:rsidR="00AE6B71" w:rsidRPr="00AE6B71" w:rsidRDefault="00AE6B71" w:rsidP="00AE6B71">
      <w:pPr>
        <w:spacing w:line="360" w:lineRule="auto"/>
        <w:jc w:val="center"/>
        <w:rPr>
          <w:rFonts w:ascii="Arial" w:hAnsi="Arial" w:cs="Arial"/>
          <w:b/>
          <w:bCs/>
          <w:kern w:val="2"/>
          <w:u w:val="single"/>
        </w:rPr>
      </w:pPr>
      <w:bookmarkStart w:id="0" w:name="_Toc139970244"/>
      <w:r w:rsidRPr="00AE6B71">
        <w:rPr>
          <w:rFonts w:ascii="Arial" w:hAnsi="Arial" w:cs="Arial"/>
          <w:b/>
          <w:bCs/>
          <w:kern w:val="2"/>
          <w:u w:val="single"/>
        </w:rPr>
        <w:t>Introduction</w:t>
      </w:r>
      <w:bookmarkEnd w:id="0"/>
    </w:p>
    <w:p w14:paraId="3057E472" w14:textId="6B03FCBA" w:rsidR="00AE6B71" w:rsidRPr="00AE6B71" w:rsidRDefault="00AE6B71" w:rsidP="00AE6B71">
      <w:pPr>
        <w:spacing w:line="360" w:lineRule="auto"/>
        <w:jc w:val="both"/>
        <w:rPr>
          <w:rFonts w:ascii="Arial" w:hAnsi="Arial" w:cs="Arial"/>
          <w:kern w:val="2"/>
        </w:rPr>
      </w:pPr>
      <w:r w:rsidRPr="00AE6B71">
        <w:rPr>
          <w:rFonts w:ascii="Arial" w:hAnsi="Arial" w:cs="Arial"/>
          <w:kern w:val="2"/>
        </w:rPr>
        <w:t>The first part of the assignment discussed the Wales Plc Income statement and financial position statement for the year ending 31 December 2022. The statements are prepared per the International Financial Reporting Framework (IFRS) guidelines. To complete the requirement of Wales Plc, information in the assignment brief has been used along with other adjustments. And the explanation of the accounting equation A=L+</w:t>
      </w:r>
      <w:r w:rsidR="00FD5B3D">
        <w:rPr>
          <w:rFonts w:ascii="Arial" w:hAnsi="Arial" w:cs="Arial"/>
          <w:kern w:val="2"/>
        </w:rPr>
        <w:t>E</w:t>
      </w:r>
      <w:r w:rsidRPr="00AE6B71">
        <w:rPr>
          <w:rFonts w:ascii="Arial" w:hAnsi="Arial" w:cs="Arial"/>
          <w:kern w:val="2"/>
        </w:rPr>
        <w:t xml:space="preserve"> is also illustrated. In the second part of this assignment, the financial ratios of Sweets Plc have been calculated using the data provided in the case study. The performance and financial position of Sweets Plc were critically evaluated based on the ratios and other information as well.</w:t>
      </w:r>
    </w:p>
    <w:p w14:paraId="0DF63A09" w14:textId="77777777" w:rsidR="00AE6B71" w:rsidRDefault="00AE6B71" w:rsidP="00AE6B71">
      <w:pPr>
        <w:spacing w:line="360" w:lineRule="auto"/>
        <w:jc w:val="both"/>
        <w:rPr>
          <w:rFonts w:ascii="Arial" w:hAnsi="Arial" w:cs="Arial"/>
        </w:rPr>
      </w:pPr>
    </w:p>
    <w:p w14:paraId="689CBC4D" w14:textId="77777777" w:rsidR="00AE6B71" w:rsidRDefault="00AE6B71" w:rsidP="00AE6B71">
      <w:pPr>
        <w:spacing w:line="360" w:lineRule="auto"/>
        <w:jc w:val="both"/>
        <w:rPr>
          <w:rFonts w:ascii="Arial" w:hAnsi="Arial" w:cs="Arial"/>
        </w:rPr>
      </w:pPr>
    </w:p>
    <w:p w14:paraId="3258BE0F" w14:textId="77777777" w:rsidR="00AE6B71" w:rsidRDefault="00AE6B71" w:rsidP="00AE6B71">
      <w:pPr>
        <w:spacing w:line="360" w:lineRule="auto"/>
        <w:jc w:val="both"/>
        <w:rPr>
          <w:rFonts w:ascii="Arial" w:hAnsi="Arial" w:cs="Arial"/>
        </w:rPr>
      </w:pPr>
    </w:p>
    <w:p w14:paraId="790F84A4" w14:textId="77777777" w:rsidR="00AE6B71" w:rsidRDefault="00AE6B71" w:rsidP="00AE6B71">
      <w:pPr>
        <w:spacing w:line="360" w:lineRule="auto"/>
        <w:jc w:val="both"/>
        <w:rPr>
          <w:rFonts w:ascii="Arial" w:hAnsi="Arial" w:cs="Arial"/>
        </w:rPr>
      </w:pPr>
    </w:p>
    <w:p w14:paraId="0848E0CA" w14:textId="77777777" w:rsidR="00AE6B71" w:rsidRDefault="00AE6B71" w:rsidP="00AE6B71">
      <w:pPr>
        <w:spacing w:line="360" w:lineRule="auto"/>
        <w:jc w:val="both"/>
        <w:rPr>
          <w:rFonts w:ascii="Arial" w:hAnsi="Arial" w:cs="Arial"/>
        </w:rPr>
      </w:pPr>
    </w:p>
    <w:p w14:paraId="4706FA8E" w14:textId="77777777" w:rsidR="00AE6B71" w:rsidRDefault="00AE6B71" w:rsidP="00AE6B71">
      <w:pPr>
        <w:spacing w:line="360" w:lineRule="auto"/>
        <w:jc w:val="both"/>
        <w:rPr>
          <w:rFonts w:ascii="Arial" w:hAnsi="Arial" w:cs="Arial"/>
        </w:rPr>
      </w:pPr>
    </w:p>
    <w:p w14:paraId="76DD40A1" w14:textId="77777777" w:rsidR="00AE6B71" w:rsidRDefault="00AE6B71" w:rsidP="00AE6B71">
      <w:pPr>
        <w:spacing w:line="360" w:lineRule="auto"/>
        <w:jc w:val="both"/>
        <w:rPr>
          <w:rFonts w:ascii="Arial" w:hAnsi="Arial" w:cs="Arial"/>
        </w:rPr>
      </w:pPr>
    </w:p>
    <w:p w14:paraId="67BFA802" w14:textId="77777777" w:rsidR="00AE6B71" w:rsidRDefault="00AE6B71" w:rsidP="00AE6B71">
      <w:pPr>
        <w:spacing w:line="360" w:lineRule="auto"/>
        <w:jc w:val="both"/>
        <w:rPr>
          <w:rFonts w:ascii="Arial" w:hAnsi="Arial" w:cs="Arial"/>
        </w:rPr>
      </w:pPr>
    </w:p>
    <w:p w14:paraId="33F2AA18" w14:textId="77777777" w:rsidR="00AE6B71" w:rsidRDefault="00AE6B71" w:rsidP="00AE6B71">
      <w:pPr>
        <w:spacing w:line="360" w:lineRule="auto"/>
        <w:jc w:val="both"/>
        <w:rPr>
          <w:rFonts w:ascii="Arial" w:hAnsi="Arial" w:cs="Arial"/>
        </w:rPr>
      </w:pPr>
    </w:p>
    <w:p w14:paraId="23CFB4A3" w14:textId="77777777" w:rsidR="00AE6B71" w:rsidRDefault="00AE6B71" w:rsidP="00AE6B71">
      <w:pPr>
        <w:spacing w:line="360" w:lineRule="auto"/>
        <w:jc w:val="both"/>
        <w:rPr>
          <w:rFonts w:ascii="Arial" w:hAnsi="Arial" w:cs="Arial"/>
        </w:rPr>
      </w:pPr>
    </w:p>
    <w:p w14:paraId="40671D6A" w14:textId="77777777" w:rsidR="00AE6B71" w:rsidRDefault="00AE6B71" w:rsidP="00AE6B71">
      <w:pPr>
        <w:spacing w:line="360" w:lineRule="auto"/>
        <w:jc w:val="both"/>
        <w:rPr>
          <w:rFonts w:ascii="Arial" w:hAnsi="Arial" w:cs="Arial"/>
        </w:rPr>
      </w:pPr>
    </w:p>
    <w:p w14:paraId="0EA8A3CC" w14:textId="77777777" w:rsidR="00AE6B71" w:rsidRDefault="00AE6B71" w:rsidP="00AE6B71">
      <w:pPr>
        <w:spacing w:line="360" w:lineRule="auto"/>
        <w:jc w:val="both"/>
        <w:rPr>
          <w:rFonts w:ascii="Arial" w:hAnsi="Arial" w:cs="Arial"/>
        </w:rPr>
      </w:pPr>
    </w:p>
    <w:p w14:paraId="07FA7F99" w14:textId="77777777" w:rsidR="00AE6B71" w:rsidRDefault="00AE6B71" w:rsidP="00AE6B71">
      <w:pPr>
        <w:spacing w:line="360" w:lineRule="auto"/>
        <w:jc w:val="both"/>
        <w:rPr>
          <w:rFonts w:ascii="Arial" w:hAnsi="Arial" w:cs="Arial"/>
        </w:rPr>
      </w:pPr>
    </w:p>
    <w:p w14:paraId="32EA610E" w14:textId="77777777" w:rsidR="00AE6B71" w:rsidRDefault="00AE6B71" w:rsidP="00AE6B71">
      <w:pPr>
        <w:spacing w:line="360" w:lineRule="auto"/>
        <w:jc w:val="both"/>
        <w:rPr>
          <w:rFonts w:ascii="Arial" w:hAnsi="Arial" w:cs="Arial"/>
        </w:rPr>
      </w:pPr>
    </w:p>
    <w:p w14:paraId="0B471C19" w14:textId="77777777" w:rsidR="00AE6B71" w:rsidRDefault="00AE6B71" w:rsidP="00AE6B71">
      <w:pPr>
        <w:spacing w:line="360" w:lineRule="auto"/>
        <w:jc w:val="both"/>
        <w:rPr>
          <w:rFonts w:ascii="Arial" w:hAnsi="Arial" w:cs="Arial"/>
        </w:rPr>
      </w:pPr>
    </w:p>
    <w:p w14:paraId="222F071A" w14:textId="77777777" w:rsidR="00AE6B71" w:rsidRDefault="00AE6B71" w:rsidP="00AE6B71">
      <w:pPr>
        <w:spacing w:line="360" w:lineRule="auto"/>
        <w:jc w:val="both"/>
        <w:rPr>
          <w:rFonts w:ascii="Arial" w:hAnsi="Arial" w:cs="Arial"/>
        </w:rPr>
      </w:pPr>
    </w:p>
    <w:p w14:paraId="5A6CF085" w14:textId="77777777" w:rsidR="00AE6B71" w:rsidRPr="00AE6B71" w:rsidRDefault="00AE6B71" w:rsidP="00AE6B71">
      <w:pPr>
        <w:spacing w:line="360" w:lineRule="auto"/>
        <w:rPr>
          <w:rFonts w:ascii="Arial" w:hAnsi="Arial" w:cs="Arial"/>
          <w:b/>
          <w:bCs/>
          <w:kern w:val="2"/>
        </w:rPr>
      </w:pPr>
      <w:r w:rsidRPr="00AE6B71">
        <w:rPr>
          <w:rFonts w:ascii="Arial" w:hAnsi="Arial" w:cs="Arial"/>
          <w:b/>
          <w:bCs/>
          <w:kern w:val="2"/>
        </w:rPr>
        <w:lastRenderedPageBreak/>
        <w:t xml:space="preserve">Question 1: </w:t>
      </w:r>
    </w:p>
    <w:p w14:paraId="205409C4" w14:textId="77777777" w:rsidR="00AE6B71" w:rsidRPr="00AE6B71" w:rsidRDefault="00AE6B71" w:rsidP="00AE6B71">
      <w:pPr>
        <w:spacing w:line="360" w:lineRule="auto"/>
        <w:jc w:val="both"/>
        <w:rPr>
          <w:rFonts w:ascii="Arial" w:hAnsi="Arial" w:cs="Arial"/>
          <w:b/>
          <w:bCs/>
          <w:kern w:val="2"/>
        </w:rPr>
      </w:pPr>
      <w:bookmarkStart w:id="1" w:name="_Toc139970246"/>
      <w:r w:rsidRPr="00AE6B71">
        <w:rPr>
          <w:rFonts w:ascii="Arial" w:hAnsi="Arial" w:cs="Arial"/>
          <w:b/>
          <w:bCs/>
          <w:kern w:val="2"/>
        </w:rPr>
        <w:t>1.a) Income Statement and Statement of Financial Position</w:t>
      </w:r>
      <w:bookmarkEnd w:id="1"/>
    </w:p>
    <w:tbl>
      <w:tblPr>
        <w:tblW w:w="10360" w:type="dxa"/>
        <w:jc w:val="center"/>
        <w:tblLook w:val="04A0" w:firstRow="1" w:lastRow="0" w:firstColumn="1" w:lastColumn="0" w:noHBand="0" w:noVBand="1"/>
      </w:tblPr>
      <w:tblGrid>
        <w:gridCol w:w="6122"/>
        <w:gridCol w:w="1773"/>
        <w:gridCol w:w="2465"/>
      </w:tblGrid>
      <w:tr w:rsidR="00AE6B71" w:rsidRPr="00AE6B71" w14:paraId="5E732096" w14:textId="77777777" w:rsidTr="00D516D4">
        <w:trPr>
          <w:trHeight w:val="330"/>
          <w:jc w:val="center"/>
        </w:trPr>
        <w:tc>
          <w:tcPr>
            <w:tcW w:w="10360" w:type="dxa"/>
            <w:gridSpan w:val="3"/>
            <w:shd w:val="clear" w:color="000000" w:fill="FFFFFF"/>
            <w:noWrap/>
            <w:vAlign w:val="bottom"/>
            <w:hideMark/>
          </w:tcPr>
          <w:p w14:paraId="530769D0" w14:textId="77777777" w:rsidR="00AE6B71" w:rsidRPr="00AE6B71" w:rsidRDefault="00AE6B71" w:rsidP="00AE6B71">
            <w:pPr>
              <w:spacing w:after="0" w:line="480" w:lineRule="auto"/>
              <w:jc w:val="center"/>
              <w:rPr>
                <w:rFonts w:ascii="Arial" w:eastAsia="Times New Roman" w:hAnsi="Arial" w:cs="Arial"/>
                <w:b/>
                <w:bCs/>
                <w:color w:val="000000"/>
                <w:u w:val="single"/>
                <w14:ligatures w14:val="none"/>
              </w:rPr>
            </w:pPr>
            <w:r w:rsidRPr="00AE6B71">
              <w:rPr>
                <w:rFonts w:ascii="Arial" w:eastAsia="Times New Roman" w:hAnsi="Arial" w:cs="Arial"/>
                <w:b/>
                <w:bCs/>
                <w:color w:val="000000"/>
                <w:u w:val="single"/>
                <w14:ligatures w14:val="none"/>
              </w:rPr>
              <w:t>Wales Plc</w:t>
            </w:r>
          </w:p>
        </w:tc>
      </w:tr>
      <w:tr w:rsidR="00AE6B71" w:rsidRPr="00AE6B71" w14:paraId="3C5FB312" w14:textId="77777777" w:rsidTr="00D516D4">
        <w:trPr>
          <w:trHeight w:val="330"/>
          <w:jc w:val="center"/>
        </w:trPr>
        <w:tc>
          <w:tcPr>
            <w:tcW w:w="10360" w:type="dxa"/>
            <w:gridSpan w:val="3"/>
            <w:shd w:val="clear" w:color="000000" w:fill="FFFFFF"/>
            <w:noWrap/>
            <w:vAlign w:val="bottom"/>
            <w:hideMark/>
          </w:tcPr>
          <w:p w14:paraId="01B5F409" w14:textId="77777777" w:rsidR="00AE6B71" w:rsidRPr="00AE6B71" w:rsidRDefault="00AE6B71" w:rsidP="00AE6B71">
            <w:pPr>
              <w:spacing w:after="0" w:line="480" w:lineRule="auto"/>
              <w:jc w:val="center"/>
              <w:rPr>
                <w:rFonts w:ascii="Arial" w:eastAsia="Times New Roman" w:hAnsi="Arial" w:cs="Arial"/>
                <w:b/>
                <w:bCs/>
                <w:color w:val="000000"/>
                <w:u w:val="single"/>
                <w14:ligatures w14:val="none"/>
              </w:rPr>
            </w:pPr>
            <w:r w:rsidRPr="00AE6B71">
              <w:rPr>
                <w:rFonts w:ascii="Arial" w:eastAsia="Times New Roman" w:hAnsi="Arial" w:cs="Arial"/>
                <w:b/>
                <w:bCs/>
                <w:color w:val="000000"/>
                <w:u w:val="single"/>
                <w14:ligatures w14:val="none"/>
              </w:rPr>
              <w:t>Income Statement</w:t>
            </w:r>
          </w:p>
        </w:tc>
      </w:tr>
      <w:tr w:rsidR="00AE6B71" w:rsidRPr="00AE6B71" w14:paraId="567B3F73" w14:textId="77777777" w:rsidTr="00D516D4">
        <w:trPr>
          <w:trHeight w:val="68"/>
          <w:jc w:val="center"/>
        </w:trPr>
        <w:tc>
          <w:tcPr>
            <w:tcW w:w="10360" w:type="dxa"/>
            <w:gridSpan w:val="3"/>
            <w:shd w:val="clear" w:color="000000" w:fill="FFFFFF"/>
            <w:noWrap/>
            <w:vAlign w:val="bottom"/>
            <w:hideMark/>
          </w:tcPr>
          <w:p w14:paraId="3E657D0D" w14:textId="77777777" w:rsidR="00AE6B71" w:rsidRPr="00AE6B71" w:rsidRDefault="00AE6B71" w:rsidP="00AE6B71">
            <w:pPr>
              <w:spacing w:after="0" w:line="480" w:lineRule="auto"/>
              <w:jc w:val="center"/>
              <w:rPr>
                <w:rFonts w:ascii="Arial" w:eastAsia="Times New Roman" w:hAnsi="Arial" w:cs="Arial"/>
                <w:b/>
                <w:bCs/>
                <w:color w:val="000000"/>
                <w:u w:val="single"/>
                <w14:ligatures w14:val="none"/>
              </w:rPr>
            </w:pPr>
            <w:r w:rsidRPr="00AE6B71">
              <w:rPr>
                <w:rFonts w:ascii="Arial" w:eastAsia="Times New Roman" w:hAnsi="Arial" w:cs="Arial"/>
                <w:b/>
                <w:bCs/>
                <w:color w:val="000000"/>
                <w:u w:val="single"/>
                <w14:ligatures w14:val="none"/>
              </w:rPr>
              <w:t>For the year ended 31-Dec-2022</w:t>
            </w:r>
          </w:p>
        </w:tc>
      </w:tr>
      <w:tr w:rsidR="00AE6B71" w:rsidRPr="00AE6B71" w14:paraId="326705F8" w14:textId="77777777" w:rsidTr="00D516D4">
        <w:trPr>
          <w:trHeight w:val="330"/>
          <w:jc w:val="center"/>
        </w:trPr>
        <w:tc>
          <w:tcPr>
            <w:tcW w:w="6122" w:type="dxa"/>
            <w:shd w:val="clear" w:color="000000" w:fill="FFFFFF"/>
            <w:noWrap/>
            <w:vAlign w:val="bottom"/>
            <w:hideMark/>
          </w:tcPr>
          <w:p w14:paraId="513E15EA"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Income</w:t>
            </w:r>
          </w:p>
        </w:tc>
        <w:tc>
          <w:tcPr>
            <w:tcW w:w="1773" w:type="dxa"/>
            <w:shd w:val="clear" w:color="000000" w:fill="FFFFFF"/>
            <w:noWrap/>
            <w:vAlign w:val="bottom"/>
            <w:hideMark/>
          </w:tcPr>
          <w:p w14:paraId="55DB8481"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6177222D"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Amount in £</w:t>
            </w:r>
          </w:p>
        </w:tc>
      </w:tr>
      <w:tr w:rsidR="00AE6B71" w:rsidRPr="00AE6B71" w14:paraId="65AF714C" w14:textId="77777777" w:rsidTr="00D516D4">
        <w:trPr>
          <w:trHeight w:val="330"/>
          <w:jc w:val="center"/>
        </w:trPr>
        <w:tc>
          <w:tcPr>
            <w:tcW w:w="6122" w:type="dxa"/>
            <w:shd w:val="clear" w:color="000000" w:fill="FFFFFF"/>
            <w:noWrap/>
            <w:vAlign w:val="bottom"/>
            <w:hideMark/>
          </w:tcPr>
          <w:p w14:paraId="355CCAF8" w14:textId="77777777" w:rsidR="00AE6B71" w:rsidRPr="00AE6B71" w:rsidRDefault="00AE6B71" w:rsidP="00AE6B71">
            <w:pPr>
              <w:spacing w:after="0" w:line="480" w:lineRule="auto"/>
              <w:ind w:firstLineChars="200" w:firstLine="442"/>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Sales Revenue</w:t>
            </w:r>
          </w:p>
        </w:tc>
        <w:tc>
          <w:tcPr>
            <w:tcW w:w="1773" w:type="dxa"/>
            <w:shd w:val="clear" w:color="000000" w:fill="FFFFFF"/>
            <w:noWrap/>
            <w:vAlign w:val="bottom"/>
            <w:hideMark/>
          </w:tcPr>
          <w:p w14:paraId="43E357B2"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2465" w:type="dxa"/>
            <w:shd w:val="clear" w:color="000000" w:fill="FFFFFF"/>
            <w:noWrap/>
            <w:vAlign w:val="bottom"/>
            <w:hideMark/>
          </w:tcPr>
          <w:p w14:paraId="03A82C12"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800,000</w:t>
            </w:r>
          </w:p>
        </w:tc>
      </w:tr>
      <w:tr w:rsidR="00AE6B71" w:rsidRPr="00AE6B71" w14:paraId="1F9E8F3E" w14:textId="77777777" w:rsidTr="00D516D4">
        <w:trPr>
          <w:trHeight w:val="330"/>
          <w:jc w:val="center"/>
        </w:trPr>
        <w:tc>
          <w:tcPr>
            <w:tcW w:w="6122" w:type="dxa"/>
            <w:shd w:val="clear" w:color="000000" w:fill="FFFFFF"/>
            <w:noWrap/>
            <w:vAlign w:val="bottom"/>
            <w:hideMark/>
          </w:tcPr>
          <w:p w14:paraId="169A6ABF" w14:textId="77777777" w:rsidR="00AE6B71" w:rsidRPr="00AE6B71" w:rsidRDefault="00AE6B71" w:rsidP="00AE6B71">
            <w:pPr>
              <w:spacing w:after="0" w:line="480" w:lineRule="auto"/>
              <w:ind w:firstLineChars="200" w:firstLine="442"/>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Total net sales</w:t>
            </w:r>
          </w:p>
        </w:tc>
        <w:tc>
          <w:tcPr>
            <w:tcW w:w="1773" w:type="dxa"/>
            <w:shd w:val="clear" w:color="000000" w:fill="FFFFFF"/>
            <w:noWrap/>
            <w:vAlign w:val="bottom"/>
            <w:hideMark/>
          </w:tcPr>
          <w:p w14:paraId="3CFDD7B6"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2465" w:type="dxa"/>
            <w:shd w:val="clear" w:color="000000" w:fill="FFFFFF"/>
            <w:noWrap/>
            <w:vAlign w:val="bottom"/>
            <w:hideMark/>
          </w:tcPr>
          <w:p w14:paraId="71492F0A"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800,000</w:t>
            </w:r>
          </w:p>
        </w:tc>
      </w:tr>
      <w:tr w:rsidR="00AE6B71" w:rsidRPr="00AE6B71" w14:paraId="58C237E6" w14:textId="77777777" w:rsidTr="00D516D4">
        <w:trPr>
          <w:trHeight w:val="300"/>
          <w:jc w:val="center"/>
        </w:trPr>
        <w:tc>
          <w:tcPr>
            <w:tcW w:w="6122" w:type="dxa"/>
            <w:shd w:val="clear" w:color="000000" w:fill="FFFFFF"/>
            <w:noWrap/>
            <w:vAlign w:val="bottom"/>
            <w:hideMark/>
          </w:tcPr>
          <w:p w14:paraId="20E9F3B3"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color w:val="000000"/>
                <w14:ligatures w14:val="none"/>
              </w:rPr>
              <w:t>(-) COGS</w:t>
            </w:r>
            <w:r w:rsidRPr="00AE6B71">
              <w:rPr>
                <w:rFonts w:ascii="Arial" w:eastAsia="Times New Roman" w:hAnsi="Arial" w:cs="Arial"/>
                <w:b/>
                <w:bCs/>
                <w:color w:val="000000"/>
                <w14:ligatures w14:val="none"/>
              </w:rPr>
              <w:t xml:space="preserve"> </w:t>
            </w:r>
            <w:r w:rsidRPr="00AE6B71">
              <w:rPr>
                <w:rFonts w:ascii="Arial" w:eastAsia="Times New Roman" w:hAnsi="Arial" w:cs="Arial"/>
                <w:color w:val="000000"/>
                <w14:ligatures w14:val="none"/>
              </w:rPr>
              <w:t>(Cost of Goods sold)</w:t>
            </w:r>
          </w:p>
        </w:tc>
        <w:tc>
          <w:tcPr>
            <w:tcW w:w="1773" w:type="dxa"/>
            <w:shd w:val="clear" w:color="000000" w:fill="FFFFFF"/>
            <w:noWrap/>
            <w:vAlign w:val="bottom"/>
            <w:hideMark/>
          </w:tcPr>
          <w:p w14:paraId="4A36DA04"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3556A9F0"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578,650</w:t>
            </w:r>
          </w:p>
        </w:tc>
      </w:tr>
      <w:tr w:rsidR="00AE6B71" w:rsidRPr="00AE6B71" w14:paraId="4CB443A3" w14:textId="77777777" w:rsidTr="00D516D4">
        <w:trPr>
          <w:trHeight w:val="300"/>
          <w:jc w:val="center"/>
        </w:trPr>
        <w:tc>
          <w:tcPr>
            <w:tcW w:w="6122" w:type="dxa"/>
            <w:shd w:val="clear" w:color="000000" w:fill="FFFFFF"/>
            <w:noWrap/>
            <w:vAlign w:val="bottom"/>
          </w:tcPr>
          <w:p w14:paraId="2DE758FC"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Other Income (Accruals)</w:t>
            </w:r>
            <w:r w:rsidRPr="00AE6B71">
              <w:rPr>
                <w:rFonts w:ascii="Arial" w:eastAsia="Times New Roman" w:hAnsi="Arial" w:cs="Arial"/>
                <w:color w:val="000000"/>
                <w14:ligatures w14:val="none"/>
              </w:rPr>
              <w:tab/>
              <w:t xml:space="preserve"> </w:t>
            </w:r>
            <w:r w:rsidRPr="00AE6B71">
              <w:rPr>
                <w:rFonts w:ascii="Arial" w:eastAsia="Times New Roman" w:hAnsi="Arial" w:cs="Arial"/>
                <w:color w:val="000000"/>
                <w14:ligatures w14:val="none"/>
              </w:rPr>
              <w:tab/>
            </w:r>
          </w:p>
        </w:tc>
        <w:tc>
          <w:tcPr>
            <w:tcW w:w="1773" w:type="dxa"/>
            <w:shd w:val="clear" w:color="000000" w:fill="FFFFFF"/>
            <w:noWrap/>
            <w:vAlign w:val="bottom"/>
          </w:tcPr>
          <w:p w14:paraId="1F4D7AA4" w14:textId="77777777" w:rsidR="00AE6B71" w:rsidRPr="00AE6B71" w:rsidRDefault="00AE6B71" w:rsidP="00AE6B71">
            <w:pPr>
              <w:spacing w:after="0" w:line="480" w:lineRule="auto"/>
              <w:jc w:val="both"/>
              <w:rPr>
                <w:rFonts w:ascii="Arial" w:eastAsia="Times New Roman" w:hAnsi="Arial" w:cs="Arial"/>
                <w:color w:val="000000"/>
                <w14:ligatures w14:val="none"/>
              </w:rPr>
            </w:pPr>
          </w:p>
        </w:tc>
        <w:tc>
          <w:tcPr>
            <w:tcW w:w="2465" w:type="dxa"/>
            <w:shd w:val="clear" w:color="000000" w:fill="FFFFFF"/>
            <w:noWrap/>
            <w:vAlign w:val="bottom"/>
          </w:tcPr>
          <w:p w14:paraId="7A6696CE"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980</w:t>
            </w:r>
          </w:p>
        </w:tc>
      </w:tr>
      <w:tr w:rsidR="00AE6B71" w:rsidRPr="00AE6B71" w14:paraId="204617C6" w14:textId="77777777" w:rsidTr="00D516D4">
        <w:trPr>
          <w:trHeight w:val="330"/>
          <w:jc w:val="center"/>
        </w:trPr>
        <w:tc>
          <w:tcPr>
            <w:tcW w:w="6122" w:type="dxa"/>
            <w:shd w:val="clear" w:color="000000" w:fill="FFFFFF"/>
            <w:noWrap/>
            <w:vAlign w:val="bottom"/>
            <w:hideMark/>
          </w:tcPr>
          <w:p w14:paraId="3A93A626"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Gross Profit Margin</w:t>
            </w:r>
          </w:p>
        </w:tc>
        <w:tc>
          <w:tcPr>
            <w:tcW w:w="1773" w:type="dxa"/>
            <w:shd w:val="clear" w:color="000000" w:fill="FFFFFF"/>
            <w:noWrap/>
            <w:vAlign w:val="bottom"/>
            <w:hideMark/>
          </w:tcPr>
          <w:p w14:paraId="4D59C2CA"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2465" w:type="dxa"/>
            <w:shd w:val="clear" w:color="000000" w:fill="FFFFFF"/>
            <w:noWrap/>
            <w:vAlign w:val="bottom"/>
            <w:hideMark/>
          </w:tcPr>
          <w:p w14:paraId="0792A810"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222,350</w:t>
            </w:r>
          </w:p>
        </w:tc>
      </w:tr>
      <w:tr w:rsidR="00AE6B71" w:rsidRPr="00AE6B71" w14:paraId="256F6A40" w14:textId="77777777" w:rsidTr="00D516D4">
        <w:trPr>
          <w:trHeight w:val="315"/>
          <w:jc w:val="center"/>
        </w:trPr>
        <w:tc>
          <w:tcPr>
            <w:tcW w:w="6122" w:type="dxa"/>
            <w:shd w:val="clear" w:color="000000" w:fill="FFFFFF"/>
            <w:noWrap/>
            <w:vAlign w:val="bottom"/>
            <w:hideMark/>
          </w:tcPr>
          <w:p w14:paraId="3C0AD5FB"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color w:val="000000"/>
                <w14:ligatures w14:val="none"/>
              </w:rPr>
              <w:t xml:space="preserve">(-) </w:t>
            </w:r>
            <w:r w:rsidRPr="00AE6B71">
              <w:rPr>
                <w:rFonts w:ascii="Arial" w:eastAsia="Times New Roman" w:hAnsi="Arial" w:cs="Arial"/>
                <w:b/>
                <w:bCs/>
                <w:color w:val="000000"/>
                <w14:ligatures w14:val="none"/>
              </w:rPr>
              <w:t>Operating Expenses</w:t>
            </w:r>
          </w:p>
        </w:tc>
        <w:tc>
          <w:tcPr>
            <w:tcW w:w="1773" w:type="dxa"/>
            <w:shd w:val="clear" w:color="000000" w:fill="FFFFFF"/>
            <w:noWrap/>
            <w:vAlign w:val="bottom"/>
            <w:hideMark/>
          </w:tcPr>
          <w:p w14:paraId="06BFC9DD"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06AFE84C"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r>
      <w:tr w:rsidR="00AE6B71" w:rsidRPr="00AE6B71" w14:paraId="58E023A4" w14:textId="77777777" w:rsidTr="00D516D4">
        <w:trPr>
          <w:trHeight w:val="330"/>
          <w:jc w:val="center"/>
        </w:trPr>
        <w:tc>
          <w:tcPr>
            <w:tcW w:w="6122" w:type="dxa"/>
            <w:shd w:val="clear" w:color="000000" w:fill="FFFFFF"/>
            <w:noWrap/>
            <w:vAlign w:val="bottom"/>
            <w:hideMark/>
          </w:tcPr>
          <w:p w14:paraId="3E4BED6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Administrative expenses</w:t>
            </w:r>
          </w:p>
        </w:tc>
        <w:tc>
          <w:tcPr>
            <w:tcW w:w="1773" w:type="dxa"/>
            <w:shd w:val="clear" w:color="000000" w:fill="FFFFFF"/>
            <w:noWrap/>
            <w:vAlign w:val="bottom"/>
            <w:hideMark/>
          </w:tcPr>
          <w:p w14:paraId="01DF14DC"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662FF53D"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30,000</w:t>
            </w:r>
          </w:p>
        </w:tc>
      </w:tr>
      <w:tr w:rsidR="00AE6B71" w:rsidRPr="00AE6B71" w14:paraId="4C8C0F63" w14:textId="77777777" w:rsidTr="00D516D4">
        <w:trPr>
          <w:trHeight w:val="330"/>
          <w:jc w:val="center"/>
        </w:trPr>
        <w:tc>
          <w:tcPr>
            <w:tcW w:w="6122" w:type="dxa"/>
            <w:shd w:val="clear" w:color="000000" w:fill="FFFFFF"/>
            <w:noWrap/>
            <w:vAlign w:val="bottom"/>
            <w:hideMark/>
          </w:tcPr>
          <w:p w14:paraId="29C42C70"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Distribution costs</w:t>
            </w:r>
          </w:p>
        </w:tc>
        <w:tc>
          <w:tcPr>
            <w:tcW w:w="1773" w:type="dxa"/>
            <w:shd w:val="clear" w:color="000000" w:fill="FFFFFF"/>
            <w:noWrap/>
            <w:vAlign w:val="bottom"/>
            <w:hideMark/>
          </w:tcPr>
          <w:p w14:paraId="65E980B4"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49FB6630"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28,000</w:t>
            </w:r>
          </w:p>
        </w:tc>
      </w:tr>
      <w:tr w:rsidR="00AE6B71" w:rsidRPr="00AE6B71" w14:paraId="065175F6" w14:textId="77777777" w:rsidTr="00D516D4">
        <w:trPr>
          <w:trHeight w:val="330"/>
          <w:jc w:val="center"/>
        </w:trPr>
        <w:tc>
          <w:tcPr>
            <w:tcW w:w="6122" w:type="dxa"/>
            <w:shd w:val="clear" w:color="000000" w:fill="FFFFFF"/>
            <w:noWrap/>
            <w:vAlign w:val="bottom"/>
            <w:hideMark/>
          </w:tcPr>
          <w:p w14:paraId="34371B89"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Director’s Remuneration</w:t>
            </w:r>
          </w:p>
        </w:tc>
        <w:tc>
          <w:tcPr>
            <w:tcW w:w="1773" w:type="dxa"/>
            <w:shd w:val="clear" w:color="000000" w:fill="FFFFFF"/>
            <w:noWrap/>
            <w:vAlign w:val="bottom"/>
            <w:hideMark/>
          </w:tcPr>
          <w:p w14:paraId="4128370D"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3ED4D739"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5,000</w:t>
            </w:r>
          </w:p>
        </w:tc>
      </w:tr>
      <w:tr w:rsidR="00AE6B71" w:rsidRPr="00AE6B71" w14:paraId="1A45F4A3" w14:textId="77777777" w:rsidTr="00D516D4">
        <w:trPr>
          <w:trHeight w:val="330"/>
          <w:jc w:val="center"/>
        </w:trPr>
        <w:tc>
          <w:tcPr>
            <w:tcW w:w="6122" w:type="dxa"/>
            <w:shd w:val="clear" w:color="000000" w:fill="FFFFFF"/>
            <w:noWrap/>
            <w:vAlign w:val="bottom"/>
          </w:tcPr>
          <w:p w14:paraId="7E27001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Salesman commission</w:t>
            </w:r>
          </w:p>
        </w:tc>
        <w:tc>
          <w:tcPr>
            <w:tcW w:w="1773" w:type="dxa"/>
            <w:shd w:val="clear" w:color="000000" w:fill="FFFFFF"/>
            <w:noWrap/>
            <w:vAlign w:val="bottom"/>
          </w:tcPr>
          <w:p w14:paraId="393B1BCB" w14:textId="77777777" w:rsidR="00AE6B71" w:rsidRPr="00AE6B71" w:rsidRDefault="00AE6B71" w:rsidP="00AE6B71">
            <w:pPr>
              <w:spacing w:after="0" w:line="480" w:lineRule="auto"/>
              <w:jc w:val="both"/>
              <w:rPr>
                <w:rFonts w:ascii="Arial" w:eastAsia="Times New Roman" w:hAnsi="Arial" w:cs="Arial"/>
                <w:color w:val="000000"/>
                <w14:ligatures w14:val="none"/>
              </w:rPr>
            </w:pPr>
          </w:p>
        </w:tc>
        <w:tc>
          <w:tcPr>
            <w:tcW w:w="2465" w:type="dxa"/>
            <w:shd w:val="clear" w:color="000000" w:fill="FFFFFF"/>
            <w:noWrap/>
            <w:vAlign w:val="bottom"/>
          </w:tcPr>
          <w:p w14:paraId="2BA5FF75"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3,000</w:t>
            </w:r>
          </w:p>
        </w:tc>
      </w:tr>
      <w:tr w:rsidR="00AE6B71" w:rsidRPr="00AE6B71" w14:paraId="10897842" w14:textId="77777777" w:rsidTr="00D516D4">
        <w:trPr>
          <w:trHeight w:val="330"/>
          <w:jc w:val="center"/>
        </w:trPr>
        <w:tc>
          <w:tcPr>
            <w:tcW w:w="6122" w:type="dxa"/>
            <w:shd w:val="clear" w:color="000000" w:fill="FFFFFF"/>
            <w:noWrap/>
            <w:vAlign w:val="bottom"/>
            <w:hideMark/>
          </w:tcPr>
          <w:p w14:paraId="08C6CF7C"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Total Operating Expenses</w:t>
            </w:r>
          </w:p>
        </w:tc>
        <w:tc>
          <w:tcPr>
            <w:tcW w:w="1773" w:type="dxa"/>
            <w:shd w:val="clear" w:color="000000" w:fill="FFFFFF"/>
            <w:noWrap/>
            <w:vAlign w:val="bottom"/>
            <w:hideMark/>
          </w:tcPr>
          <w:p w14:paraId="4E127959"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35C6391A"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66,000</w:t>
            </w:r>
          </w:p>
        </w:tc>
      </w:tr>
      <w:tr w:rsidR="00AE6B71" w:rsidRPr="00AE6B71" w14:paraId="534233DA" w14:textId="77777777" w:rsidTr="00D516D4">
        <w:trPr>
          <w:trHeight w:val="315"/>
          <w:jc w:val="center"/>
        </w:trPr>
        <w:tc>
          <w:tcPr>
            <w:tcW w:w="6122" w:type="dxa"/>
            <w:shd w:val="clear" w:color="000000" w:fill="FFFFFF"/>
            <w:noWrap/>
            <w:vAlign w:val="bottom"/>
            <w:hideMark/>
          </w:tcPr>
          <w:p w14:paraId="04D73F57"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Operating Profit</w:t>
            </w:r>
          </w:p>
        </w:tc>
        <w:tc>
          <w:tcPr>
            <w:tcW w:w="1773" w:type="dxa"/>
            <w:shd w:val="clear" w:color="000000" w:fill="FFFFFF"/>
            <w:noWrap/>
            <w:vAlign w:val="bottom"/>
            <w:hideMark/>
          </w:tcPr>
          <w:p w14:paraId="50A5AB6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7EAD23C5"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156,330</w:t>
            </w:r>
          </w:p>
        </w:tc>
      </w:tr>
      <w:tr w:rsidR="00AE6B71" w:rsidRPr="00AE6B71" w14:paraId="1E37119F" w14:textId="77777777" w:rsidTr="00D516D4">
        <w:trPr>
          <w:trHeight w:val="330"/>
          <w:jc w:val="center"/>
        </w:trPr>
        <w:tc>
          <w:tcPr>
            <w:tcW w:w="6122" w:type="dxa"/>
            <w:shd w:val="clear" w:color="000000" w:fill="FFFFFF"/>
            <w:noWrap/>
            <w:vAlign w:val="bottom"/>
            <w:hideMark/>
          </w:tcPr>
          <w:p w14:paraId="2DCC12A1"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Finance costs</w:t>
            </w:r>
          </w:p>
        </w:tc>
        <w:tc>
          <w:tcPr>
            <w:tcW w:w="1773" w:type="dxa"/>
            <w:shd w:val="clear" w:color="000000" w:fill="FFFFFF"/>
            <w:noWrap/>
            <w:vAlign w:val="bottom"/>
            <w:hideMark/>
          </w:tcPr>
          <w:p w14:paraId="08F37B90"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7FD80B51"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4,000</w:t>
            </w:r>
          </w:p>
        </w:tc>
      </w:tr>
      <w:tr w:rsidR="00AE6B71" w:rsidRPr="00AE6B71" w14:paraId="56476273" w14:textId="77777777" w:rsidTr="00D516D4">
        <w:trPr>
          <w:trHeight w:val="330"/>
          <w:jc w:val="center"/>
        </w:trPr>
        <w:tc>
          <w:tcPr>
            <w:tcW w:w="6122" w:type="dxa"/>
            <w:shd w:val="clear" w:color="000000" w:fill="FFFFFF"/>
            <w:noWrap/>
            <w:vAlign w:val="bottom"/>
            <w:hideMark/>
          </w:tcPr>
          <w:p w14:paraId="41ABC984"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Profit Before Tax</w:t>
            </w:r>
          </w:p>
        </w:tc>
        <w:tc>
          <w:tcPr>
            <w:tcW w:w="1773" w:type="dxa"/>
            <w:shd w:val="clear" w:color="000000" w:fill="FFFFFF"/>
            <w:noWrap/>
            <w:vAlign w:val="bottom"/>
            <w:hideMark/>
          </w:tcPr>
          <w:p w14:paraId="765EB51A"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2A5692B8"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152,330</w:t>
            </w:r>
          </w:p>
        </w:tc>
      </w:tr>
      <w:tr w:rsidR="00AE6B71" w:rsidRPr="00AE6B71" w14:paraId="69297716" w14:textId="77777777" w:rsidTr="00D516D4">
        <w:trPr>
          <w:trHeight w:val="330"/>
          <w:jc w:val="center"/>
        </w:trPr>
        <w:tc>
          <w:tcPr>
            <w:tcW w:w="6122" w:type="dxa"/>
            <w:shd w:val="clear" w:color="000000" w:fill="FFFFFF"/>
            <w:noWrap/>
            <w:vAlign w:val="bottom"/>
            <w:hideMark/>
          </w:tcPr>
          <w:p w14:paraId="0B98CC2B"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Income Tax</w:t>
            </w:r>
          </w:p>
        </w:tc>
        <w:tc>
          <w:tcPr>
            <w:tcW w:w="1773" w:type="dxa"/>
            <w:shd w:val="clear" w:color="000000" w:fill="FFFFFF"/>
            <w:noWrap/>
            <w:vAlign w:val="bottom"/>
            <w:hideMark/>
          </w:tcPr>
          <w:p w14:paraId="7FDD40CB"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c>
          <w:tcPr>
            <w:tcW w:w="2465" w:type="dxa"/>
            <w:shd w:val="clear" w:color="000000" w:fill="FFFFFF"/>
            <w:noWrap/>
            <w:vAlign w:val="bottom"/>
            <w:hideMark/>
          </w:tcPr>
          <w:p w14:paraId="660BAE4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100,000</w:t>
            </w:r>
          </w:p>
        </w:tc>
      </w:tr>
      <w:tr w:rsidR="00AE6B71" w:rsidRPr="00AE6B71" w14:paraId="4C4141AD" w14:textId="77777777" w:rsidTr="00D516D4">
        <w:trPr>
          <w:trHeight w:val="330"/>
          <w:jc w:val="center"/>
        </w:trPr>
        <w:tc>
          <w:tcPr>
            <w:tcW w:w="6122" w:type="dxa"/>
            <w:shd w:val="clear" w:color="000000" w:fill="FFFFFF"/>
            <w:noWrap/>
            <w:vAlign w:val="bottom"/>
            <w:hideMark/>
          </w:tcPr>
          <w:p w14:paraId="76CA8804"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Net Profit After Tax</w:t>
            </w:r>
          </w:p>
        </w:tc>
        <w:tc>
          <w:tcPr>
            <w:tcW w:w="1773" w:type="dxa"/>
            <w:shd w:val="clear" w:color="000000" w:fill="FFFFFF"/>
            <w:noWrap/>
            <w:vAlign w:val="bottom"/>
            <w:hideMark/>
          </w:tcPr>
          <w:p w14:paraId="52D0F96A" w14:textId="77777777" w:rsidR="00AE6B71" w:rsidRPr="00AE6B71" w:rsidRDefault="00AE6B71" w:rsidP="00AE6B71">
            <w:pPr>
              <w:spacing w:after="0" w:line="480" w:lineRule="auto"/>
              <w:ind w:firstLineChars="300" w:firstLine="663"/>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2465" w:type="dxa"/>
            <w:shd w:val="clear" w:color="000000" w:fill="FFFFFF"/>
            <w:noWrap/>
            <w:vAlign w:val="bottom"/>
            <w:hideMark/>
          </w:tcPr>
          <w:p w14:paraId="35FD2A01"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52,330</w:t>
            </w:r>
          </w:p>
        </w:tc>
      </w:tr>
    </w:tbl>
    <w:p w14:paraId="7E817777" w14:textId="77777777" w:rsidR="00AE6B71" w:rsidRPr="00AE6B71" w:rsidRDefault="00AE6B71" w:rsidP="00AE6B71">
      <w:pPr>
        <w:spacing w:line="360" w:lineRule="auto"/>
        <w:jc w:val="both"/>
        <w:rPr>
          <w:rFonts w:ascii="Arial" w:hAnsi="Arial" w:cs="Arial"/>
          <w:noProof/>
          <w:kern w:val="2"/>
        </w:rPr>
      </w:pPr>
    </w:p>
    <w:p w14:paraId="47D10678" w14:textId="77777777" w:rsidR="00AE6B71" w:rsidRDefault="00AE6B71" w:rsidP="00AE6B71">
      <w:pPr>
        <w:spacing w:line="360" w:lineRule="auto"/>
        <w:jc w:val="both"/>
        <w:rPr>
          <w:rFonts w:ascii="Arial" w:hAnsi="Arial" w:cs="Arial"/>
          <w:noProof/>
          <w:kern w:val="2"/>
        </w:rPr>
      </w:pPr>
    </w:p>
    <w:p w14:paraId="4330650A" w14:textId="77777777" w:rsidR="00AE6B71" w:rsidRPr="00AE6B71" w:rsidRDefault="00AE6B71" w:rsidP="00AE6B71">
      <w:pPr>
        <w:spacing w:line="360" w:lineRule="auto"/>
        <w:jc w:val="both"/>
        <w:rPr>
          <w:rFonts w:ascii="Arial" w:hAnsi="Arial" w:cs="Arial"/>
          <w:noProof/>
          <w:kern w:val="2"/>
        </w:rPr>
      </w:pPr>
    </w:p>
    <w:tbl>
      <w:tblPr>
        <w:tblW w:w="9639" w:type="dxa"/>
        <w:jc w:val="center"/>
        <w:tblLook w:val="04A0" w:firstRow="1" w:lastRow="0" w:firstColumn="1" w:lastColumn="0" w:noHBand="0" w:noVBand="1"/>
      </w:tblPr>
      <w:tblGrid>
        <w:gridCol w:w="1712"/>
        <w:gridCol w:w="5558"/>
        <w:gridCol w:w="2369"/>
      </w:tblGrid>
      <w:tr w:rsidR="00AE6B71" w:rsidRPr="00AE6B71" w14:paraId="777D6E94" w14:textId="77777777" w:rsidTr="00D516D4">
        <w:trPr>
          <w:trHeight w:val="330"/>
          <w:jc w:val="center"/>
        </w:trPr>
        <w:tc>
          <w:tcPr>
            <w:tcW w:w="9639" w:type="dxa"/>
            <w:gridSpan w:val="3"/>
            <w:shd w:val="clear" w:color="auto" w:fill="auto"/>
            <w:noWrap/>
            <w:vAlign w:val="bottom"/>
            <w:hideMark/>
          </w:tcPr>
          <w:p w14:paraId="38F1F559" w14:textId="77777777" w:rsidR="00AE6B71" w:rsidRPr="00AE6B71" w:rsidRDefault="00AE6B71" w:rsidP="00AE6B71">
            <w:pPr>
              <w:spacing w:after="0" w:line="480" w:lineRule="auto"/>
              <w:rPr>
                <w:rFonts w:ascii="Arial" w:eastAsia="Times New Roman" w:hAnsi="Arial" w:cs="Arial"/>
                <w:b/>
                <w:bCs/>
                <w:color w:val="000000"/>
                <w:u w:val="single"/>
                <w14:ligatures w14:val="none"/>
              </w:rPr>
            </w:pPr>
          </w:p>
          <w:p w14:paraId="355E234F" w14:textId="77777777" w:rsidR="00AE6B71" w:rsidRPr="00AE6B71" w:rsidRDefault="00AE6B71" w:rsidP="00AE6B71">
            <w:pPr>
              <w:spacing w:after="0" w:line="480" w:lineRule="auto"/>
              <w:jc w:val="center"/>
              <w:rPr>
                <w:rFonts w:ascii="Arial" w:eastAsia="Times New Roman" w:hAnsi="Arial" w:cs="Arial"/>
                <w:b/>
                <w:bCs/>
                <w:color w:val="000000"/>
                <w:u w:val="single"/>
                <w14:ligatures w14:val="none"/>
              </w:rPr>
            </w:pPr>
            <w:r w:rsidRPr="00AE6B71">
              <w:rPr>
                <w:rFonts w:ascii="Arial" w:eastAsia="Times New Roman" w:hAnsi="Arial" w:cs="Arial"/>
                <w:b/>
                <w:bCs/>
                <w:color w:val="000000"/>
                <w:u w:val="single"/>
                <w14:ligatures w14:val="none"/>
              </w:rPr>
              <w:t>Wales Plc</w:t>
            </w:r>
          </w:p>
        </w:tc>
      </w:tr>
      <w:tr w:rsidR="00AE6B71" w:rsidRPr="00AE6B71" w14:paraId="2C8C9BF3" w14:textId="77777777" w:rsidTr="00D516D4">
        <w:trPr>
          <w:trHeight w:val="330"/>
          <w:jc w:val="center"/>
        </w:trPr>
        <w:tc>
          <w:tcPr>
            <w:tcW w:w="9639" w:type="dxa"/>
            <w:gridSpan w:val="3"/>
            <w:shd w:val="clear" w:color="auto" w:fill="auto"/>
            <w:noWrap/>
            <w:vAlign w:val="bottom"/>
            <w:hideMark/>
          </w:tcPr>
          <w:p w14:paraId="22081EA6" w14:textId="77777777" w:rsidR="00AE6B71" w:rsidRPr="00AE6B71" w:rsidRDefault="00AE6B71" w:rsidP="00AE6B71">
            <w:pPr>
              <w:spacing w:after="0" w:line="480" w:lineRule="auto"/>
              <w:jc w:val="center"/>
              <w:rPr>
                <w:rFonts w:ascii="Arial" w:eastAsia="Times New Roman" w:hAnsi="Arial" w:cs="Arial"/>
                <w:b/>
                <w:bCs/>
                <w:color w:val="000000"/>
                <w:u w:val="single"/>
                <w14:ligatures w14:val="none"/>
              </w:rPr>
            </w:pPr>
            <w:r w:rsidRPr="00AE6B71">
              <w:rPr>
                <w:rFonts w:ascii="Arial" w:eastAsia="Times New Roman" w:hAnsi="Arial" w:cs="Arial"/>
                <w:b/>
                <w:bCs/>
                <w:color w:val="000000"/>
                <w:u w:val="single"/>
                <w14:ligatures w14:val="none"/>
              </w:rPr>
              <w:t>Statement of Financial Position</w:t>
            </w:r>
          </w:p>
        </w:tc>
      </w:tr>
      <w:tr w:rsidR="00AE6B71" w:rsidRPr="00AE6B71" w14:paraId="37AD710C" w14:textId="77777777" w:rsidTr="00D516D4">
        <w:trPr>
          <w:trHeight w:val="330"/>
          <w:jc w:val="center"/>
        </w:trPr>
        <w:tc>
          <w:tcPr>
            <w:tcW w:w="9639" w:type="dxa"/>
            <w:gridSpan w:val="3"/>
            <w:shd w:val="clear" w:color="auto" w:fill="auto"/>
            <w:noWrap/>
            <w:vAlign w:val="bottom"/>
            <w:hideMark/>
          </w:tcPr>
          <w:p w14:paraId="2947845B" w14:textId="77777777" w:rsidR="00AE6B71" w:rsidRPr="00AE6B71" w:rsidRDefault="00AE6B71" w:rsidP="00AE6B71">
            <w:pPr>
              <w:spacing w:after="0" w:line="480" w:lineRule="auto"/>
              <w:jc w:val="center"/>
              <w:rPr>
                <w:rFonts w:ascii="Arial" w:eastAsia="Times New Roman" w:hAnsi="Arial" w:cs="Arial"/>
                <w:b/>
                <w:bCs/>
                <w:color w:val="000000"/>
                <w:u w:val="single"/>
                <w14:ligatures w14:val="none"/>
              </w:rPr>
            </w:pPr>
            <w:r w:rsidRPr="00AE6B71">
              <w:rPr>
                <w:rFonts w:ascii="Arial" w:eastAsia="Times New Roman" w:hAnsi="Arial" w:cs="Arial"/>
                <w:b/>
                <w:bCs/>
                <w:color w:val="000000"/>
                <w:u w:val="single"/>
                <w14:ligatures w14:val="none"/>
              </w:rPr>
              <w:t>As At 31-Dec-2022</w:t>
            </w:r>
          </w:p>
        </w:tc>
      </w:tr>
      <w:tr w:rsidR="00AE6B71" w:rsidRPr="00AE6B71" w14:paraId="0A5BB336" w14:textId="77777777" w:rsidTr="00D516D4">
        <w:trPr>
          <w:trHeight w:val="375"/>
          <w:jc w:val="center"/>
        </w:trPr>
        <w:tc>
          <w:tcPr>
            <w:tcW w:w="1712" w:type="dxa"/>
            <w:shd w:val="clear" w:color="auto" w:fill="auto"/>
            <w:noWrap/>
            <w:vAlign w:val="bottom"/>
            <w:hideMark/>
          </w:tcPr>
          <w:p w14:paraId="13D6B8F9"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5558" w:type="dxa"/>
            <w:shd w:val="clear" w:color="auto" w:fill="auto"/>
            <w:noWrap/>
            <w:vAlign w:val="bottom"/>
            <w:hideMark/>
          </w:tcPr>
          <w:p w14:paraId="2F82D33E"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2369" w:type="dxa"/>
            <w:shd w:val="clear" w:color="auto" w:fill="auto"/>
            <w:noWrap/>
            <w:vAlign w:val="bottom"/>
            <w:hideMark/>
          </w:tcPr>
          <w:p w14:paraId="48EEC07F" w14:textId="77777777" w:rsidR="00AE6B71" w:rsidRPr="00AE6B71" w:rsidRDefault="00AE6B71" w:rsidP="00AE6B71">
            <w:pPr>
              <w:spacing w:after="0" w:line="480" w:lineRule="auto"/>
              <w:jc w:val="center"/>
              <w:rPr>
                <w:rFonts w:ascii="Arial" w:eastAsia="Times New Roman" w:hAnsi="Arial" w:cs="Arial"/>
                <w:b/>
                <w:bCs/>
                <w:color w:val="000000"/>
                <w14:ligatures w14:val="none"/>
              </w:rPr>
            </w:pPr>
            <w:r w:rsidRPr="00AE6B71">
              <w:rPr>
                <w:rFonts w:eastAsia="Times New Roman"/>
                <w:b/>
                <w:bCs/>
                <w:color w:val="000000"/>
                <w14:ligatures w14:val="none"/>
              </w:rPr>
              <w:t xml:space="preserve">        </w:t>
            </w:r>
          </w:p>
        </w:tc>
      </w:tr>
      <w:tr w:rsidR="00AE6B71" w:rsidRPr="00AE6B71" w14:paraId="1413809E" w14:textId="77777777" w:rsidTr="00D516D4">
        <w:trPr>
          <w:trHeight w:val="330"/>
          <w:jc w:val="center"/>
        </w:trPr>
        <w:tc>
          <w:tcPr>
            <w:tcW w:w="1712" w:type="dxa"/>
            <w:shd w:val="clear" w:color="auto" w:fill="auto"/>
            <w:noWrap/>
            <w:vAlign w:val="bottom"/>
            <w:hideMark/>
          </w:tcPr>
          <w:p w14:paraId="7AF6E7BE"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5558" w:type="dxa"/>
            <w:shd w:val="clear" w:color="auto" w:fill="auto"/>
            <w:noWrap/>
            <w:vAlign w:val="bottom"/>
            <w:hideMark/>
          </w:tcPr>
          <w:p w14:paraId="6D256F03"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w:t>
            </w:r>
          </w:p>
        </w:tc>
        <w:tc>
          <w:tcPr>
            <w:tcW w:w="2369" w:type="dxa"/>
            <w:shd w:val="clear" w:color="auto" w:fill="auto"/>
            <w:noWrap/>
            <w:vAlign w:val="bottom"/>
            <w:hideMark/>
          </w:tcPr>
          <w:p w14:paraId="5020C432"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          Amount in £</w:t>
            </w:r>
          </w:p>
        </w:tc>
      </w:tr>
      <w:tr w:rsidR="00AE6B71" w:rsidRPr="00AE6B71" w14:paraId="0ABE226E" w14:textId="77777777" w:rsidTr="00D516D4">
        <w:trPr>
          <w:trHeight w:val="330"/>
          <w:jc w:val="center"/>
        </w:trPr>
        <w:tc>
          <w:tcPr>
            <w:tcW w:w="1712" w:type="dxa"/>
            <w:shd w:val="clear" w:color="auto" w:fill="auto"/>
            <w:noWrap/>
            <w:vAlign w:val="bottom"/>
          </w:tcPr>
          <w:p w14:paraId="4B39E7B1"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Assets</w:t>
            </w:r>
          </w:p>
        </w:tc>
        <w:tc>
          <w:tcPr>
            <w:tcW w:w="5558" w:type="dxa"/>
            <w:shd w:val="clear" w:color="auto" w:fill="auto"/>
            <w:noWrap/>
            <w:vAlign w:val="bottom"/>
          </w:tcPr>
          <w:p w14:paraId="077A5748" w14:textId="77777777" w:rsidR="00AE6B71" w:rsidRPr="00AE6B71" w:rsidRDefault="00AE6B71" w:rsidP="00AE6B71">
            <w:pPr>
              <w:spacing w:after="0" w:line="480" w:lineRule="auto"/>
              <w:jc w:val="both"/>
              <w:rPr>
                <w:rFonts w:ascii="Arial" w:eastAsia="Times New Roman" w:hAnsi="Arial" w:cs="Arial"/>
                <w:b/>
                <w:bCs/>
                <w:color w:val="000000"/>
                <w14:ligatures w14:val="none"/>
              </w:rPr>
            </w:pPr>
          </w:p>
        </w:tc>
        <w:tc>
          <w:tcPr>
            <w:tcW w:w="2369" w:type="dxa"/>
            <w:shd w:val="clear" w:color="auto" w:fill="auto"/>
            <w:noWrap/>
            <w:vAlign w:val="bottom"/>
          </w:tcPr>
          <w:p w14:paraId="7B7320CC" w14:textId="77777777" w:rsidR="00AE6B71" w:rsidRPr="00AE6B71" w:rsidRDefault="00AE6B71" w:rsidP="00AE6B71">
            <w:pPr>
              <w:spacing w:after="0" w:line="480" w:lineRule="auto"/>
              <w:jc w:val="both"/>
              <w:rPr>
                <w:rFonts w:ascii="Arial" w:eastAsia="Times New Roman" w:hAnsi="Arial" w:cs="Arial"/>
                <w:b/>
                <w:bCs/>
                <w:color w:val="000000"/>
                <w14:ligatures w14:val="none"/>
              </w:rPr>
            </w:pPr>
          </w:p>
        </w:tc>
      </w:tr>
      <w:tr w:rsidR="00AE6B71" w:rsidRPr="00AE6B71" w14:paraId="0E36B612" w14:textId="77777777" w:rsidTr="00D516D4">
        <w:trPr>
          <w:trHeight w:val="315"/>
          <w:jc w:val="center"/>
        </w:trPr>
        <w:tc>
          <w:tcPr>
            <w:tcW w:w="7270" w:type="dxa"/>
            <w:gridSpan w:val="2"/>
            <w:shd w:val="clear" w:color="auto" w:fill="auto"/>
            <w:noWrap/>
            <w:vAlign w:val="bottom"/>
            <w:hideMark/>
          </w:tcPr>
          <w:p w14:paraId="3B3B943A"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Non-Current Assets</w:t>
            </w:r>
          </w:p>
        </w:tc>
        <w:tc>
          <w:tcPr>
            <w:tcW w:w="2369" w:type="dxa"/>
            <w:shd w:val="clear" w:color="auto" w:fill="auto"/>
            <w:noWrap/>
            <w:vAlign w:val="bottom"/>
            <w:hideMark/>
          </w:tcPr>
          <w:p w14:paraId="77B24CBC"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r>
      <w:tr w:rsidR="00AE6B71" w:rsidRPr="00AE6B71" w14:paraId="6E547E1C" w14:textId="77777777" w:rsidTr="00D516D4">
        <w:trPr>
          <w:trHeight w:val="330"/>
          <w:jc w:val="center"/>
        </w:trPr>
        <w:tc>
          <w:tcPr>
            <w:tcW w:w="7270" w:type="dxa"/>
            <w:gridSpan w:val="2"/>
            <w:shd w:val="clear" w:color="auto" w:fill="auto"/>
            <w:noWrap/>
            <w:vAlign w:val="bottom"/>
            <w:hideMark/>
          </w:tcPr>
          <w:p w14:paraId="63F3880F"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Property, plant, and equipment</w:t>
            </w:r>
          </w:p>
        </w:tc>
        <w:tc>
          <w:tcPr>
            <w:tcW w:w="2369" w:type="dxa"/>
            <w:shd w:val="clear" w:color="auto" w:fill="auto"/>
            <w:noWrap/>
            <w:vAlign w:val="bottom"/>
            <w:hideMark/>
          </w:tcPr>
          <w:p w14:paraId="10B79825"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1,250,000</w:t>
            </w:r>
          </w:p>
        </w:tc>
      </w:tr>
      <w:tr w:rsidR="00AE6B71" w:rsidRPr="00AE6B71" w14:paraId="3F0FF966" w14:textId="77777777" w:rsidTr="00D516D4">
        <w:trPr>
          <w:trHeight w:val="330"/>
          <w:jc w:val="center"/>
        </w:trPr>
        <w:tc>
          <w:tcPr>
            <w:tcW w:w="7270" w:type="dxa"/>
            <w:gridSpan w:val="2"/>
            <w:shd w:val="clear" w:color="auto" w:fill="auto"/>
            <w:noWrap/>
            <w:vAlign w:val="bottom"/>
            <w:hideMark/>
          </w:tcPr>
          <w:p w14:paraId="3A76DAA1"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Total Non-Current Assets</w:t>
            </w:r>
          </w:p>
        </w:tc>
        <w:tc>
          <w:tcPr>
            <w:tcW w:w="2369" w:type="dxa"/>
            <w:shd w:val="clear" w:color="auto" w:fill="auto"/>
            <w:noWrap/>
            <w:vAlign w:val="bottom"/>
            <w:hideMark/>
          </w:tcPr>
          <w:p w14:paraId="7CAE2009" w14:textId="77777777" w:rsidR="00AE6B71" w:rsidRPr="00AE6B71" w:rsidRDefault="00AE6B71" w:rsidP="00AE6B71">
            <w:pPr>
              <w:spacing w:after="0" w:line="480" w:lineRule="auto"/>
              <w:jc w:val="right"/>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1,250,000</w:t>
            </w:r>
          </w:p>
        </w:tc>
      </w:tr>
      <w:tr w:rsidR="00AE6B71" w:rsidRPr="00AE6B71" w14:paraId="305F268B" w14:textId="77777777" w:rsidTr="00D516D4">
        <w:trPr>
          <w:trHeight w:val="315"/>
          <w:jc w:val="center"/>
        </w:trPr>
        <w:tc>
          <w:tcPr>
            <w:tcW w:w="7270" w:type="dxa"/>
            <w:gridSpan w:val="2"/>
            <w:shd w:val="clear" w:color="auto" w:fill="auto"/>
            <w:noWrap/>
            <w:vAlign w:val="bottom"/>
            <w:hideMark/>
          </w:tcPr>
          <w:p w14:paraId="62DF88E8"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Current Assets</w:t>
            </w:r>
          </w:p>
        </w:tc>
        <w:tc>
          <w:tcPr>
            <w:tcW w:w="2369" w:type="dxa"/>
            <w:shd w:val="clear" w:color="auto" w:fill="auto"/>
            <w:noWrap/>
            <w:vAlign w:val="bottom"/>
            <w:hideMark/>
          </w:tcPr>
          <w:p w14:paraId="349417BB"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r>
      <w:tr w:rsidR="00AE6B71" w:rsidRPr="00AE6B71" w14:paraId="6CA97AB8" w14:textId="77777777" w:rsidTr="00D516D4">
        <w:trPr>
          <w:trHeight w:val="330"/>
          <w:jc w:val="center"/>
        </w:trPr>
        <w:tc>
          <w:tcPr>
            <w:tcW w:w="7270" w:type="dxa"/>
            <w:gridSpan w:val="2"/>
            <w:shd w:val="clear" w:color="auto" w:fill="auto"/>
            <w:noWrap/>
            <w:vAlign w:val="bottom"/>
            <w:hideMark/>
          </w:tcPr>
          <w:p w14:paraId="4D56728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Cash and Bank balance</w:t>
            </w:r>
          </w:p>
        </w:tc>
        <w:tc>
          <w:tcPr>
            <w:tcW w:w="2369" w:type="dxa"/>
            <w:shd w:val="clear" w:color="auto" w:fill="auto"/>
            <w:noWrap/>
            <w:vAlign w:val="bottom"/>
            <w:hideMark/>
          </w:tcPr>
          <w:p w14:paraId="087431DC"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96,000</w:t>
            </w:r>
          </w:p>
        </w:tc>
      </w:tr>
      <w:tr w:rsidR="00AE6B71" w:rsidRPr="00AE6B71" w14:paraId="45DEDBC0" w14:textId="77777777" w:rsidTr="00D516D4">
        <w:trPr>
          <w:trHeight w:val="330"/>
          <w:jc w:val="center"/>
        </w:trPr>
        <w:tc>
          <w:tcPr>
            <w:tcW w:w="7270" w:type="dxa"/>
            <w:gridSpan w:val="2"/>
            <w:shd w:val="clear" w:color="auto" w:fill="auto"/>
            <w:noWrap/>
            <w:vAlign w:val="bottom"/>
            <w:hideMark/>
          </w:tcPr>
          <w:p w14:paraId="3CD5CEB8"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Trade and other receivables</w:t>
            </w:r>
          </w:p>
        </w:tc>
        <w:tc>
          <w:tcPr>
            <w:tcW w:w="2369" w:type="dxa"/>
            <w:shd w:val="clear" w:color="auto" w:fill="auto"/>
            <w:noWrap/>
            <w:vAlign w:val="bottom"/>
            <w:hideMark/>
          </w:tcPr>
          <w:p w14:paraId="716835A4"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170,125</w:t>
            </w:r>
          </w:p>
        </w:tc>
      </w:tr>
      <w:tr w:rsidR="00AE6B71" w:rsidRPr="00AE6B71" w14:paraId="3D54C65D" w14:textId="77777777" w:rsidTr="00D516D4">
        <w:trPr>
          <w:trHeight w:val="330"/>
          <w:jc w:val="center"/>
        </w:trPr>
        <w:tc>
          <w:tcPr>
            <w:tcW w:w="7270" w:type="dxa"/>
            <w:gridSpan w:val="2"/>
            <w:shd w:val="clear" w:color="auto" w:fill="auto"/>
            <w:noWrap/>
            <w:vAlign w:val="bottom"/>
            <w:hideMark/>
          </w:tcPr>
          <w:p w14:paraId="11A1224E"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Inventories</w:t>
            </w:r>
          </w:p>
        </w:tc>
        <w:tc>
          <w:tcPr>
            <w:tcW w:w="2369" w:type="dxa"/>
            <w:shd w:val="clear" w:color="auto" w:fill="auto"/>
            <w:noWrap/>
            <w:vAlign w:val="bottom"/>
            <w:hideMark/>
          </w:tcPr>
          <w:p w14:paraId="6DADBDBC"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510,850</w:t>
            </w:r>
          </w:p>
        </w:tc>
      </w:tr>
      <w:tr w:rsidR="00AE6B71" w:rsidRPr="00AE6B71" w14:paraId="1C308809" w14:textId="77777777" w:rsidTr="00D516D4">
        <w:trPr>
          <w:trHeight w:val="330"/>
          <w:jc w:val="center"/>
        </w:trPr>
        <w:tc>
          <w:tcPr>
            <w:tcW w:w="7270" w:type="dxa"/>
            <w:gridSpan w:val="2"/>
            <w:shd w:val="clear" w:color="auto" w:fill="auto"/>
            <w:noWrap/>
            <w:vAlign w:val="bottom"/>
            <w:hideMark/>
          </w:tcPr>
          <w:p w14:paraId="784ABB5E"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xml:space="preserve">(+) Accruals </w:t>
            </w:r>
          </w:p>
        </w:tc>
        <w:tc>
          <w:tcPr>
            <w:tcW w:w="2369" w:type="dxa"/>
            <w:shd w:val="clear" w:color="auto" w:fill="auto"/>
            <w:noWrap/>
            <w:vAlign w:val="bottom"/>
            <w:hideMark/>
          </w:tcPr>
          <w:p w14:paraId="66030054"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980</w:t>
            </w:r>
          </w:p>
        </w:tc>
      </w:tr>
      <w:tr w:rsidR="00AE6B71" w:rsidRPr="00AE6B71" w14:paraId="2C1A8574" w14:textId="77777777" w:rsidTr="00D516D4">
        <w:trPr>
          <w:trHeight w:val="330"/>
          <w:jc w:val="center"/>
        </w:trPr>
        <w:tc>
          <w:tcPr>
            <w:tcW w:w="7270" w:type="dxa"/>
            <w:gridSpan w:val="2"/>
            <w:shd w:val="clear" w:color="auto" w:fill="auto"/>
            <w:noWrap/>
            <w:vAlign w:val="bottom"/>
            <w:hideMark/>
          </w:tcPr>
          <w:p w14:paraId="0CDF7BDE"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Total Current Assets</w:t>
            </w:r>
          </w:p>
        </w:tc>
        <w:tc>
          <w:tcPr>
            <w:tcW w:w="2369" w:type="dxa"/>
            <w:shd w:val="clear" w:color="auto" w:fill="auto"/>
            <w:noWrap/>
            <w:vAlign w:val="bottom"/>
            <w:hideMark/>
          </w:tcPr>
          <w:p w14:paraId="749FA8C5" w14:textId="77777777" w:rsidR="00AE6B71" w:rsidRPr="00AE6B71" w:rsidRDefault="00AE6B71" w:rsidP="00AE6B71">
            <w:pPr>
              <w:spacing w:after="0" w:line="480" w:lineRule="auto"/>
              <w:jc w:val="right"/>
              <w:rPr>
                <w:rFonts w:ascii="Arial" w:eastAsia="Times New Roman" w:hAnsi="Arial" w:cs="Arial"/>
                <w:b/>
                <w:bCs/>
                <w:color w:val="000000"/>
                <w14:ligatures w14:val="none"/>
              </w:rPr>
            </w:pPr>
            <w:r w:rsidRPr="00AE6B71">
              <w:rPr>
                <w:rFonts w:ascii="Arial" w:hAnsi="Arial" w:cs="Arial"/>
                <w:b/>
                <w:bCs/>
                <w:kern w:val="2"/>
              </w:rPr>
              <w:t>777,955</w:t>
            </w:r>
          </w:p>
        </w:tc>
      </w:tr>
      <w:tr w:rsidR="00AE6B71" w:rsidRPr="00AE6B71" w14:paraId="18BC21F2" w14:textId="77777777" w:rsidTr="00D516D4">
        <w:trPr>
          <w:trHeight w:val="330"/>
          <w:jc w:val="center"/>
        </w:trPr>
        <w:tc>
          <w:tcPr>
            <w:tcW w:w="7270" w:type="dxa"/>
            <w:gridSpan w:val="2"/>
            <w:tcBorders>
              <w:bottom w:val="single" w:sz="4" w:space="0" w:color="auto"/>
            </w:tcBorders>
            <w:shd w:val="clear" w:color="auto" w:fill="auto"/>
            <w:noWrap/>
            <w:vAlign w:val="bottom"/>
            <w:hideMark/>
          </w:tcPr>
          <w:p w14:paraId="107E7E99"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Total Assets</w:t>
            </w:r>
          </w:p>
        </w:tc>
        <w:tc>
          <w:tcPr>
            <w:tcW w:w="2369" w:type="dxa"/>
            <w:tcBorders>
              <w:bottom w:val="single" w:sz="4" w:space="0" w:color="auto"/>
            </w:tcBorders>
            <w:shd w:val="clear" w:color="auto" w:fill="auto"/>
            <w:noWrap/>
            <w:vAlign w:val="bottom"/>
            <w:hideMark/>
          </w:tcPr>
          <w:p w14:paraId="5FCB63AF" w14:textId="77777777" w:rsidR="00AE6B71" w:rsidRPr="00AE6B71" w:rsidRDefault="00AE6B71" w:rsidP="00AE6B71">
            <w:pPr>
              <w:spacing w:after="0" w:line="480" w:lineRule="auto"/>
              <w:jc w:val="right"/>
              <w:rPr>
                <w:rFonts w:ascii="Arial" w:eastAsia="Times New Roman" w:hAnsi="Arial" w:cs="Arial"/>
                <w:b/>
                <w:bCs/>
                <w:color w:val="000000"/>
                <w14:ligatures w14:val="none"/>
              </w:rPr>
            </w:pPr>
            <w:r w:rsidRPr="00AE6B71">
              <w:rPr>
                <w:rFonts w:ascii="Arial" w:hAnsi="Arial" w:cs="Arial"/>
                <w:b/>
                <w:bCs/>
                <w:kern w:val="2"/>
              </w:rPr>
              <w:t>2,027,955</w:t>
            </w:r>
          </w:p>
        </w:tc>
      </w:tr>
      <w:tr w:rsidR="00AE6B71" w:rsidRPr="00AE6B71" w14:paraId="52F49F57" w14:textId="77777777" w:rsidTr="00D516D4">
        <w:trPr>
          <w:trHeight w:val="315"/>
          <w:jc w:val="center"/>
        </w:trPr>
        <w:tc>
          <w:tcPr>
            <w:tcW w:w="7270" w:type="dxa"/>
            <w:gridSpan w:val="2"/>
            <w:shd w:val="clear" w:color="auto" w:fill="auto"/>
            <w:noWrap/>
            <w:vAlign w:val="bottom"/>
            <w:hideMark/>
          </w:tcPr>
          <w:p w14:paraId="046EED93"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Equity</w:t>
            </w:r>
          </w:p>
        </w:tc>
        <w:tc>
          <w:tcPr>
            <w:tcW w:w="2369" w:type="dxa"/>
            <w:shd w:val="clear" w:color="auto" w:fill="auto"/>
            <w:noWrap/>
            <w:vAlign w:val="bottom"/>
            <w:hideMark/>
          </w:tcPr>
          <w:p w14:paraId="2E9CDDC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r>
      <w:tr w:rsidR="00AE6B71" w:rsidRPr="00AE6B71" w14:paraId="372BDD19" w14:textId="77777777" w:rsidTr="00D516D4">
        <w:trPr>
          <w:trHeight w:val="330"/>
          <w:jc w:val="center"/>
        </w:trPr>
        <w:tc>
          <w:tcPr>
            <w:tcW w:w="7270" w:type="dxa"/>
            <w:gridSpan w:val="2"/>
            <w:shd w:val="clear" w:color="auto" w:fill="auto"/>
            <w:noWrap/>
            <w:vAlign w:val="bottom"/>
            <w:hideMark/>
          </w:tcPr>
          <w:p w14:paraId="0D919F1B"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Share capital</w:t>
            </w:r>
          </w:p>
        </w:tc>
        <w:tc>
          <w:tcPr>
            <w:tcW w:w="2369" w:type="dxa"/>
            <w:shd w:val="clear" w:color="auto" w:fill="auto"/>
            <w:noWrap/>
            <w:vAlign w:val="bottom"/>
            <w:hideMark/>
          </w:tcPr>
          <w:p w14:paraId="269181C3"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900,000</w:t>
            </w:r>
          </w:p>
        </w:tc>
      </w:tr>
      <w:tr w:rsidR="00AE6B71" w:rsidRPr="00AE6B71" w14:paraId="3FC527B6" w14:textId="77777777" w:rsidTr="00D516D4">
        <w:trPr>
          <w:trHeight w:val="330"/>
          <w:jc w:val="center"/>
        </w:trPr>
        <w:tc>
          <w:tcPr>
            <w:tcW w:w="7270" w:type="dxa"/>
            <w:gridSpan w:val="2"/>
            <w:shd w:val="clear" w:color="auto" w:fill="auto"/>
            <w:noWrap/>
            <w:vAlign w:val="bottom"/>
            <w:hideMark/>
          </w:tcPr>
          <w:p w14:paraId="28CDD7F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Preference share</w:t>
            </w:r>
          </w:p>
        </w:tc>
        <w:tc>
          <w:tcPr>
            <w:tcW w:w="2369" w:type="dxa"/>
            <w:shd w:val="clear" w:color="auto" w:fill="auto"/>
            <w:noWrap/>
            <w:vAlign w:val="bottom"/>
            <w:hideMark/>
          </w:tcPr>
          <w:p w14:paraId="7BE29D9A"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500,000</w:t>
            </w:r>
          </w:p>
        </w:tc>
      </w:tr>
      <w:tr w:rsidR="00AE6B71" w:rsidRPr="00AE6B71" w14:paraId="3326A9EF" w14:textId="77777777" w:rsidTr="00D516D4">
        <w:trPr>
          <w:trHeight w:val="330"/>
          <w:jc w:val="center"/>
        </w:trPr>
        <w:tc>
          <w:tcPr>
            <w:tcW w:w="7270" w:type="dxa"/>
            <w:gridSpan w:val="2"/>
            <w:shd w:val="clear" w:color="auto" w:fill="auto"/>
            <w:noWrap/>
            <w:vAlign w:val="bottom"/>
            <w:hideMark/>
          </w:tcPr>
          <w:p w14:paraId="09915A3F"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Retained Earnings</w:t>
            </w:r>
          </w:p>
        </w:tc>
        <w:tc>
          <w:tcPr>
            <w:tcW w:w="2369" w:type="dxa"/>
            <w:shd w:val="clear" w:color="auto" w:fill="auto"/>
            <w:noWrap/>
            <w:vAlign w:val="bottom"/>
            <w:hideMark/>
          </w:tcPr>
          <w:p w14:paraId="283FD04C"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hAnsi="Arial" w:cs="Arial"/>
                <w:kern w:val="2"/>
              </w:rPr>
              <w:t>114,330</w:t>
            </w:r>
          </w:p>
        </w:tc>
      </w:tr>
      <w:tr w:rsidR="00AE6B71" w:rsidRPr="00AE6B71" w14:paraId="44ED96CF" w14:textId="77777777" w:rsidTr="00D516D4">
        <w:trPr>
          <w:trHeight w:val="300"/>
          <w:jc w:val="center"/>
        </w:trPr>
        <w:tc>
          <w:tcPr>
            <w:tcW w:w="7270" w:type="dxa"/>
            <w:gridSpan w:val="2"/>
            <w:tcBorders>
              <w:bottom w:val="single" w:sz="4" w:space="0" w:color="auto"/>
            </w:tcBorders>
            <w:shd w:val="clear" w:color="auto" w:fill="auto"/>
            <w:noWrap/>
            <w:vAlign w:val="bottom"/>
            <w:hideMark/>
          </w:tcPr>
          <w:p w14:paraId="6D5203BF"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Total Equity</w:t>
            </w:r>
          </w:p>
        </w:tc>
        <w:tc>
          <w:tcPr>
            <w:tcW w:w="2369" w:type="dxa"/>
            <w:tcBorders>
              <w:bottom w:val="single" w:sz="4" w:space="0" w:color="auto"/>
            </w:tcBorders>
            <w:shd w:val="clear" w:color="auto" w:fill="auto"/>
            <w:noWrap/>
            <w:vAlign w:val="bottom"/>
            <w:hideMark/>
          </w:tcPr>
          <w:p w14:paraId="7E66B2FD" w14:textId="77777777" w:rsidR="00AE6B71" w:rsidRPr="00AE6B71" w:rsidRDefault="00AE6B71" w:rsidP="00AE6B71">
            <w:pPr>
              <w:spacing w:after="0" w:line="480" w:lineRule="auto"/>
              <w:jc w:val="right"/>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1,514,330</w:t>
            </w:r>
          </w:p>
        </w:tc>
      </w:tr>
      <w:tr w:rsidR="00AE6B71" w:rsidRPr="00AE6B71" w14:paraId="1237A860" w14:textId="77777777" w:rsidTr="00D516D4">
        <w:trPr>
          <w:trHeight w:val="315"/>
          <w:jc w:val="center"/>
        </w:trPr>
        <w:tc>
          <w:tcPr>
            <w:tcW w:w="7270" w:type="dxa"/>
            <w:gridSpan w:val="2"/>
            <w:shd w:val="clear" w:color="auto" w:fill="auto"/>
            <w:noWrap/>
            <w:vAlign w:val="bottom"/>
          </w:tcPr>
          <w:p w14:paraId="69BF69A0" w14:textId="77777777" w:rsidR="00AE6B71" w:rsidRPr="00AE6B71" w:rsidRDefault="00AE6B71" w:rsidP="00AE6B71">
            <w:pPr>
              <w:spacing w:after="0" w:line="480" w:lineRule="auto"/>
              <w:jc w:val="both"/>
              <w:rPr>
                <w:rFonts w:ascii="Arial" w:eastAsia="Times New Roman" w:hAnsi="Arial" w:cs="Arial"/>
                <w:b/>
                <w:bCs/>
                <w:color w:val="000000"/>
                <w14:ligatures w14:val="none"/>
              </w:rPr>
            </w:pPr>
          </w:p>
          <w:p w14:paraId="6F440493" w14:textId="77777777" w:rsidR="00AE6B71" w:rsidRPr="00AE6B71" w:rsidRDefault="00AE6B71" w:rsidP="00AE6B71">
            <w:pPr>
              <w:spacing w:after="0" w:line="480" w:lineRule="auto"/>
              <w:jc w:val="both"/>
              <w:rPr>
                <w:rFonts w:ascii="Arial" w:eastAsia="Times New Roman" w:hAnsi="Arial" w:cs="Arial"/>
                <w:b/>
                <w:bCs/>
                <w:color w:val="000000"/>
                <w14:ligatures w14:val="none"/>
              </w:rPr>
            </w:pPr>
          </w:p>
          <w:p w14:paraId="7D03010D" w14:textId="77777777" w:rsidR="00AE6B71" w:rsidRPr="00AE6B71" w:rsidRDefault="00AE6B71" w:rsidP="00AE6B71">
            <w:pPr>
              <w:spacing w:after="0" w:line="480" w:lineRule="auto"/>
              <w:jc w:val="both"/>
              <w:rPr>
                <w:rFonts w:ascii="Arial" w:eastAsia="Times New Roman" w:hAnsi="Arial" w:cs="Arial"/>
                <w:b/>
                <w:bCs/>
                <w:color w:val="000000"/>
                <w14:ligatures w14:val="none"/>
              </w:rPr>
            </w:pPr>
          </w:p>
          <w:p w14:paraId="38EC7EF0"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lastRenderedPageBreak/>
              <w:t>Liabilities</w:t>
            </w:r>
          </w:p>
          <w:p w14:paraId="63CE7FB9"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Current Liabilities </w:t>
            </w:r>
          </w:p>
        </w:tc>
        <w:tc>
          <w:tcPr>
            <w:tcW w:w="2369" w:type="dxa"/>
            <w:shd w:val="clear" w:color="auto" w:fill="auto"/>
            <w:noWrap/>
            <w:vAlign w:val="bottom"/>
          </w:tcPr>
          <w:p w14:paraId="0406C170" w14:textId="77777777" w:rsidR="00AE6B71" w:rsidRPr="00AE6B71" w:rsidRDefault="00AE6B71" w:rsidP="00AE6B71">
            <w:pPr>
              <w:spacing w:after="0" w:line="480" w:lineRule="auto"/>
              <w:jc w:val="both"/>
              <w:rPr>
                <w:rFonts w:ascii="Arial" w:eastAsia="Times New Roman" w:hAnsi="Arial" w:cs="Arial"/>
                <w:color w:val="000000"/>
                <w14:ligatures w14:val="none"/>
              </w:rPr>
            </w:pPr>
          </w:p>
        </w:tc>
      </w:tr>
      <w:tr w:rsidR="00AE6B71" w:rsidRPr="00AE6B71" w14:paraId="740DA294" w14:textId="77777777" w:rsidTr="00D516D4">
        <w:trPr>
          <w:trHeight w:val="315"/>
          <w:jc w:val="center"/>
        </w:trPr>
        <w:tc>
          <w:tcPr>
            <w:tcW w:w="7270" w:type="dxa"/>
            <w:gridSpan w:val="2"/>
            <w:shd w:val="clear" w:color="auto" w:fill="auto"/>
            <w:noWrap/>
            <w:vAlign w:val="bottom"/>
          </w:tcPr>
          <w:p w14:paraId="7C4337AC"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Preference dividend due (Accrual)</w:t>
            </w:r>
          </w:p>
        </w:tc>
        <w:tc>
          <w:tcPr>
            <w:tcW w:w="2369" w:type="dxa"/>
            <w:shd w:val="clear" w:color="auto" w:fill="auto"/>
            <w:noWrap/>
            <w:vAlign w:val="bottom"/>
          </w:tcPr>
          <w:p w14:paraId="39BBC8A8"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20,000</w:t>
            </w:r>
          </w:p>
        </w:tc>
      </w:tr>
      <w:tr w:rsidR="00AE6B71" w:rsidRPr="00AE6B71" w14:paraId="43FF3C71" w14:textId="77777777" w:rsidTr="00D516D4">
        <w:trPr>
          <w:trHeight w:val="330"/>
          <w:jc w:val="center"/>
        </w:trPr>
        <w:tc>
          <w:tcPr>
            <w:tcW w:w="7270" w:type="dxa"/>
            <w:gridSpan w:val="2"/>
            <w:shd w:val="clear" w:color="auto" w:fill="auto"/>
            <w:noWrap/>
            <w:vAlign w:val="bottom"/>
          </w:tcPr>
          <w:p w14:paraId="4A2307E5"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Interest due (Accrual)</w:t>
            </w:r>
          </w:p>
        </w:tc>
        <w:tc>
          <w:tcPr>
            <w:tcW w:w="2369" w:type="dxa"/>
            <w:shd w:val="clear" w:color="auto" w:fill="auto"/>
            <w:noWrap/>
            <w:vAlign w:val="bottom"/>
          </w:tcPr>
          <w:p w14:paraId="3CF2A70C"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2,000</w:t>
            </w:r>
          </w:p>
        </w:tc>
      </w:tr>
      <w:tr w:rsidR="00AE6B71" w:rsidRPr="00AE6B71" w14:paraId="610FE16E" w14:textId="77777777" w:rsidTr="00D516D4">
        <w:trPr>
          <w:trHeight w:val="330"/>
          <w:jc w:val="center"/>
        </w:trPr>
        <w:tc>
          <w:tcPr>
            <w:tcW w:w="7270" w:type="dxa"/>
            <w:gridSpan w:val="2"/>
            <w:shd w:val="clear" w:color="auto" w:fill="auto"/>
            <w:noWrap/>
            <w:vAlign w:val="bottom"/>
            <w:hideMark/>
          </w:tcPr>
          <w:p w14:paraId="31BEA706"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Accounts payable</w:t>
            </w:r>
          </w:p>
        </w:tc>
        <w:tc>
          <w:tcPr>
            <w:tcW w:w="2369" w:type="dxa"/>
            <w:shd w:val="clear" w:color="auto" w:fill="auto"/>
            <w:noWrap/>
            <w:vAlign w:val="bottom"/>
            <w:hideMark/>
          </w:tcPr>
          <w:p w14:paraId="7A1A6133"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188,625</w:t>
            </w:r>
          </w:p>
        </w:tc>
      </w:tr>
      <w:tr w:rsidR="00AE6B71" w:rsidRPr="00AE6B71" w14:paraId="560CE555" w14:textId="77777777" w:rsidTr="00D516D4">
        <w:trPr>
          <w:trHeight w:val="330"/>
          <w:jc w:val="center"/>
        </w:trPr>
        <w:tc>
          <w:tcPr>
            <w:tcW w:w="7270" w:type="dxa"/>
            <w:gridSpan w:val="2"/>
            <w:shd w:val="clear" w:color="auto" w:fill="auto"/>
            <w:noWrap/>
            <w:vAlign w:val="bottom"/>
            <w:hideMark/>
          </w:tcPr>
          <w:p w14:paraId="39481533"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Tax payable</w:t>
            </w:r>
          </w:p>
        </w:tc>
        <w:tc>
          <w:tcPr>
            <w:tcW w:w="2369" w:type="dxa"/>
            <w:shd w:val="clear" w:color="auto" w:fill="auto"/>
            <w:noWrap/>
            <w:vAlign w:val="bottom"/>
            <w:hideMark/>
          </w:tcPr>
          <w:p w14:paraId="1D621002"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100,000</w:t>
            </w:r>
          </w:p>
        </w:tc>
      </w:tr>
      <w:tr w:rsidR="00AE6B71" w:rsidRPr="00AE6B71" w14:paraId="340245CC" w14:textId="77777777" w:rsidTr="00D516D4">
        <w:trPr>
          <w:trHeight w:val="330"/>
          <w:jc w:val="center"/>
        </w:trPr>
        <w:tc>
          <w:tcPr>
            <w:tcW w:w="7270" w:type="dxa"/>
            <w:gridSpan w:val="2"/>
            <w:shd w:val="clear" w:color="auto" w:fill="auto"/>
            <w:noWrap/>
            <w:vAlign w:val="bottom"/>
          </w:tcPr>
          <w:p w14:paraId="47C6C818"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Salesman commission (Accrual)</w:t>
            </w:r>
          </w:p>
        </w:tc>
        <w:tc>
          <w:tcPr>
            <w:tcW w:w="2369" w:type="dxa"/>
            <w:shd w:val="clear" w:color="auto" w:fill="auto"/>
            <w:noWrap/>
            <w:vAlign w:val="bottom"/>
          </w:tcPr>
          <w:p w14:paraId="2FF70EDF"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3,000</w:t>
            </w:r>
          </w:p>
        </w:tc>
      </w:tr>
      <w:tr w:rsidR="00AE6B71" w:rsidRPr="00AE6B71" w14:paraId="2C1D48E2" w14:textId="77777777" w:rsidTr="00D516D4">
        <w:trPr>
          <w:trHeight w:val="330"/>
          <w:jc w:val="center"/>
        </w:trPr>
        <w:tc>
          <w:tcPr>
            <w:tcW w:w="7270" w:type="dxa"/>
            <w:gridSpan w:val="2"/>
            <w:shd w:val="clear" w:color="auto" w:fill="auto"/>
            <w:noWrap/>
            <w:vAlign w:val="bottom"/>
          </w:tcPr>
          <w:p w14:paraId="563C7335"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 xml:space="preserve">Total Current Liabilities </w:t>
            </w:r>
          </w:p>
        </w:tc>
        <w:tc>
          <w:tcPr>
            <w:tcW w:w="2369" w:type="dxa"/>
            <w:shd w:val="clear" w:color="auto" w:fill="auto"/>
            <w:noWrap/>
            <w:vAlign w:val="bottom"/>
          </w:tcPr>
          <w:p w14:paraId="681C98C2" w14:textId="77777777" w:rsidR="00AE6B71" w:rsidRPr="00AE6B71" w:rsidRDefault="00AE6B71" w:rsidP="00AE6B71">
            <w:pPr>
              <w:spacing w:after="0" w:line="480" w:lineRule="auto"/>
              <w:jc w:val="right"/>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313,625</w:t>
            </w:r>
          </w:p>
        </w:tc>
      </w:tr>
      <w:tr w:rsidR="00AE6B71" w:rsidRPr="00AE6B71" w14:paraId="4AF8F7C4" w14:textId="77777777" w:rsidTr="00FD5B3D">
        <w:trPr>
          <w:trHeight w:val="68"/>
          <w:jc w:val="center"/>
        </w:trPr>
        <w:tc>
          <w:tcPr>
            <w:tcW w:w="7270" w:type="dxa"/>
            <w:gridSpan w:val="2"/>
            <w:shd w:val="clear" w:color="auto" w:fill="auto"/>
            <w:noWrap/>
            <w:vAlign w:val="bottom"/>
            <w:hideMark/>
          </w:tcPr>
          <w:p w14:paraId="7A81C9FC"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Non-Current Liabilities</w:t>
            </w:r>
          </w:p>
          <w:p w14:paraId="602EB81D" w14:textId="77777777" w:rsidR="00AE6B71" w:rsidRPr="00AE6B71" w:rsidRDefault="00AE6B71" w:rsidP="00AE6B71">
            <w:pPr>
              <w:spacing w:after="0" w:line="480" w:lineRule="auto"/>
              <w:jc w:val="both"/>
              <w:rPr>
                <w:rFonts w:ascii="Arial" w:eastAsia="Times New Roman" w:hAnsi="Arial" w:cs="Arial"/>
                <w:b/>
                <w:bCs/>
                <w:color w:val="000000"/>
                <w14:ligatures w14:val="none"/>
              </w:rPr>
            </w:pPr>
          </w:p>
        </w:tc>
        <w:tc>
          <w:tcPr>
            <w:tcW w:w="2369" w:type="dxa"/>
            <w:shd w:val="clear" w:color="auto" w:fill="auto"/>
            <w:noWrap/>
            <w:vAlign w:val="bottom"/>
            <w:hideMark/>
          </w:tcPr>
          <w:p w14:paraId="7B5A1C34"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 </w:t>
            </w:r>
          </w:p>
        </w:tc>
      </w:tr>
      <w:tr w:rsidR="00AE6B71" w:rsidRPr="00AE6B71" w14:paraId="348BA0E5" w14:textId="77777777" w:rsidTr="00D516D4">
        <w:trPr>
          <w:trHeight w:val="345"/>
          <w:jc w:val="center"/>
        </w:trPr>
        <w:tc>
          <w:tcPr>
            <w:tcW w:w="7270" w:type="dxa"/>
            <w:gridSpan w:val="2"/>
            <w:shd w:val="clear" w:color="auto" w:fill="auto"/>
            <w:noWrap/>
            <w:vAlign w:val="bottom"/>
            <w:hideMark/>
          </w:tcPr>
          <w:p w14:paraId="4C46043A" w14:textId="77777777" w:rsidR="00AE6B71" w:rsidRPr="00AE6B71" w:rsidRDefault="00AE6B71" w:rsidP="00AE6B71">
            <w:pPr>
              <w:spacing w:after="0" w:line="480" w:lineRule="auto"/>
              <w:jc w:val="both"/>
              <w:rPr>
                <w:rFonts w:ascii="Arial" w:eastAsia="Times New Roman" w:hAnsi="Arial" w:cs="Arial"/>
                <w:color w:val="000000"/>
                <w14:ligatures w14:val="none"/>
              </w:rPr>
            </w:pPr>
            <w:r w:rsidRPr="00AE6B71">
              <w:rPr>
                <w:rFonts w:ascii="Arial" w:eastAsia="Times New Roman" w:hAnsi="Arial" w:cs="Arial"/>
                <w:color w:val="000000"/>
                <w14:ligatures w14:val="none"/>
              </w:rPr>
              <w:t>2% Debentures</w:t>
            </w:r>
          </w:p>
        </w:tc>
        <w:tc>
          <w:tcPr>
            <w:tcW w:w="2369" w:type="dxa"/>
            <w:shd w:val="clear" w:color="auto" w:fill="auto"/>
            <w:noWrap/>
            <w:vAlign w:val="bottom"/>
            <w:hideMark/>
          </w:tcPr>
          <w:p w14:paraId="351CFFBC" w14:textId="77777777" w:rsidR="00AE6B71" w:rsidRPr="00AE6B71" w:rsidRDefault="00AE6B71" w:rsidP="00AE6B71">
            <w:pPr>
              <w:spacing w:after="0" w:line="480" w:lineRule="auto"/>
              <w:jc w:val="center"/>
              <w:rPr>
                <w:rFonts w:ascii="Arial" w:eastAsia="Times New Roman" w:hAnsi="Arial" w:cs="Arial"/>
                <w:color w:val="000000"/>
                <w14:ligatures w14:val="none"/>
              </w:rPr>
            </w:pPr>
            <w:r w:rsidRPr="00AE6B71">
              <w:rPr>
                <w:rFonts w:ascii="Arial" w:eastAsia="Times New Roman" w:hAnsi="Arial" w:cs="Arial"/>
                <w:color w:val="000000"/>
                <w14:ligatures w14:val="none"/>
              </w:rPr>
              <w:t>200,000</w:t>
            </w:r>
          </w:p>
        </w:tc>
      </w:tr>
      <w:tr w:rsidR="00AE6B71" w:rsidRPr="00AE6B71" w14:paraId="1A196B0F" w14:textId="77777777" w:rsidTr="00D516D4">
        <w:trPr>
          <w:trHeight w:val="315"/>
          <w:jc w:val="center"/>
        </w:trPr>
        <w:tc>
          <w:tcPr>
            <w:tcW w:w="7270" w:type="dxa"/>
            <w:gridSpan w:val="2"/>
            <w:tcBorders>
              <w:bottom w:val="single" w:sz="4" w:space="0" w:color="auto"/>
            </w:tcBorders>
            <w:shd w:val="clear" w:color="auto" w:fill="auto"/>
            <w:noWrap/>
            <w:vAlign w:val="bottom"/>
            <w:hideMark/>
          </w:tcPr>
          <w:p w14:paraId="6BA8439C"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Total Liabilities</w:t>
            </w:r>
          </w:p>
        </w:tc>
        <w:tc>
          <w:tcPr>
            <w:tcW w:w="2369" w:type="dxa"/>
            <w:tcBorders>
              <w:bottom w:val="single" w:sz="4" w:space="0" w:color="auto"/>
            </w:tcBorders>
            <w:shd w:val="clear" w:color="auto" w:fill="auto"/>
            <w:noWrap/>
            <w:vAlign w:val="bottom"/>
            <w:hideMark/>
          </w:tcPr>
          <w:p w14:paraId="3136B062" w14:textId="77777777" w:rsidR="00AE6B71" w:rsidRPr="00AE6B71" w:rsidRDefault="00AE6B71" w:rsidP="00AE6B71">
            <w:pPr>
              <w:spacing w:after="0" w:line="480" w:lineRule="auto"/>
              <w:jc w:val="right"/>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513,625</w:t>
            </w:r>
          </w:p>
        </w:tc>
      </w:tr>
      <w:tr w:rsidR="00AE6B71" w:rsidRPr="00AE6B71" w14:paraId="2A73BBE1" w14:textId="77777777" w:rsidTr="00D516D4">
        <w:trPr>
          <w:trHeight w:val="330"/>
          <w:jc w:val="center"/>
        </w:trPr>
        <w:tc>
          <w:tcPr>
            <w:tcW w:w="7270" w:type="dxa"/>
            <w:gridSpan w:val="2"/>
            <w:tcBorders>
              <w:top w:val="single" w:sz="4" w:space="0" w:color="auto"/>
              <w:bottom w:val="single" w:sz="4" w:space="0" w:color="auto"/>
            </w:tcBorders>
            <w:shd w:val="clear" w:color="auto" w:fill="auto"/>
            <w:noWrap/>
            <w:vAlign w:val="bottom"/>
            <w:hideMark/>
          </w:tcPr>
          <w:p w14:paraId="5C2CCE8D" w14:textId="77777777" w:rsidR="00AE6B71" w:rsidRPr="00AE6B71" w:rsidRDefault="00AE6B71" w:rsidP="00AE6B71">
            <w:pPr>
              <w:spacing w:after="0" w:line="480" w:lineRule="auto"/>
              <w:jc w:val="both"/>
              <w:rPr>
                <w:rFonts w:ascii="Arial" w:eastAsia="Times New Roman" w:hAnsi="Arial" w:cs="Arial"/>
                <w:b/>
                <w:bCs/>
                <w:color w:val="000000"/>
                <w14:ligatures w14:val="none"/>
              </w:rPr>
            </w:pPr>
            <w:r w:rsidRPr="00AE6B71">
              <w:rPr>
                <w:rFonts w:ascii="Arial" w:eastAsia="Times New Roman" w:hAnsi="Arial" w:cs="Arial"/>
                <w:b/>
                <w:bCs/>
                <w:color w:val="000000"/>
                <w14:ligatures w14:val="none"/>
              </w:rPr>
              <w:t>Total Liabilities and Equity</w:t>
            </w:r>
          </w:p>
        </w:tc>
        <w:tc>
          <w:tcPr>
            <w:tcW w:w="2369" w:type="dxa"/>
            <w:tcBorders>
              <w:top w:val="single" w:sz="4" w:space="0" w:color="auto"/>
              <w:bottom w:val="single" w:sz="4" w:space="0" w:color="auto"/>
            </w:tcBorders>
            <w:shd w:val="clear" w:color="auto" w:fill="auto"/>
            <w:noWrap/>
            <w:vAlign w:val="bottom"/>
            <w:hideMark/>
          </w:tcPr>
          <w:p w14:paraId="3DFCE897" w14:textId="77777777" w:rsidR="00AE6B71" w:rsidRPr="00AE6B71" w:rsidRDefault="00AE6B71" w:rsidP="00AE6B71">
            <w:pPr>
              <w:spacing w:after="0" w:line="480" w:lineRule="auto"/>
              <w:jc w:val="right"/>
              <w:rPr>
                <w:rFonts w:ascii="Arial" w:eastAsia="Times New Roman" w:hAnsi="Arial" w:cs="Arial"/>
                <w:b/>
                <w:bCs/>
                <w:color w:val="000000"/>
                <w14:ligatures w14:val="none"/>
              </w:rPr>
            </w:pPr>
            <w:r w:rsidRPr="00AE6B71">
              <w:rPr>
                <w:rFonts w:ascii="Arial" w:hAnsi="Arial" w:cs="Arial"/>
                <w:b/>
                <w:bCs/>
                <w:kern w:val="2"/>
              </w:rPr>
              <w:t>2,027,955</w:t>
            </w:r>
          </w:p>
        </w:tc>
      </w:tr>
    </w:tbl>
    <w:p w14:paraId="34FB641B"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Notes: </w:t>
      </w:r>
    </w:p>
    <w:p w14:paraId="2B3C3095"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Accruals Income: Goods 980 £</w:t>
      </w:r>
    </w:p>
    <w:p w14:paraId="3F2096A0"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Accruals Expenses: Interest 2,000 £; Preference dividend 20,000 £</w:t>
      </w:r>
    </w:p>
    <w:p w14:paraId="603F5170" w14:textId="77777777" w:rsidR="00AE6B71" w:rsidRPr="00AE6B71" w:rsidRDefault="00AE6B71" w:rsidP="00AE6B71">
      <w:pPr>
        <w:pBdr>
          <w:bottom w:val="single" w:sz="4" w:space="1" w:color="auto"/>
        </w:pBdr>
        <w:spacing w:line="360" w:lineRule="auto"/>
        <w:jc w:val="both"/>
        <w:rPr>
          <w:rFonts w:ascii="Arial" w:hAnsi="Arial" w:cs="Arial"/>
          <w:kern w:val="2"/>
        </w:rPr>
      </w:pPr>
      <w:r w:rsidRPr="00AE6B71">
        <w:rPr>
          <w:rFonts w:ascii="Arial" w:hAnsi="Arial" w:cs="Arial"/>
          <w:kern w:val="2"/>
        </w:rPr>
        <w:t>Salesman Commission 3,000£</w:t>
      </w:r>
    </w:p>
    <w:p w14:paraId="7824234E"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10% Preference shares 500,000 £ = 50,000 £ (30,000 £ paid + 20,000 £ due)</w:t>
      </w:r>
    </w:p>
    <w:p w14:paraId="1D6B5D93" w14:textId="77777777" w:rsidR="00AE6B71" w:rsidRPr="00AE6B71" w:rsidRDefault="00AE6B71" w:rsidP="00AE6B71">
      <w:pPr>
        <w:pBdr>
          <w:bottom w:val="single" w:sz="4" w:space="1" w:color="auto"/>
        </w:pBdr>
        <w:spacing w:line="360" w:lineRule="auto"/>
        <w:jc w:val="both"/>
        <w:rPr>
          <w:rFonts w:ascii="Arial" w:hAnsi="Arial" w:cs="Arial"/>
          <w:kern w:val="2"/>
        </w:rPr>
      </w:pPr>
      <w:r w:rsidRPr="00AE6B71">
        <w:rPr>
          <w:rFonts w:ascii="Arial" w:hAnsi="Arial" w:cs="Arial"/>
          <w:kern w:val="2"/>
        </w:rPr>
        <w:t>2% Debentures 200,000 £ = 4,000 £ Interest (2,000 £ paid + 2,000 £ due)</w:t>
      </w:r>
    </w:p>
    <w:p w14:paraId="3AF19C28"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Retain profit on 1</w:t>
      </w:r>
      <w:r w:rsidRPr="00AE6B71">
        <w:rPr>
          <w:rFonts w:ascii="Arial" w:hAnsi="Arial" w:cs="Arial"/>
          <w:kern w:val="2"/>
          <w:vertAlign w:val="superscript"/>
        </w:rPr>
        <w:t>st</w:t>
      </w:r>
      <w:r w:rsidRPr="00AE6B71">
        <w:rPr>
          <w:rFonts w:ascii="Arial" w:hAnsi="Arial" w:cs="Arial"/>
          <w:kern w:val="2"/>
        </w:rPr>
        <w:t xml:space="preserve"> January 2022 132,000 £</w:t>
      </w:r>
    </w:p>
    <w:p w14:paraId="62007682"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Dividends paid:</w:t>
      </w:r>
    </w:p>
    <w:p w14:paraId="46CF3A1C"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Ordinary - 20,000 £</w:t>
      </w:r>
    </w:p>
    <w:p w14:paraId="16F518B2"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Preference - 30,000 £</w:t>
      </w:r>
    </w:p>
    <w:p w14:paraId="53C113F1"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Dividends due - 20,000 £</w:t>
      </w:r>
    </w:p>
    <w:p w14:paraId="3126F5FE" w14:textId="77777777" w:rsidR="00AE6B71" w:rsidRPr="00AE6B71" w:rsidRDefault="00AE6B71" w:rsidP="00AE6B71">
      <w:pPr>
        <w:pBdr>
          <w:bottom w:val="single" w:sz="4" w:space="1" w:color="auto"/>
        </w:pBdr>
        <w:spacing w:line="360" w:lineRule="auto"/>
        <w:jc w:val="both"/>
        <w:rPr>
          <w:rFonts w:ascii="Arial" w:hAnsi="Arial" w:cs="Arial"/>
          <w:kern w:val="2"/>
        </w:rPr>
      </w:pPr>
      <w:r w:rsidRPr="00AE6B71">
        <w:rPr>
          <w:rFonts w:ascii="Arial" w:hAnsi="Arial" w:cs="Arial"/>
          <w:kern w:val="2"/>
        </w:rPr>
        <w:t>Profit for the year 52,330 £</w:t>
      </w:r>
    </w:p>
    <w:p w14:paraId="43AA5CA4" w14:textId="32A0FABD" w:rsidR="00AE6B71" w:rsidRPr="00AE6B71" w:rsidRDefault="00AE6B71" w:rsidP="00AE6B71">
      <w:pPr>
        <w:spacing w:line="360" w:lineRule="auto"/>
        <w:jc w:val="both"/>
        <w:rPr>
          <w:rFonts w:ascii="Arial" w:hAnsi="Arial" w:cs="Arial"/>
          <w:kern w:val="2"/>
        </w:rPr>
      </w:pPr>
      <w:r w:rsidRPr="00AE6B71">
        <w:rPr>
          <w:rFonts w:ascii="Arial" w:hAnsi="Arial" w:cs="Arial"/>
          <w:kern w:val="2"/>
        </w:rPr>
        <w:t>Retain earnings 114,330 £</w:t>
      </w:r>
      <w:bookmarkStart w:id="2" w:name="_Toc139970247"/>
    </w:p>
    <w:p w14:paraId="30C948F3" w14:textId="7CCC461A" w:rsidR="00AE6B71" w:rsidRPr="00AE6B71" w:rsidRDefault="00AE6B71" w:rsidP="00AE6B71">
      <w:pPr>
        <w:spacing w:line="360" w:lineRule="auto"/>
        <w:jc w:val="both"/>
        <w:rPr>
          <w:rFonts w:ascii="Arial" w:hAnsi="Arial" w:cs="Arial"/>
          <w:kern w:val="2"/>
        </w:rPr>
      </w:pPr>
      <w:r w:rsidRPr="00AE6B71">
        <w:rPr>
          <w:rFonts w:ascii="Arial" w:hAnsi="Arial" w:cs="Arial"/>
          <w:b/>
          <w:kern w:val="2"/>
        </w:rPr>
        <w:lastRenderedPageBreak/>
        <w:t>1.b) Why does the financial position balance?</w:t>
      </w:r>
      <w:bookmarkEnd w:id="2"/>
    </w:p>
    <w:p w14:paraId="3500636D" w14:textId="6C269A68" w:rsidR="00AE6B71" w:rsidRPr="00AE6B71" w:rsidRDefault="00AE6B71" w:rsidP="00AE6B71">
      <w:pPr>
        <w:spacing w:line="360" w:lineRule="auto"/>
        <w:jc w:val="both"/>
        <w:rPr>
          <w:rFonts w:ascii="Arial" w:hAnsi="Arial" w:cs="Arial"/>
          <w:kern w:val="2"/>
        </w:rPr>
      </w:pPr>
      <w:r w:rsidRPr="00AE6B71">
        <w:rPr>
          <w:rFonts w:ascii="Arial" w:hAnsi="Arial" w:cs="Arial"/>
          <w:kern w:val="2"/>
        </w:rPr>
        <w:t>A company</w:t>
      </w:r>
      <w:r w:rsidR="00FD5B3D">
        <w:rPr>
          <w:rFonts w:ascii="Arial" w:hAnsi="Arial" w:cs="Arial"/>
          <w:kern w:val="2"/>
        </w:rPr>
        <w:t>’</w:t>
      </w:r>
      <w:r w:rsidRPr="00AE6B71">
        <w:rPr>
          <w:rFonts w:ascii="Arial" w:hAnsi="Arial" w:cs="Arial"/>
          <w:kern w:val="2"/>
        </w:rPr>
        <w:t xml:space="preserve">s financial position represents the current condition of its assets and liabilities whereas the income statement shows the performance on a particular period of an </w:t>
      </w:r>
      <w:r w:rsidR="00FD5B3D" w:rsidRPr="00AE6B71">
        <w:rPr>
          <w:rFonts w:ascii="Arial" w:hAnsi="Arial" w:cs="Arial"/>
          <w:kern w:val="2"/>
        </w:rPr>
        <w:t xml:space="preserve">entity </w:t>
      </w:r>
      <w:r w:rsidR="00FD5B3D">
        <w:rPr>
          <w:rFonts w:ascii="Arial" w:hAnsi="Arial" w:cs="Arial"/>
          <w:kern w:val="2"/>
        </w:rPr>
        <w:t>(</w:t>
      </w:r>
      <w:r w:rsidRPr="00AE6B71">
        <w:rPr>
          <w:rFonts w:ascii="Arial" w:hAnsi="Arial" w:cs="Arial"/>
          <w:kern w:val="2"/>
        </w:rPr>
        <w:t>E</w:t>
      </w:r>
      <w:r w:rsidR="00FD5B3D">
        <w:rPr>
          <w:rFonts w:ascii="Arial" w:hAnsi="Arial" w:cs="Arial"/>
          <w:kern w:val="2"/>
        </w:rPr>
        <w:t>isen</w:t>
      </w:r>
      <w:r w:rsidRPr="00AE6B71">
        <w:rPr>
          <w:rFonts w:ascii="Arial" w:hAnsi="Arial" w:cs="Arial"/>
          <w:kern w:val="2"/>
        </w:rPr>
        <w:t>, 201</w:t>
      </w:r>
      <w:r w:rsidR="006E4F03">
        <w:rPr>
          <w:rFonts w:ascii="Arial" w:hAnsi="Arial" w:cs="Arial"/>
          <w:kern w:val="2"/>
        </w:rPr>
        <w:t>3</w:t>
      </w:r>
      <w:r w:rsidRPr="00AE6B71">
        <w:rPr>
          <w:rFonts w:ascii="Arial" w:hAnsi="Arial" w:cs="Arial"/>
          <w:kern w:val="2"/>
        </w:rPr>
        <w:t>). The users of financial statements are the company’s various stakeholders, but the main consumers are the shareholders who are the actual owners of the organization (Jones, 2013). The basic principle of accounting is that every transaction must have the same and opposite impact on the accounting equation (Elliott and Elliott, 2019). The basic principle of accounting transactions is:</w:t>
      </w:r>
    </w:p>
    <w:p w14:paraId="6AF31B92" w14:textId="679E02CB"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Assets (A)=Liabilities (L)+ </w:t>
      </w:r>
      <w:r w:rsidR="00FD5B3D">
        <w:rPr>
          <w:rFonts w:ascii="Arial" w:hAnsi="Arial" w:cs="Arial"/>
          <w:kern w:val="2"/>
        </w:rPr>
        <w:t>Equity</w:t>
      </w:r>
      <w:r w:rsidRPr="00AE6B71">
        <w:rPr>
          <w:rFonts w:ascii="Arial" w:hAnsi="Arial" w:cs="Arial"/>
          <w:kern w:val="2"/>
        </w:rPr>
        <w:t xml:space="preserve"> (</w:t>
      </w:r>
      <w:r w:rsidR="00FD5B3D">
        <w:rPr>
          <w:rFonts w:ascii="Arial" w:hAnsi="Arial" w:cs="Arial"/>
          <w:kern w:val="2"/>
        </w:rPr>
        <w:t>E</w:t>
      </w:r>
      <w:r w:rsidRPr="00AE6B71">
        <w:rPr>
          <w:rFonts w:ascii="Arial" w:hAnsi="Arial" w:cs="Arial"/>
          <w:kern w:val="2"/>
        </w:rPr>
        <w:t>)</w:t>
      </w:r>
    </w:p>
    <w:p w14:paraId="0B759B1D" w14:textId="455AB1AE" w:rsidR="00AE6B71" w:rsidRPr="00AE6B71" w:rsidRDefault="00AE6B71" w:rsidP="00AE6B71">
      <w:pPr>
        <w:spacing w:line="360" w:lineRule="auto"/>
        <w:jc w:val="both"/>
        <w:rPr>
          <w:rFonts w:ascii="Arial" w:hAnsi="Arial" w:cs="Arial"/>
          <w:kern w:val="2"/>
        </w:rPr>
      </w:pPr>
      <w:r w:rsidRPr="00AE6B71">
        <w:rPr>
          <w:rFonts w:ascii="Arial" w:hAnsi="Arial" w:cs="Arial"/>
          <w:kern w:val="2"/>
        </w:rPr>
        <w:t>The above equality constitutes that an organization’s assets must be equal to its total liability and owner’s equity. Assets are called economic resources that have value and are directly controlled by an entity. Before classifying assets, it must meet the criteria of assets. It is probable that future economic benefits associated with the assets will flow to the entity and the costs could be reliably measured. The right side of the equation measures the accumulated figure of total assets including both current and non-current assets (E</w:t>
      </w:r>
      <w:r w:rsidR="00FD5B3D">
        <w:rPr>
          <w:rFonts w:ascii="Arial" w:hAnsi="Arial" w:cs="Arial"/>
          <w:kern w:val="2"/>
        </w:rPr>
        <w:t>isen</w:t>
      </w:r>
      <w:r w:rsidRPr="00AE6B71">
        <w:rPr>
          <w:rFonts w:ascii="Arial" w:hAnsi="Arial" w:cs="Arial"/>
          <w:kern w:val="2"/>
        </w:rPr>
        <w:t>, 201</w:t>
      </w:r>
      <w:r w:rsidR="006E4F03">
        <w:rPr>
          <w:rFonts w:ascii="Arial" w:hAnsi="Arial" w:cs="Arial"/>
          <w:kern w:val="2"/>
        </w:rPr>
        <w:t>3</w:t>
      </w:r>
      <w:r w:rsidRPr="00AE6B71">
        <w:rPr>
          <w:rFonts w:ascii="Arial" w:hAnsi="Arial" w:cs="Arial"/>
          <w:kern w:val="2"/>
        </w:rPr>
        <w:t>). The non-current assets may consist of tangible and Intangible whereas the right side of the equation shows the liability of the business entity. On the other hand, the right side of the equation depicts total liability and capital. Capital may consist of investments made at the beginning of the business and retained profit made by business operations and any other cash comes from shareholders. Non-current liability may have different classifications for example, long-term finance, debenture, and preference share are treated as long-term liability of business (E</w:t>
      </w:r>
      <w:r w:rsidR="00FD5B3D">
        <w:rPr>
          <w:rFonts w:ascii="Arial" w:hAnsi="Arial" w:cs="Arial"/>
          <w:kern w:val="2"/>
        </w:rPr>
        <w:t>isen</w:t>
      </w:r>
      <w:r w:rsidRPr="00AE6B71">
        <w:rPr>
          <w:rFonts w:ascii="Arial" w:hAnsi="Arial" w:cs="Arial"/>
          <w:kern w:val="2"/>
        </w:rPr>
        <w:t>, 201</w:t>
      </w:r>
      <w:r w:rsidR="006E4F03">
        <w:rPr>
          <w:rFonts w:ascii="Arial" w:hAnsi="Arial" w:cs="Arial"/>
          <w:kern w:val="2"/>
        </w:rPr>
        <w:t>3</w:t>
      </w:r>
      <w:r w:rsidRPr="00AE6B71">
        <w:rPr>
          <w:rFonts w:ascii="Arial" w:hAnsi="Arial" w:cs="Arial"/>
          <w:kern w:val="2"/>
        </w:rPr>
        <w:t>). Although, In Wales Plc. Preference shares are recognized as shareholders’ equity as it purely depends on the nature and conditions of the preference share.</w:t>
      </w:r>
    </w:p>
    <w:p w14:paraId="39CC70BE"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The basic principle of recording accounting transactions is making journal entries (Elliott and Elliott, 2019). For example, If Sweets Plc purchases an asset for business use purposes it would increase the value of total assets at the same time liability of the same amount will arise. Therefore, the total value of assets and liability will be the same. </w:t>
      </w:r>
    </w:p>
    <w:p w14:paraId="730DEE41"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The balance sheet’s purpose is to provide a clear overview of a company’s financial health, liquidity, and solvency (Jones, 2013). It helps users such as investors, creditors, and management to assess the company’s ability to its financial obligations and also to evaluate financial stability. By presenting the balance between assets and liabilities and the shareholder’s equity, the statement of financial position offers crucial information about a company’s </w:t>
      </w:r>
      <w:r w:rsidRPr="00AE6B71">
        <w:rPr>
          <w:rFonts w:ascii="Arial" w:hAnsi="Arial" w:cs="Arial"/>
          <w:kern w:val="2"/>
        </w:rPr>
        <w:lastRenderedPageBreak/>
        <w:t>resources, debts, and ownership claim allowing stakeholders to understand its financial position and make informed decisions regarding its financial performance and position.</w:t>
      </w:r>
    </w:p>
    <w:p w14:paraId="787A2D85" w14:textId="02A57E08" w:rsidR="00AE6B71" w:rsidRPr="00AE6B71" w:rsidRDefault="00AE6B71" w:rsidP="00AE6B71">
      <w:pPr>
        <w:spacing w:line="360" w:lineRule="auto"/>
        <w:jc w:val="both"/>
        <w:rPr>
          <w:rFonts w:ascii="Arial" w:hAnsi="Arial" w:cs="Arial"/>
          <w:kern w:val="2"/>
        </w:rPr>
      </w:pPr>
      <w:r w:rsidRPr="00AE6B71">
        <w:rPr>
          <w:rFonts w:ascii="Arial" w:hAnsi="Arial" w:cs="Arial"/>
          <w:kern w:val="2"/>
        </w:rPr>
        <w:t>With this concept, an organization can easily understand whether there are any discrepancies in recording various transactions over the year and if found any difference then it is adjusted by the adjustment journal which is reflected in the revised trial balance (E</w:t>
      </w:r>
      <w:r w:rsidR="00FD5B3D">
        <w:rPr>
          <w:rFonts w:ascii="Arial" w:hAnsi="Arial" w:cs="Arial"/>
          <w:kern w:val="2"/>
        </w:rPr>
        <w:t>isen</w:t>
      </w:r>
      <w:r w:rsidRPr="00AE6B71">
        <w:rPr>
          <w:rFonts w:ascii="Arial" w:hAnsi="Arial" w:cs="Arial"/>
          <w:kern w:val="2"/>
        </w:rPr>
        <w:t>, 201</w:t>
      </w:r>
      <w:r w:rsidR="006E4F03">
        <w:rPr>
          <w:rFonts w:ascii="Arial" w:hAnsi="Arial" w:cs="Arial"/>
          <w:kern w:val="2"/>
        </w:rPr>
        <w:t>3</w:t>
      </w:r>
      <w:r w:rsidRPr="00AE6B71">
        <w:rPr>
          <w:rFonts w:ascii="Arial" w:hAnsi="Arial" w:cs="Arial"/>
          <w:kern w:val="2"/>
        </w:rPr>
        <w:t xml:space="preserve">). It gives transparency to management in reporting and identification of mistakes incurred by fraud or error. There are a number of reasons why financial transactions or information are imbalanced. One of these is one-side recording in which either Debit or Credit is recorded results a difference of the same amount and another is a different amount recorded on both sides. Thus, reconciling the trial balance, organization can make the balance equal of its financial position. </w:t>
      </w:r>
    </w:p>
    <w:p w14:paraId="0231358A" w14:textId="77777777" w:rsidR="00AE6B71" w:rsidRPr="00AE6B71" w:rsidRDefault="00AE6B71" w:rsidP="00AE6B71">
      <w:pPr>
        <w:spacing w:line="360" w:lineRule="auto"/>
        <w:jc w:val="both"/>
        <w:rPr>
          <w:rFonts w:ascii="Arial" w:hAnsi="Arial" w:cs="Arial"/>
          <w:kern w:val="2"/>
        </w:rPr>
      </w:pPr>
    </w:p>
    <w:p w14:paraId="34DFAA1A" w14:textId="77777777" w:rsidR="00AE6B71" w:rsidRPr="00AE6B71" w:rsidRDefault="00AE6B71" w:rsidP="00AE6B71">
      <w:pPr>
        <w:rPr>
          <w:rFonts w:ascii="Arial" w:hAnsi="Arial" w:cs="Arial"/>
          <w:b/>
          <w:bCs/>
          <w:kern w:val="2"/>
        </w:rPr>
      </w:pPr>
      <w:r w:rsidRPr="00AE6B71">
        <w:rPr>
          <w:rFonts w:ascii="Arial" w:hAnsi="Arial" w:cs="Arial"/>
          <w:kern w:val="2"/>
        </w:rPr>
        <w:br w:type="page"/>
      </w:r>
      <w:bookmarkStart w:id="3" w:name="_Toc139970248"/>
      <w:r w:rsidRPr="00AE6B71">
        <w:rPr>
          <w:rFonts w:ascii="Arial" w:hAnsi="Arial" w:cs="Arial"/>
          <w:b/>
          <w:bCs/>
          <w:kern w:val="2"/>
        </w:rPr>
        <w:lastRenderedPageBreak/>
        <w:t>Question 2:</w:t>
      </w:r>
      <w:bookmarkEnd w:id="3"/>
      <w:r w:rsidRPr="00AE6B71">
        <w:rPr>
          <w:rFonts w:ascii="Arial" w:hAnsi="Arial" w:cs="Arial"/>
          <w:b/>
          <w:bCs/>
          <w:kern w:val="2"/>
        </w:rPr>
        <w:t xml:space="preserve">  </w:t>
      </w:r>
    </w:p>
    <w:p w14:paraId="038D7F6B" w14:textId="77777777" w:rsidR="00AE6B71" w:rsidRPr="00AE6B71" w:rsidRDefault="00AE6B71" w:rsidP="00AE6B71">
      <w:pPr>
        <w:rPr>
          <w:rFonts w:ascii="Arial" w:hAnsi="Arial" w:cs="Arial"/>
          <w:b/>
          <w:bCs/>
          <w:kern w:val="2"/>
        </w:rPr>
      </w:pPr>
      <w:bookmarkStart w:id="4" w:name="_Toc139970249"/>
      <w:r w:rsidRPr="00AE6B71">
        <w:rPr>
          <w:rFonts w:ascii="Arial" w:hAnsi="Arial" w:cs="Arial"/>
          <w:b/>
          <w:bCs/>
          <w:kern w:val="2"/>
        </w:rPr>
        <w:t>2.a) Ratios calculation of Sweets Plc and comparison</w:t>
      </w:r>
      <w:bookmarkEnd w:id="4"/>
      <w:r w:rsidRPr="00AE6B71">
        <w:rPr>
          <w:rFonts w:ascii="Arial" w:hAnsi="Arial" w:cs="Arial"/>
          <w:b/>
          <w:bCs/>
          <w:kern w:val="2"/>
        </w:rPr>
        <w:t xml:space="preserve"> </w:t>
      </w:r>
    </w:p>
    <w:p w14:paraId="665DD96D" w14:textId="77777777" w:rsidR="00AE6B71" w:rsidRPr="00AE6B71" w:rsidRDefault="00AE6B71" w:rsidP="00AE6B71">
      <w:pPr>
        <w:spacing w:line="360" w:lineRule="auto"/>
        <w:jc w:val="both"/>
        <w:rPr>
          <w:rFonts w:ascii="Arial" w:hAnsi="Arial" w:cs="Arial"/>
          <w:kern w:val="2"/>
        </w:rPr>
      </w:pPr>
    </w:p>
    <w:tbl>
      <w:tblPr>
        <w:tblStyle w:val="GridTable5Dark-Accent6"/>
        <w:tblW w:w="10620" w:type="dxa"/>
        <w:jc w:val="center"/>
        <w:tblLayout w:type="fixed"/>
        <w:tblLook w:val="04A0" w:firstRow="1" w:lastRow="0" w:firstColumn="1" w:lastColumn="0" w:noHBand="0" w:noVBand="1"/>
      </w:tblPr>
      <w:tblGrid>
        <w:gridCol w:w="2070"/>
        <w:gridCol w:w="2430"/>
        <w:gridCol w:w="2160"/>
        <w:gridCol w:w="2070"/>
        <w:gridCol w:w="900"/>
        <w:gridCol w:w="990"/>
      </w:tblGrid>
      <w:tr w:rsidR="00AE6B71" w:rsidRPr="00AE6B71" w14:paraId="223870CB" w14:textId="77777777" w:rsidTr="00D516D4">
        <w:trPr>
          <w:cnfStyle w:val="100000000000" w:firstRow="1" w:lastRow="0" w:firstColumn="0" w:lastColumn="0" w:oddVBand="0" w:evenVBand="0" w:oddHBand="0" w:evenHBand="0" w:firstRowFirstColumn="0" w:firstRowLastColumn="0" w:lastRowFirstColumn="0" w:lastRowLastColumn="0"/>
          <w:trHeight w:val="215"/>
          <w:jc w:val="center"/>
        </w:trPr>
        <w:tc>
          <w:tcPr>
            <w:cnfStyle w:val="001000000000" w:firstRow="0" w:lastRow="0" w:firstColumn="1" w:lastColumn="0" w:oddVBand="0" w:evenVBand="0" w:oddHBand="0" w:evenHBand="0" w:firstRowFirstColumn="0" w:firstRowLastColumn="0" w:lastRowFirstColumn="0" w:lastRowLastColumn="0"/>
            <w:tcW w:w="2070" w:type="dxa"/>
            <w:vMerge w:val="restart"/>
          </w:tcPr>
          <w:p w14:paraId="396B1539"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Ratio</w:t>
            </w:r>
          </w:p>
        </w:tc>
        <w:tc>
          <w:tcPr>
            <w:tcW w:w="2430" w:type="dxa"/>
            <w:vMerge w:val="restart"/>
          </w:tcPr>
          <w:p w14:paraId="5C19F164" w14:textId="77777777" w:rsidR="00AE6B71" w:rsidRPr="00AE6B71" w:rsidRDefault="00AE6B71" w:rsidP="00AE6B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Formula</w:t>
            </w:r>
          </w:p>
        </w:tc>
        <w:tc>
          <w:tcPr>
            <w:tcW w:w="4230" w:type="dxa"/>
            <w:gridSpan w:val="2"/>
          </w:tcPr>
          <w:p w14:paraId="6A4E6051" w14:textId="77777777" w:rsidR="00AE6B71" w:rsidRPr="00AE6B71" w:rsidRDefault="00AE6B71" w:rsidP="00AE6B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Calculation</w:t>
            </w:r>
          </w:p>
        </w:tc>
        <w:tc>
          <w:tcPr>
            <w:tcW w:w="1890" w:type="dxa"/>
            <w:gridSpan w:val="2"/>
          </w:tcPr>
          <w:p w14:paraId="5BD1FF35" w14:textId="77777777" w:rsidR="00AE6B71" w:rsidRPr="00AE6B71" w:rsidRDefault="00AE6B71" w:rsidP="00AE6B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Results</w:t>
            </w:r>
          </w:p>
        </w:tc>
      </w:tr>
      <w:tr w:rsidR="00AE6B71" w:rsidRPr="00AE6B71" w14:paraId="7305587F" w14:textId="77777777" w:rsidTr="00D516D4">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2070" w:type="dxa"/>
            <w:vMerge/>
          </w:tcPr>
          <w:p w14:paraId="6A4BDBBC" w14:textId="77777777" w:rsidR="00AE6B71" w:rsidRPr="00AE6B71" w:rsidRDefault="00AE6B71" w:rsidP="00AE6B71">
            <w:pPr>
              <w:spacing w:line="360" w:lineRule="auto"/>
              <w:jc w:val="both"/>
              <w:rPr>
                <w:rFonts w:ascii="Arial" w:hAnsi="Arial" w:cs="Arial"/>
                <w:kern w:val="2"/>
              </w:rPr>
            </w:pPr>
          </w:p>
        </w:tc>
        <w:tc>
          <w:tcPr>
            <w:tcW w:w="2430" w:type="dxa"/>
            <w:vMerge/>
          </w:tcPr>
          <w:p w14:paraId="7B3999C7"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kern w:val="2"/>
              </w:rPr>
            </w:pPr>
          </w:p>
        </w:tc>
        <w:tc>
          <w:tcPr>
            <w:tcW w:w="2160" w:type="dxa"/>
          </w:tcPr>
          <w:p w14:paraId="6BCD695E"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kern w:val="2"/>
              </w:rPr>
            </w:pPr>
            <w:r w:rsidRPr="00AE6B71">
              <w:rPr>
                <w:rFonts w:ascii="Arial" w:hAnsi="Arial" w:cs="Arial"/>
                <w:b/>
                <w:bCs/>
                <w:kern w:val="2"/>
              </w:rPr>
              <w:t>2021</w:t>
            </w:r>
          </w:p>
        </w:tc>
        <w:tc>
          <w:tcPr>
            <w:tcW w:w="2070" w:type="dxa"/>
          </w:tcPr>
          <w:p w14:paraId="42502193"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kern w:val="2"/>
              </w:rPr>
            </w:pPr>
            <w:r w:rsidRPr="00AE6B71">
              <w:rPr>
                <w:rFonts w:ascii="Arial" w:hAnsi="Arial" w:cs="Arial"/>
                <w:b/>
                <w:bCs/>
                <w:kern w:val="2"/>
              </w:rPr>
              <w:t>2020</w:t>
            </w:r>
          </w:p>
        </w:tc>
        <w:tc>
          <w:tcPr>
            <w:tcW w:w="900" w:type="dxa"/>
          </w:tcPr>
          <w:p w14:paraId="1724E9EF"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kern w:val="2"/>
              </w:rPr>
            </w:pPr>
            <w:r w:rsidRPr="00AE6B71">
              <w:rPr>
                <w:rFonts w:ascii="Arial" w:hAnsi="Arial" w:cs="Arial"/>
                <w:b/>
                <w:bCs/>
                <w:kern w:val="2"/>
              </w:rPr>
              <w:t>2021</w:t>
            </w:r>
          </w:p>
        </w:tc>
        <w:tc>
          <w:tcPr>
            <w:tcW w:w="990" w:type="dxa"/>
          </w:tcPr>
          <w:p w14:paraId="7E2F2E04"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kern w:val="2"/>
              </w:rPr>
            </w:pPr>
            <w:r w:rsidRPr="00AE6B71">
              <w:rPr>
                <w:rFonts w:ascii="Arial" w:hAnsi="Arial" w:cs="Arial"/>
                <w:b/>
                <w:bCs/>
                <w:kern w:val="2"/>
              </w:rPr>
              <w:t>2020</w:t>
            </w:r>
          </w:p>
        </w:tc>
      </w:tr>
      <w:tr w:rsidR="00AE6B71" w:rsidRPr="00AE6B71" w14:paraId="49F8D62C" w14:textId="77777777" w:rsidTr="00D516D4">
        <w:trPr>
          <w:jc w:val="center"/>
        </w:trPr>
        <w:tc>
          <w:tcPr>
            <w:cnfStyle w:val="001000000000" w:firstRow="0" w:lastRow="0" w:firstColumn="1" w:lastColumn="0" w:oddVBand="0" w:evenVBand="0" w:oddHBand="0" w:evenHBand="0" w:firstRowFirstColumn="0" w:firstRowLastColumn="0" w:lastRowFirstColumn="0" w:lastRowLastColumn="0"/>
            <w:tcW w:w="2070" w:type="dxa"/>
          </w:tcPr>
          <w:p w14:paraId="2F20E285"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ROCE</w:t>
            </w:r>
          </w:p>
        </w:tc>
        <w:tc>
          <w:tcPr>
            <w:tcW w:w="2430" w:type="dxa"/>
          </w:tcPr>
          <w:p w14:paraId="1B9ECED4"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=Profit before interest /Capital employed</w:t>
            </w:r>
          </w:p>
        </w:tc>
        <w:tc>
          <w:tcPr>
            <w:tcW w:w="2160" w:type="dxa"/>
          </w:tcPr>
          <w:p w14:paraId="36714B92"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=805/</w:t>
            </w:r>
          </w:p>
          <w:p w14:paraId="336CEE7D"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 xml:space="preserve">  (3088+4137) *100</w:t>
            </w:r>
          </w:p>
        </w:tc>
        <w:tc>
          <w:tcPr>
            <w:tcW w:w="2070" w:type="dxa"/>
          </w:tcPr>
          <w:p w14:paraId="75061211"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=699/ (2912+4129) *100</w:t>
            </w:r>
          </w:p>
        </w:tc>
        <w:tc>
          <w:tcPr>
            <w:tcW w:w="900" w:type="dxa"/>
          </w:tcPr>
          <w:p w14:paraId="04EFFC28"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11.4%</w:t>
            </w:r>
          </w:p>
        </w:tc>
        <w:tc>
          <w:tcPr>
            <w:tcW w:w="990" w:type="dxa"/>
          </w:tcPr>
          <w:p w14:paraId="05A94641"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9.9%</w:t>
            </w:r>
          </w:p>
        </w:tc>
      </w:tr>
      <w:tr w:rsidR="00AE6B71" w:rsidRPr="00AE6B71" w14:paraId="0E693199" w14:textId="77777777" w:rsidTr="00D516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70" w:type="dxa"/>
          </w:tcPr>
          <w:p w14:paraId="6A3D366A"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ROE</w:t>
            </w:r>
          </w:p>
        </w:tc>
        <w:tc>
          <w:tcPr>
            <w:tcW w:w="2430" w:type="dxa"/>
          </w:tcPr>
          <w:p w14:paraId="495D77F1"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=Earnings/Equity</w:t>
            </w:r>
          </w:p>
        </w:tc>
        <w:tc>
          <w:tcPr>
            <w:tcW w:w="2160" w:type="dxa"/>
          </w:tcPr>
          <w:p w14:paraId="21CF46EC"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=431/3088*100</w:t>
            </w:r>
          </w:p>
        </w:tc>
        <w:tc>
          <w:tcPr>
            <w:tcW w:w="2070" w:type="dxa"/>
          </w:tcPr>
          <w:p w14:paraId="27E09491"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=366/2912*100</w:t>
            </w:r>
          </w:p>
        </w:tc>
        <w:tc>
          <w:tcPr>
            <w:tcW w:w="900" w:type="dxa"/>
          </w:tcPr>
          <w:p w14:paraId="6DB0476E"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13.9%</w:t>
            </w:r>
          </w:p>
        </w:tc>
        <w:tc>
          <w:tcPr>
            <w:tcW w:w="990" w:type="dxa"/>
          </w:tcPr>
          <w:p w14:paraId="1EB12F1D"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12.5%</w:t>
            </w:r>
          </w:p>
        </w:tc>
      </w:tr>
      <w:tr w:rsidR="00AE6B71" w:rsidRPr="00AE6B71" w14:paraId="337201F4" w14:textId="77777777" w:rsidTr="00D516D4">
        <w:trPr>
          <w:jc w:val="center"/>
        </w:trPr>
        <w:tc>
          <w:tcPr>
            <w:cnfStyle w:val="001000000000" w:firstRow="0" w:lastRow="0" w:firstColumn="1" w:lastColumn="0" w:oddVBand="0" w:evenVBand="0" w:oddHBand="0" w:evenHBand="0" w:firstRowFirstColumn="0" w:firstRowLastColumn="0" w:lastRowFirstColumn="0" w:lastRowLastColumn="0"/>
            <w:tcW w:w="2070" w:type="dxa"/>
          </w:tcPr>
          <w:p w14:paraId="74A067B0"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Earnings per share</w:t>
            </w:r>
          </w:p>
        </w:tc>
        <w:tc>
          <w:tcPr>
            <w:tcW w:w="2430" w:type="dxa"/>
          </w:tcPr>
          <w:p w14:paraId="48B6B21D"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=Earnings/Number of ordinary shares</w:t>
            </w:r>
          </w:p>
        </w:tc>
        <w:tc>
          <w:tcPr>
            <w:tcW w:w="2160" w:type="dxa"/>
          </w:tcPr>
          <w:p w14:paraId="23DBE106"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=431/600</w:t>
            </w:r>
          </w:p>
        </w:tc>
        <w:tc>
          <w:tcPr>
            <w:tcW w:w="2070" w:type="dxa"/>
          </w:tcPr>
          <w:p w14:paraId="45545887"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=366/600</w:t>
            </w:r>
          </w:p>
        </w:tc>
        <w:tc>
          <w:tcPr>
            <w:tcW w:w="900" w:type="dxa"/>
          </w:tcPr>
          <w:p w14:paraId="4FD51978"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0.71£</w:t>
            </w:r>
          </w:p>
        </w:tc>
        <w:tc>
          <w:tcPr>
            <w:tcW w:w="990" w:type="dxa"/>
          </w:tcPr>
          <w:p w14:paraId="3D3EF60C"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0.61£</w:t>
            </w:r>
          </w:p>
        </w:tc>
      </w:tr>
      <w:tr w:rsidR="00AE6B71" w:rsidRPr="00AE6B71" w14:paraId="3A3FFEE6" w14:textId="77777777" w:rsidTr="00D516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70" w:type="dxa"/>
          </w:tcPr>
          <w:p w14:paraId="37C1AE14"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Net profit Margin</w:t>
            </w:r>
          </w:p>
        </w:tc>
        <w:tc>
          <w:tcPr>
            <w:tcW w:w="2430" w:type="dxa"/>
          </w:tcPr>
          <w:p w14:paraId="1C401733"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=Operating profit /Sales*100</w:t>
            </w:r>
          </w:p>
        </w:tc>
        <w:tc>
          <w:tcPr>
            <w:tcW w:w="2160" w:type="dxa"/>
          </w:tcPr>
          <w:p w14:paraId="61C6C283"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=431/6738*100</w:t>
            </w:r>
          </w:p>
        </w:tc>
        <w:tc>
          <w:tcPr>
            <w:tcW w:w="2070" w:type="dxa"/>
          </w:tcPr>
          <w:p w14:paraId="21210444"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=366/6441*100</w:t>
            </w:r>
          </w:p>
        </w:tc>
        <w:tc>
          <w:tcPr>
            <w:tcW w:w="900" w:type="dxa"/>
          </w:tcPr>
          <w:p w14:paraId="0AAD7508"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6.39%</w:t>
            </w:r>
          </w:p>
        </w:tc>
        <w:tc>
          <w:tcPr>
            <w:tcW w:w="990" w:type="dxa"/>
          </w:tcPr>
          <w:p w14:paraId="3B6F5C98"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5.6%</w:t>
            </w:r>
          </w:p>
        </w:tc>
      </w:tr>
      <w:tr w:rsidR="00AE6B71" w:rsidRPr="00AE6B71" w14:paraId="6C72865F" w14:textId="77777777" w:rsidTr="00D516D4">
        <w:trPr>
          <w:jc w:val="center"/>
        </w:trPr>
        <w:tc>
          <w:tcPr>
            <w:cnfStyle w:val="001000000000" w:firstRow="0" w:lastRow="0" w:firstColumn="1" w:lastColumn="0" w:oddVBand="0" w:evenVBand="0" w:oddHBand="0" w:evenHBand="0" w:firstRowFirstColumn="0" w:firstRowLastColumn="0" w:lastRowFirstColumn="0" w:lastRowLastColumn="0"/>
            <w:tcW w:w="2070" w:type="dxa"/>
          </w:tcPr>
          <w:p w14:paraId="44228290"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Asset turnover</w:t>
            </w:r>
          </w:p>
        </w:tc>
        <w:tc>
          <w:tcPr>
            <w:tcW w:w="2430" w:type="dxa"/>
          </w:tcPr>
          <w:p w14:paraId="7AF7B350"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=Revenue/Capital employed</w:t>
            </w:r>
          </w:p>
        </w:tc>
        <w:tc>
          <w:tcPr>
            <w:tcW w:w="2160" w:type="dxa"/>
          </w:tcPr>
          <w:p w14:paraId="0BA6FE93"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=6738/9911.5</w:t>
            </w:r>
          </w:p>
        </w:tc>
        <w:tc>
          <w:tcPr>
            <w:tcW w:w="2070" w:type="dxa"/>
          </w:tcPr>
          <w:p w14:paraId="20810048"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=6441/9911.5</w:t>
            </w:r>
          </w:p>
        </w:tc>
        <w:tc>
          <w:tcPr>
            <w:tcW w:w="900" w:type="dxa"/>
          </w:tcPr>
          <w:p w14:paraId="0FF48A73"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0.67 Times</w:t>
            </w:r>
          </w:p>
        </w:tc>
        <w:tc>
          <w:tcPr>
            <w:tcW w:w="990" w:type="dxa"/>
          </w:tcPr>
          <w:p w14:paraId="33700B69"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0.64 Times</w:t>
            </w:r>
          </w:p>
        </w:tc>
      </w:tr>
      <w:tr w:rsidR="00AE6B71" w:rsidRPr="00AE6B71" w14:paraId="4B065C2B" w14:textId="77777777" w:rsidTr="00D516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70" w:type="dxa"/>
          </w:tcPr>
          <w:p w14:paraId="0099D271"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Stock holdings days</w:t>
            </w:r>
          </w:p>
        </w:tc>
        <w:tc>
          <w:tcPr>
            <w:tcW w:w="2430" w:type="dxa"/>
          </w:tcPr>
          <w:p w14:paraId="282AEA21"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=Inventory/Cost of sales*365</w:t>
            </w:r>
          </w:p>
        </w:tc>
        <w:tc>
          <w:tcPr>
            <w:tcW w:w="2160" w:type="dxa"/>
          </w:tcPr>
          <w:p w14:paraId="1164CCDC"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=708/3235*365</w:t>
            </w:r>
          </w:p>
        </w:tc>
        <w:tc>
          <w:tcPr>
            <w:tcW w:w="2070" w:type="dxa"/>
          </w:tcPr>
          <w:p w14:paraId="6313BCDE"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=659/3096*365</w:t>
            </w:r>
          </w:p>
        </w:tc>
        <w:tc>
          <w:tcPr>
            <w:tcW w:w="900" w:type="dxa"/>
          </w:tcPr>
          <w:p w14:paraId="074187E7"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79.8 D</w:t>
            </w:r>
          </w:p>
        </w:tc>
        <w:tc>
          <w:tcPr>
            <w:tcW w:w="990" w:type="dxa"/>
          </w:tcPr>
          <w:p w14:paraId="78074C48"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77.7 D</w:t>
            </w:r>
          </w:p>
        </w:tc>
      </w:tr>
      <w:tr w:rsidR="00AE6B71" w:rsidRPr="00AE6B71" w14:paraId="7FCDD990" w14:textId="77777777" w:rsidTr="00D516D4">
        <w:trPr>
          <w:jc w:val="center"/>
        </w:trPr>
        <w:tc>
          <w:tcPr>
            <w:cnfStyle w:val="001000000000" w:firstRow="0" w:lastRow="0" w:firstColumn="1" w:lastColumn="0" w:oddVBand="0" w:evenVBand="0" w:oddHBand="0" w:evenHBand="0" w:firstRowFirstColumn="0" w:firstRowLastColumn="0" w:lastRowFirstColumn="0" w:lastRowLastColumn="0"/>
            <w:tcW w:w="2070" w:type="dxa"/>
          </w:tcPr>
          <w:p w14:paraId="4E0ABAC2"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Debtors’ collection period</w:t>
            </w:r>
          </w:p>
        </w:tc>
        <w:tc>
          <w:tcPr>
            <w:tcW w:w="2430" w:type="dxa"/>
          </w:tcPr>
          <w:p w14:paraId="0CAB75DA"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=Trade Receivables/ Sales*365</w:t>
            </w:r>
          </w:p>
        </w:tc>
        <w:tc>
          <w:tcPr>
            <w:tcW w:w="2160" w:type="dxa"/>
          </w:tcPr>
          <w:p w14:paraId="28D4E9B7"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=1249/6738*365</w:t>
            </w:r>
          </w:p>
        </w:tc>
        <w:tc>
          <w:tcPr>
            <w:tcW w:w="2070" w:type="dxa"/>
          </w:tcPr>
          <w:p w14:paraId="0B16C9D5"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=1287/6441*365</w:t>
            </w:r>
          </w:p>
        </w:tc>
        <w:tc>
          <w:tcPr>
            <w:tcW w:w="900" w:type="dxa"/>
          </w:tcPr>
          <w:p w14:paraId="04499446"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67.6 D</w:t>
            </w:r>
          </w:p>
        </w:tc>
        <w:tc>
          <w:tcPr>
            <w:tcW w:w="990" w:type="dxa"/>
          </w:tcPr>
          <w:p w14:paraId="15C9F522"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72.9 D</w:t>
            </w:r>
          </w:p>
        </w:tc>
      </w:tr>
      <w:tr w:rsidR="00AE6B71" w:rsidRPr="00AE6B71" w14:paraId="0E703BCD" w14:textId="77777777" w:rsidTr="00D516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70" w:type="dxa"/>
          </w:tcPr>
          <w:p w14:paraId="17205CB4"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Current ratio</w:t>
            </w:r>
          </w:p>
        </w:tc>
        <w:tc>
          <w:tcPr>
            <w:tcW w:w="2430" w:type="dxa"/>
          </w:tcPr>
          <w:p w14:paraId="4F9134BD"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=Current asset/Current Liability</w:t>
            </w:r>
          </w:p>
        </w:tc>
        <w:tc>
          <w:tcPr>
            <w:tcW w:w="2160" w:type="dxa"/>
          </w:tcPr>
          <w:p w14:paraId="10A11E37"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=2303/2511</w:t>
            </w:r>
          </w:p>
        </w:tc>
        <w:tc>
          <w:tcPr>
            <w:tcW w:w="2070" w:type="dxa"/>
          </w:tcPr>
          <w:p w14:paraId="1010D882"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=2355/3046</w:t>
            </w:r>
          </w:p>
        </w:tc>
        <w:tc>
          <w:tcPr>
            <w:tcW w:w="900" w:type="dxa"/>
          </w:tcPr>
          <w:p w14:paraId="714EB35D"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0.91</w:t>
            </w:r>
          </w:p>
        </w:tc>
        <w:tc>
          <w:tcPr>
            <w:tcW w:w="990" w:type="dxa"/>
          </w:tcPr>
          <w:p w14:paraId="7343E334"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0.77</w:t>
            </w:r>
          </w:p>
        </w:tc>
      </w:tr>
      <w:tr w:rsidR="00AE6B71" w:rsidRPr="00AE6B71" w14:paraId="6004F20D" w14:textId="77777777" w:rsidTr="00D516D4">
        <w:trPr>
          <w:jc w:val="center"/>
        </w:trPr>
        <w:tc>
          <w:tcPr>
            <w:cnfStyle w:val="001000000000" w:firstRow="0" w:lastRow="0" w:firstColumn="1" w:lastColumn="0" w:oddVBand="0" w:evenVBand="0" w:oddHBand="0" w:evenHBand="0" w:firstRowFirstColumn="0" w:firstRowLastColumn="0" w:lastRowFirstColumn="0" w:lastRowLastColumn="0"/>
            <w:tcW w:w="2070" w:type="dxa"/>
          </w:tcPr>
          <w:p w14:paraId="02B2EF55"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Gearing ratio</w:t>
            </w:r>
          </w:p>
        </w:tc>
        <w:tc>
          <w:tcPr>
            <w:tcW w:w="2430" w:type="dxa"/>
          </w:tcPr>
          <w:p w14:paraId="25944AC6"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 xml:space="preserve">=Long term debt / (Long term </w:t>
            </w:r>
            <w:proofErr w:type="spellStart"/>
            <w:r w:rsidRPr="00AE6B71">
              <w:rPr>
                <w:rFonts w:ascii="Arial" w:hAnsi="Arial" w:cs="Arial"/>
                <w:kern w:val="2"/>
              </w:rPr>
              <w:t>debt+equity</w:t>
            </w:r>
            <w:proofErr w:type="spellEnd"/>
            <w:r w:rsidRPr="00AE6B71">
              <w:rPr>
                <w:rFonts w:ascii="Arial" w:hAnsi="Arial" w:cs="Arial"/>
                <w:kern w:val="2"/>
              </w:rPr>
              <w:t>) *100</w:t>
            </w:r>
          </w:p>
        </w:tc>
        <w:tc>
          <w:tcPr>
            <w:tcW w:w="2160" w:type="dxa"/>
          </w:tcPr>
          <w:p w14:paraId="45055EEE"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=6648/ (6648+3088) *100</w:t>
            </w:r>
          </w:p>
        </w:tc>
        <w:tc>
          <w:tcPr>
            <w:tcW w:w="2070" w:type="dxa"/>
          </w:tcPr>
          <w:p w14:paraId="7A17A880"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=7175/ (7175+2912) *100</w:t>
            </w:r>
          </w:p>
        </w:tc>
        <w:tc>
          <w:tcPr>
            <w:tcW w:w="900" w:type="dxa"/>
          </w:tcPr>
          <w:p w14:paraId="78A820BF"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0.68%</w:t>
            </w:r>
          </w:p>
        </w:tc>
        <w:tc>
          <w:tcPr>
            <w:tcW w:w="990" w:type="dxa"/>
          </w:tcPr>
          <w:p w14:paraId="64FD2F1A" w14:textId="77777777" w:rsidR="00AE6B71" w:rsidRPr="00AE6B71" w:rsidRDefault="00AE6B71" w:rsidP="00AE6B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kern w:val="2"/>
              </w:rPr>
            </w:pPr>
            <w:r w:rsidRPr="00AE6B71">
              <w:rPr>
                <w:rFonts w:ascii="Arial" w:hAnsi="Arial" w:cs="Arial"/>
                <w:kern w:val="2"/>
              </w:rPr>
              <w:t>0.711%</w:t>
            </w:r>
          </w:p>
        </w:tc>
      </w:tr>
      <w:tr w:rsidR="00AE6B71" w:rsidRPr="00AE6B71" w14:paraId="5EB05BCA" w14:textId="77777777" w:rsidTr="00D516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70" w:type="dxa"/>
          </w:tcPr>
          <w:p w14:paraId="38C6D55C"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Interest cover</w:t>
            </w:r>
          </w:p>
        </w:tc>
        <w:tc>
          <w:tcPr>
            <w:tcW w:w="2430" w:type="dxa"/>
          </w:tcPr>
          <w:p w14:paraId="3EF3EED5"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=Profit before interest/Interest charges</w:t>
            </w:r>
          </w:p>
        </w:tc>
        <w:tc>
          <w:tcPr>
            <w:tcW w:w="2160" w:type="dxa"/>
          </w:tcPr>
          <w:p w14:paraId="2F1E3500"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=805/226</w:t>
            </w:r>
          </w:p>
        </w:tc>
        <w:tc>
          <w:tcPr>
            <w:tcW w:w="2070" w:type="dxa"/>
          </w:tcPr>
          <w:p w14:paraId="34E40FC0"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=699/181</w:t>
            </w:r>
          </w:p>
        </w:tc>
        <w:tc>
          <w:tcPr>
            <w:tcW w:w="900" w:type="dxa"/>
          </w:tcPr>
          <w:p w14:paraId="2C3D0EEB"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3.56 Times</w:t>
            </w:r>
          </w:p>
        </w:tc>
        <w:tc>
          <w:tcPr>
            <w:tcW w:w="990" w:type="dxa"/>
          </w:tcPr>
          <w:p w14:paraId="3D7222DD" w14:textId="77777777" w:rsidR="00AE6B71" w:rsidRPr="00AE6B71" w:rsidRDefault="00AE6B71" w:rsidP="00AE6B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kern w:val="2"/>
              </w:rPr>
            </w:pPr>
            <w:r w:rsidRPr="00AE6B71">
              <w:rPr>
                <w:rFonts w:ascii="Arial" w:hAnsi="Arial" w:cs="Arial"/>
                <w:kern w:val="2"/>
              </w:rPr>
              <w:t>3.86 Times</w:t>
            </w:r>
          </w:p>
        </w:tc>
      </w:tr>
    </w:tbl>
    <w:p w14:paraId="2EBE369D"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br w:type="page"/>
      </w:r>
    </w:p>
    <w:p w14:paraId="524203E5" w14:textId="77777777" w:rsidR="00AE6B71" w:rsidRPr="00AE6B71" w:rsidRDefault="00AE6B71" w:rsidP="00AE6B71">
      <w:pPr>
        <w:spacing w:line="360" w:lineRule="auto"/>
        <w:jc w:val="both"/>
        <w:rPr>
          <w:rFonts w:ascii="Arial" w:hAnsi="Arial" w:cs="Arial"/>
          <w:b/>
          <w:bCs/>
          <w:kern w:val="2"/>
        </w:rPr>
      </w:pPr>
      <w:bookmarkStart w:id="5" w:name="_Toc139970250"/>
      <w:r w:rsidRPr="00AE6B71">
        <w:rPr>
          <w:rFonts w:ascii="Arial" w:hAnsi="Arial" w:cs="Arial"/>
          <w:b/>
          <w:bCs/>
          <w:kern w:val="2"/>
        </w:rPr>
        <w:lastRenderedPageBreak/>
        <w:t>2.b) Sweets Plc financial position and performance assessment for the year ended 31-Dec-2021:</w:t>
      </w:r>
      <w:bookmarkEnd w:id="5"/>
    </w:p>
    <w:p w14:paraId="499C4062" w14:textId="77777777" w:rsidR="00AE6B71" w:rsidRPr="00AE6B71" w:rsidRDefault="00AE6B71" w:rsidP="00AE6B71">
      <w:pPr>
        <w:spacing w:line="360" w:lineRule="auto"/>
        <w:ind w:left="720"/>
        <w:contextualSpacing/>
        <w:jc w:val="both"/>
        <w:rPr>
          <w:rFonts w:ascii="Arial" w:hAnsi="Arial" w:cs="Arial"/>
          <w:kern w:val="2"/>
        </w:rPr>
      </w:pPr>
    </w:p>
    <w:p w14:paraId="0A5EC16D" w14:textId="77777777" w:rsidR="00AE6B71" w:rsidRPr="00AE6B71" w:rsidRDefault="00AE6B71" w:rsidP="00AE6B71">
      <w:pPr>
        <w:numPr>
          <w:ilvl w:val="0"/>
          <w:numId w:val="1"/>
        </w:numPr>
        <w:spacing w:line="360" w:lineRule="auto"/>
        <w:contextualSpacing/>
        <w:jc w:val="both"/>
        <w:rPr>
          <w:rFonts w:ascii="Arial" w:hAnsi="Arial" w:cs="Arial"/>
          <w:b/>
          <w:bCs/>
          <w:kern w:val="2"/>
        </w:rPr>
      </w:pPr>
      <w:r w:rsidRPr="00AE6B71">
        <w:rPr>
          <w:rFonts w:ascii="Arial" w:hAnsi="Arial" w:cs="Arial"/>
          <w:b/>
          <w:bCs/>
          <w:kern w:val="2"/>
        </w:rPr>
        <w:t>Revenue and profitability</w:t>
      </w:r>
    </w:p>
    <w:p w14:paraId="702F338F" w14:textId="7A79DBBF"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 Profitability refers to the ability of a business to generate earnings from its business operations (E</w:t>
      </w:r>
      <w:r w:rsidR="0041111F">
        <w:rPr>
          <w:rFonts w:ascii="Arial" w:hAnsi="Arial" w:cs="Arial"/>
          <w:kern w:val="2"/>
        </w:rPr>
        <w:t>isen</w:t>
      </w:r>
      <w:r w:rsidRPr="00AE6B71">
        <w:rPr>
          <w:rFonts w:ascii="Arial" w:hAnsi="Arial" w:cs="Arial"/>
          <w:kern w:val="2"/>
        </w:rPr>
        <w:t>, 201</w:t>
      </w:r>
      <w:r w:rsidR="006E4F03">
        <w:rPr>
          <w:rFonts w:ascii="Arial" w:hAnsi="Arial" w:cs="Arial"/>
          <w:kern w:val="2"/>
        </w:rPr>
        <w:t>3</w:t>
      </w:r>
      <w:r w:rsidRPr="00AE6B71">
        <w:rPr>
          <w:rFonts w:ascii="Arial" w:hAnsi="Arial" w:cs="Arial"/>
          <w:kern w:val="2"/>
        </w:rPr>
        <w:t>). It also represents how effectively a company can manage or generate profit relating to its expenses and costs. Profitability ratios such as Gross profit margin, net profit margin, and operating profit margin are commonly used to assess a company’s profitability relative to its revenue or sales (Elliott and Elliott, 2019).</w:t>
      </w:r>
    </w:p>
    <w:p w14:paraId="5DD9E14B"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Sweets Plc has experienced a slight increase in revenue of approximately 4.6%, which may not be sustainable without proper management and external sources of finance. The net profit margin has also raised from 5.6% in 2020 to 6.39% in 2021 which is around 0.80% growth compared to the previous year. The net profit margin represents the percentage of profit earned compared to annual sales revenue. The gross profit margin has also raised slightly compared to net profit margin meaning the company has successfully controlled its other expenses which are directly reflected in net profit.</w:t>
      </w:r>
    </w:p>
    <w:p w14:paraId="0AA4ED44"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The overall profit has increased by £65 million including the amount earned from the sale of fixed assets of £19 m. Without considering the sale proceeds of fixed assets the net profit percentage will be slightly lower. The administrative expense has decreased whereas profit and sales have increased, which is a positive sign for Sweets Plc.</w:t>
      </w:r>
    </w:p>
    <w:p w14:paraId="742EF635"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The increase in revenue has also been reflected both in the return on the capital employed ratio (ROCE) and return on Equity (ROE), which has increased by 1.5% and 1.4% respectively from the previous year. The earnings per share also followed this increasing trend as it soared by 10 cents per share. </w:t>
      </w:r>
    </w:p>
    <w:p w14:paraId="48A84B69" w14:textId="77777777" w:rsidR="00AE6B71" w:rsidRPr="00AE6B71" w:rsidRDefault="00AE6B71" w:rsidP="00AE6B71">
      <w:pPr>
        <w:spacing w:line="360" w:lineRule="auto"/>
        <w:jc w:val="both"/>
        <w:rPr>
          <w:rFonts w:ascii="Arial" w:hAnsi="Arial" w:cs="Arial"/>
          <w:kern w:val="2"/>
        </w:rPr>
      </w:pPr>
    </w:p>
    <w:p w14:paraId="7B61D43B" w14:textId="77777777" w:rsidR="00AE6B71" w:rsidRPr="00AE6B71" w:rsidRDefault="00AE6B71" w:rsidP="00AE6B71">
      <w:pPr>
        <w:spacing w:line="360" w:lineRule="auto"/>
        <w:jc w:val="both"/>
        <w:rPr>
          <w:rFonts w:ascii="Arial" w:hAnsi="Arial" w:cs="Arial"/>
          <w:kern w:val="2"/>
        </w:rPr>
      </w:pPr>
    </w:p>
    <w:p w14:paraId="7317DA82" w14:textId="77777777" w:rsidR="00AE6B71" w:rsidRPr="00AE6B71" w:rsidRDefault="00AE6B71" w:rsidP="00AE6B71">
      <w:pPr>
        <w:spacing w:line="360" w:lineRule="auto"/>
        <w:jc w:val="both"/>
        <w:rPr>
          <w:rFonts w:ascii="Arial" w:hAnsi="Arial" w:cs="Arial"/>
          <w:kern w:val="2"/>
        </w:rPr>
      </w:pPr>
    </w:p>
    <w:p w14:paraId="7526AFD3" w14:textId="77777777" w:rsidR="00AE6B71" w:rsidRDefault="00AE6B71" w:rsidP="00AE6B71">
      <w:pPr>
        <w:spacing w:line="360" w:lineRule="auto"/>
        <w:jc w:val="both"/>
        <w:rPr>
          <w:rFonts w:ascii="Arial" w:hAnsi="Arial" w:cs="Arial"/>
          <w:kern w:val="2"/>
        </w:rPr>
      </w:pPr>
    </w:p>
    <w:p w14:paraId="0E304AF7" w14:textId="77777777" w:rsidR="00AE6B71" w:rsidRPr="00AE6B71" w:rsidRDefault="00AE6B71" w:rsidP="00AE6B71">
      <w:pPr>
        <w:spacing w:line="360" w:lineRule="auto"/>
        <w:jc w:val="both"/>
        <w:rPr>
          <w:rFonts w:ascii="Arial" w:hAnsi="Arial" w:cs="Arial"/>
          <w:kern w:val="2"/>
        </w:rPr>
      </w:pPr>
    </w:p>
    <w:p w14:paraId="68342291" w14:textId="77777777" w:rsidR="00AE6B71" w:rsidRPr="00AE6B71" w:rsidRDefault="00AE6B71" w:rsidP="00AE6B71">
      <w:pPr>
        <w:spacing w:line="360" w:lineRule="auto"/>
        <w:jc w:val="both"/>
        <w:rPr>
          <w:rFonts w:ascii="Arial" w:hAnsi="Arial" w:cs="Arial"/>
          <w:kern w:val="2"/>
        </w:rPr>
      </w:pPr>
    </w:p>
    <w:p w14:paraId="331F0AB0" w14:textId="77777777" w:rsidR="00AE6B71" w:rsidRPr="00AE6B71" w:rsidRDefault="00AE6B71" w:rsidP="00AE6B71">
      <w:pPr>
        <w:numPr>
          <w:ilvl w:val="0"/>
          <w:numId w:val="1"/>
        </w:numPr>
        <w:spacing w:line="360" w:lineRule="auto"/>
        <w:contextualSpacing/>
        <w:jc w:val="both"/>
        <w:rPr>
          <w:rFonts w:ascii="Arial" w:hAnsi="Arial" w:cs="Arial"/>
          <w:b/>
          <w:bCs/>
          <w:kern w:val="2"/>
        </w:rPr>
      </w:pPr>
      <w:r w:rsidRPr="00AE6B71">
        <w:rPr>
          <w:rFonts w:ascii="Arial" w:hAnsi="Arial" w:cs="Arial"/>
          <w:b/>
          <w:bCs/>
          <w:kern w:val="2"/>
        </w:rPr>
        <w:lastRenderedPageBreak/>
        <w:t>Liquidity and working Capital</w:t>
      </w:r>
    </w:p>
    <w:p w14:paraId="48E9DF00" w14:textId="5A4A85E7" w:rsidR="00AE6B71" w:rsidRPr="00AE6B71" w:rsidRDefault="00AE6B71" w:rsidP="00AE6B71">
      <w:pPr>
        <w:spacing w:line="360" w:lineRule="auto"/>
        <w:jc w:val="both"/>
        <w:rPr>
          <w:rFonts w:ascii="Arial" w:hAnsi="Arial" w:cs="Arial"/>
          <w:kern w:val="2"/>
        </w:rPr>
      </w:pPr>
      <w:r w:rsidRPr="00AE6B71">
        <w:rPr>
          <w:rFonts w:ascii="Arial" w:hAnsi="Arial" w:cs="Arial"/>
          <w:kern w:val="2"/>
        </w:rPr>
        <w:t>Liquidity refers to the ability of the company to meet its short-term financial obligations (Powers and Needles, 201</w:t>
      </w:r>
      <w:r w:rsidR="00E11054">
        <w:rPr>
          <w:rFonts w:ascii="Arial" w:hAnsi="Arial" w:cs="Arial"/>
          <w:kern w:val="2"/>
        </w:rPr>
        <w:t>0</w:t>
      </w:r>
      <w:r w:rsidRPr="00AE6B71">
        <w:rPr>
          <w:rFonts w:ascii="Arial" w:hAnsi="Arial" w:cs="Arial"/>
          <w:kern w:val="2"/>
        </w:rPr>
        <w:t>). It represents the company’s ability to handle its day-to-day operations, pay off debts, and take advantage of investment opportunities (Elliott and Elliott, 2019). Liquidity also measures how easily a company can manage cash to meet its immediate financial needs.</w:t>
      </w:r>
    </w:p>
    <w:p w14:paraId="4F1CCD67"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The current ratio of Sweets Plc has grown from 0.77 in 2020 to 0.91 in 2021. The growth of this ratio shows that the company’s current assets have swelled more than the current liability. It will assist in taking external sources of finance for extension and smooth operation of the business as banks and other financial institutions will have a special look at the borrower company’s current and gearing ratio.  </w:t>
      </w:r>
    </w:p>
    <w:p w14:paraId="1F00D06C"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A review of the company’s working capital ratios indicates that the inventory holding period has increased slightly means there may have excess production compared to the sales percentage resulting in working capital may have tied up in holding inventory (Jones, 2013). </w:t>
      </w:r>
    </w:p>
    <w:p w14:paraId="7D487734"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The company currently takes on average 67 days to collect its trade debts which was 73 days in 2020. The company is doing better in collecting dues, meaning smooth working capital management. It also indicates that the company may have been focused on cash sales to customers or fewer credit periods to ensure better working capital management.</w:t>
      </w:r>
    </w:p>
    <w:p w14:paraId="6011FA07"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On the other hand, Trade payable days have decreased from 77 days in 2020 to 65 days in 2021 is not a positive sign apparently but for maintaining a good supplier relationship the decrease of trade payable days may have long-term impacts for Sweets Plc.</w:t>
      </w:r>
    </w:p>
    <w:p w14:paraId="2CB1CD5D"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The cash position of Sweets Plc has increased to some extent but not enough to bear day-to-day expenses and to fulfill other requirements. After all, working capital seems to be well managed compared to last year.</w:t>
      </w:r>
    </w:p>
    <w:p w14:paraId="3C203510" w14:textId="77777777" w:rsidR="00AE6B71" w:rsidRPr="00AE6B71" w:rsidRDefault="00AE6B71" w:rsidP="00AE6B71">
      <w:pPr>
        <w:spacing w:line="360" w:lineRule="auto"/>
        <w:jc w:val="both"/>
        <w:rPr>
          <w:rFonts w:ascii="Arial" w:hAnsi="Arial" w:cs="Arial"/>
          <w:kern w:val="2"/>
        </w:rPr>
      </w:pPr>
    </w:p>
    <w:p w14:paraId="3AA07D35" w14:textId="77777777" w:rsidR="00AE6B71" w:rsidRPr="00AE6B71" w:rsidRDefault="00AE6B71" w:rsidP="00AE6B71">
      <w:pPr>
        <w:spacing w:line="360" w:lineRule="auto"/>
        <w:jc w:val="both"/>
        <w:rPr>
          <w:rFonts w:ascii="Arial" w:hAnsi="Arial" w:cs="Arial"/>
          <w:kern w:val="2"/>
        </w:rPr>
      </w:pPr>
    </w:p>
    <w:p w14:paraId="39F01E4A" w14:textId="77777777" w:rsidR="00AE6B71" w:rsidRPr="00AE6B71" w:rsidRDefault="00AE6B71" w:rsidP="00AE6B71">
      <w:pPr>
        <w:spacing w:line="360" w:lineRule="auto"/>
        <w:jc w:val="both"/>
        <w:rPr>
          <w:rFonts w:ascii="Arial" w:hAnsi="Arial" w:cs="Arial"/>
          <w:kern w:val="2"/>
        </w:rPr>
      </w:pPr>
    </w:p>
    <w:p w14:paraId="4BC6D406" w14:textId="77777777" w:rsidR="00AE6B71" w:rsidRPr="00AE6B71" w:rsidRDefault="00AE6B71" w:rsidP="00AE6B71">
      <w:pPr>
        <w:spacing w:line="360" w:lineRule="auto"/>
        <w:jc w:val="both"/>
        <w:rPr>
          <w:rFonts w:ascii="Arial" w:hAnsi="Arial" w:cs="Arial"/>
          <w:kern w:val="2"/>
        </w:rPr>
      </w:pPr>
    </w:p>
    <w:p w14:paraId="25C0CD89" w14:textId="77777777" w:rsidR="00AE6B71" w:rsidRPr="00AE6B71" w:rsidRDefault="00AE6B71" w:rsidP="00AE6B71">
      <w:pPr>
        <w:spacing w:line="360" w:lineRule="auto"/>
        <w:jc w:val="both"/>
        <w:rPr>
          <w:rFonts w:ascii="Arial" w:hAnsi="Arial" w:cs="Arial"/>
          <w:b/>
          <w:bCs/>
          <w:kern w:val="2"/>
        </w:rPr>
      </w:pPr>
    </w:p>
    <w:p w14:paraId="7099D510" w14:textId="77777777" w:rsidR="00AE6B71" w:rsidRPr="00AE6B71" w:rsidRDefault="00AE6B71" w:rsidP="00AE6B71">
      <w:pPr>
        <w:spacing w:line="360" w:lineRule="auto"/>
        <w:jc w:val="both"/>
        <w:rPr>
          <w:rFonts w:ascii="Arial" w:hAnsi="Arial" w:cs="Arial"/>
          <w:b/>
          <w:bCs/>
          <w:kern w:val="2"/>
        </w:rPr>
      </w:pPr>
    </w:p>
    <w:p w14:paraId="588FADEA" w14:textId="77777777" w:rsidR="00AE6B71" w:rsidRPr="00AE6B71" w:rsidRDefault="00AE6B71" w:rsidP="00AE6B71">
      <w:pPr>
        <w:numPr>
          <w:ilvl w:val="0"/>
          <w:numId w:val="1"/>
        </w:numPr>
        <w:spacing w:line="360" w:lineRule="auto"/>
        <w:contextualSpacing/>
        <w:jc w:val="both"/>
        <w:rPr>
          <w:rFonts w:ascii="Arial" w:hAnsi="Arial" w:cs="Arial"/>
          <w:b/>
          <w:bCs/>
          <w:kern w:val="2"/>
        </w:rPr>
      </w:pPr>
      <w:r w:rsidRPr="00AE6B71">
        <w:rPr>
          <w:rFonts w:ascii="Arial" w:hAnsi="Arial" w:cs="Arial"/>
          <w:b/>
          <w:bCs/>
          <w:kern w:val="2"/>
        </w:rPr>
        <w:lastRenderedPageBreak/>
        <w:t>Gearing position</w:t>
      </w:r>
    </w:p>
    <w:p w14:paraId="1B0FC174" w14:textId="1DECD112" w:rsidR="00AE6B71" w:rsidRPr="00AE6B71" w:rsidRDefault="00AE6B71" w:rsidP="00AE6B71">
      <w:pPr>
        <w:spacing w:line="360" w:lineRule="auto"/>
        <w:jc w:val="both"/>
        <w:rPr>
          <w:rFonts w:ascii="Arial" w:hAnsi="Arial" w:cs="Arial"/>
          <w:kern w:val="2"/>
        </w:rPr>
      </w:pPr>
      <w:r w:rsidRPr="00AE6B71">
        <w:rPr>
          <w:rFonts w:ascii="Arial" w:hAnsi="Arial" w:cs="Arial"/>
          <w:kern w:val="2"/>
        </w:rPr>
        <w:t>The gearing position refers to its level of debt relative to its equity or capital (E</w:t>
      </w:r>
      <w:r w:rsidR="0041111F">
        <w:rPr>
          <w:rFonts w:ascii="Arial" w:hAnsi="Arial" w:cs="Arial"/>
          <w:kern w:val="2"/>
        </w:rPr>
        <w:t>isen</w:t>
      </w:r>
      <w:r w:rsidRPr="00AE6B71">
        <w:rPr>
          <w:rFonts w:ascii="Arial" w:hAnsi="Arial" w:cs="Arial"/>
          <w:kern w:val="2"/>
        </w:rPr>
        <w:t>, 201</w:t>
      </w:r>
      <w:r w:rsidR="006E4F03">
        <w:rPr>
          <w:rFonts w:ascii="Arial" w:hAnsi="Arial" w:cs="Arial"/>
          <w:kern w:val="2"/>
        </w:rPr>
        <w:t>3</w:t>
      </w:r>
      <w:r w:rsidRPr="00AE6B71">
        <w:rPr>
          <w:rFonts w:ascii="Arial" w:hAnsi="Arial" w:cs="Arial"/>
          <w:kern w:val="2"/>
        </w:rPr>
        <w:t xml:space="preserve">). It is a measure of financial leverage and indicates the extent to which Sweets Plc could rely on borrowed funds to finance its operations. A high gearing position implies that a significant portion of the company’s capital structure is financed through debt. </w:t>
      </w:r>
    </w:p>
    <w:p w14:paraId="467D31A4"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 The gearing ratio of Sweets Plc also indicates that the company has taken less loan finance as it falls from 0.71 to 0.64 in the current financial year. The loan and other borrowings were £4,129 million in 2020 and climbed to £4,137 million in 2021 resulting in only £8 million increases whereas equity has increased at a better rate compared to long-term loans. The aggregate impact on Sweets Plc is better-gearing positions. </w:t>
      </w:r>
    </w:p>
    <w:p w14:paraId="4BE64AC0"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The interest cover ratio has slightly fallen, indicating the business facing difficulties to service its current levels of finance (Jones, 2013). There are risks in further loan-taking to grasp future opportunities and working capital management although the current ratio indicates that the company’s current assets have increased in comparison with debt. </w:t>
      </w:r>
    </w:p>
    <w:p w14:paraId="5CCE9059"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 xml:space="preserve">The company is currently able to repay all sorts of liabilities if any uncertain situation arises. </w:t>
      </w:r>
    </w:p>
    <w:p w14:paraId="7B84960C"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The company’s financial position is still good although the total assets of the company have decreased whereas net assets increased by £172 million from £2,912 million to £3,088 million in 2021.</w:t>
      </w:r>
    </w:p>
    <w:p w14:paraId="287D43E5"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The overall performance and position of Sweets Plc seem better as it improved its profitability and working capital management. The above ratio analysis also indicates the same but still, there are some areas to be further progressed.</w:t>
      </w:r>
    </w:p>
    <w:p w14:paraId="68A273A4" w14:textId="77777777" w:rsidR="00AE6B71" w:rsidRPr="00AE6B71" w:rsidRDefault="00AE6B71" w:rsidP="00AE6B71">
      <w:pPr>
        <w:spacing w:line="360" w:lineRule="auto"/>
        <w:jc w:val="both"/>
        <w:rPr>
          <w:rFonts w:ascii="Arial" w:hAnsi="Arial" w:cs="Arial"/>
          <w:kern w:val="2"/>
        </w:rPr>
      </w:pPr>
    </w:p>
    <w:p w14:paraId="3B3B5769" w14:textId="77777777" w:rsidR="00AE6B71" w:rsidRPr="00AE6B71" w:rsidRDefault="00AE6B71" w:rsidP="00AE6B71">
      <w:pPr>
        <w:spacing w:line="360" w:lineRule="auto"/>
        <w:jc w:val="both"/>
        <w:rPr>
          <w:rFonts w:ascii="Arial" w:hAnsi="Arial" w:cs="Arial"/>
          <w:kern w:val="2"/>
        </w:rPr>
      </w:pPr>
    </w:p>
    <w:p w14:paraId="6E952225" w14:textId="77777777" w:rsidR="00AE6B71" w:rsidRPr="00AE6B71" w:rsidRDefault="00AE6B71" w:rsidP="00AE6B71">
      <w:pPr>
        <w:spacing w:line="360" w:lineRule="auto"/>
        <w:jc w:val="both"/>
        <w:rPr>
          <w:rFonts w:ascii="Arial" w:hAnsi="Arial" w:cs="Arial"/>
          <w:kern w:val="2"/>
        </w:rPr>
      </w:pPr>
    </w:p>
    <w:p w14:paraId="6A4BDED3" w14:textId="77777777" w:rsidR="00AE6B71" w:rsidRPr="00AE6B71" w:rsidRDefault="00AE6B71" w:rsidP="00AE6B71">
      <w:pPr>
        <w:spacing w:line="360" w:lineRule="auto"/>
        <w:jc w:val="both"/>
        <w:rPr>
          <w:rFonts w:ascii="Arial" w:hAnsi="Arial" w:cs="Arial"/>
          <w:kern w:val="2"/>
        </w:rPr>
      </w:pPr>
    </w:p>
    <w:p w14:paraId="7BB02861" w14:textId="77777777" w:rsidR="00AE6B71" w:rsidRPr="00AE6B71" w:rsidRDefault="00AE6B71" w:rsidP="00AE6B71">
      <w:pPr>
        <w:spacing w:line="360" w:lineRule="auto"/>
        <w:jc w:val="both"/>
        <w:rPr>
          <w:rFonts w:ascii="Arial" w:hAnsi="Arial" w:cs="Arial"/>
          <w:kern w:val="2"/>
        </w:rPr>
      </w:pPr>
    </w:p>
    <w:p w14:paraId="300A0860" w14:textId="77777777" w:rsidR="00AE6B71" w:rsidRDefault="00AE6B71" w:rsidP="00AE6B71">
      <w:pPr>
        <w:spacing w:line="360" w:lineRule="auto"/>
        <w:jc w:val="both"/>
        <w:rPr>
          <w:rFonts w:ascii="Arial" w:hAnsi="Arial" w:cs="Arial"/>
          <w:kern w:val="2"/>
        </w:rPr>
      </w:pPr>
    </w:p>
    <w:p w14:paraId="5C816772" w14:textId="77777777" w:rsidR="00AE6B71" w:rsidRPr="00AE6B71" w:rsidRDefault="00AE6B71" w:rsidP="00AE6B71">
      <w:pPr>
        <w:spacing w:line="360" w:lineRule="auto"/>
        <w:jc w:val="both"/>
        <w:rPr>
          <w:rFonts w:ascii="Arial" w:hAnsi="Arial" w:cs="Arial"/>
          <w:kern w:val="2"/>
        </w:rPr>
      </w:pPr>
    </w:p>
    <w:p w14:paraId="0BF01D86" w14:textId="77777777" w:rsidR="00AE6B71" w:rsidRPr="00AE6B71" w:rsidRDefault="00AE6B71" w:rsidP="00AE6B71">
      <w:pPr>
        <w:jc w:val="both"/>
        <w:rPr>
          <w:rFonts w:ascii="Arial" w:hAnsi="Arial" w:cs="Arial"/>
          <w:b/>
          <w:bCs/>
          <w:kern w:val="2"/>
        </w:rPr>
      </w:pPr>
      <w:bookmarkStart w:id="6" w:name="_Toc139969566"/>
      <w:bookmarkStart w:id="7" w:name="_Toc139970251"/>
    </w:p>
    <w:p w14:paraId="15A95E92" w14:textId="77777777" w:rsidR="00AE6B71" w:rsidRPr="00AE6B71" w:rsidRDefault="00AE6B71" w:rsidP="00AE6B71">
      <w:pPr>
        <w:jc w:val="center"/>
        <w:rPr>
          <w:rFonts w:ascii="Arial" w:hAnsi="Arial" w:cs="Arial"/>
          <w:b/>
          <w:bCs/>
          <w:kern w:val="2"/>
          <w:u w:val="single"/>
        </w:rPr>
      </w:pPr>
      <w:r w:rsidRPr="00AE6B71">
        <w:rPr>
          <w:rFonts w:ascii="Arial" w:hAnsi="Arial" w:cs="Arial"/>
          <w:b/>
          <w:bCs/>
          <w:kern w:val="2"/>
          <w:u w:val="single"/>
        </w:rPr>
        <w:lastRenderedPageBreak/>
        <w:t>Conclusion</w:t>
      </w:r>
      <w:bookmarkEnd w:id="6"/>
      <w:bookmarkEnd w:id="7"/>
    </w:p>
    <w:p w14:paraId="1D9DC60E" w14:textId="77777777" w:rsidR="00AE6B71" w:rsidRPr="00AE6B71" w:rsidRDefault="00AE6B71" w:rsidP="00AE6B71">
      <w:pPr>
        <w:spacing w:line="360" w:lineRule="auto"/>
        <w:jc w:val="both"/>
        <w:rPr>
          <w:rFonts w:ascii="Arial" w:hAnsi="Arial" w:cs="Arial"/>
          <w:kern w:val="2"/>
        </w:rPr>
      </w:pPr>
      <w:r w:rsidRPr="00AE6B71">
        <w:rPr>
          <w:rFonts w:ascii="Arial" w:hAnsi="Arial" w:cs="Arial"/>
          <w:kern w:val="2"/>
        </w:rPr>
        <w:t>Based on the analysis and review of financial and other non-financial data it can be illustrated that the performance of Wales Plc. The Net profit after tax £52, 330 also depicts its overall performance. The company is generating a profit and the cash position is also sound, meaning the company is in going concern. The company can also use its retained earnings for taking new opportunities rather than consistent dividends to shareholders. And the performance and financial position of Sweets Plc is also better as all the financial information and ratios show an upgrading trend. The interest cover ratio has slightly decreased, apart from this all-financial data, and the cash position of Sweets Plc are much better.</w:t>
      </w:r>
    </w:p>
    <w:p w14:paraId="48C3D7B5" w14:textId="77777777" w:rsidR="00AE6B71" w:rsidRPr="00AE6B71" w:rsidRDefault="00AE6B71" w:rsidP="00AE6B71">
      <w:pPr>
        <w:spacing w:line="360" w:lineRule="auto"/>
        <w:jc w:val="both"/>
        <w:rPr>
          <w:rFonts w:ascii="Arial" w:hAnsi="Arial" w:cs="Arial"/>
          <w:kern w:val="2"/>
        </w:rPr>
      </w:pPr>
    </w:p>
    <w:p w14:paraId="1C3725AE" w14:textId="77777777" w:rsidR="00AE6B71" w:rsidRPr="00AE6B71" w:rsidRDefault="00AE6B71" w:rsidP="00AE6B71">
      <w:pPr>
        <w:spacing w:line="360" w:lineRule="auto"/>
        <w:jc w:val="both"/>
        <w:rPr>
          <w:rFonts w:ascii="Arial" w:hAnsi="Arial" w:cs="Arial"/>
          <w:kern w:val="2"/>
        </w:rPr>
      </w:pPr>
    </w:p>
    <w:p w14:paraId="3287FC3F" w14:textId="77777777" w:rsidR="00AE6B71" w:rsidRDefault="00AE6B71" w:rsidP="00AE6B71">
      <w:pPr>
        <w:spacing w:line="360" w:lineRule="auto"/>
        <w:jc w:val="both"/>
        <w:rPr>
          <w:rFonts w:ascii="Arial" w:hAnsi="Arial" w:cs="Arial"/>
        </w:rPr>
      </w:pPr>
    </w:p>
    <w:p w14:paraId="6968C90B" w14:textId="77777777" w:rsidR="00AE6B71" w:rsidRDefault="00AE6B71" w:rsidP="00AE6B71">
      <w:pPr>
        <w:spacing w:line="360" w:lineRule="auto"/>
        <w:jc w:val="both"/>
        <w:rPr>
          <w:rFonts w:ascii="Arial" w:hAnsi="Arial" w:cs="Arial"/>
        </w:rPr>
      </w:pPr>
    </w:p>
    <w:p w14:paraId="2F79BA72" w14:textId="77777777" w:rsidR="00AE6B71" w:rsidRDefault="00AE6B71" w:rsidP="00AE6B71">
      <w:pPr>
        <w:spacing w:line="360" w:lineRule="auto"/>
        <w:jc w:val="both"/>
        <w:rPr>
          <w:rFonts w:ascii="Arial" w:hAnsi="Arial" w:cs="Arial"/>
        </w:rPr>
      </w:pPr>
    </w:p>
    <w:p w14:paraId="50EDF0F1" w14:textId="77777777" w:rsidR="00AE6B71" w:rsidRDefault="00AE6B71" w:rsidP="00AE6B71">
      <w:pPr>
        <w:spacing w:line="360" w:lineRule="auto"/>
        <w:jc w:val="both"/>
        <w:rPr>
          <w:rFonts w:ascii="Arial" w:hAnsi="Arial" w:cs="Arial"/>
        </w:rPr>
      </w:pPr>
    </w:p>
    <w:p w14:paraId="04C20251" w14:textId="77777777" w:rsidR="00AE6B71" w:rsidRDefault="00AE6B71" w:rsidP="00AE6B71">
      <w:pPr>
        <w:spacing w:line="360" w:lineRule="auto"/>
        <w:jc w:val="both"/>
        <w:rPr>
          <w:rFonts w:ascii="Arial" w:hAnsi="Arial" w:cs="Arial"/>
        </w:rPr>
      </w:pPr>
    </w:p>
    <w:p w14:paraId="172E91F5" w14:textId="77777777" w:rsidR="00AE6B71" w:rsidRDefault="00AE6B71" w:rsidP="00AE6B71">
      <w:pPr>
        <w:spacing w:line="360" w:lineRule="auto"/>
        <w:jc w:val="both"/>
        <w:rPr>
          <w:rFonts w:ascii="Arial" w:hAnsi="Arial" w:cs="Arial"/>
        </w:rPr>
      </w:pPr>
    </w:p>
    <w:p w14:paraId="16D00B52" w14:textId="77777777" w:rsidR="00AE6B71" w:rsidRDefault="00AE6B71" w:rsidP="00AE6B71">
      <w:pPr>
        <w:spacing w:line="360" w:lineRule="auto"/>
        <w:jc w:val="both"/>
        <w:rPr>
          <w:rFonts w:ascii="Arial" w:hAnsi="Arial" w:cs="Arial"/>
        </w:rPr>
      </w:pPr>
    </w:p>
    <w:p w14:paraId="630D61E3" w14:textId="77777777" w:rsidR="00AE6B71" w:rsidRDefault="00AE6B71" w:rsidP="00AE6B71">
      <w:pPr>
        <w:spacing w:line="360" w:lineRule="auto"/>
        <w:jc w:val="both"/>
        <w:rPr>
          <w:rFonts w:ascii="Arial" w:hAnsi="Arial" w:cs="Arial"/>
        </w:rPr>
      </w:pPr>
    </w:p>
    <w:p w14:paraId="75650EAD" w14:textId="77777777" w:rsidR="00AE6B71" w:rsidRDefault="00AE6B71" w:rsidP="00AE6B71">
      <w:pPr>
        <w:spacing w:line="360" w:lineRule="auto"/>
        <w:jc w:val="both"/>
        <w:rPr>
          <w:rFonts w:ascii="Arial" w:hAnsi="Arial" w:cs="Arial"/>
        </w:rPr>
      </w:pPr>
    </w:p>
    <w:p w14:paraId="795F57D8" w14:textId="77777777" w:rsidR="00AE6B71" w:rsidRDefault="00AE6B71" w:rsidP="00AE6B71">
      <w:pPr>
        <w:spacing w:line="360" w:lineRule="auto"/>
        <w:jc w:val="both"/>
        <w:rPr>
          <w:rFonts w:ascii="Arial" w:hAnsi="Arial" w:cs="Arial"/>
        </w:rPr>
      </w:pPr>
    </w:p>
    <w:p w14:paraId="4F9AA292" w14:textId="77777777" w:rsidR="00AE6B71" w:rsidRDefault="00AE6B71" w:rsidP="00AE6B71">
      <w:pPr>
        <w:spacing w:line="360" w:lineRule="auto"/>
        <w:jc w:val="both"/>
        <w:rPr>
          <w:rFonts w:ascii="Arial" w:hAnsi="Arial" w:cs="Arial"/>
        </w:rPr>
      </w:pPr>
    </w:p>
    <w:p w14:paraId="28EC5092" w14:textId="77777777" w:rsidR="00AE6B71" w:rsidRDefault="00AE6B71" w:rsidP="00AE6B71">
      <w:pPr>
        <w:spacing w:line="360" w:lineRule="auto"/>
        <w:jc w:val="both"/>
        <w:rPr>
          <w:rFonts w:ascii="Arial" w:hAnsi="Arial" w:cs="Arial"/>
        </w:rPr>
      </w:pPr>
    </w:p>
    <w:p w14:paraId="6736A915" w14:textId="77777777" w:rsidR="00AE6B71" w:rsidRDefault="00AE6B71" w:rsidP="00AE6B71">
      <w:pPr>
        <w:spacing w:line="360" w:lineRule="auto"/>
        <w:jc w:val="both"/>
        <w:rPr>
          <w:rFonts w:ascii="Arial" w:hAnsi="Arial" w:cs="Arial"/>
        </w:rPr>
      </w:pPr>
    </w:p>
    <w:p w14:paraId="4BC89DA5" w14:textId="77777777" w:rsidR="00AE6B71" w:rsidRDefault="00AE6B71" w:rsidP="00AE6B71">
      <w:pPr>
        <w:spacing w:line="360" w:lineRule="auto"/>
        <w:jc w:val="both"/>
        <w:rPr>
          <w:rFonts w:ascii="Arial" w:hAnsi="Arial" w:cs="Arial"/>
        </w:rPr>
      </w:pPr>
    </w:p>
    <w:p w14:paraId="4AF2B79F" w14:textId="77777777" w:rsidR="00AE6B71" w:rsidRDefault="00AE6B71" w:rsidP="00AE6B71">
      <w:pPr>
        <w:spacing w:line="360" w:lineRule="auto"/>
        <w:jc w:val="both"/>
        <w:rPr>
          <w:rFonts w:ascii="Arial" w:hAnsi="Arial" w:cs="Arial"/>
        </w:rPr>
      </w:pPr>
    </w:p>
    <w:p w14:paraId="7C2D697A" w14:textId="192C98BF" w:rsidR="00AE6B71" w:rsidRDefault="00AE6B71" w:rsidP="00AE6B71">
      <w:pPr>
        <w:spacing w:line="360" w:lineRule="auto"/>
        <w:jc w:val="center"/>
        <w:rPr>
          <w:rFonts w:ascii="Arial" w:hAnsi="Arial" w:cs="Arial"/>
          <w:b/>
          <w:bCs/>
          <w:u w:val="single"/>
        </w:rPr>
      </w:pPr>
      <w:r w:rsidRPr="00AE6B71">
        <w:rPr>
          <w:rFonts w:ascii="Arial" w:hAnsi="Arial" w:cs="Arial"/>
          <w:b/>
          <w:bCs/>
          <w:u w:val="single"/>
        </w:rPr>
        <w:lastRenderedPageBreak/>
        <w:t>References</w:t>
      </w:r>
    </w:p>
    <w:p w14:paraId="07ED5CAE" w14:textId="77777777" w:rsidR="00D31D01" w:rsidRDefault="00D31D01" w:rsidP="00AE6B71">
      <w:pPr>
        <w:spacing w:line="360" w:lineRule="auto"/>
        <w:jc w:val="center"/>
        <w:rPr>
          <w:rFonts w:ascii="Arial" w:hAnsi="Arial" w:cs="Arial"/>
          <w:b/>
          <w:bCs/>
          <w:u w:val="single"/>
        </w:rPr>
      </w:pPr>
    </w:p>
    <w:p w14:paraId="276B0891" w14:textId="77777777" w:rsidR="00D31D01" w:rsidRPr="00D31D01" w:rsidRDefault="00D31D01" w:rsidP="00D31D01">
      <w:pPr>
        <w:pStyle w:val="ListParagraph"/>
        <w:numPr>
          <w:ilvl w:val="0"/>
          <w:numId w:val="2"/>
        </w:numPr>
        <w:spacing w:line="360" w:lineRule="auto"/>
        <w:jc w:val="both"/>
        <w:rPr>
          <w:rFonts w:ascii="Arial" w:hAnsi="Arial" w:cs="Arial"/>
          <w:kern w:val="2"/>
        </w:rPr>
      </w:pPr>
      <w:proofErr w:type="spellStart"/>
      <w:r w:rsidRPr="00D31D01">
        <w:rPr>
          <w:rFonts w:ascii="Arial" w:hAnsi="Arial" w:cs="Arial"/>
          <w:kern w:val="2"/>
        </w:rPr>
        <w:t>Amigoni</w:t>
      </w:r>
      <w:proofErr w:type="spellEnd"/>
      <w:r w:rsidRPr="00D31D01">
        <w:rPr>
          <w:rFonts w:ascii="Arial" w:hAnsi="Arial" w:cs="Arial"/>
          <w:kern w:val="2"/>
        </w:rPr>
        <w:t xml:space="preserve">, F. and </w:t>
      </w:r>
      <w:proofErr w:type="spellStart"/>
      <w:r w:rsidRPr="00D31D01">
        <w:rPr>
          <w:rFonts w:ascii="Arial" w:hAnsi="Arial" w:cs="Arial"/>
          <w:kern w:val="2"/>
        </w:rPr>
        <w:t>Caglio</w:t>
      </w:r>
      <w:proofErr w:type="spellEnd"/>
      <w:r w:rsidRPr="00D31D01">
        <w:rPr>
          <w:rFonts w:ascii="Arial" w:hAnsi="Arial" w:cs="Arial"/>
          <w:kern w:val="2"/>
        </w:rPr>
        <w:t>, A. (2017</w:t>
      </w:r>
      <w:r w:rsidRPr="00D31D01">
        <w:rPr>
          <w:rFonts w:ascii="Arial" w:hAnsi="Arial" w:cs="Arial"/>
          <w:i/>
          <w:iCs/>
          <w:kern w:val="2"/>
        </w:rPr>
        <w:t>) Budget</w:t>
      </w:r>
      <w:r w:rsidRPr="00D31D01">
        <w:rPr>
          <w:rFonts w:ascii="Arial" w:hAnsi="Arial" w:cs="Arial"/>
          <w:kern w:val="2"/>
        </w:rPr>
        <w:t>. Egea.</w:t>
      </w:r>
    </w:p>
    <w:p w14:paraId="50347432" w14:textId="77777777" w:rsidR="00D31D01" w:rsidRPr="00D31D01" w:rsidRDefault="00D31D01" w:rsidP="00D31D01">
      <w:pPr>
        <w:spacing w:line="360" w:lineRule="auto"/>
        <w:ind w:left="360"/>
        <w:jc w:val="both"/>
        <w:rPr>
          <w:rFonts w:ascii="Arial" w:hAnsi="Arial" w:cs="Arial"/>
          <w:kern w:val="2"/>
        </w:rPr>
      </w:pPr>
    </w:p>
    <w:p w14:paraId="075A93FC" w14:textId="1AF80FFB" w:rsidR="00D31D01" w:rsidRPr="00D31D01" w:rsidRDefault="00D31D01" w:rsidP="00D31D01">
      <w:pPr>
        <w:pStyle w:val="ListParagraph"/>
        <w:numPr>
          <w:ilvl w:val="0"/>
          <w:numId w:val="2"/>
        </w:numPr>
        <w:spacing w:line="360" w:lineRule="auto"/>
        <w:rPr>
          <w:rFonts w:ascii="Arial" w:hAnsi="Arial" w:cs="Arial"/>
          <w:kern w:val="2"/>
        </w:rPr>
      </w:pPr>
      <w:proofErr w:type="spellStart"/>
      <w:r w:rsidRPr="00D31D01">
        <w:rPr>
          <w:rFonts w:ascii="Arial" w:hAnsi="Arial" w:cs="Arial"/>
          <w:kern w:val="2"/>
        </w:rPr>
        <w:t>Atrill</w:t>
      </w:r>
      <w:proofErr w:type="spellEnd"/>
      <w:r w:rsidRPr="00D31D01">
        <w:rPr>
          <w:rFonts w:ascii="Arial" w:hAnsi="Arial" w:cs="Arial"/>
          <w:kern w:val="2"/>
        </w:rPr>
        <w:t xml:space="preserve">, P. and McLaney, Eddie. (2019) </w:t>
      </w:r>
      <w:r w:rsidRPr="00D31D01">
        <w:rPr>
          <w:rFonts w:ascii="Arial" w:hAnsi="Arial" w:cs="Arial"/>
          <w:i/>
          <w:iCs/>
          <w:kern w:val="2"/>
        </w:rPr>
        <w:t xml:space="preserve">Accounting and Finance for Non-Specialists. </w:t>
      </w:r>
      <w:r w:rsidRPr="00D31D01">
        <w:rPr>
          <w:rFonts w:ascii="Arial" w:hAnsi="Arial" w:cs="Arial"/>
          <w:kern w:val="2"/>
        </w:rPr>
        <w:t>Pearson.</w:t>
      </w:r>
    </w:p>
    <w:p w14:paraId="38EBDAA7" w14:textId="77777777" w:rsidR="00D31D01" w:rsidRPr="00D31D01" w:rsidRDefault="00D31D01" w:rsidP="00D31D01">
      <w:pPr>
        <w:spacing w:line="360" w:lineRule="auto"/>
        <w:rPr>
          <w:rFonts w:ascii="Arial" w:hAnsi="Arial" w:cs="Arial"/>
          <w:kern w:val="2"/>
        </w:rPr>
      </w:pPr>
    </w:p>
    <w:p w14:paraId="4B3003AC" w14:textId="77777777" w:rsidR="00D31D01" w:rsidRPr="00D31D01" w:rsidRDefault="00D31D01" w:rsidP="00D31D01">
      <w:pPr>
        <w:pStyle w:val="ListParagraph"/>
        <w:numPr>
          <w:ilvl w:val="0"/>
          <w:numId w:val="2"/>
        </w:numPr>
        <w:spacing w:line="360" w:lineRule="auto"/>
        <w:jc w:val="both"/>
        <w:rPr>
          <w:rFonts w:ascii="Arial" w:hAnsi="Arial" w:cs="Arial"/>
          <w:kern w:val="2"/>
        </w:rPr>
      </w:pPr>
      <w:r w:rsidRPr="00D31D01">
        <w:rPr>
          <w:rFonts w:ascii="Arial" w:hAnsi="Arial" w:cs="Arial"/>
          <w:kern w:val="2"/>
        </w:rPr>
        <w:t xml:space="preserve">Budd, T.A. (1964) </w:t>
      </w:r>
      <w:r w:rsidRPr="00D31D01">
        <w:rPr>
          <w:rFonts w:ascii="Arial" w:hAnsi="Arial" w:cs="Arial"/>
          <w:i/>
          <w:iCs/>
          <w:kern w:val="2"/>
        </w:rPr>
        <w:t>Financial statement</w:t>
      </w:r>
      <w:r w:rsidRPr="00D31D01">
        <w:rPr>
          <w:rFonts w:ascii="Arial" w:hAnsi="Arial" w:cs="Arial"/>
          <w:kern w:val="2"/>
        </w:rPr>
        <w:t>. Alexander Hamilton Institute.</w:t>
      </w:r>
    </w:p>
    <w:p w14:paraId="0C09B082" w14:textId="77777777" w:rsidR="00D31D01" w:rsidRPr="00D31D01" w:rsidRDefault="00D31D01" w:rsidP="00D31D01">
      <w:pPr>
        <w:spacing w:line="360" w:lineRule="auto"/>
        <w:ind w:left="360"/>
        <w:jc w:val="both"/>
        <w:rPr>
          <w:rFonts w:ascii="Arial" w:hAnsi="Arial" w:cs="Arial"/>
          <w:kern w:val="2"/>
        </w:rPr>
      </w:pPr>
    </w:p>
    <w:p w14:paraId="6AC52897" w14:textId="77777777" w:rsidR="00D31D01" w:rsidRPr="00D31D01" w:rsidRDefault="00D31D01" w:rsidP="00D31D01">
      <w:pPr>
        <w:pStyle w:val="ListParagraph"/>
        <w:numPr>
          <w:ilvl w:val="0"/>
          <w:numId w:val="2"/>
        </w:numPr>
        <w:spacing w:line="360" w:lineRule="auto"/>
        <w:jc w:val="both"/>
        <w:rPr>
          <w:rFonts w:ascii="Arial" w:hAnsi="Arial" w:cs="Arial"/>
          <w:kern w:val="2"/>
        </w:rPr>
      </w:pPr>
      <w:r w:rsidRPr="00D31D01">
        <w:rPr>
          <w:rFonts w:ascii="Arial" w:hAnsi="Arial" w:cs="Arial"/>
          <w:kern w:val="2"/>
        </w:rPr>
        <w:t xml:space="preserve">Diamond, M.A., Hansen, D.R. and Murphy, D.S. (1994) </w:t>
      </w:r>
      <w:r w:rsidRPr="00D31D01">
        <w:rPr>
          <w:rFonts w:ascii="Arial" w:hAnsi="Arial" w:cs="Arial"/>
          <w:i/>
          <w:iCs/>
          <w:kern w:val="2"/>
        </w:rPr>
        <w:t>Financial and Management Accounting</w:t>
      </w:r>
      <w:r w:rsidRPr="00D31D01">
        <w:rPr>
          <w:rFonts w:ascii="Arial" w:hAnsi="Arial" w:cs="Arial"/>
          <w:kern w:val="2"/>
        </w:rPr>
        <w:t>. Cincinnati, OH: South-Western Pub. Co.</w:t>
      </w:r>
    </w:p>
    <w:p w14:paraId="28B31FFE" w14:textId="77777777" w:rsidR="00D31D01" w:rsidRPr="00D31D01" w:rsidRDefault="00D31D01" w:rsidP="00D31D01">
      <w:pPr>
        <w:spacing w:line="360" w:lineRule="auto"/>
        <w:ind w:left="360"/>
        <w:jc w:val="both"/>
        <w:rPr>
          <w:rFonts w:ascii="Arial" w:hAnsi="Arial" w:cs="Arial"/>
          <w:kern w:val="2"/>
        </w:rPr>
      </w:pPr>
    </w:p>
    <w:p w14:paraId="7ADF25EB" w14:textId="77777777" w:rsidR="00D31D01" w:rsidRPr="00D31D01" w:rsidRDefault="00D31D01" w:rsidP="00D31D01">
      <w:pPr>
        <w:pStyle w:val="ListParagraph"/>
        <w:numPr>
          <w:ilvl w:val="0"/>
          <w:numId w:val="2"/>
        </w:numPr>
        <w:spacing w:line="360" w:lineRule="auto"/>
        <w:jc w:val="both"/>
        <w:rPr>
          <w:rFonts w:ascii="Arial" w:hAnsi="Arial" w:cs="Arial"/>
          <w:kern w:val="2"/>
        </w:rPr>
      </w:pPr>
      <w:r w:rsidRPr="00D31D01">
        <w:rPr>
          <w:rFonts w:ascii="Arial" w:hAnsi="Arial" w:cs="Arial"/>
          <w:kern w:val="2"/>
        </w:rPr>
        <w:t xml:space="preserve">Eisen, P.J. (2013) </w:t>
      </w:r>
      <w:r w:rsidRPr="00D31D01">
        <w:rPr>
          <w:rFonts w:ascii="Arial" w:hAnsi="Arial" w:cs="Arial"/>
          <w:i/>
          <w:iCs/>
          <w:kern w:val="2"/>
        </w:rPr>
        <w:t>Accounting</w:t>
      </w:r>
      <w:r w:rsidRPr="00D31D01">
        <w:rPr>
          <w:rFonts w:ascii="Arial" w:hAnsi="Arial" w:cs="Arial"/>
          <w:kern w:val="2"/>
        </w:rPr>
        <w:t>.</w:t>
      </w:r>
      <w:r w:rsidRPr="00D31D01">
        <w:rPr>
          <w:kern w:val="2"/>
        </w:rPr>
        <w:t xml:space="preserve"> </w:t>
      </w:r>
      <w:r w:rsidRPr="00D31D01">
        <w:rPr>
          <w:rFonts w:ascii="Arial" w:hAnsi="Arial" w:cs="Arial"/>
          <w:kern w:val="2"/>
        </w:rPr>
        <w:t>Barrons Educational Services.</w:t>
      </w:r>
    </w:p>
    <w:p w14:paraId="5DBE8F9F" w14:textId="77777777" w:rsidR="00D31D01" w:rsidRPr="00D31D01" w:rsidRDefault="00D31D01" w:rsidP="00D31D01">
      <w:pPr>
        <w:spacing w:line="360" w:lineRule="auto"/>
        <w:ind w:left="360"/>
        <w:jc w:val="both"/>
        <w:rPr>
          <w:rFonts w:ascii="Arial" w:hAnsi="Arial" w:cs="Arial"/>
          <w:kern w:val="2"/>
        </w:rPr>
      </w:pPr>
    </w:p>
    <w:p w14:paraId="7298AC49" w14:textId="77777777" w:rsidR="00D31D01" w:rsidRPr="00D31D01" w:rsidRDefault="00D31D01" w:rsidP="00D31D01">
      <w:pPr>
        <w:pStyle w:val="ListParagraph"/>
        <w:numPr>
          <w:ilvl w:val="0"/>
          <w:numId w:val="2"/>
        </w:numPr>
        <w:spacing w:line="360" w:lineRule="auto"/>
        <w:jc w:val="both"/>
        <w:rPr>
          <w:rFonts w:ascii="Arial" w:hAnsi="Arial" w:cs="Arial"/>
          <w:kern w:val="2"/>
        </w:rPr>
      </w:pPr>
      <w:r w:rsidRPr="00D31D01">
        <w:rPr>
          <w:rFonts w:ascii="Arial" w:hAnsi="Arial" w:cs="Arial"/>
          <w:kern w:val="2"/>
        </w:rPr>
        <w:t xml:space="preserve">Elliott, B. and Elliott, J. (2019) </w:t>
      </w:r>
      <w:r w:rsidRPr="00D31D01">
        <w:rPr>
          <w:rFonts w:ascii="Arial" w:hAnsi="Arial" w:cs="Arial"/>
          <w:i/>
          <w:iCs/>
          <w:kern w:val="2"/>
        </w:rPr>
        <w:t>Financial Accounting and Reporting</w:t>
      </w:r>
      <w:r w:rsidRPr="00D31D01">
        <w:rPr>
          <w:rFonts w:ascii="Arial" w:hAnsi="Arial" w:cs="Arial"/>
          <w:kern w:val="2"/>
        </w:rPr>
        <w:t>. Harlow, United Kingdom: Pearson Education Limited.</w:t>
      </w:r>
    </w:p>
    <w:p w14:paraId="66167171" w14:textId="77777777" w:rsidR="00D31D01" w:rsidRPr="00D31D01" w:rsidRDefault="00D31D01" w:rsidP="00D31D01">
      <w:pPr>
        <w:spacing w:line="360" w:lineRule="auto"/>
        <w:ind w:left="360"/>
        <w:jc w:val="both"/>
        <w:rPr>
          <w:rFonts w:ascii="Arial" w:hAnsi="Arial" w:cs="Arial"/>
          <w:kern w:val="2"/>
        </w:rPr>
      </w:pPr>
    </w:p>
    <w:p w14:paraId="060ADEE3" w14:textId="77777777" w:rsidR="00D31D01" w:rsidRPr="00D31D01" w:rsidRDefault="00D31D01" w:rsidP="00D31D01">
      <w:pPr>
        <w:pStyle w:val="ListParagraph"/>
        <w:numPr>
          <w:ilvl w:val="0"/>
          <w:numId w:val="2"/>
        </w:numPr>
        <w:spacing w:line="360" w:lineRule="auto"/>
        <w:jc w:val="both"/>
        <w:rPr>
          <w:rFonts w:ascii="Arial" w:hAnsi="Arial" w:cs="Arial"/>
          <w:kern w:val="2"/>
        </w:rPr>
      </w:pPr>
      <w:r w:rsidRPr="00D31D01">
        <w:rPr>
          <w:rFonts w:ascii="Arial" w:hAnsi="Arial" w:cs="Arial"/>
          <w:kern w:val="2"/>
        </w:rPr>
        <w:t xml:space="preserve">Garner, D.E. and Murphy, D.M. (1975) </w:t>
      </w:r>
      <w:r w:rsidRPr="00D31D01">
        <w:rPr>
          <w:rFonts w:ascii="Arial" w:hAnsi="Arial" w:cs="Arial"/>
          <w:i/>
          <w:iCs/>
          <w:kern w:val="2"/>
        </w:rPr>
        <w:t>The nature and purpose of accounting</w:t>
      </w:r>
      <w:r w:rsidRPr="00D31D01">
        <w:rPr>
          <w:rFonts w:ascii="Arial" w:hAnsi="Arial" w:cs="Arial"/>
          <w:kern w:val="2"/>
        </w:rPr>
        <w:t>. Belmont, CA: Wadsworth Pub. Co.</w:t>
      </w:r>
    </w:p>
    <w:p w14:paraId="6A154DFB" w14:textId="77777777" w:rsidR="00D31D01" w:rsidRPr="00D31D01" w:rsidRDefault="00D31D01" w:rsidP="00D31D01">
      <w:pPr>
        <w:spacing w:line="360" w:lineRule="auto"/>
        <w:ind w:left="360"/>
        <w:jc w:val="both"/>
        <w:rPr>
          <w:rFonts w:ascii="Arial" w:hAnsi="Arial" w:cs="Arial"/>
          <w:kern w:val="2"/>
        </w:rPr>
      </w:pPr>
    </w:p>
    <w:p w14:paraId="4E5D73C5" w14:textId="77777777" w:rsidR="00D31D01" w:rsidRPr="00D31D01" w:rsidRDefault="00D31D01" w:rsidP="00D31D01">
      <w:pPr>
        <w:pStyle w:val="ListParagraph"/>
        <w:numPr>
          <w:ilvl w:val="0"/>
          <w:numId w:val="2"/>
        </w:numPr>
        <w:spacing w:line="360" w:lineRule="auto"/>
        <w:jc w:val="both"/>
        <w:rPr>
          <w:rFonts w:ascii="Arial" w:hAnsi="Arial" w:cs="Arial"/>
          <w:kern w:val="2"/>
        </w:rPr>
      </w:pPr>
      <w:r w:rsidRPr="00D31D01">
        <w:rPr>
          <w:rFonts w:ascii="Arial" w:hAnsi="Arial" w:cs="Arial"/>
          <w:kern w:val="2"/>
        </w:rPr>
        <w:t xml:space="preserve">Jones, M. (2013) </w:t>
      </w:r>
      <w:r w:rsidRPr="00D31D01">
        <w:rPr>
          <w:rFonts w:ascii="Arial" w:hAnsi="Arial" w:cs="Arial"/>
          <w:i/>
          <w:iCs/>
          <w:kern w:val="2"/>
        </w:rPr>
        <w:t>Accounting</w:t>
      </w:r>
      <w:r w:rsidRPr="00D31D01">
        <w:rPr>
          <w:rFonts w:ascii="Arial" w:hAnsi="Arial" w:cs="Arial"/>
          <w:kern w:val="2"/>
        </w:rPr>
        <w:t>. John Wiley &amp; Sons Inc.</w:t>
      </w:r>
    </w:p>
    <w:p w14:paraId="722F2162" w14:textId="77777777" w:rsidR="00D31D01" w:rsidRPr="00D31D01" w:rsidRDefault="00D31D01" w:rsidP="00D31D01">
      <w:pPr>
        <w:spacing w:line="360" w:lineRule="auto"/>
        <w:ind w:left="360"/>
        <w:jc w:val="both"/>
        <w:rPr>
          <w:rFonts w:ascii="Arial" w:hAnsi="Arial" w:cs="Arial"/>
          <w:kern w:val="2"/>
        </w:rPr>
      </w:pPr>
    </w:p>
    <w:p w14:paraId="15209E1F" w14:textId="77777777" w:rsidR="00D31D01" w:rsidRPr="00D31D01" w:rsidRDefault="00D31D01" w:rsidP="00D31D01">
      <w:pPr>
        <w:pStyle w:val="ListParagraph"/>
        <w:numPr>
          <w:ilvl w:val="0"/>
          <w:numId w:val="2"/>
        </w:numPr>
        <w:spacing w:line="360" w:lineRule="auto"/>
        <w:jc w:val="both"/>
        <w:rPr>
          <w:rFonts w:ascii="Arial" w:hAnsi="Arial" w:cs="Arial"/>
          <w:kern w:val="2"/>
        </w:rPr>
      </w:pPr>
      <w:r w:rsidRPr="00D31D01">
        <w:rPr>
          <w:rFonts w:ascii="Arial" w:hAnsi="Arial" w:cs="Arial"/>
          <w:kern w:val="2"/>
        </w:rPr>
        <w:t xml:space="preserve">Powers, M. and Needles, B. (2010) </w:t>
      </w:r>
      <w:r w:rsidRPr="00D31D01">
        <w:rPr>
          <w:rFonts w:ascii="Arial" w:hAnsi="Arial" w:cs="Arial"/>
          <w:i/>
          <w:iCs/>
          <w:kern w:val="2"/>
        </w:rPr>
        <w:t>Financial accounting</w:t>
      </w:r>
      <w:r w:rsidRPr="00D31D01">
        <w:rPr>
          <w:rFonts w:ascii="Arial" w:hAnsi="Arial" w:cs="Arial"/>
          <w:kern w:val="2"/>
        </w:rPr>
        <w:t>. Cengage Learning.</w:t>
      </w:r>
    </w:p>
    <w:p w14:paraId="37C281FA" w14:textId="77777777" w:rsidR="00AE6B71" w:rsidRPr="00AE6B71" w:rsidRDefault="00AE6B71" w:rsidP="00AE6B71">
      <w:pPr>
        <w:spacing w:line="360" w:lineRule="auto"/>
        <w:rPr>
          <w:rFonts w:ascii="Arial" w:hAnsi="Arial" w:cs="Arial"/>
          <w:b/>
          <w:bCs/>
          <w:u w:val="single"/>
        </w:rPr>
      </w:pPr>
    </w:p>
    <w:sectPr w:rsidR="00AE6B71" w:rsidRPr="00AE6B71" w:rsidSect="004931B6">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2F372" w14:textId="77777777" w:rsidR="00121521" w:rsidRDefault="00121521" w:rsidP="00AE6B71">
      <w:pPr>
        <w:spacing w:after="0" w:line="240" w:lineRule="auto"/>
      </w:pPr>
      <w:r>
        <w:separator/>
      </w:r>
    </w:p>
  </w:endnote>
  <w:endnote w:type="continuationSeparator" w:id="0">
    <w:p w14:paraId="22641898" w14:textId="77777777" w:rsidR="00121521" w:rsidRDefault="00121521" w:rsidP="00AE6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722559"/>
      <w:docPartObj>
        <w:docPartGallery w:val="Page Numbers (Bottom of Page)"/>
        <w:docPartUnique/>
      </w:docPartObj>
    </w:sdtPr>
    <w:sdtEndPr>
      <w:rPr>
        <w:noProof/>
      </w:rPr>
    </w:sdtEndPr>
    <w:sdtContent>
      <w:p w14:paraId="517F0A06" w14:textId="35515B23" w:rsidR="00AE6B71" w:rsidRDefault="00AE6B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011B99" w14:textId="77777777" w:rsidR="00AE6B71" w:rsidRDefault="00AE6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8B073" w14:textId="77777777" w:rsidR="00121521" w:rsidRDefault="00121521" w:rsidP="00AE6B71">
      <w:pPr>
        <w:spacing w:after="0" w:line="240" w:lineRule="auto"/>
      </w:pPr>
      <w:r>
        <w:separator/>
      </w:r>
    </w:p>
  </w:footnote>
  <w:footnote w:type="continuationSeparator" w:id="0">
    <w:p w14:paraId="23790892" w14:textId="77777777" w:rsidR="00121521" w:rsidRDefault="00121521" w:rsidP="00AE6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B3BE6"/>
    <w:multiLevelType w:val="hybridMultilevel"/>
    <w:tmpl w:val="58648F6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C7212BA"/>
    <w:multiLevelType w:val="hybridMultilevel"/>
    <w:tmpl w:val="5D1EC8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123045">
    <w:abstractNumId w:val="0"/>
  </w:num>
  <w:num w:numId="2" w16cid:durableId="311763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31B6"/>
    <w:rsid w:val="0008220D"/>
    <w:rsid w:val="00121521"/>
    <w:rsid w:val="00331E4B"/>
    <w:rsid w:val="0041111F"/>
    <w:rsid w:val="004931B6"/>
    <w:rsid w:val="006E43D9"/>
    <w:rsid w:val="006E4F03"/>
    <w:rsid w:val="008C3111"/>
    <w:rsid w:val="00945D8D"/>
    <w:rsid w:val="00AE6B71"/>
    <w:rsid w:val="00D31D01"/>
    <w:rsid w:val="00DE6864"/>
    <w:rsid w:val="00E11054"/>
    <w:rsid w:val="00FD5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74537"/>
  <w15:chartTrackingRefBased/>
  <w15:docId w15:val="{3291661F-C1A3-4840-B037-BADC1B57B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1B6"/>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1B6"/>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4931B6"/>
    <w:rPr>
      <w:rFonts w:eastAsiaTheme="minorEastAsia"/>
      <w:kern w:val="0"/>
    </w:rPr>
  </w:style>
  <w:style w:type="paragraph" w:styleId="Header">
    <w:name w:val="header"/>
    <w:basedOn w:val="Normal"/>
    <w:link w:val="HeaderChar"/>
    <w:uiPriority w:val="99"/>
    <w:unhideWhenUsed/>
    <w:rsid w:val="00AE6B71"/>
    <w:pPr>
      <w:tabs>
        <w:tab w:val="center" w:pos="4703"/>
        <w:tab w:val="right" w:pos="9406"/>
      </w:tabs>
      <w:spacing w:after="0" w:line="240" w:lineRule="auto"/>
    </w:pPr>
  </w:style>
  <w:style w:type="character" w:customStyle="1" w:styleId="HeaderChar">
    <w:name w:val="Header Char"/>
    <w:basedOn w:val="DefaultParagraphFont"/>
    <w:link w:val="Header"/>
    <w:uiPriority w:val="99"/>
    <w:rsid w:val="00AE6B71"/>
    <w:rPr>
      <w:kern w:val="0"/>
    </w:rPr>
  </w:style>
  <w:style w:type="paragraph" w:styleId="Footer">
    <w:name w:val="footer"/>
    <w:basedOn w:val="Normal"/>
    <w:link w:val="FooterChar"/>
    <w:uiPriority w:val="99"/>
    <w:unhideWhenUsed/>
    <w:rsid w:val="00AE6B71"/>
    <w:pPr>
      <w:tabs>
        <w:tab w:val="center" w:pos="4703"/>
        <w:tab w:val="right" w:pos="9406"/>
      </w:tabs>
      <w:spacing w:after="0" w:line="240" w:lineRule="auto"/>
    </w:pPr>
  </w:style>
  <w:style w:type="character" w:customStyle="1" w:styleId="FooterChar">
    <w:name w:val="Footer Char"/>
    <w:basedOn w:val="DefaultParagraphFont"/>
    <w:link w:val="Footer"/>
    <w:uiPriority w:val="99"/>
    <w:rsid w:val="00AE6B71"/>
    <w:rPr>
      <w:kern w:val="0"/>
    </w:rPr>
  </w:style>
  <w:style w:type="character" w:styleId="Hyperlink">
    <w:name w:val="Hyperlink"/>
    <w:basedOn w:val="DefaultParagraphFont"/>
    <w:uiPriority w:val="99"/>
    <w:unhideWhenUsed/>
    <w:rsid w:val="00AE6B71"/>
    <w:rPr>
      <w:color w:val="0563C1" w:themeColor="hyperlink"/>
      <w:u w:val="single"/>
    </w:rPr>
  </w:style>
  <w:style w:type="character" w:styleId="UnresolvedMention">
    <w:name w:val="Unresolved Mention"/>
    <w:basedOn w:val="DefaultParagraphFont"/>
    <w:uiPriority w:val="99"/>
    <w:semiHidden/>
    <w:unhideWhenUsed/>
    <w:rsid w:val="00AE6B71"/>
    <w:rPr>
      <w:color w:val="605E5C"/>
      <w:shd w:val="clear" w:color="auto" w:fill="E1DFDD"/>
    </w:rPr>
  </w:style>
  <w:style w:type="table" w:styleId="GridTable5Dark-Accent6">
    <w:name w:val="Grid Table 5 Dark Accent 6"/>
    <w:basedOn w:val="TableNormal"/>
    <w:uiPriority w:val="50"/>
    <w:rsid w:val="00AE6B7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ph">
    <w:name w:val="List Paragraph"/>
    <w:basedOn w:val="Normal"/>
    <w:uiPriority w:val="34"/>
    <w:qFormat/>
    <w:rsid w:val="00D31D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0E386-49DA-47C9-89A1-AB5673370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1</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dc:creator>
  <cp:keywords/>
  <dc:description/>
  <cp:lastModifiedBy>Tsonyo Todorov (2021609)</cp:lastModifiedBy>
  <cp:revision>6</cp:revision>
  <dcterms:created xsi:type="dcterms:W3CDTF">2023-08-27T12:58:00Z</dcterms:created>
  <dcterms:modified xsi:type="dcterms:W3CDTF">2023-08-31T12:40:00Z</dcterms:modified>
</cp:coreProperties>
</file>