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015EE" w14:textId="3B8BA62D" w:rsidR="00C019E0" w:rsidRDefault="00C019E0" w:rsidP="008A6F34">
      <w:pPr>
        <w:spacing w:before="100" w:beforeAutospacing="1" w:after="100" w:afterAutospacing="1" w:line="360" w:lineRule="auto"/>
        <w:outlineLvl w:val="0"/>
        <w:rPr>
          <w:rFonts w:ascii="Arial" w:eastAsia="Times New Roman" w:hAnsi="Arial" w:cs="Arial"/>
          <w:b/>
          <w:bCs/>
          <w:kern w:val="36"/>
          <w:lang w:eastAsia="en-GB"/>
          <w14:ligatures w14:val="none"/>
        </w:rPr>
      </w:pPr>
      <w:r>
        <w:rPr>
          <w:noProof/>
        </w:rPr>
        <w:drawing>
          <wp:inline distT="0" distB="0" distL="0" distR="0" wp14:anchorId="7772DED7" wp14:editId="31338CB9">
            <wp:extent cx="3162300" cy="1514475"/>
            <wp:effectExtent l="0" t="0" r="0" b="9525"/>
            <wp:docPr id="5"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Hub: description, news and contact inf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62300" cy="1514475"/>
                    </a:xfrm>
                    <a:prstGeom prst="rect">
                      <a:avLst/>
                    </a:prstGeom>
                    <a:noFill/>
                    <a:ln>
                      <a:noFill/>
                    </a:ln>
                  </pic:spPr>
                </pic:pic>
              </a:graphicData>
            </a:graphic>
          </wp:inline>
        </w:drawing>
      </w:r>
    </w:p>
    <w:p w14:paraId="1BBB264E" w14:textId="77777777" w:rsidR="00C019E0" w:rsidRDefault="00C019E0" w:rsidP="008A6F34">
      <w:pPr>
        <w:spacing w:before="100" w:beforeAutospacing="1" w:after="100" w:afterAutospacing="1" w:line="360" w:lineRule="auto"/>
        <w:outlineLvl w:val="0"/>
        <w:rPr>
          <w:rFonts w:ascii="Arial" w:eastAsia="Times New Roman" w:hAnsi="Arial" w:cs="Arial"/>
          <w:b/>
          <w:bCs/>
          <w:kern w:val="36"/>
          <w:lang w:eastAsia="en-GB"/>
          <w14:ligatures w14:val="none"/>
        </w:rPr>
      </w:pPr>
    </w:p>
    <w:p w14:paraId="605F0034" w14:textId="77777777" w:rsidR="00C019E0" w:rsidRDefault="00C019E0" w:rsidP="008A6F34">
      <w:pPr>
        <w:spacing w:before="100" w:beforeAutospacing="1" w:after="100" w:afterAutospacing="1" w:line="360" w:lineRule="auto"/>
        <w:outlineLvl w:val="0"/>
        <w:rPr>
          <w:rFonts w:ascii="Arial" w:eastAsia="Times New Roman" w:hAnsi="Arial" w:cs="Arial"/>
          <w:b/>
          <w:bCs/>
          <w:kern w:val="36"/>
          <w:lang w:eastAsia="en-GB"/>
          <w14:ligatures w14:val="none"/>
        </w:rPr>
      </w:pPr>
    </w:p>
    <w:p w14:paraId="500A666F" w14:textId="77777777" w:rsidR="00C019E0" w:rsidRDefault="00C019E0" w:rsidP="008A6F34">
      <w:pPr>
        <w:spacing w:before="100" w:beforeAutospacing="1" w:after="100" w:afterAutospacing="1" w:line="360" w:lineRule="auto"/>
        <w:outlineLvl w:val="0"/>
        <w:rPr>
          <w:rFonts w:ascii="Arial" w:eastAsia="Times New Roman" w:hAnsi="Arial" w:cs="Arial"/>
          <w:b/>
          <w:bCs/>
          <w:kern w:val="36"/>
          <w:lang w:eastAsia="en-GB"/>
          <w14:ligatures w14:val="none"/>
        </w:rPr>
      </w:pPr>
    </w:p>
    <w:p w14:paraId="72E3135C" w14:textId="77777777" w:rsidR="00C019E0" w:rsidRDefault="00C019E0" w:rsidP="008A6F34">
      <w:pPr>
        <w:spacing w:before="100" w:beforeAutospacing="1" w:after="100" w:afterAutospacing="1" w:line="360" w:lineRule="auto"/>
        <w:outlineLvl w:val="0"/>
        <w:rPr>
          <w:rFonts w:ascii="Arial" w:eastAsia="Times New Roman" w:hAnsi="Arial" w:cs="Arial"/>
          <w:b/>
          <w:bCs/>
          <w:kern w:val="36"/>
          <w:lang w:eastAsia="en-GB"/>
          <w14:ligatures w14:val="none"/>
        </w:rPr>
      </w:pPr>
    </w:p>
    <w:p w14:paraId="5C0C7FFA" w14:textId="77777777" w:rsidR="0056125F" w:rsidRDefault="0056125F" w:rsidP="00C019E0">
      <w:pPr>
        <w:spacing w:after="0" w:line="360" w:lineRule="auto"/>
        <w:jc w:val="center"/>
        <w:rPr>
          <w:rFonts w:ascii="Arial" w:hAnsi="Arial" w:cs="Arial"/>
          <w:b/>
          <w:bCs/>
        </w:rPr>
      </w:pPr>
    </w:p>
    <w:p w14:paraId="361EFDB6" w14:textId="77777777" w:rsidR="0056125F" w:rsidRDefault="0056125F" w:rsidP="00C019E0">
      <w:pPr>
        <w:spacing w:after="0" w:line="360" w:lineRule="auto"/>
        <w:jc w:val="center"/>
        <w:rPr>
          <w:rFonts w:ascii="Arial" w:hAnsi="Arial" w:cs="Arial"/>
          <w:b/>
          <w:bCs/>
        </w:rPr>
      </w:pPr>
    </w:p>
    <w:p w14:paraId="23E1F48F" w14:textId="66967BF9" w:rsidR="00C019E0" w:rsidRPr="00F85BB9" w:rsidRDefault="00C019E0" w:rsidP="00C019E0">
      <w:pPr>
        <w:spacing w:after="0" w:line="360" w:lineRule="auto"/>
        <w:jc w:val="center"/>
        <w:rPr>
          <w:rFonts w:ascii="Arial" w:hAnsi="Arial" w:cs="Arial"/>
          <w:b/>
          <w:bCs/>
        </w:rPr>
      </w:pPr>
      <w:r w:rsidRPr="00F85BB9">
        <w:rPr>
          <w:rFonts w:ascii="Arial" w:hAnsi="Arial" w:cs="Arial"/>
          <w:b/>
          <w:bCs/>
        </w:rPr>
        <w:t>Asfia Akhtar</w:t>
      </w:r>
    </w:p>
    <w:p w14:paraId="2E6FD4B6" w14:textId="77777777" w:rsidR="00C019E0" w:rsidRPr="00F85BB9" w:rsidRDefault="00C019E0" w:rsidP="00C019E0">
      <w:pPr>
        <w:spacing w:after="0" w:line="360" w:lineRule="auto"/>
        <w:jc w:val="center"/>
        <w:rPr>
          <w:rFonts w:ascii="Arial" w:hAnsi="Arial" w:cs="Arial"/>
          <w:b/>
          <w:bCs/>
        </w:rPr>
      </w:pPr>
      <w:r w:rsidRPr="00F85BB9">
        <w:rPr>
          <w:rFonts w:ascii="Arial" w:hAnsi="Arial" w:cs="Arial"/>
          <w:b/>
          <w:bCs/>
        </w:rPr>
        <w:t>2432708</w:t>
      </w:r>
    </w:p>
    <w:p w14:paraId="13401DE4" w14:textId="77777777" w:rsidR="00C019E0" w:rsidRPr="00F85BB9" w:rsidRDefault="00C019E0" w:rsidP="00C019E0">
      <w:pPr>
        <w:spacing w:after="0" w:line="360" w:lineRule="auto"/>
        <w:jc w:val="center"/>
        <w:rPr>
          <w:rFonts w:ascii="Arial" w:hAnsi="Arial" w:cs="Arial"/>
          <w:b/>
          <w:bCs/>
        </w:rPr>
      </w:pPr>
      <w:r w:rsidRPr="00F85BB9">
        <w:rPr>
          <w:rFonts w:ascii="Arial" w:hAnsi="Arial" w:cs="Arial"/>
          <w:b/>
          <w:bCs/>
        </w:rPr>
        <w:t>LCHS4010_BIRM</w:t>
      </w:r>
    </w:p>
    <w:p w14:paraId="1DC76A27" w14:textId="67FD5E40" w:rsidR="00C019E0" w:rsidRPr="00F85BB9" w:rsidRDefault="00C019E0" w:rsidP="00C019E0">
      <w:pPr>
        <w:spacing w:after="0" w:line="360" w:lineRule="auto"/>
        <w:jc w:val="center"/>
        <w:rPr>
          <w:rFonts w:ascii="Arial" w:hAnsi="Arial" w:cs="Arial"/>
          <w:b/>
          <w:bCs/>
        </w:rPr>
      </w:pPr>
      <w:r w:rsidRPr="00F85BB9">
        <w:rPr>
          <w:rFonts w:ascii="Arial" w:hAnsi="Arial" w:cs="Arial"/>
          <w:b/>
          <w:bCs/>
        </w:rPr>
        <w:t>P</w:t>
      </w:r>
      <w:r>
        <w:rPr>
          <w:rFonts w:ascii="Arial" w:hAnsi="Arial" w:cs="Arial"/>
          <w:b/>
          <w:bCs/>
        </w:rPr>
        <w:t>sychology in Health and Social Care</w:t>
      </w:r>
    </w:p>
    <w:p w14:paraId="06402819" w14:textId="57E2C8D7" w:rsidR="00C019E0" w:rsidRPr="00F85BB9" w:rsidRDefault="00C019E0" w:rsidP="00C019E0">
      <w:pPr>
        <w:spacing w:after="0" w:line="360" w:lineRule="auto"/>
        <w:jc w:val="center"/>
        <w:rPr>
          <w:rFonts w:ascii="Arial" w:hAnsi="Arial" w:cs="Arial"/>
          <w:b/>
          <w:bCs/>
        </w:rPr>
      </w:pPr>
      <w:r>
        <w:rPr>
          <w:rFonts w:ascii="Arial" w:hAnsi="Arial" w:cs="Arial"/>
          <w:b/>
          <w:bCs/>
        </w:rPr>
        <w:t xml:space="preserve">Rizwan Nadim </w:t>
      </w:r>
    </w:p>
    <w:p w14:paraId="664EF6F6" w14:textId="541B1D1F" w:rsidR="00C019E0" w:rsidRPr="00F85BB9" w:rsidRDefault="00C019E0" w:rsidP="00C019E0">
      <w:pPr>
        <w:spacing w:after="0" w:line="360" w:lineRule="auto"/>
        <w:jc w:val="center"/>
        <w:rPr>
          <w:rFonts w:ascii="Arial" w:hAnsi="Arial" w:cs="Arial"/>
          <w:b/>
          <w:bCs/>
        </w:rPr>
      </w:pPr>
      <w:r>
        <w:rPr>
          <w:rFonts w:ascii="Arial" w:hAnsi="Arial" w:cs="Arial"/>
          <w:b/>
          <w:bCs/>
        </w:rPr>
        <w:t>Bibliography and Report</w:t>
      </w:r>
    </w:p>
    <w:p w14:paraId="7E6517D3" w14:textId="77777777" w:rsidR="00C019E0" w:rsidRPr="00F85BB9" w:rsidRDefault="00C019E0" w:rsidP="00C019E0">
      <w:pPr>
        <w:spacing w:after="0" w:line="360" w:lineRule="auto"/>
        <w:jc w:val="center"/>
        <w:rPr>
          <w:rFonts w:ascii="Arial" w:hAnsi="Arial" w:cs="Arial"/>
          <w:b/>
          <w:bCs/>
          <w:sz w:val="28"/>
          <w:szCs w:val="28"/>
        </w:rPr>
      </w:pPr>
    </w:p>
    <w:p w14:paraId="074FFF67" w14:textId="321E7210" w:rsidR="00C019E0" w:rsidRPr="00F85BB9" w:rsidRDefault="00C019E0" w:rsidP="00C019E0">
      <w:pPr>
        <w:spacing w:after="0" w:line="360" w:lineRule="auto"/>
        <w:jc w:val="center"/>
        <w:rPr>
          <w:rFonts w:ascii="Arial" w:hAnsi="Arial" w:cs="Arial"/>
          <w:b/>
          <w:bCs/>
        </w:rPr>
      </w:pPr>
      <w:r w:rsidRPr="00F85BB9">
        <w:rPr>
          <w:rFonts w:ascii="Arial" w:hAnsi="Arial" w:cs="Arial"/>
          <w:b/>
          <w:bCs/>
        </w:rPr>
        <w:t xml:space="preserve">Date: </w:t>
      </w:r>
      <w:r w:rsidR="00A63733">
        <w:rPr>
          <w:rFonts w:ascii="Arial" w:hAnsi="Arial" w:cs="Arial"/>
          <w:b/>
          <w:bCs/>
        </w:rPr>
        <w:t>23</w:t>
      </w:r>
      <w:r>
        <w:rPr>
          <w:rFonts w:ascii="Arial" w:hAnsi="Arial" w:cs="Arial"/>
          <w:b/>
          <w:bCs/>
        </w:rPr>
        <w:t>/03/2026</w:t>
      </w:r>
    </w:p>
    <w:p w14:paraId="73CD3E75" w14:textId="77777777" w:rsidR="00C019E0" w:rsidRDefault="00C019E0" w:rsidP="00C019E0">
      <w:pPr>
        <w:spacing w:before="100" w:beforeAutospacing="1" w:after="100" w:afterAutospacing="1" w:line="360" w:lineRule="auto"/>
        <w:jc w:val="center"/>
        <w:outlineLvl w:val="0"/>
        <w:rPr>
          <w:rFonts w:ascii="Arial" w:eastAsia="Times New Roman" w:hAnsi="Arial" w:cs="Arial"/>
          <w:b/>
          <w:bCs/>
          <w:kern w:val="36"/>
          <w:lang w:eastAsia="en-GB"/>
          <w14:ligatures w14:val="none"/>
        </w:rPr>
      </w:pPr>
    </w:p>
    <w:p w14:paraId="3E735793" w14:textId="77777777" w:rsidR="00C019E0" w:rsidRDefault="00C019E0">
      <w:pPr>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br w:type="page"/>
      </w:r>
    </w:p>
    <w:p w14:paraId="2C6F3C2D" w14:textId="77777777" w:rsidR="00891C46" w:rsidRDefault="0065755D" w:rsidP="00891C46">
      <w:pPr>
        <w:spacing w:before="100" w:beforeAutospacing="1" w:after="100" w:afterAutospacing="1" w:line="360" w:lineRule="auto"/>
        <w:outlineLvl w:val="1"/>
        <w:rPr>
          <w:rFonts w:ascii="Arial" w:eastAsia="Times New Roman" w:hAnsi="Arial" w:cs="Arial"/>
          <w:b/>
          <w:bCs/>
          <w:kern w:val="0"/>
          <w:lang w:eastAsia="en-GB"/>
          <w14:ligatures w14:val="none"/>
        </w:rPr>
      </w:pPr>
      <w:r w:rsidRPr="0065755D">
        <w:rPr>
          <w:rFonts w:ascii="Arial" w:eastAsia="Times New Roman" w:hAnsi="Arial" w:cs="Arial"/>
          <w:b/>
          <w:bCs/>
          <w:kern w:val="0"/>
          <w:lang w:eastAsia="en-GB"/>
          <w14:ligatures w14:val="none"/>
        </w:rPr>
        <w:lastRenderedPageBreak/>
        <w:t>Contents</w:t>
      </w:r>
    </w:p>
    <w:p w14:paraId="57570BAB" w14:textId="21991CB8" w:rsidR="00891C46" w:rsidRDefault="0065755D" w:rsidP="00891C46">
      <w:pPr>
        <w:spacing w:before="100" w:beforeAutospacing="1" w:after="100" w:afterAutospacing="1" w:line="360" w:lineRule="auto"/>
        <w:outlineLvl w:val="1"/>
        <w:rPr>
          <w:rFonts w:ascii="Arial" w:eastAsia="Times New Roman" w:hAnsi="Arial" w:cs="Arial"/>
          <w:b/>
          <w:bCs/>
          <w:kern w:val="0"/>
          <w:lang w:eastAsia="en-GB"/>
          <w14:ligatures w14:val="none"/>
        </w:rPr>
      </w:pPr>
      <w:r w:rsidRPr="00CA5B8A">
        <w:rPr>
          <w:rFonts w:ascii="Arial" w:eastAsia="Times New Roman" w:hAnsi="Arial" w:cs="Arial"/>
          <w:b/>
          <w:bCs/>
          <w:kern w:val="0"/>
          <w:lang w:eastAsia="en-GB"/>
          <w14:ligatures w14:val="none"/>
        </w:rPr>
        <w:t>Part A: Annotated Bibliography .............................................</w:t>
      </w:r>
      <w:r w:rsidR="00033B97" w:rsidRPr="00CA5B8A">
        <w:rPr>
          <w:rFonts w:ascii="Arial" w:eastAsia="Times New Roman" w:hAnsi="Arial" w:cs="Arial"/>
          <w:b/>
          <w:bCs/>
          <w:kern w:val="0"/>
          <w:lang w:eastAsia="en-GB"/>
          <w14:ligatures w14:val="none"/>
        </w:rPr>
        <w:t>...</w:t>
      </w:r>
      <w:r w:rsidR="00C14B6E" w:rsidRPr="00CA5B8A">
        <w:rPr>
          <w:rFonts w:ascii="Arial" w:eastAsia="Times New Roman" w:hAnsi="Arial" w:cs="Arial"/>
          <w:b/>
          <w:bCs/>
          <w:kern w:val="0"/>
          <w:lang w:eastAsia="en-GB"/>
          <w14:ligatures w14:val="none"/>
        </w:rPr>
        <w:t>3</w:t>
      </w:r>
      <w:r w:rsidRPr="0065755D">
        <w:rPr>
          <w:rFonts w:ascii="Arial" w:eastAsia="Times New Roman" w:hAnsi="Arial" w:cs="Arial"/>
          <w:kern w:val="0"/>
          <w:lang w:eastAsia="en-GB"/>
          <w14:ligatures w14:val="none"/>
        </w:rPr>
        <w:br/>
      </w:r>
      <w:r w:rsidRPr="0065755D">
        <w:rPr>
          <w:rFonts w:ascii="Arial" w:eastAsia="Times New Roman" w:hAnsi="Arial" w:cs="Arial"/>
          <w:kern w:val="0"/>
          <w:lang w:eastAsia="en-GB"/>
          <w14:ligatures w14:val="none"/>
        </w:rPr>
        <w:t> </w:t>
      </w:r>
      <w:r w:rsidRPr="0065755D">
        <w:rPr>
          <w:rFonts w:ascii="Arial" w:eastAsia="Times New Roman" w:hAnsi="Arial" w:cs="Arial"/>
          <w:kern w:val="0"/>
          <w:lang w:eastAsia="en-GB"/>
          <w14:ligatures w14:val="none"/>
        </w:rPr>
        <w:t xml:space="preserve"> Source 1 – Erikson’s Psychosocial Development .............</w:t>
      </w:r>
      <w:r w:rsidR="00A63733">
        <w:rPr>
          <w:rFonts w:ascii="Arial" w:eastAsia="Times New Roman" w:hAnsi="Arial" w:cs="Arial"/>
          <w:kern w:val="0"/>
          <w:lang w:eastAsia="en-GB"/>
          <w14:ligatures w14:val="none"/>
        </w:rPr>
        <w:t>....</w:t>
      </w:r>
      <w:r w:rsidR="00891C46">
        <w:rPr>
          <w:rFonts w:ascii="Arial" w:eastAsia="Times New Roman" w:hAnsi="Arial" w:cs="Arial"/>
          <w:kern w:val="0"/>
          <w:lang w:eastAsia="en-GB"/>
          <w14:ligatures w14:val="none"/>
        </w:rPr>
        <w:t>..</w:t>
      </w:r>
      <w:r w:rsidR="00C14B6E">
        <w:rPr>
          <w:rFonts w:ascii="Arial" w:eastAsia="Times New Roman" w:hAnsi="Arial" w:cs="Arial"/>
          <w:kern w:val="0"/>
          <w:lang w:eastAsia="en-GB"/>
          <w14:ligatures w14:val="none"/>
        </w:rPr>
        <w:t>3</w:t>
      </w:r>
      <w:r w:rsidRPr="0065755D">
        <w:rPr>
          <w:rFonts w:ascii="Arial" w:eastAsia="Times New Roman" w:hAnsi="Arial" w:cs="Arial"/>
          <w:kern w:val="0"/>
          <w:lang w:eastAsia="en-GB"/>
          <w14:ligatures w14:val="none"/>
        </w:rPr>
        <w:br/>
      </w:r>
      <w:r w:rsidR="00A63733">
        <w:rPr>
          <w:rFonts w:ascii="Arial" w:eastAsia="Times New Roman" w:hAnsi="Arial" w:cs="Arial"/>
          <w:kern w:val="0"/>
          <w:lang w:eastAsia="en-GB"/>
          <w14:ligatures w14:val="none"/>
        </w:rPr>
        <w:t xml:space="preserve">     </w:t>
      </w:r>
      <w:r w:rsidRPr="0065755D">
        <w:rPr>
          <w:rFonts w:ascii="Arial" w:eastAsia="Times New Roman" w:hAnsi="Arial" w:cs="Arial"/>
          <w:kern w:val="0"/>
          <w:lang w:eastAsia="en-GB"/>
          <w14:ligatures w14:val="none"/>
        </w:rPr>
        <w:t>Source 2 – Erikson’s Psychosocial Development .............</w:t>
      </w:r>
      <w:r w:rsidR="00A63733">
        <w:rPr>
          <w:rFonts w:ascii="Arial" w:eastAsia="Times New Roman" w:hAnsi="Arial" w:cs="Arial"/>
          <w:kern w:val="0"/>
          <w:lang w:eastAsia="en-GB"/>
          <w14:ligatures w14:val="none"/>
        </w:rPr>
        <w:t>.....</w:t>
      </w:r>
      <w:r w:rsidR="00891C46">
        <w:rPr>
          <w:rFonts w:ascii="Arial" w:eastAsia="Times New Roman" w:hAnsi="Arial" w:cs="Arial"/>
          <w:kern w:val="0"/>
          <w:lang w:eastAsia="en-GB"/>
          <w14:ligatures w14:val="none"/>
        </w:rPr>
        <w:t>.</w:t>
      </w:r>
      <w:r w:rsidR="00033B97">
        <w:rPr>
          <w:rFonts w:ascii="Arial" w:eastAsia="Times New Roman" w:hAnsi="Arial" w:cs="Arial"/>
          <w:kern w:val="0"/>
          <w:lang w:eastAsia="en-GB"/>
          <w14:ligatures w14:val="none"/>
        </w:rPr>
        <w:t>3</w:t>
      </w:r>
      <w:r w:rsidRPr="0065755D">
        <w:rPr>
          <w:rFonts w:ascii="Arial" w:eastAsia="Times New Roman" w:hAnsi="Arial" w:cs="Arial"/>
          <w:kern w:val="0"/>
          <w:lang w:eastAsia="en-GB"/>
          <w14:ligatures w14:val="none"/>
        </w:rPr>
        <w:br/>
      </w:r>
      <w:r w:rsidR="00A63733">
        <w:rPr>
          <w:rFonts w:ascii="Arial" w:eastAsia="Times New Roman" w:hAnsi="Arial" w:cs="Arial"/>
          <w:kern w:val="0"/>
          <w:lang w:eastAsia="en-GB"/>
          <w14:ligatures w14:val="none"/>
        </w:rPr>
        <w:t xml:space="preserve">   </w:t>
      </w:r>
      <w:r w:rsidRPr="0065755D">
        <w:rPr>
          <w:rFonts w:ascii="Arial" w:eastAsia="Times New Roman" w:hAnsi="Arial" w:cs="Arial"/>
          <w:kern w:val="0"/>
          <w:lang w:eastAsia="en-GB"/>
          <w14:ligatures w14:val="none"/>
        </w:rPr>
        <w:t xml:space="preserve"> </w:t>
      </w:r>
      <w:r w:rsidR="00A63733">
        <w:rPr>
          <w:rFonts w:ascii="Arial" w:eastAsia="Times New Roman" w:hAnsi="Arial" w:cs="Arial"/>
          <w:kern w:val="0"/>
          <w:lang w:eastAsia="en-GB"/>
          <w14:ligatures w14:val="none"/>
        </w:rPr>
        <w:t xml:space="preserve"> </w:t>
      </w:r>
      <w:r w:rsidRPr="0065755D">
        <w:rPr>
          <w:rFonts w:ascii="Arial" w:eastAsia="Times New Roman" w:hAnsi="Arial" w:cs="Arial"/>
          <w:kern w:val="0"/>
          <w:lang w:eastAsia="en-GB"/>
          <w14:ligatures w14:val="none"/>
        </w:rPr>
        <w:t>Source 3 – Positive Psychology .........................................</w:t>
      </w:r>
      <w:r w:rsidR="00A63733">
        <w:rPr>
          <w:rFonts w:ascii="Arial" w:eastAsia="Times New Roman" w:hAnsi="Arial" w:cs="Arial"/>
          <w:kern w:val="0"/>
          <w:lang w:eastAsia="en-GB"/>
          <w14:ligatures w14:val="none"/>
        </w:rPr>
        <w:t>....</w:t>
      </w:r>
      <w:r w:rsidR="00891C46">
        <w:rPr>
          <w:rFonts w:ascii="Arial" w:eastAsia="Times New Roman" w:hAnsi="Arial" w:cs="Arial"/>
          <w:kern w:val="0"/>
          <w:lang w:eastAsia="en-GB"/>
          <w14:ligatures w14:val="none"/>
        </w:rPr>
        <w:t>.</w:t>
      </w:r>
      <w:r w:rsidR="00033B97">
        <w:rPr>
          <w:rFonts w:ascii="Arial" w:eastAsia="Times New Roman" w:hAnsi="Arial" w:cs="Arial"/>
          <w:kern w:val="0"/>
          <w:lang w:eastAsia="en-GB"/>
          <w14:ligatures w14:val="none"/>
        </w:rPr>
        <w:t>4</w:t>
      </w:r>
      <w:r w:rsidRPr="0065755D">
        <w:rPr>
          <w:rFonts w:ascii="Arial" w:eastAsia="Times New Roman" w:hAnsi="Arial" w:cs="Arial"/>
          <w:kern w:val="0"/>
          <w:lang w:eastAsia="en-GB"/>
          <w14:ligatures w14:val="none"/>
        </w:rPr>
        <w:br/>
      </w:r>
      <w:r w:rsidRPr="0065755D">
        <w:rPr>
          <w:rFonts w:ascii="Arial" w:eastAsia="Times New Roman" w:hAnsi="Arial" w:cs="Arial"/>
          <w:kern w:val="0"/>
          <w:lang w:eastAsia="en-GB"/>
          <w14:ligatures w14:val="none"/>
        </w:rPr>
        <w:t> </w:t>
      </w:r>
      <w:r w:rsidR="00A63733">
        <w:rPr>
          <w:rFonts w:ascii="Arial" w:eastAsia="Times New Roman" w:hAnsi="Arial" w:cs="Arial"/>
          <w:kern w:val="0"/>
          <w:lang w:eastAsia="en-GB"/>
          <w14:ligatures w14:val="none"/>
        </w:rPr>
        <w:t xml:space="preserve"> </w:t>
      </w:r>
      <w:r w:rsidRPr="0065755D">
        <w:rPr>
          <w:rFonts w:ascii="Arial" w:eastAsia="Times New Roman" w:hAnsi="Arial" w:cs="Arial"/>
          <w:kern w:val="0"/>
          <w:lang w:eastAsia="en-GB"/>
          <w14:ligatures w14:val="none"/>
        </w:rPr>
        <w:t>Source 4 – Positive Psychology ..........................................</w:t>
      </w:r>
      <w:r w:rsidR="00A63733">
        <w:rPr>
          <w:rFonts w:ascii="Arial" w:eastAsia="Times New Roman" w:hAnsi="Arial" w:cs="Arial"/>
          <w:kern w:val="0"/>
          <w:lang w:eastAsia="en-GB"/>
          <w14:ligatures w14:val="none"/>
        </w:rPr>
        <w:t>....</w:t>
      </w:r>
      <w:r w:rsidR="00033B97">
        <w:rPr>
          <w:rFonts w:ascii="Arial" w:eastAsia="Times New Roman" w:hAnsi="Arial" w:cs="Arial"/>
          <w:kern w:val="0"/>
          <w:lang w:eastAsia="en-GB"/>
          <w14:ligatures w14:val="none"/>
        </w:rPr>
        <w:t>5</w:t>
      </w:r>
    </w:p>
    <w:p w14:paraId="18BE1E48" w14:textId="434EF676" w:rsidR="00891C46" w:rsidRDefault="0065755D" w:rsidP="00891C46">
      <w:pPr>
        <w:spacing w:before="100" w:beforeAutospacing="1" w:after="100" w:afterAutospacing="1" w:line="360" w:lineRule="auto"/>
        <w:outlineLvl w:val="1"/>
        <w:rPr>
          <w:rFonts w:ascii="Arial" w:eastAsia="Times New Roman" w:hAnsi="Arial" w:cs="Arial"/>
          <w:b/>
          <w:bCs/>
          <w:kern w:val="0"/>
          <w:lang w:eastAsia="en-GB"/>
          <w14:ligatures w14:val="none"/>
        </w:rPr>
      </w:pPr>
      <w:r w:rsidRPr="00CA5B8A">
        <w:rPr>
          <w:rFonts w:ascii="Arial" w:eastAsia="Times New Roman" w:hAnsi="Arial" w:cs="Arial"/>
          <w:b/>
          <w:bCs/>
          <w:kern w:val="0"/>
          <w:lang w:eastAsia="en-GB"/>
          <w14:ligatures w14:val="none"/>
        </w:rPr>
        <w:t>Part B: Short Report .................................................................</w:t>
      </w:r>
      <w:r w:rsidR="00033B97" w:rsidRPr="00CA5B8A">
        <w:rPr>
          <w:rFonts w:ascii="Arial" w:eastAsia="Times New Roman" w:hAnsi="Arial" w:cs="Arial"/>
          <w:b/>
          <w:bCs/>
          <w:kern w:val="0"/>
          <w:lang w:eastAsia="en-GB"/>
          <w14:ligatures w14:val="none"/>
        </w:rPr>
        <w:t>..6</w:t>
      </w:r>
      <w:r w:rsidRPr="0065755D">
        <w:rPr>
          <w:rFonts w:ascii="Arial" w:eastAsia="Times New Roman" w:hAnsi="Arial" w:cs="Arial"/>
          <w:kern w:val="0"/>
          <w:lang w:eastAsia="en-GB"/>
          <w14:ligatures w14:val="none"/>
        </w:rPr>
        <w:br/>
      </w:r>
      <w:r w:rsidRPr="0065755D">
        <w:rPr>
          <w:rFonts w:ascii="Arial" w:eastAsia="Times New Roman" w:hAnsi="Arial" w:cs="Arial"/>
          <w:kern w:val="0"/>
          <w:lang w:eastAsia="en-GB"/>
          <w14:ligatures w14:val="none"/>
        </w:rPr>
        <w:t> </w:t>
      </w:r>
      <w:r w:rsidRPr="0065755D">
        <w:rPr>
          <w:rFonts w:ascii="Arial" w:eastAsia="Times New Roman" w:hAnsi="Arial" w:cs="Arial"/>
          <w:kern w:val="0"/>
          <w:lang w:eastAsia="en-GB"/>
          <w14:ligatures w14:val="none"/>
        </w:rPr>
        <w:t>1 Introduction ..........................................................................</w:t>
      </w:r>
      <w:r w:rsidR="00A63733">
        <w:rPr>
          <w:rFonts w:ascii="Arial" w:eastAsia="Times New Roman" w:hAnsi="Arial" w:cs="Arial"/>
          <w:kern w:val="0"/>
          <w:lang w:eastAsia="en-GB"/>
          <w14:ligatures w14:val="none"/>
        </w:rPr>
        <w:t>.</w:t>
      </w:r>
      <w:r w:rsidR="00033B97">
        <w:rPr>
          <w:rFonts w:ascii="Arial" w:eastAsia="Times New Roman" w:hAnsi="Arial" w:cs="Arial"/>
          <w:kern w:val="0"/>
          <w:lang w:eastAsia="en-GB"/>
          <w14:ligatures w14:val="none"/>
        </w:rPr>
        <w:t>.6</w:t>
      </w:r>
      <w:r w:rsidRPr="0065755D">
        <w:rPr>
          <w:rFonts w:ascii="Arial" w:eastAsia="Times New Roman" w:hAnsi="Arial" w:cs="Arial"/>
          <w:kern w:val="0"/>
          <w:lang w:eastAsia="en-GB"/>
          <w14:ligatures w14:val="none"/>
        </w:rPr>
        <w:br/>
      </w:r>
      <w:r w:rsidRPr="0065755D">
        <w:rPr>
          <w:rFonts w:ascii="Arial" w:eastAsia="Times New Roman" w:hAnsi="Arial" w:cs="Arial"/>
          <w:kern w:val="0"/>
          <w:lang w:eastAsia="en-GB"/>
          <w14:ligatures w14:val="none"/>
        </w:rPr>
        <w:t> </w:t>
      </w:r>
      <w:r w:rsidRPr="0065755D">
        <w:rPr>
          <w:rFonts w:ascii="Arial" w:eastAsia="Times New Roman" w:hAnsi="Arial" w:cs="Arial"/>
          <w:kern w:val="0"/>
          <w:lang w:eastAsia="en-GB"/>
          <w14:ligatures w14:val="none"/>
        </w:rPr>
        <w:t>2 Erikson’s Psychosocial Development Theory .................</w:t>
      </w:r>
      <w:r w:rsidR="00033B97">
        <w:rPr>
          <w:rFonts w:ascii="Arial" w:eastAsia="Times New Roman" w:hAnsi="Arial" w:cs="Arial"/>
          <w:kern w:val="0"/>
          <w:lang w:eastAsia="en-GB"/>
          <w14:ligatures w14:val="none"/>
        </w:rPr>
        <w:t>.....</w:t>
      </w:r>
      <w:r w:rsidR="00A63733">
        <w:rPr>
          <w:rFonts w:ascii="Arial" w:eastAsia="Times New Roman" w:hAnsi="Arial" w:cs="Arial"/>
          <w:kern w:val="0"/>
          <w:lang w:eastAsia="en-GB"/>
          <w14:ligatures w14:val="none"/>
        </w:rPr>
        <w:t>..</w:t>
      </w:r>
      <w:r w:rsidRPr="0065755D">
        <w:rPr>
          <w:rFonts w:ascii="Arial" w:eastAsia="Times New Roman" w:hAnsi="Arial" w:cs="Arial"/>
          <w:kern w:val="0"/>
          <w:lang w:eastAsia="en-GB"/>
          <w14:ligatures w14:val="none"/>
        </w:rPr>
        <w:t>6</w:t>
      </w:r>
      <w:r w:rsidRPr="0065755D">
        <w:rPr>
          <w:rFonts w:ascii="Arial" w:eastAsia="Times New Roman" w:hAnsi="Arial" w:cs="Arial"/>
          <w:kern w:val="0"/>
          <w:lang w:eastAsia="en-GB"/>
          <w14:ligatures w14:val="none"/>
        </w:rPr>
        <w:br/>
      </w:r>
      <w:r w:rsidRPr="0065755D">
        <w:rPr>
          <w:rFonts w:ascii="Arial" w:eastAsia="Times New Roman" w:hAnsi="Arial" w:cs="Arial"/>
          <w:kern w:val="0"/>
          <w:lang w:eastAsia="en-GB"/>
          <w14:ligatures w14:val="none"/>
        </w:rPr>
        <w:t> </w:t>
      </w:r>
      <w:r w:rsidRPr="0065755D">
        <w:rPr>
          <w:rFonts w:ascii="Arial" w:eastAsia="Times New Roman" w:hAnsi="Arial" w:cs="Arial"/>
          <w:kern w:val="0"/>
          <w:lang w:eastAsia="en-GB"/>
          <w14:ligatures w14:val="none"/>
        </w:rPr>
        <w:t>3 Application in Residential Care ...........................................</w:t>
      </w:r>
      <w:r w:rsidR="00033B97">
        <w:rPr>
          <w:rFonts w:ascii="Arial" w:eastAsia="Times New Roman" w:hAnsi="Arial" w:cs="Arial"/>
          <w:kern w:val="0"/>
          <w:lang w:eastAsia="en-GB"/>
          <w14:ligatures w14:val="none"/>
        </w:rPr>
        <w:t>.</w:t>
      </w:r>
      <w:r w:rsidR="00A63733">
        <w:rPr>
          <w:rFonts w:ascii="Arial" w:eastAsia="Times New Roman" w:hAnsi="Arial" w:cs="Arial"/>
          <w:kern w:val="0"/>
          <w:lang w:eastAsia="en-GB"/>
          <w14:ligatures w14:val="none"/>
        </w:rPr>
        <w:t>..</w:t>
      </w:r>
      <w:r w:rsidRPr="0065755D">
        <w:rPr>
          <w:rFonts w:ascii="Arial" w:eastAsia="Times New Roman" w:hAnsi="Arial" w:cs="Arial"/>
          <w:kern w:val="0"/>
          <w:lang w:eastAsia="en-GB"/>
          <w14:ligatures w14:val="none"/>
        </w:rPr>
        <w:t>7</w:t>
      </w:r>
      <w:r w:rsidRPr="0065755D">
        <w:rPr>
          <w:rFonts w:ascii="Arial" w:eastAsia="Times New Roman" w:hAnsi="Arial" w:cs="Arial"/>
          <w:kern w:val="0"/>
          <w:lang w:eastAsia="en-GB"/>
          <w14:ligatures w14:val="none"/>
        </w:rPr>
        <w:br/>
      </w:r>
      <w:r w:rsidRPr="0065755D">
        <w:rPr>
          <w:rFonts w:ascii="Arial" w:eastAsia="Times New Roman" w:hAnsi="Arial" w:cs="Arial"/>
          <w:kern w:val="0"/>
          <w:lang w:eastAsia="en-GB"/>
          <w14:ligatures w14:val="none"/>
        </w:rPr>
        <w:t> </w:t>
      </w:r>
      <w:r w:rsidRPr="0065755D">
        <w:rPr>
          <w:rFonts w:ascii="Arial" w:eastAsia="Times New Roman" w:hAnsi="Arial" w:cs="Arial"/>
          <w:kern w:val="0"/>
          <w:lang w:eastAsia="en-GB"/>
          <w14:ligatures w14:val="none"/>
        </w:rPr>
        <w:t>4 Challenges and Strategies ...................................................</w:t>
      </w:r>
      <w:r w:rsidR="00A63733">
        <w:rPr>
          <w:rFonts w:ascii="Arial" w:eastAsia="Times New Roman" w:hAnsi="Arial" w:cs="Arial"/>
          <w:kern w:val="0"/>
          <w:lang w:eastAsia="en-GB"/>
          <w14:ligatures w14:val="none"/>
        </w:rPr>
        <w:t>..</w:t>
      </w:r>
      <w:r w:rsidR="00033B97">
        <w:rPr>
          <w:rFonts w:ascii="Arial" w:eastAsia="Times New Roman" w:hAnsi="Arial" w:cs="Arial"/>
          <w:kern w:val="0"/>
          <w:lang w:eastAsia="en-GB"/>
          <w14:ligatures w14:val="none"/>
        </w:rPr>
        <w:t>7</w:t>
      </w:r>
      <w:r w:rsidRPr="0065755D">
        <w:rPr>
          <w:rFonts w:ascii="Arial" w:eastAsia="Times New Roman" w:hAnsi="Arial" w:cs="Arial"/>
          <w:kern w:val="0"/>
          <w:lang w:eastAsia="en-GB"/>
          <w14:ligatures w14:val="none"/>
        </w:rPr>
        <w:br/>
      </w:r>
      <w:r w:rsidRPr="0065755D">
        <w:rPr>
          <w:rFonts w:ascii="Arial" w:eastAsia="Times New Roman" w:hAnsi="Arial" w:cs="Arial"/>
          <w:kern w:val="0"/>
          <w:lang w:eastAsia="en-GB"/>
          <w14:ligatures w14:val="none"/>
        </w:rPr>
        <w:t> </w:t>
      </w:r>
      <w:r w:rsidRPr="0065755D">
        <w:rPr>
          <w:rFonts w:ascii="Arial" w:eastAsia="Times New Roman" w:hAnsi="Arial" w:cs="Arial"/>
          <w:kern w:val="0"/>
          <w:lang w:eastAsia="en-GB"/>
          <w14:ligatures w14:val="none"/>
        </w:rPr>
        <w:t>5 Conclusion ............................................................................</w:t>
      </w:r>
      <w:r w:rsidR="00A63733">
        <w:rPr>
          <w:rFonts w:ascii="Arial" w:eastAsia="Times New Roman" w:hAnsi="Arial" w:cs="Arial"/>
          <w:kern w:val="0"/>
          <w:lang w:eastAsia="en-GB"/>
          <w14:ligatures w14:val="none"/>
        </w:rPr>
        <w:t>..</w:t>
      </w:r>
      <w:r w:rsidR="00033B97">
        <w:rPr>
          <w:rFonts w:ascii="Arial" w:eastAsia="Times New Roman" w:hAnsi="Arial" w:cs="Arial"/>
          <w:kern w:val="0"/>
          <w:lang w:eastAsia="en-GB"/>
          <w14:ligatures w14:val="none"/>
        </w:rPr>
        <w:t>8</w:t>
      </w:r>
    </w:p>
    <w:p w14:paraId="56B1EB68" w14:textId="7157B541" w:rsidR="00891C46" w:rsidRPr="00CA5B8A" w:rsidRDefault="00891C46" w:rsidP="00891C46">
      <w:pPr>
        <w:spacing w:before="100" w:beforeAutospacing="1" w:after="100" w:afterAutospacing="1" w:line="360" w:lineRule="auto"/>
        <w:outlineLvl w:val="1"/>
        <w:rPr>
          <w:rFonts w:ascii="Arial" w:eastAsia="Times New Roman" w:hAnsi="Arial" w:cs="Arial"/>
          <w:b/>
          <w:bCs/>
          <w:kern w:val="0"/>
          <w:lang w:eastAsia="en-GB"/>
          <w14:ligatures w14:val="none"/>
        </w:rPr>
      </w:pPr>
      <w:r w:rsidRPr="00CA5B8A">
        <w:rPr>
          <w:rFonts w:ascii="Arial" w:eastAsia="Times New Roman" w:hAnsi="Arial" w:cs="Arial"/>
          <w:b/>
          <w:bCs/>
          <w:kern w:val="0"/>
          <w:lang w:eastAsia="en-GB"/>
          <w14:ligatures w14:val="none"/>
        </w:rPr>
        <w:t xml:space="preserve">  References…………………………………………………………</w:t>
      </w:r>
      <w:r w:rsidR="00274C0D">
        <w:rPr>
          <w:rFonts w:ascii="Arial" w:eastAsia="Times New Roman" w:hAnsi="Arial" w:cs="Arial"/>
          <w:b/>
          <w:bCs/>
          <w:kern w:val="0"/>
          <w:lang w:eastAsia="en-GB"/>
          <w14:ligatures w14:val="none"/>
        </w:rPr>
        <w:t>..</w:t>
      </w:r>
      <w:r w:rsidRPr="00CA5B8A">
        <w:rPr>
          <w:rFonts w:ascii="Arial" w:eastAsia="Times New Roman" w:hAnsi="Arial" w:cs="Arial"/>
          <w:b/>
          <w:bCs/>
          <w:kern w:val="0"/>
          <w:lang w:eastAsia="en-GB"/>
          <w14:ligatures w14:val="none"/>
        </w:rPr>
        <w:t>9</w:t>
      </w:r>
    </w:p>
    <w:p w14:paraId="430A99FB" w14:textId="77777777" w:rsidR="00AC4CC1" w:rsidRDefault="00AC4CC1" w:rsidP="00D5751E">
      <w:pPr>
        <w:spacing w:line="360" w:lineRule="auto"/>
        <w:rPr>
          <w:rFonts w:ascii="Arial" w:eastAsia="Times New Roman" w:hAnsi="Arial" w:cs="Arial"/>
          <w:b/>
          <w:bCs/>
          <w:kern w:val="0"/>
          <w:lang w:eastAsia="en-GB"/>
          <w14:ligatures w14:val="none"/>
        </w:rPr>
      </w:pPr>
    </w:p>
    <w:p w14:paraId="18D54286" w14:textId="77777777" w:rsidR="00AC4CC1" w:rsidRDefault="00AC4CC1" w:rsidP="00D5751E">
      <w:pPr>
        <w:spacing w:line="360" w:lineRule="auto"/>
        <w:rPr>
          <w:rFonts w:ascii="Arial" w:eastAsia="Times New Roman" w:hAnsi="Arial" w:cs="Arial"/>
          <w:b/>
          <w:bCs/>
          <w:kern w:val="0"/>
          <w:lang w:eastAsia="en-GB"/>
          <w14:ligatures w14:val="none"/>
        </w:rPr>
      </w:pPr>
    </w:p>
    <w:p w14:paraId="064022E4" w14:textId="77777777" w:rsidR="00AC4CC1" w:rsidRDefault="00AC4CC1" w:rsidP="00D5751E">
      <w:pPr>
        <w:spacing w:line="360" w:lineRule="auto"/>
        <w:rPr>
          <w:rFonts w:ascii="Arial" w:eastAsia="Times New Roman" w:hAnsi="Arial" w:cs="Arial"/>
          <w:b/>
          <w:bCs/>
          <w:kern w:val="0"/>
          <w:lang w:eastAsia="en-GB"/>
          <w14:ligatures w14:val="none"/>
        </w:rPr>
      </w:pPr>
    </w:p>
    <w:p w14:paraId="11708407" w14:textId="77777777" w:rsidR="00AC4CC1" w:rsidRDefault="00AC4CC1" w:rsidP="00D5751E">
      <w:pPr>
        <w:spacing w:line="360" w:lineRule="auto"/>
        <w:rPr>
          <w:rFonts w:ascii="Arial" w:eastAsia="Times New Roman" w:hAnsi="Arial" w:cs="Arial"/>
          <w:b/>
          <w:bCs/>
          <w:kern w:val="0"/>
          <w:lang w:eastAsia="en-GB"/>
          <w14:ligatures w14:val="none"/>
        </w:rPr>
      </w:pPr>
    </w:p>
    <w:p w14:paraId="36C58798" w14:textId="77777777" w:rsidR="00AC4CC1" w:rsidRDefault="00AC4CC1" w:rsidP="00D5751E">
      <w:pPr>
        <w:spacing w:line="360" w:lineRule="auto"/>
        <w:rPr>
          <w:rFonts w:ascii="Arial" w:eastAsia="Times New Roman" w:hAnsi="Arial" w:cs="Arial"/>
          <w:b/>
          <w:bCs/>
          <w:kern w:val="0"/>
          <w:lang w:eastAsia="en-GB"/>
          <w14:ligatures w14:val="none"/>
        </w:rPr>
      </w:pPr>
    </w:p>
    <w:p w14:paraId="4FD0CB4F" w14:textId="77777777" w:rsidR="00AC4CC1" w:rsidRDefault="00AC4CC1" w:rsidP="00D5751E">
      <w:pPr>
        <w:spacing w:line="360" w:lineRule="auto"/>
        <w:rPr>
          <w:rFonts w:ascii="Arial" w:eastAsia="Times New Roman" w:hAnsi="Arial" w:cs="Arial"/>
          <w:b/>
          <w:bCs/>
          <w:kern w:val="0"/>
          <w:lang w:eastAsia="en-GB"/>
          <w14:ligatures w14:val="none"/>
        </w:rPr>
      </w:pPr>
    </w:p>
    <w:p w14:paraId="65D0B2BB" w14:textId="77777777" w:rsidR="00AC4CC1" w:rsidRDefault="00AC4CC1" w:rsidP="00D5751E">
      <w:pPr>
        <w:spacing w:line="360" w:lineRule="auto"/>
        <w:rPr>
          <w:rFonts w:ascii="Arial" w:eastAsia="Times New Roman" w:hAnsi="Arial" w:cs="Arial"/>
          <w:b/>
          <w:bCs/>
          <w:kern w:val="0"/>
          <w:lang w:eastAsia="en-GB"/>
          <w14:ligatures w14:val="none"/>
        </w:rPr>
      </w:pPr>
    </w:p>
    <w:p w14:paraId="5E62EB94" w14:textId="77777777" w:rsidR="00AC4CC1" w:rsidRDefault="00AC4CC1" w:rsidP="00D5751E">
      <w:pPr>
        <w:spacing w:line="360" w:lineRule="auto"/>
        <w:rPr>
          <w:rFonts w:ascii="Arial" w:eastAsia="Times New Roman" w:hAnsi="Arial" w:cs="Arial"/>
          <w:b/>
          <w:bCs/>
          <w:kern w:val="0"/>
          <w:lang w:eastAsia="en-GB"/>
          <w14:ligatures w14:val="none"/>
        </w:rPr>
      </w:pPr>
    </w:p>
    <w:p w14:paraId="270D6090" w14:textId="77777777" w:rsidR="00AC4CC1" w:rsidRDefault="00AC4CC1" w:rsidP="00D5751E">
      <w:pPr>
        <w:spacing w:line="360" w:lineRule="auto"/>
        <w:rPr>
          <w:rFonts w:ascii="Arial" w:eastAsia="Times New Roman" w:hAnsi="Arial" w:cs="Arial"/>
          <w:b/>
          <w:bCs/>
          <w:kern w:val="0"/>
          <w:lang w:eastAsia="en-GB"/>
          <w14:ligatures w14:val="none"/>
        </w:rPr>
      </w:pPr>
    </w:p>
    <w:p w14:paraId="38386EA8" w14:textId="77777777" w:rsidR="00AC4CC1" w:rsidRDefault="00AC4CC1" w:rsidP="00D5751E">
      <w:pPr>
        <w:spacing w:line="360" w:lineRule="auto"/>
        <w:rPr>
          <w:rFonts w:ascii="Arial" w:eastAsia="Times New Roman" w:hAnsi="Arial" w:cs="Arial"/>
          <w:b/>
          <w:bCs/>
          <w:kern w:val="0"/>
          <w:lang w:eastAsia="en-GB"/>
          <w14:ligatures w14:val="none"/>
        </w:rPr>
      </w:pPr>
    </w:p>
    <w:p w14:paraId="7BAED0F5" w14:textId="77777777" w:rsidR="00AC4CC1" w:rsidRDefault="00AC4CC1" w:rsidP="00D5751E">
      <w:pPr>
        <w:spacing w:line="360" w:lineRule="auto"/>
        <w:rPr>
          <w:rFonts w:ascii="Arial" w:eastAsia="Times New Roman" w:hAnsi="Arial" w:cs="Arial"/>
          <w:b/>
          <w:bCs/>
          <w:kern w:val="0"/>
          <w:lang w:eastAsia="en-GB"/>
          <w14:ligatures w14:val="none"/>
        </w:rPr>
      </w:pPr>
    </w:p>
    <w:p w14:paraId="3856570E" w14:textId="77777777" w:rsidR="00AC4CC1" w:rsidRDefault="00AC4CC1" w:rsidP="00D5751E">
      <w:pPr>
        <w:spacing w:line="360" w:lineRule="auto"/>
        <w:rPr>
          <w:rFonts w:ascii="Arial" w:eastAsia="Times New Roman" w:hAnsi="Arial" w:cs="Arial"/>
          <w:b/>
          <w:bCs/>
          <w:kern w:val="0"/>
          <w:lang w:eastAsia="en-GB"/>
          <w14:ligatures w14:val="none"/>
        </w:rPr>
      </w:pPr>
    </w:p>
    <w:p w14:paraId="08C96335" w14:textId="77777777" w:rsidR="00AC4CC1" w:rsidRDefault="00AC4CC1" w:rsidP="00D5751E">
      <w:pPr>
        <w:spacing w:line="360" w:lineRule="auto"/>
        <w:rPr>
          <w:rFonts w:ascii="Arial" w:eastAsia="Times New Roman" w:hAnsi="Arial" w:cs="Arial"/>
          <w:b/>
          <w:bCs/>
          <w:kern w:val="0"/>
          <w:lang w:eastAsia="en-GB"/>
          <w14:ligatures w14:val="none"/>
        </w:rPr>
      </w:pPr>
    </w:p>
    <w:p w14:paraId="72FCA930" w14:textId="77777777" w:rsidR="00AC4CC1" w:rsidRDefault="00AC4CC1" w:rsidP="00D5751E">
      <w:pPr>
        <w:spacing w:line="360" w:lineRule="auto"/>
        <w:rPr>
          <w:rFonts w:ascii="Arial" w:eastAsia="Times New Roman" w:hAnsi="Arial" w:cs="Arial"/>
          <w:b/>
          <w:bCs/>
          <w:kern w:val="0"/>
          <w:lang w:eastAsia="en-GB"/>
          <w14:ligatures w14:val="none"/>
        </w:rPr>
      </w:pPr>
    </w:p>
    <w:p w14:paraId="59B01A45" w14:textId="77777777" w:rsidR="00AC4CC1" w:rsidRDefault="00AC4CC1" w:rsidP="00D5751E">
      <w:pPr>
        <w:spacing w:line="360" w:lineRule="auto"/>
        <w:rPr>
          <w:rFonts w:ascii="Arial" w:eastAsia="Times New Roman" w:hAnsi="Arial" w:cs="Arial"/>
          <w:b/>
          <w:bCs/>
          <w:kern w:val="0"/>
          <w:lang w:eastAsia="en-GB"/>
          <w14:ligatures w14:val="none"/>
        </w:rPr>
      </w:pPr>
    </w:p>
    <w:p w14:paraId="4FDEB931" w14:textId="6DA8E015" w:rsidR="0064546C" w:rsidRDefault="0064546C" w:rsidP="00D5751E">
      <w:pPr>
        <w:spacing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Part A: Annotated Bibliography</w:t>
      </w:r>
    </w:p>
    <w:p w14:paraId="1FA6E350" w14:textId="1622CB52" w:rsidR="008A6F34" w:rsidRPr="008A6F34" w:rsidRDefault="00442DFD" w:rsidP="00D5751E">
      <w:pPr>
        <w:spacing w:line="360" w:lineRule="auto"/>
        <w:rPr>
          <w:rFonts w:ascii="Arial" w:eastAsia="Times New Roman" w:hAnsi="Arial" w:cs="Arial"/>
          <w:b/>
          <w:bCs/>
          <w:kern w:val="0"/>
          <w:lang w:eastAsia="en-GB"/>
          <w14:ligatures w14:val="none"/>
        </w:rPr>
      </w:pPr>
      <w:r w:rsidRPr="008A6F34">
        <w:rPr>
          <w:rFonts w:ascii="Arial" w:eastAsia="Times New Roman" w:hAnsi="Arial" w:cs="Arial"/>
          <w:b/>
          <w:bCs/>
          <w:kern w:val="0"/>
          <w:lang w:eastAsia="en-GB"/>
          <w14:ligatures w14:val="none"/>
        </w:rPr>
        <w:t>Source 1 –</w:t>
      </w:r>
      <w:r>
        <w:rPr>
          <w:rFonts w:ascii="Arial" w:eastAsia="Times New Roman" w:hAnsi="Arial" w:cs="Arial"/>
          <w:b/>
          <w:bCs/>
          <w:kern w:val="0"/>
          <w:lang w:eastAsia="en-GB"/>
          <w14:ligatures w14:val="none"/>
        </w:rPr>
        <w:t xml:space="preserve"> </w:t>
      </w:r>
      <w:r w:rsidRPr="008A6F34">
        <w:rPr>
          <w:rFonts w:ascii="Arial" w:eastAsia="Times New Roman" w:hAnsi="Arial" w:cs="Arial"/>
          <w:b/>
          <w:bCs/>
          <w:kern w:val="0"/>
          <w:lang w:eastAsia="en-GB"/>
          <w14:ligatures w14:val="none"/>
        </w:rPr>
        <w:t>Erikson’s Psych</w:t>
      </w:r>
      <w:r w:rsidR="008A6F34" w:rsidRPr="008A6F34">
        <w:rPr>
          <w:rFonts w:ascii="Arial" w:eastAsia="Times New Roman" w:hAnsi="Arial" w:cs="Arial"/>
          <w:b/>
          <w:bCs/>
          <w:kern w:val="0"/>
          <w:lang w:eastAsia="en-GB"/>
          <w14:ligatures w14:val="none"/>
        </w:rPr>
        <w:t>osocial Development Theory</w:t>
      </w:r>
    </w:p>
    <w:p w14:paraId="606B4668" w14:textId="77777777"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Reference</w:t>
      </w:r>
      <w:r w:rsidRPr="008A6F34">
        <w:rPr>
          <w:rFonts w:ascii="Arial" w:eastAsia="Times New Roman" w:hAnsi="Arial" w:cs="Arial"/>
          <w:kern w:val="0"/>
          <w:lang w:eastAsia="en-GB"/>
          <w14:ligatures w14:val="none"/>
        </w:rPr>
        <w:br/>
        <w:t xml:space="preserve">Westerhof, G. and Bohlmeijer, E. (2014) ‘Celebrating fifty years of research and applications in reminiscence and life review’, </w:t>
      </w:r>
      <w:r w:rsidRPr="008A6F34">
        <w:rPr>
          <w:rFonts w:ascii="Arial" w:eastAsia="Times New Roman" w:hAnsi="Arial" w:cs="Arial"/>
          <w:i/>
          <w:iCs/>
          <w:kern w:val="0"/>
          <w:lang w:eastAsia="en-GB"/>
          <w14:ligatures w14:val="none"/>
        </w:rPr>
        <w:t>Aging &amp; Mental Health</w:t>
      </w:r>
      <w:r w:rsidRPr="008A6F34">
        <w:rPr>
          <w:rFonts w:ascii="Arial" w:eastAsia="Times New Roman" w:hAnsi="Arial" w:cs="Arial"/>
          <w:kern w:val="0"/>
          <w:lang w:eastAsia="en-GB"/>
          <w14:ligatures w14:val="none"/>
        </w:rPr>
        <w:t>, 18(2), pp. 144–153.</w:t>
      </w:r>
    </w:p>
    <w:p w14:paraId="0E78F587" w14:textId="0D6F775A"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Summary</w:t>
      </w:r>
      <w:r w:rsidRPr="008A6F34">
        <w:rPr>
          <w:rFonts w:ascii="Arial" w:eastAsia="Times New Roman" w:hAnsi="Arial" w:cs="Arial"/>
          <w:kern w:val="0"/>
          <w:lang w:eastAsia="en-GB"/>
          <w14:ligatures w14:val="none"/>
        </w:rPr>
        <w:br/>
        <w:t>This article ex</w:t>
      </w:r>
      <w:r w:rsidR="007970E2">
        <w:rPr>
          <w:rFonts w:ascii="Arial" w:eastAsia="Times New Roman" w:hAnsi="Arial" w:cs="Arial"/>
          <w:kern w:val="0"/>
          <w:lang w:eastAsia="en-GB"/>
          <w14:ligatures w14:val="none"/>
        </w:rPr>
        <w:t>plores</w:t>
      </w:r>
      <w:r w:rsidRPr="008A6F34">
        <w:rPr>
          <w:rFonts w:ascii="Arial" w:eastAsia="Times New Roman" w:hAnsi="Arial" w:cs="Arial"/>
          <w:kern w:val="0"/>
          <w:lang w:eastAsia="en-GB"/>
          <w14:ligatures w14:val="none"/>
        </w:rPr>
        <w:t xml:space="preserve"> </w:t>
      </w:r>
      <w:r w:rsidR="00222DB8">
        <w:rPr>
          <w:rFonts w:ascii="Arial" w:eastAsia="Times New Roman" w:hAnsi="Arial" w:cs="Arial"/>
          <w:kern w:val="0"/>
          <w:lang w:eastAsia="en-GB"/>
          <w14:ligatures w14:val="none"/>
        </w:rPr>
        <w:t xml:space="preserve">how </w:t>
      </w:r>
      <w:r w:rsidRPr="008A6F34">
        <w:rPr>
          <w:rFonts w:ascii="Arial" w:eastAsia="Times New Roman" w:hAnsi="Arial" w:cs="Arial"/>
          <w:kern w:val="0"/>
          <w:lang w:eastAsia="en-GB"/>
          <w14:ligatures w14:val="none"/>
        </w:rPr>
        <w:t>reminiscen</w:t>
      </w:r>
      <w:r w:rsidR="00222DB8">
        <w:rPr>
          <w:rFonts w:ascii="Arial" w:eastAsia="Times New Roman" w:hAnsi="Arial" w:cs="Arial"/>
          <w:kern w:val="0"/>
          <w:lang w:eastAsia="en-GB"/>
          <w14:ligatures w14:val="none"/>
        </w:rPr>
        <w:t>ce</w:t>
      </w:r>
      <w:r w:rsidRPr="008A6F34">
        <w:rPr>
          <w:rFonts w:ascii="Arial" w:eastAsia="Times New Roman" w:hAnsi="Arial" w:cs="Arial"/>
          <w:kern w:val="0"/>
          <w:lang w:eastAsia="en-GB"/>
          <w14:ligatures w14:val="none"/>
        </w:rPr>
        <w:t xml:space="preserve"> and life-review activities in supporting the psychological </w:t>
      </w:r>
      <w:r>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of older adults. The authors e</w:t>
      </w:r>
      <w:r>
        <w:rPr>
          <w:rFonts w:ascii="Arial" w:eastAsia="Times New Roman" w:hAnsi="Arial" w:cs="Arial"/>
          <w:kern w:val="0"/>
          <w:lang w:eastAsia="en-GB"/>
          <w14:ligatures w14:val="none"/>
        </w:rPr>
        <w:t xml:space="preserve">xplain </w:t>
      </w:r>
      <w:r w:rsidRPr="008A6F34">
        <w:rPr>
          <w:rFonts w:ascii="Arial" w:eastAsia="Times New Roman" w:hAnsi="Arial" w:cs="Arial"/>
          <w:kern w:val="0"/>
          <w:lang w:eastAsia="en-GB"/>
          <w14:ligatures w14:val="none"/>
        </w:rPr>
        <w:t>that re</w:t>
      </w:r>
      <w:r>
        <w:rPr>
          <w:rFonts w:ascii="Arial" w:eastAsia="Times New Roman" w:hAnsi="Arial" w:cs="Arial"/>
          <w:kern w:val="0"/>
          <w:lang w:eastAsia="en-GB"/>
          <w14:ligatures w14:val="none"/>
        </w:rPr>
        <w:t>flecting on</w:t>
      </w:r>
      <w:r w:rsidRPr="008A6F34">
        <w:rPr>
          <w:rFonts w:ascii="Arial" w:eastAsia="Times New Roman" w:hAnsi="Arial" w:cs="Arial"/>
          <w:kern w:val="0"/>
          <w:lang w:eastAsia="en-GB"/>
          <w14:ligatures w14:val="none"/>
        </w:rPr>
        <w:t xml:space="preserve"> past experiences </w:t>
      </w:r>
      <w:r>
        <w:rPr>
          <w:rFonts w:ascii="Arial" w:eastAsia="Times New Roman" w:hAnsi="Arial" w:cs="Arial"/>
          <w:kern w:val="0"/>
          <w:lang w:eastAsia="en-GB"/>
          <w14:ligatures w14:val="none"/>
        </w:rPr>
        <w:t>allows</w:t>
      </w:r>
      <w:r w:rsidRPr="008A6F34">
        <w:rPr>
          <w:rFonts w:ascii="Arial" w:eastAsia="Times New Roman" w:hAnsi="Arial" w:cs="Arial"/>
          <w:kern w:val="0"/>
          <w:lang w:eastAsia="en-GB"/>
          <w14:ligatures w14:val="none"/>
        </w:rPr>
        <w:t xml:space="preserve"> individuals to </w:t>
      </w:r>
      <w:r>
        <w:rPr>
          <w:rFonts w:ascii="Arial" w:eastAsia="Times New Roman" w:hAnsi="Arial" w:cs="Arial"/>
          <w:kern w:val="0"/>
          <w:lang w:eastAsia="en-GB"/>
          <w14:ligatures w14:val="none"/>
        </w:rPr>
        <w:t xml:space="preserve">make sense of their life story and </w:t>
      </w:r>
      <w:r w:rsidRPr="008A6F34">
        <w:rPr>
          <w:rFonts w:ascii="Arial" w:eastAsia="Times New Roman" w:hAnsi="Arial" w:cs="Arial"/>
          <w:kern w:val="0"/>
          <w:lang w:eastAsia="en-GB"/>
          <w14:ligatures w14:val="none"/>
        </w:rPr>
        <w:t xml:space="preserve">personal identity. The discussion is closely aligned with Erik Erikson’s final psychosocial stage, which emphasises the attainment of ego integrity over despair in later life. The research </w:t>
      </w:r>
      <w:r>
        <w:rPr>
          <w:rFonts w:ascii="Arial" w:eastAsia="Times New Roman" w:hAnsi="Arial" w:cs="Arial"/>
          <w:kern w:val="0"/>
          <w:lang w:eastAsia="en-GB"/>
          <w14:ligatures w14:val="none"/>
        </w:rPr>
        <w:t>suggests</w:t>
      </w:r>
      <w:r w:rsidRPr="008A6F34">
        <w:rPr>
          <w:rFonts w:ascii="Arial" w:eastAsia="Times New Roman" w:hAnsi="Arial" w:cs="Arial"/>
          <w:kern w:val="0"/>
          <w:lang w:eastAsia="en-GB"/>
          <w14:ligatures w14:val="none"/>
        </w:rPr>
        <w:t xml:space="preserve"> that </w:t>
      </w:r>
      <w:r>
        <w:rPr>
          <w:rFonts w:ascii="Arial" w:eastAsia="Times New Roman" w:hAnsi="Arial" w:cs="Arial"/>
          <w:kern w:val="0"/>
          <w:lang w:eastAsia="en-GB"/>
          <w14:ligatures w14:val="none"/>
        </w:rPr>
        <w:t>structured</w:t>
      </w:r>
      <w:r w:rsidRPr="008A6F34">
        <w:rPr>
          <w:rFonts w:ascii="Arial" w:eastAsia="Times New Roman" w:hAnsi="Arial" w:cs="Arial"/>
          <w:kern w:val="0"/>
          <w:lang w:eastAsia="en-GB"/>
          <w14:ligatures w14:val="none"/>
        </w:rPr>
        <w:t xml:space="preserve"> reminiscence sessions can </w:t>
      </w:r>
      <w:r>
        <w:rPr>
          <w:rFonts w:ascii="Arial" w:eastAsia="Times New Roman" w:hAnsi="Arial" w:cs="Arial"/>
          <w:kern w:val="0"/>
          <w:lang w:eastAsia="en-GB"/>
          <w14:ligatures w14:val="none"/>
        </w:rPr>
        <w:t>help</w:t>
      </w:r>
      <w:r w:rsidRPr="008A6F34">
        <w:rPr>
          <w:rFonts w:ascii="Arial" w:eastAsia="Times New Roman" w:hAnsi="Arial" w:cs="Arial"/>
          <w:kern w:val="0"/>
          <w:lang w:eastAsia="en-GB"/>
          <w14:ligatures w14:val="none"/>
        </w:rPr>
        <w:t xml:space="preserve"> older adults</w:t>
      </w:r>
      <w:r>
        <w:rPr>
          <w:rFonts w:ascii="Arial" w:eastAsia="Times New Roman" w:hAnsi="Arial" w:cs="Arial"/>
          <w:kern w:val="0"/>
          <w:lang w:eastAsia="en-GB"/>
          <w14:ligatures w14:val="none"/>
        </w:rPr>
        <w:t xml:space="preserve"> feel more </w:t>
      </w:r>
      <w:r w:rsidRPr="008A6F34">
        <w:rPr>
          <w:rFonts w:ascii="Arial" w:eastAsia="Times New Roman" w:hAnsi="Arial" w:cs="Arial"/>
          <w:kern w:val="0"/>
          <w:lang w:eastAsia="en-GB"/>
          <w14:ligatures w14:val="none"/>
        </w:rPr>
        <w:t>satisf</w:t>
      </w:r>
      <w:r>
        <w:rPr>
          <w:rFonts w:ascii="Arial" w:eastAsia="Times New Roman" w:hAnsi="Arial" w:cs="Arial"/>
          <w:kern w:val="0"/>
          <w:lang w:eastAsia="en-GB"/>
          <w14:ligatures w14:val="none"/>
        </w:rPr>
        <w:t>ied with their lives and improve their</w:t>
      </w:r>
      <w:r w:rsidRPr="008A6F34">
        <w:rPr>
          <w:rFonts w:ascii="Arial" w:eastAsia="Times New Roman" w:hAnsi="Arial" w:cs="Arial"/>
          <w:kern w:val="0"/>
          <w:lang w:eastAsia="en-GB"/>
          <w14:ligatures w14:val="none"/>
        </w:rPr>
        <w:t xml:space="preserve"> emotional health. Overall, the study </w:t>
      </w:r>
      <w:r>
        <w:rPr>
          <w:rFonts w:ascii="Arial" w:eastAsia="Times New Roman" w:hAnsi="Arial" w:cs="Arial"/>
          <w:kern w:val="0"/>
          <w:lang w:eastAsia="en-GB"/>
          <w14:ligatures w14:val="none"/>
        </w:rPr>
        <w:t>highlights</w:t>
      </w:r>
      <w:r w:rsidRPr="008A6F34">
        <w:rPr>
          <w:rFonts w:ascii="Arial" w:eastAsia="Times New Roman" w:hAnsi="Arial" w:cs="Arial"/>
          <w:kern w:val="0"/>
          <w:lang w:eastAsia="en-GB"/>
          <w14:ligatures w14:val="none"/>
        </w:rPr>
        <w:t xml:space="preserve"> the </w:t>
      </w:r>
      <w:r>
        <w:rPr>
          <w:rFonts w:ascii="Arial" w:eastAsia="Times New Roman" w:hAnsi="Arial" w:cs="Arial"/>
          <w:kern w:val="0"/>
          <w:lang w:eastAsia="en-GB"/>
          <w14:ligatures w14:val="none"/>
        </w:rPr>
        <w:t>importance</w:t>
      </w:r>
      <w:r w:rsidRPr="008A6F34">
        <w:rPr>
          <w:rFonts w:ascii="Arial" w:eastAsia="Times New Roman" w:hAnsi="Arial" w:cs="Arial"/>
          <w:kern w:val="0"/>
          <w:lang w:eastAsia="en-GB"/>
          <w14:ligatures w14:val="none"/>
        </w:rPr>
        <w:t xml:space="preserve"> of reflection and identity</w:t>
      </w:r>
      <w:r>
        <w:rPr>
          <w:rFonts w:ascii="Arial" w:eastAsia="Times New Roman" w:hAnsi="Arial" w:cs="Arial"/>
          <w:kern w:val="0"/>
          <w:lang w:eastAsia="en-GB"/>
          <w14:ligatures w14:val="none"/>
        </w:rPr>
        <w:t xml:space="preserve"> during </w:t>
      </w:r>
      <w:r w:rsidRPr="008A6F34">
        <w:rPr>
          <w:rFonts w:ascii="Arial" w:eastAsia="Times New Roman" w:hAnsi="Arial" w:cs="Arial"/>
          <w:kern w:val="0"/>
          <w:lang w:eastAsia="en-GB"/>
          <w14:ligatures w14:val="none"/>
        </w:rPr>
        <w:t>the ageing process.</w:t>
      </w:r>
    </w:p>
    <w:p w14:paraId="67DC1F93" w14:textId="24E7B027" w:rsidR="00C019E0" w:rsidRPr="00435DDE" w:rsidRDefault="008A6F34" w:rsidP="00C019E0">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Critical comment</w:t>
      </w:r>
      <w:r w:rsidRPr="008A6F34">
        <w:rPr>
          <w:rFonts w:ascii="Arial" w:eastAsia="Times New Roman" w:hAnsi="Arial" w:cs="Arial"/>
          <w:kern w:val="0"/>
          <w:lang w:eastAsia="en-GB"/>
          <w14:ligatures w14:val="none"/>
        </w:rPr>
        <w:br/>
        <w:t xml:space="preserve">This article provides useful insight into how Erikson’s theory can be applied when supporting older adults. One strength of the research is that it draws on a wide range of studies examining the psychological benefits of reminiscence and life-review therapy. However, many of the examples are </w:t>
      </w:r>
      <w:r w:rsidR="009D7887">
        <w:rPr>
          <w:rFonts w:ascii="Arial" w:eastAsia="Times New Roman" w:hAnsi="Arial" w:cs="Arial"/>
          <w:kern w:val="0"/>
          <w:lang w:eastAsia="en-GB"/>
          <w14:ligatures w14:val="none"/>
        </w:rPr>
        <w:t>drawn from therapeutic programmes, which may not always reflect everyday situations in</w:t>
      </w:r>
      <w:r w:rsidRPr="008A6F34">
        <w:rPr>
          <w:rFonts w:ascii="Arial" w:eastAsia="Times New Roman" w:hAnsi="Arial" w:cs="Arial"/>
          <w:kern w:val="0"/>
          <w:lang w:eastAsia="en-GB"/>
          <w14:ligatures w14:val="none"/>
        </w:rPr>
        <w:t xml:space="preserve"> care homes. Despite this limitation, the findings remain relevant for health and social care practice. Encouraging older adults to share memories and discuss life experiences may help maintain a sense of identity and emotional </w:t>
      </w:r>
      <w:r w:rsidR="00C019E0">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w:t>
      </w:r>
      <w:r w:rsidR="00435DDE" w:rsidRPr="00435DDE">
        <w:t xml:space="preserve"> </w:t>
      </w:r>
      <w:r w:rsidR="00435DDE" w:rsidRPr="00435DDE">
        <w:rPr>
          <w:rFonts w:ascii="Arial" w:hAnsi="Arial" w:cs="Arial"/>
        </w:rPr>
        <w:t>These findings complement Westerhof and Bohlmeijer’s (2014) research, as both studies emphasise the importance of meaning, reflection and social contribution in promoting wellbeing in later life.</w:t>
      </w:r>
    </w:p>
    <w:p w14:paraId="45D2B863" w14:textId="415E9534" w:rsidR="008A6F34" w:rsidRPr="008A6F34" w:rsidRDefault="008A6F34" w:rsidP="00C019E0">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Source 2 – Erikson’s Psychosocial Development Theory</w:t>
      </w:r>
    </w:p>
    <w:p w14:paraId="3FF89537" w14:textId="77777777"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Reference</w:t>
      </w:r>
      <w:r w:rsidRPr="008A6F34">
        <w:rPr>
          <w:rFonts w:ascii="Arial" w:eastAsia="Times New Roman" w:hAnsi="Arial" w:cs="Arial"/>
          <w:kern w:val="0"/>
          <w:lang w:eastAsia="en-GB"/>
          <w14:ligatures w14:val="none"/>
        </w:rPr>
        <w:br/>
        <w:t xml:space="preserve">Cheng, S. (2009) ‘Generativity in later life: Perceived respect from younger generations as a determinant of psychological wellbeing’, </w:t>
      </w:r>
      <w:r w:rsidRPr="008A6F34">
        <w:rPr>
          <w:rFonts w:ascii="Arial" w:eastAsia="Times New Roman" w:hAnsi="Arial" w:cs="Arial"/>
          <w:i/>
          <w:iCs/>
          <w:kern w:val="0"/>
          <w:lang w:eastAsia="en-GB"/>
          <w14:ligatures w14:val="none"/>
        </w:rPr>
        <w:t>The Journals of Gerontology</w:t>
      </w:r>
      <w:r w:rsidRPr="008A6F34">
        <w:rPr>
          <w:rFonts w:ascii="Arial" w:eastAsia="Times New Roman" w:hAnsi="Arial" w:cs="Arial"/>
          <w:kern w:val="0"/>
          <w:lang w:eastAsia="en-GB"/>
          <w14:ligatures w14:val="none"/>
        </w:rPr>
        <w:t>, 64(1), pp. 45–54.</w:t>
      </w:r>
    </w:p>
    <w:p w14:paraId="3E81445C" w14:textId="29F0C30E"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Summary</w:t>
      </w:r>
      <w:r w:rsidRPr="008A6F34">
        <w:rPr>
          <w:rFonts w:ascii="Arial" w:eastAsia="Times New Roman" w:hAnsi="Arial" w:cs="Arial"/>
          <w:kern w:val="0"/>
          <w:lang w:eastAsia="en-GB"/>
          <w14:ligatures w14:val="none"/>
        </w:rPr>
        <w:br/>
        <w:t xml:space="preserve">Cheng’s study focuses on the concept of generativity and its role in promoting </w:t>
      </w:r>
      <w:r w:rsidR="00B519CC">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among older adults. Generativity refers to the desire to guide, support or contribute to </w:t>
      </w:r>
      <w:r w:rsidRPr="008A6F34">
        <w:rPr>
          <w:rFonts w:ascii="Arial" w:eastAsia="Times New Roman" w:hAnsi="Arial" w:cs="Arial"/>
          <w:kern w:val="0"/>
          <w:lang w:eastAsia="en-GB"/>
          <w14:ligatures w14:val="none"/>
        </w:rPr>
        <w:lastRenderedPageBreak/>
        <w:t>younger generations through knowledge and life experience. This idea links with Erikson’s psychosocial theory, which highlights the importance of maintaining meaningful roles and social value across adulthood. The research found that older individuals who felt appreciated and respected by younger people reported higher levels of psychological wellbeing. These findings suggest that social recognition and opportunities to contribute remain important during later life.</w:t>
      </w:r>
    </w:p>
    <w:p w14:paraId="00284E0D" w14:textId="77777777"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Critical comment</w:t>
      </w:r>
      <w:r w:rsidRPr="008A6F34">
        <w:rPr>
          <w:rFonts w:ascii="Arial" w:eastAsia="Times New Roman" w:hAnsi="Arial" w:cs="Arial"/>
          <w:kern w:val="0"/>
          <w:lang w:eastAsia="en-GB"/>
          <w14:ligatures w14:val="none"/>
        </w:rPr>
        <w:br/>
        <w:t>The article offers valuable evidence on the social factors that influence wellbeing in older adulthood. A major strength is its focus on the importance of feeling valued and respected within society. However, the research may not fully consider barriers such as declining health or limited social opportunities that some older adults face. Even so, the findings are useful for professionals working in health and social care settings. Providing opportunities for older adults to share knowledge and experiences may help maintain a sense of purpose and belonging.</w:t>
      </w:r>
    </w:p>
    <w:p w14:paraId="2C15A6EE" w14:textId="77777777" w:rsidR="008A6F34" w:rsidRPr="008A6F34" w:rsidRDefault="008A6F34" w:rsidP="008A6F34">
      <w:pPr>
        <w:spacing w:before="100" w:beforeAutospacing="1" w:after="100" w:afterAutospacing="1" w:line="360" w:lineRule="auto"/>
        <w:outlineLvl w:val="1"/>
        <w:rPr>
          <w:rFonts w:ascii="Arial" w:eastAsia="Times New Roman" w:hAnsi="Arial" w:cs="Arial"/>
          <w:b/>
          <w:bCs/>
          <w:kern w:val="0"/>
          <w:lang w:eastAsia="en-GB"/>
          <w14:ligatures w14:val="none"/>
        </w:rPr>
      </w:pPr>
      <w:r w:rsidRPr="008A6F34">
        <w:rPr>
          <w:rFonts w:ascii="Arial" w:eastAsia="Times New Roman" w:hAnsi="Arial" w:cs="Arial"/>
          <w:b/>
          <w:bCs/>
          <w:kern w:val="0"/>
          <w:lang w:eastAsia="en-GB"/>
          <w14:ligatures w14:val="none"/>
        </w:rPr>
        <w:t>Source 3 – Positive Psychology</w:t>
      </w:r>
    </w:p>
    <w:p w14:paraId="55B1CD5B" w14:textId="77777777"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Reference</w:t>
      </w:r>
      <w:r w:rsidRPr="008A6F34">
        <w:rPr>
          <w:rFonts w:ascii="Arial" w:eastAsia="Times New Roman" w:hAnsi="Arial" w:cs="Arial"/>
          <w:kern w:val="0"/>
          <w:lang w:eastAsia="en-GB"/>
          <w14:ligatures w14:val="none"/>
        </w:rPr>
        <w:br/>
        <w:t xml:space="preserve">Bar-Tur, L. (2021) ‘Fostering well-being in the elderly: translating theories of positive psychology into interventions’, </w:t>
      </w:r>
      <w:r w:rsidRPr="008A6F34">
        <w:rPr>
          <w:rFonts w:ascii="Arial" w:eastAsia="Times New Roman" w:hAnsi="Arial" w:cs="Arial"/>
          <w:i/>
          <w:iCs/>
          <w:kern w:val="0"/>
          <w:lang w:eastAsia="en-GB"/>
          <w14:ligatures w14:val="none"/>
        </w:rPr>
        <w:t>Frontiers in Medicine</w:t>
      </w:r>
      <w:r w:rsidRPr="008A6F34">
        <w:rPr>
          <w:rFonts w:ascii="Arial" w:eastAsia="Times New Roman" w:hAnsi="Arial" w:cs="Arial"/>
          <w:kern w:val="0"/>
          <w:lang w:eastAsia="en-GB"/>
          <w14:ligatures w14:val="none"/>
        </w:rPr>
        <w:t>, 8.</w:t>
      </w:r>
    </w:p>
    <w:p w14:paraId="211FEE2F" w14:textId="23271FB0"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Summary</w:t>
      </w:r>
      <w:r w:rsidRPr="008A6F34">
        <w:rPr>
          <w:rFonts w:ascii="Arial" w:eastAsia="Times New Roman" w:hAnsi="Arial" w:cs="Arial"/>
          <w:kern w:val="0"/>
          <w:lang w:eastAsia="en-GB"/>
          <w14:ligatures w14:val="none"/>
        </w:rPr>
        <w:br/>
        <w:t xml:space="preserve">This article investigates how principles from positive psychology can be used to improve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in older adults. Positive psychology focuses on developing personal strengths, encouraging positive emotions and promoting meaningful engagement in life. The author describes several strategies, including gratitude practices, social activities and goal setting, which may increase life satisfaction and emotional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in later life. These approaches shift the focus away from illness and instead emphasise </w:t>
      </w:r>
      <w:r w:rsidR="004935F2">
        <w:rPr>
          <w:rFonts w:ascii="Arial" w:eastAsia="Times New Roman" w:hAnsi="Arial" w:cs="Arial"/>
          <w:kern w:val="0"/>
          <w:lang w:eastAsia="en-GB"/>
          <w14:ligatures w14:val="none"/>
        </w:rPr>
        <w:t>individuals'</w:t>
      </w:r>
      <w:r w:rsidR="004F0059">
        <w:rPr>
          <w:rFonts w:ascii="Arial" w:eastAsia="Times New Roman" w:hAnsi="Arial" w:cs="Arial"/>
          <w:kern w:val="0"/>
          <w:lang w:eastAsia="en-GB"/>
          <w14:ligatures w14:val="none"/>
        </w:rPr>
        <w:t xml:space="preserve"> </w:t>
      </w:r>
      <w:r w:rsidRPr="008A6F34">
        <w:rPr>
          <w:rFonts w:ascii="Arial" w:eastAsia="Times New Roman" w:hAnsi="Arial" w:cs="Arial"/>
          <w:kern w:val="0"/>
          <w:lang w:eastAsia="en-GB"/>
          <w14:ligatures w14:val="none"/>
        </w:rPr>
        <w:t xml:space="preserve">abilities and </w:t>
      </w:r>
      <w:r w:rsidR="00DE31CD">
        <w:rPr>
          <w:rFonts w:ascii="Arial" w:eastAsia="Times New Roman" w:hAnsi="Arial" w:cs="Arial"/>
          <w:kern w:val="0"/>
          <w:lang w:eastAsia="en-GB"/>
          <w14:ligatures w14:val="none"/>
        </w:rPr>
        <w:t xml:space="preserve">personal </w:t>
      </w:r>
      <w:r w:rsidRPr="008A6F34">
        <w:rPr>
          <w:rFonts w:ascii="Arial" w:eastAsia="Times New Roman" w:hAnsi="Arial" w:cs="Arial"/>
          <w:kern w:val="0"/>
          <w:lang w:eastAsia="en-GB"/>
          <w14:ligatures w14:val="none"/>
        </w:rPr>
        <w:t>resources. The research suggests that such interventions may help reduce loneliness and improve overall quality of life for older adults.</w:t>
      </w:r>
    </w:p>
    <w:p w14:paraId="6101378C" w14:textId="7589C538"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Critical comment</w:t>
      </w:r>
      <w:r w:rsidRPr="008A6F34">
        <w:rPr>
          <w:rFonts w:ascii="Arial" w:eastAsia="Times New Roman" w:hAnsi="Arial" w:cs="Arial"/>
          <w:kern w:val="0"/>
          <w:lang w:eastAsia="en-GB"/>
          <w14:ligatures w14:val="none"/>
        </w:rPr>
        <w:br/>
        <w:t xml:space="preserve">This article is particularly useful because it connects positive psychology theory with practical interventions that can be applied in real care settings. One strength is that it provides clear examples of activities that could improve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among older adults.</w:t>
      </w:r>
      <w:r w:rsidR="00455A24">
        <w:rPr>
          <w:rFonts w:ascii="Arial" w:eastAsia="Times New Roman" w:hAnsi="Arial" w:cs="Arial"/>
          <w:kern w:val="0"/>
          <w:lang w:eastAsia="en-GB"/>
          <w14:ligatures w14:val="none"/>
        </w:rPr>
        <w:t xml:space="preserve"> </w:t>
      </w:r>
      <w:r w:rsidRPr="008A6F34">
        <w:rPr>
          <w:rFonts w:ascii="Arial" w:eastAsia="Times New Roman" w:hAnsi="Arial" w:cs="Arial"/>
          <w:kern w:val="0"/>
          <w:lang w:eastAsia="en-GB"/>
          <w14:ligatures w14:val="none"/>
        </w:rPr>
        <w:t xml:space="preserve"> </w:t>
      </w:r>
      <w:r w:rsidR="00455A24" w:rsidRPr="00455A24">
        <w:rPr>
          <w:rFonts w:ascii="Arial" w:hAnsi="Arial" w:cs="Arial"/>
        </w:rPr>
        <w:t xml:space="preserve">However, positive psychology approaches may be criticised for focusing primarily on strengths and positive emotions, potentially overlooking the complex medical and </w:t>
      </w:r>
      <w:r w:rsidR="00455A24" w:rsidRPr="00455A24">
        <w:rPr>
          <w:rFonts w:ascii="Arial" w:hAnsi="Arial" w:cs="Arial"/>
        </w:rPr>
        <w:lastRenderedPageBreak/>
        <w:t>psychological needs of older adults in care settings.</w:t>
      </w:r>
      <w:r w:rsidR="00455A24">
        <w:rPr>
          <w:rFonts w:ascii="Arial" w:eastAsia="Times New Roman" w:hAnsi="Arial" w:cs="Arial"/>
          <w:kern w:val="0"/>
          <w:lang w:eastAsia="en-GB"/>
          <w14:ligatures w14:val="none"/>
        </w:rPr>
        <w:t xml:space="preserve"> </w:t>
      </w:r>
      <w:r w:rsidRPr="008A6F34">
        <w:rPr>
          <w:rFonts w:ascii="Arial" w:eastAsia="Times New Roman" w:hAnsi="Arial" w:cs="Arial"/>
          <w:kern w:val="0"/>
          <w:lang w:eastAsia="en-GB"/>
          <w14:ligatures w14:val="none"/>
        </w:rPr>
        <w:t xml:space="preserve">Despite this, the research highlights the importance of supporting emotional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alongside physical health. Encouraging social engagement and meaningful activities may help older adults maintain a more positive outlook.</w:t>
      </w:r>
    </w:p>
    <w:p w14:paraId="14C67436" w14:textId="77777777" w:rsidR="008A6F34" w:rsidRPr="008A6F34" w:rsidRDefault="008A6F34" w:rsidP="008A6F34">
      <w:pPr>
        <w:spacing w:before="100" w:beforeAutospacing="1" w:after="100" w:afterAutospacing="1" w:line="360" w:lineRule="auto"/>
        <w:outlineLvl w:val="1"/>
        <w:rPr>
          <w:rFonts w:ascii="Arial" w:eastAsia="Times New Roman" w:hAnsi="Arial" w:cs="Arial"/>
          <w:b/>
          <w:bCs/>
          <w:kern w:val="0"/>
          <w:lang w:eastAsia="en-GB"/>
          <w14:ligatures w14:val="none"/>
        </w:rPr>
      </w:pPr>
      <w:r w:rsidRPr="008A6F34">
        <w:rPr>
          <w:rFonts w:ascii="Arial" w:eastAsia="Times New Roman" w:hAnsi="Arial" w:cs="Arial"/>
          <w:b/>
          <w:bCs/>
          <w:kern w:val="0"/>
          <w:lang w:eastAsia="en-GB"/>
          <w14:ligatures w14:val="none"/>
        </w:rPr>
        <w:t>Source 4 – Positive Psychology</w:t>
      </w:r>
    </w:p>
    <w:p w14:paraId="1C64F278" w14:textId="7428D71C"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Reference</w:t>
      </w:r>
      <w:r w:rsidRPr="008A6F34">
        <w:rPr>
          <w:rFonts w:ascii="Arial" w:eastAsia="Times New Roman" w:hAnsi="Arial" w:cs="Arial"/>
          <w:kern w:val="0"/>
          <w:lang w:eastAsia="en-GB"/>
          <w14:ligatures w14:val="none"/>
        </w:rPr>
        <w:br/>
        <w:t xml:space="preserve">Steptoe, A., Deaton, A. and Stone, A. (2015) ‘Psychological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health and ageing’, </w:t>
      </w:r>
      <w:r w:rsidRPr="008A6F34">
        <w:rPr>
          <w:rFonts w:ascii="Arial" w:eastAsia="Times New Roman" w:hAnsi="Arial" w:cs="Arial"/>
          <w:i/>
          <w:iCs/>
          <w:kern w:val="0"/>
          <w:lang w:eastAsia="en-GB"/>
          <w14:ligatures w14:val="none"/>
        </w:rPr>
        <w:t>The Lancet</w:t>
      </w:r>
      <w:r w:rsidRPr="008A6F34">
        <w:rPr>
          <w:rFonts w:ascii="Arial" w:eastAsia="Times New Roman" w:hAnsi="Arial" w:cs="Arial"/>
          <w:kern w:val="0"/>
          <w:lang w:eastAsia="en-GB"/>
          <w14:ligatures w14:val="none"/>
        </w:rPr>
        <w:t>, 385(9968), pp. 640–648.</w:t>
      </w:r>
    </w:p>
    <w:p w14:paraId="67B69792" w14:textId="2EF7566A"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Summary</w:t>
      </w:r>
      <w:r w:rsidRPr="008A6F34">
        <w:rPr>
          <w:rFonts w:ascii="Arial" w:eastAsia="Times New Roman" w:hAnsi="Arial" w:cs="Arial"/>
          <w:kern w:val="0"/>
          <w:lang w:eastAsia="en-GB"/>
          <w14:ligatures w14:val="none"/>
        </w:rPr>
        <w:br/>
        <w:t xml:space="preserve">This article examines the relationship between psychological wellbeing and physical health among older adults. The authors identify several components of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including positive emotions, satisfaction with life and a sense of purpose. Their research indicates that individuals who report higher levels of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are more likely to experience better health outcomes and lower rates of chronic illness. The findings support ideas from positive psychology, which emphasise the importance of emotional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and meaningful social relationships. Overall, the study highlights the role of psychological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in supporting healthy ageing.</w:t>
      </w:r>
    </w:p>
    <w:p w14:paraId="62E19BCC" w14:textId="672EADA3" w:rsidR="008A6F34" w:rsidRPr="008A6F34" w:rsidRDefault="008A6F34" w:rsidP="008A6F34">
      <w:pPr>
        <w:spacing w:before="100" w:beforeAutospacing="1" w:after="100" w:afterAutospacing="1" w:line="360" w:lineRule="auto"/>
        <w:rPr>
          <w:rFonts w:ascii="Arial" w:eastAsia="Times New Roman" w:hAnsi="Arial" w:cs="Arial"/>
          <w:kern w:val="0"/>
          <w:lang w:eastAsia="en-GB"/>
          <w14:ligatures w14:val="none"/>
        </w:rPr>
      </w:pPr>
      <w:r w:rsidRPr="008A6F34">
        <w:rPr>
          <w:rFonts w:ascii="Arial" w:eastAsia="Times New Roman" w:hAnsi="Arial" w:cs="Arial"/>
          <w:b/>
          <w:bCs/>
          <w:kern w:val="0"/>
          <w:lang w:eastAsia="en-GB"/>
          <w14:ligatures w14:val="none"/>
        </w:rPr>
        <w:t>Critical comment</w:t>
      </w:r>
      <w:r w:rsidRPr="008A6F34">
        <w:rPr>
          <w:rFonts w:ascii="Arial" w:eastAsia="Times New Roman" w:hAnsi="Arial" w:cs="Arial"/>
          <w:kern w:val="0"/>
          <w:lang w:eastAsia="en-GB"/>
          <w14:ligatures w14:val="none"/>
        </w:rPr>
        <w:br/>
        <w:t xml:space="preserve">The research provides strong evidence linking emotional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with improved health outcomes in later life. A significant strength of the study is the use of large datasets, which increases the reliability of the results. However, the article mainly focuses on broad population data rather than specific care home environments. This means the findings may not directly address everyday challenges faced by care professionals. Nevertheless, the research remains highly relevant for health and social care practice. Supporting psychological </w:t>
      </w:r>
      <w:r w:rsidR="004F0059">
        <w:rPr>
          <w:rFonts w:ascii="Arial" w:eastAsia="Times New Roman" w:hAnsi="Arial" w:cs="Arial"/>
          <w:kern w:val="0"/>
          <w:lang w:eastAsia="en-GB"/>
          <w14:ligatures w14:val="none"/>
        </w:rPr>
        <w:t>well-being</w:t>
      </w:r>
      <w:r w:rsidRPr="008A6F34">
        <w:rPr>
          <w:rFonts w:ascii="Arial" w:eastAsia="Times New Roman" w:hAnsi="Arial" w:cs="Arial"/>
          <w:kern w:val="0"/>
          <w:lang w:eastAsia="en-GB"/>
          <w14:ligatures w14:val="none"/>
        </w:rPr>
        <w:t xml:space="preserve"> alongside physical care may improve the overall quality of life for older adults.</w:t>
      </w:r>
    </w:p>
    <w:p w14:paraId="5DE46F12" w14:textId="77777777" w:rsidR="002E4DB7" w:rsidRDefault="002E4DB7" w:rsidP="008A6F34">
      <w:pPr>
        <w:spacing w:line="360" w:lineRule="auto"/>
        <w:rPr>
          <w:rFonts w:ascii="Arial" w:hAnsi="Arial" w:cs="Arial"/>
        </w:rPr>
      </w:pPr>
    </w:p>
    <w:p w14:paraId="5D00C3E9" w14:textId="77777777" w:rsidR="00C019E0" w:rsidRDefault="00C019E0" w:rsidP="008A6F34">
      <w:pPr>
        <w:spacing w:line="360" w:lineRule="auto"/>
        <w:rPr>
          <w:rFonts w:ascii="Arial" w:hAnsi="Arial" w:cs="Arial"/>
        </w:rPr>
      </w:pPr>
    </w:p>
    <w:p w14:paraId="26160ABA" w14:textId="77777777" w:rsidR="00C019E0" w:rsidRDefault="00C019E0" w:rsidP="008A6F34">
      <w:pPr>
        <w:spacing w:line="360" w:lineRule="auto"/>
        <w:rPr>
          <w:rFonts w:ascii="Arial" w:hAnsi="Arial" w:cs="Arial"/>
        </w:rPr>
      </w:pPr>
    </w:p>
    <w:p w14:paraId="0F078FCF" w14:textId="77777777" w:rsidR="00B519CC" w:rsidRDefault="00B519CC" w:rsidP="00C019E0">
      <w:pPr>
        <w:spacing w:line="360" w:lineRule="auto"/>
        <w:rPr>
          <w:rFonts w:ascii="Arial" w:hAnsi="Arial" w:cs="Arial"/>
        </w:rPr>
      </w:pPr>
    </w:p>
    <w:p w14:paraId="3EA43A34" w14:textId="77777777" w:rsidR="0064546C" w:rsidRDefault="0064546C" w:rsidP="00C019E0">
      <w:pPr>
        <w:spacing w:line="360" w:lineRule="auto"/>
        <w:rPr>
          <w:rFonts w:ascii="Arial" w:hAnsi="Arial" w:cs="Arial"/>
          <w:b/>
          <w:bCs/>
        </w:rPr>
      </w:pPr>
    </w:p>
    <w:p w14:paraId="0863DE7F" w14:textId="49257FCA" w:rsidR="00C019E0" w:rsidRDefault="00C019E0" w:rsidP="00C019E0">
      <w:pPr>
        <w:spacing w:line="360" w:lineRule="auto"/>
        <w:rPr>
          <w:rFonts w:ascii="Arial" w:hAnsi="Arial" w:cs="Arial"/>
          <w:b/>
          <w:bCs/>
        </w:rPr>
      </w:pPr>
      <w:r>
        <w:rPr>
          <w:rFonts w:ascii="Arial" w:hAnsi="Arial" w:cs="Arial"/>
          <w:b/>
          <w:bCs/>
        </w:rPr>
        <w:lastRenderedPageBreak/>
        <w:t xml:space="preserve">Part B: Short Report </w:t>
      </w:r>
    </w:p>
    <w:p w14:paraId="040E7DC3" w14:textId="6F8AA18E" w:rsidR="00C019E0" w:rsidRPr="00A63733" w:rsidRDefault="00A63733" w:rsidP="00A63733">
      <w:pPr>
        <w:spacing w:line="360" w:lineRule="auto"/>
        <w:rPr>
          <w:rFonts w:ascii="Arial" w:hAnsi="Arial" w:cs="Arial"/>
          <w:b/>
          <w:bCs/>
        </w:rPr>
      </w:pPr>
      <w:r w:rsidRPr="00A63733">
        <w:rPr>
          <w:rFonts w:ascii="Arial" w:hAnsi="Arial" w:cs="Arial"/>
          <w:b/>
          <w:bCs/>
        </w:rPr>
        <w:t>1.</w:t>
      </w:r>
      <w:r>
        <w:rPr>
          <w:rFonts w:ascii="Arial" w:hAnsi="Arial" w:cs="Arial"/>
          <w:b/>
          <w:bCs/>
        </w:rPr>
        <w:t xml:space="preserve"> </w:t>
      </w:r>
      <w:r w:rsidRPr="00A63733">
        <w:rPr>
          <w:rFonts w:ascii="Arial" w:hAnsi="Arial" w:cs="Arial"/>
          <w:b/>
          <w:bCs/>
        </w:rPr>
        <w:t xml:space="preserve"> </w:t>
      </w:r>
      <w:r w:rsidR="00C019E0" w:rsidRPr="00A63733">
        <w:rPr>
          <w:rFonts w:ascii="Arial" w:hAnsi="Arial" w:cs="Arial"/>
          <w:b/>
          <w:bCs/>
        </w:rPr>
        <w:t>Introduction</w:t>
      </w:r>
    </w:p>
    <w:p w14:paraId="1178B7E4" w14:textId="61BAF22E" w:rsidR="00896A3A" w:rsidRPr="00896A3A" w:rsidRDefault="00896A3A" w:rsidP="00896A3A">
      <w:pPr>
        <w:pStyle w:val="NormalWeb"/>
        <w:spacing w:line="360" w:lineRule="auto"/>
        <w:rPr>
          <w:rFonts w:ascii="Arial" w:hAnsi="Arial" w:cs="Arial"/>
          <w:sz w:val="22"/>
          <w:szCs w:val="22"/>
        </w:rPr>
      </w:pPr>
      <w:r w:rsidRPr="00896A3A">
        <w:rPr>
          <w:rFonts w:ascii="Arial" w:hAnsi="Arial" w:cs="Arial"/>
          <w:sz w:val="22"/>
          <w:szCs w:val="22"/>
        </w:rPr>
        <w:t xml:space="preserve">Promoting psychological </w:t>
      </w:r>
      <w:r w:rsidR="00C71E06">
        <w:rPr>
          <w:rFonts w:ascii="Arial" w:hAnsi="Arial" w:cs="Arial"/>
          <w:sz w:val="22"/>
          <w:szCs w:val="22"/>
        </w:rPr>
        <w:t>wellbeing</w:t>
      </w:r>
      <w:r w:rsidRPr="00896A3A">
        <w:rPr>
          <w:rFonts w:ascii="Arial" w:hAnsi="Arial" w:cs="Arial"/>
          <w:sz w:val="22"/>
          <w:szCs w:val="22"/>
        </w:rPr>
        <w:t xml:space="preserve"> is a key aspect of care for older adults, particularly those living in residential settings. Ageing is often associated with changes such as declining physical health, reduced independence, social isolation and bereavement, which can negatively impact mental and emotional wellbeing (World Health Organisation, 2015; Steptoe, Deaton and Stone, 2015).</w:t>
      </w:r>
    </w:p>
    <w:p w14:paraId="3D012423" w14:textId="77777777" w:rsidR="00A63733" w:rsidRDefault="00896A3A" w:rsidP="00A63733">
      <w:pPr>
        <w:pStyle w:val="NormalWeb"/>
        <w:spacing w:line="360" w:lineRule="auto"/>
        <w:rPr>
          <w:rFonts w:ascii="Arial" w:hAnsi="Arial" w:cs="Arial"/>
          <w:sz w:val="22"/>
          <w:szCs w:val="22"/>
        </w:rPr>
      </w:pPr>
      <w:r w:rsidRPr="00896A3A">
        <w:rPr>
          <w:rFonts w:ascii="Arial" w:hAnsi="Arial" w:cs="Arial"/>
          <w:sz w:val="22"/>
          <w:szCs w:val="22"/>
        </w:rPr>
        <w:t xml:space="preserve">One important theoretical framework is </w:t>
      </w:r>
      <w:r w:rsidRPr="00896A3A">
        <w:rPr>
          <w:rStyle w:val="whitespace-normal"/>
          <w:rFonts w:ascii="Arial" w:eastAsiaTheme="majorEastAsia" w:hAnsi="Arial" w:cs="Arial"/>
          <w:b/>
          <w:bCs/>
          <w:sz w:val="22"/>
          <w:szCs w:val="22"/>
        </w:rPr>
        <w:t>Erik Erikson</w:t>
      </w:r>
      <w:r w:rsidRPr="00896A3A">
        <w:rPr>
          <w:rStyle w:val="Strong"/>
          <w:rFonts w:ascii="Arial" w:eastAsiaTheme="majorEastAsia" w:hAnsi="Arial" w:cs="Arial"/>
          <w:sz w:val="22"/>
          <w:szCs w:val="22"/>
        </w:rPr>
        <w:t>’s</w:t>
      </w:r>
      <w:r w:rsidRPr="00896A3A">
        <w:rPr>
          <w:rFonts w:ascii="Arial" w:hAnsi="Arial" w:cs="Arial"/>
          <w:sz w:val="22"/>
          <w:szCs w:val="22"/>
        </w:rPr>
        <w:t xml:space="preserve"> psychosocial development theory, which outlines eight stages across the lifespan (Erikson, 1950; Erikson, 1982). The final stage, integrity versus despair, is particularly relevant in later life, as individuals reflect on their experiences and evaluate whether their lives have been meaningful. This report examines how Erikson’s theory can be applied to support psychological </w:t>
      </w:r>
      <w:r w:rsidR="00C71E06">
        <w:rPr>
          <w:rFonts w:ascii="Arial" w:hAnsi="Arial" w:cs="Arial"/>
          <w:sz w:val="22"/>
          <w:szCs w:val="22"/>
        </w:rPr>
        <w:t>well-being</w:t>
      </w:r>
      <w:r w:rsidRPr="00896A3A">
        <w:rPr>
          <w:rFonts w:ascii="Arial" w:hAnsi="Arial" w:cs="Arial"/>
          <w:sz w:val="22"/>
          <w:szCs w:val="22"/>
        </w:rPr>
        <w:t xml:space="preserve"> in residential care settings.</w:t>
      </w:r>
    </w:p>
    <w:p w14:paraId="5C89550A" w14:textId="3517269F" w:rsidR="00C019E0" w:rsidRPr="00A63733" w:rsidRDefault="00A63733" w:rsidP="00A63733">
      <w:pPr>
        <w:pStyle w:val="NormalWeb"/>
        <w:spacing w:line="360" w:lineRule="auto"/>
        <w:rPr>
          <w:rFonts w:ascii="Arial" w:hAnsi="Arial" w:cs="Arial"/>
          <w:sz w:val="22"/>
          <w:szCs w:val="22"/>
        </w:rPr>
      </w:pPr>
      <w:r w:rsidRPr="00A63733">
        <w:rPr>
          <w:rFonts w:ascii="Arial" w:hAnsi="Arial" w:cs="Arial"/>
          <w:b/>
          <w:bCs/>
        </w:rPr>
        <w:t>2.</w:t>
      </w:r>
      <w:r>
        <w:rPr>
          <w:rFonts w:ascii="Arial" w:hAnsi="Arial" w:cs="Arial"/>
          <w:b/>
          <w:bCs/>
        </w:rPr>
        <w:t xml:space="preserve"> </w:t>
      </w:r>
      <w:r w:rsidR="00C019E0" w:rsidRPr="00A63733">
        <w:rPr>
          <w:rFonts w:ascii="Arial" w:hAnsi="Arial" w:cs="Arial"/>
          <w:b/>
          <w:bCs/>
        </w:rPr>
        <w:t>Erikson’s Psychosocial Development Theory</w:t>
      </w:r>
    </w:p>
    <w:p w14:paraId="1B903B13" w14:textId="0570E200" w:rsidR="00C019E0" w:rsidRPr="00F57CFE" w:rsidRDefault="00C019E0" w:rsidP="00C019E0">
      <w:pPr>
        <w:spacing w:line="360" w:lineRule="auto"/>
        <w:rPr>
          <w:rFonts w:ascii="Arial" w:hAnsi="Arial" w:cs="Arial"/>
        </w:rPr>
      </w:pPr>
      <w:r>
        <w:rPr>
          <w:rFonts w:ascii="Arial" w:hAnsi="Arial" w:cs="Arial"/>
        </w:rPr>
        <w:t xml:space="preserve">Erik Erikson’s psychosocial development theory proposes that individuals progress through eight stages of development throughout their lifespan, each characterised by a specific psychological conflict that impacts personal growth and identity (Erikson, 1950; Erikson, 1982). The final stage, known as integrity versus despair, occurs in later adulthood and is particularly relevant to the psychological </w:t>
      </w:r>
      <w:r w:rsidR="00667909">
        <w:rPr>
          <w:rFonts w:ascii="Arial" w:hAnsi="Arial" w:cs="Arial"/>
        </w:rPr>
        <w:t>well-being</w:t>
      </w:r>
      <w:r>
        <w:rPr>
          <w:rFonts w:ascii="Arial" w:hAnsi="Arial" w:cs="Arial"/>
        </w:rPr>
        <w:t xml:space="preserve"> of older adults.</w:t>
      </w:r>
      <w:r w:rsidR="00F5028D" w:rsidRPr="00F5028D">
        <w:t xml:space="preserve"> </w:t>
      </w:r>
      <w:r w:rsidR="00F5028D" w:rsidRPr="00F5028D">
        <w:rPr>
          <w:rFonts w:ascii="Arial" w:hAnsi="Arial" w:cs="Arial"/>
        </w:rPr>
        <w:t>During this stage, individuals reflect on whether their lives have been meaningful.</w:t>
      </w:r>
      <w:r>
        <w:rPr>
          <w:rFonts w:ascii="Arial" w:hAnsi="Arial" w:cs="Arial"/>
        </w:rPr>
        <w:t xml:space="preserve"> A sense of integrity is typically achieved when individuals accept their life journey, including both successes and setbacks, fostering </w:t>
      </w:r>
      <w:r w:rsidR="00F57CFE">
        <w:rPr>
          <w:rFonts w:ascii="Arial" w:hAnsi="Arial" w:cs="Arial"/>
        </w:rPr>
        <w:t>a sense of satisfaction</w:t>
      </w:r>
      <w:r>
        <w:rPr>
          <w:rFonts w:ascii="Arial" w:hAnsi="Arial" w:cs="Arial"/>
        </w:rPr>
        <w:t xml:space="preserve"> (</w:t>
      </w:r>
      <w:r w:rsidR="002545C2">
        <w:rPr>
          <w:rFonts w:ascii="Arial" w:hAnsi="Arial" w:cs="Arial"/>
        </w:rPr>
        <w:t>Erikson, 1982)</w:t>
      </w:r>
      <w:r>
        <w:rPr>
          <w:rFonts w:ascii="Arial" w:hAnsi="Arial" w:cs="Arial"/>
        </w:rPr>
        <w:t>.</w:t>
      </w:r>
      <w:r w:rsidR="00F57CFE" w:rsidRPr="00F57CFE">
        <w:t xml:space="preserve"> </w:t>
      </w:r>
      <w:r w:rsidR="00F57CFE">
        <w:rPr>
          <w:rFonts w:ascii="Arial" w:hAnsi="Arial" w:cs="Arial"/>
        </w:rPr>
        <w:t>Despair</w:t>
      </w:r>
      <w:r w:rsidR="00F57CFE" w:rsidRPr="00F57CFE">
        <w:rPr>
          <w:rFonts w:ascii="Arial" w:hAnsi="Arial" w:cs="Arial"/>
        </w:rPr>
        <w:t xml:space="preserve"> may occur when individuals feel regret or lack purpose</w:t>
      </w:r>
      <w:r w:rsidRPr="00F57CFE">
        <w:rPr>
          <w:rFonts w:ascii="Arial" w:hAnsi="Arial" w:cs="Arial"/>
        </w:rPr>
        <w:t xml:space="preserve"> (Newman and Newman, 2017). </w:t>
      </w:r>
    </w:p>
    <w:p w14:paraId="284B33A5" w14:textId="4D1E41E0" w:rsidR="00BB241C" w:rsidRDefault="00C019E0" w:rsidP="00A63733">
      <w:pPr>
        <w:spacing w:line="360" w:lineRule="auto"/>
        <w:rPr>
          <w:rFonts w:ascii="Arial" w:hAnsi="Arial" w:cs="Arial"/>
        </w:rPr>
      </w:pPr>
      <w:r>
        <w:rPr>
          <w:rFonts w:ascii="Arial" w:hAnsi="Arial" w:cs="Arial"/>
        </w:rPr>
        <w:t xml:space="preserve">Research indicates that attaining ego integrity is associated with enhanced psychological </w:t>
      </w:r>
      <w:r w:rsidR="00567500">
        <w:rPr>
          <w:rFonts w:ascii="Arial" w:hAnsi="Arial" w:cs="Arial"/>
        </w:rPr>
        <w:t>well-being</w:t>
      </w:r>
      <w:r>
        <w:rPr>
          <w:rFonts w:ascii="Arial" w:hAnsi="Arial" w:cs="Arial"/>
        </w:rPr>
        <w:t>, greater life satisfaction, and increased emotional resilience among older adults (Westerhof, Bohlmeijer and McAdams, 2017). In residential care settings, understanding this developmental stage is essential for health and social care professionals, as creating supportive environments and facilitating opportunities for life reflection can help residents strengthen their sense of identity and achieve a sense of fulfilment in later life (Steptoe, Deaton and Stone, 2015).</w:t>
      </w:r>
      <w:r w:rsidR="00524D29" w:rsidRPr="00524D29">
        <w:t xml:space="preserve"> </w:t>
      </w:r>
      <w:r w:rsidR="00524D29" w:rsidRPr="00524D29">
        <w:rPr>
          <w:rFonts w:ascii="Arial" w:hAnsi="Arial" w:cs="Arial"/>
        </w:rPr>
        <w:t xml:space="preserve">However, Erikson’s theory has been criticised for oversimplifying the ageing process, as not all individuals follow the same developmental stages or experience reflection in the same way. Factors such as health, culture and social support can significantly influence how older </w:t>
      </w:r>
      <w:r w:rsidR="00524D29" w:rsidRPr="00CD6627">
        <w:rPr>
          <w:rFonts w:ascii="Arial" w:hAnsi="Arial" w:cs="Arial"/>
        </w:rPr>
        <w:t>adults experience this stage.</w:t>
      </w:r>
      <w:r w:rsidR="00CD6627" w:rsidRPr="00CD6627">
        <w:rPr>
          <w:rFonts w:ascii="Arial" w:hAnsi="Arial" w:cs="Arial"/>
        </w:rPr>
        <w:t xml:space="preserve"> Additionally, Erikson’s </w:t>
      </w:r>
      <w:r w:rsidR="00CD6627" w:rsidRPr="00CD6627">
        <w:rPr>
          <w:rFonts w:ascii="Arial" w:hAnsi="Arial" w:cs="Arial"/>
        </w:rPr>
        <w:lastRenderedPageBreak/>
        <w:t>theory has been criticised for being culturally limited, as it is largely</w:t>
      </w:r>
      <w:r w:rsidR="003A0D78">
        <w:rPr>
          <w:rFonts w:ascii="Arial" w:hAnsi="Arial" w:cs="Arial"/>
        </w:rPr>
        <w:t xml:space="preserve"> rooted in</w:t>
      </w:r>
      <w:r w:rsidR="00CD6627" w:rsidRPr="00CD6627">
        <w:rPr>
          <w:rFonts w:ascii="Arial" w:hAnsi="Arial" w:cs="Arial"/>
        </w:rPr>
        <w:t xml:space="preserve"> Western perspectives and may not fully re</w:t>
      </w:r>
      <w:r w:rsidR="0049742D">
        <w:rPr>
          <w:rFonts w:ascii="Arial" w:hAnsi="Arial" w:cs="Arial"/>
        </w:rPr>
        <w:t>present</w:t>
      </w:r>
      <w:r w:rsidR="00CD6627" w:rsidRPr="00CD6627">
        <w:rPr>
          <w:rFonts w:ascii="Arial" w:hAnsi="Arial" w:cs="Arial"/>
        </w:rPr>
        <w:t xml:space="preserve"> the experiences of individuals from di</w:t>
      </w:r>
      <w:r w:rsidR="0049742D">
        <w:rPr>
          <w:rFonts w:ascii="Arial" w:hAnsi="Arial" w:cs="Arial"/>
        </w:rPr>
        <w:t xml:space="preserve">fferent cultural </w:t>
      </w:r>
      <w:r w:rsidR="00CD6627" w:rsidRPr="00CD6627">
        <w:rPr>
          <w:rFonts w:ascii="Arial" w:hAnsi="Arial" w:cs="Arial"/>
        </w:rPr>
        <w:t xml:space="preserve"> backgrounds.</w:t>
      </w:r>
    </w:p>
    <w:p w14:paraId="4141756F" w14:textId="1985423F" w:rsidR="00C019E0" w:rsidRPr="00BB241C" w:rsidRDefault="00A63733" w:rsidP="00A63733">
      <w:pPr>
        <w:spacing w:line="360" w:lineRule="auto"/>
        <w:rPr>
          <w:rFonts w:ascii="Arial" w:hAnsi="Arial" w:cs="Arial"/>
        </w:rPr>
      </w:pPr>
      <w:r w:rsidRPr="00A63733">
        <w:rPr>
          <w:rFonts w:ascii="Arial" w:hAnsi="Arial" w:cs="Arial"/>
          <w:b/>
          <w:bCs/>
        </w:rPr>
        <w:t>3.</w:t>
      </w:r>
      <w:r>
        <w:rPr>
          <w:rFonts w:ascii="Arial" w:hAnsi="Arial" w:cs="Arial"/>
          <w:b/>
          <w:bCs/>
        </w:rPr>
        <w:t xml:space="preserve"> </w:t>
      </w:r>
      <w:r w:rsidR="00C019E0" w:rsidRPr="00A63733">
        <w:rPr>
          <w:rFonts w:ascii="Arial" w:hAnsi="Arial" w:cs="Arial"/>
          <w:b/>
          <w:bCs/>
        </w:rPr>
        <w:t>Application of Erikson’s Theory in Residential Care</w:t>
      </w:r>
    </w:p>
    <w:p w14:paraId="5713752E" w14:textId="77777777" w:rsidR="00583D3B" w:rsidRPr="00583D3B" w:rsidRDefault="00583D3B" w:rsidP="00583D3B">
      <w:pPr>
        <w:pStyle w:val="NormalWeb"/>
        <w:spacing w:line="360" w:lineRule="auto"/>
        <w:rPr>
          <w:rFonts w:ascii="Arial" w:hAnsi="Arial" w:cs="Arial"/>
          <w:sz w:val="22"/>
          <w:szCs w:val="22"/>
        </w:rPr>
      </w:pPr>
      <w:r w:rsidRPr="00583D3B">
        <w:rPr>
          <w:rFonts w:ascii="Arial" w:hAnsi="Arial" w:cs="Arial"/>
          <w:sz w:val="22"/>
          <w:szCs w:val="22"/>
        </w:rPr>
        <w:t>Erikson’s psychosocial development theory provides insight into supporting the wellbeing of older adults in residential care. The final stage, integrity versus despair, involves individuals reflecting on their lives and developing a sense of acceptance or regret (Erikson, 1950; Erikson, 1982). In care settings, staff can support this by encouraging reminiscence activities such as sharing memories, photographs and life stories, helping individuals reinforce their sense of identity (Westerhof, Bohlmeijer and McAdams, 2017).</w:t>
      </w:r>
    </w:p>
    <w:p w14:paraId="20834AF1" w14:textId="0687C784" w:rsidR="00583D3B" w:rsidRPr="00583D3B" w:rsidRDefault="00C070F9" w:rsidP="00583D3B">
      <w:pPr>
        <w:pStyle w:val="NormalWeb"/>
        <w:spacing w:line="360" w:lineRule="auto"/>
        <w:rPr>
          <w:rFonts w:ascii="Arial" w:hAnsi="Arial" w:cs="Arial"/>
          <w:sz w:val="22"/>
          <w:szCs w:val="22"/>
        </w:rPr>
      </w:pPr>
      <w:r w:rsidRPr="00C070F9">
        <w:rPr>
          <w:rFonts w:ascii="Arial" w:hAnsi="Arial" w:cs="Arial"/>
          <w:sz w:val="22"/>
          <w:szCs w:val="22"/>
        </w:rPr>
        <w:t>For example, an older adult in a residential care home who has recently lost a partner may feel isolated and experience despair when reflecting on their life</w:t>
      </w:r>
      <w:r w:rsidR="00131148" w:rsidRPr="00131148">
        <w:rPr>
          <w:rFonts w:ascii="Arial" w:hAnsi="Arial" w:cs="Arial"/>
          <w:sz w:val="22"/>
          <w:szCs w:val="22"/>
        </w:rPr>
        <w:t>.</w:t>
      </w:r>
      <w:r w:rsidR="009B2699" w:rsidRPr="009B2699">
        <w:t xml:space="preserve"> </w:t>
      </w:r>
      <w:r w:rsidR="009B2699" w:rsidRPr="009B2699">
        <w:rPr>
          <w:rFonts w:ascii="Arial" w:hAnsi="Arial" w:cs="Arial"/>
          <w:sz w:val="22"/>
          <w:szCs w:val="22"/>
        </w:rPr>
        <w:t>According to Erikson, this reflects the negative outcome of the integrity versus despair stage, demonstrating how unresolved life experiences can impact emotional wellbeing in later life.</w:t>
      </w:r>
      <w:r w:rsidRPr="009B2699">
        <w:rPr>
          <w:rFonts w:ascii="Arial" w:hAnsi="Arial" w:cs="Arial"/>
          <w:sz w:val="22"/>
          <w:szCs w:val="22"/>
        </w:rPr>
        <w:t xml:space="preserve"> </w:t>
      </w:r>
      <w:r w:rsidR="00583D3B" w:rsidRPr="009B2699">
        <w:rPr>
          <w:rFonts w:ascii="Arial" w:hAnsi="Arial" w:cs="Arial"/>
          <w:sz w:val="22"/>
          <w:szCs w:val="22"/>
        </w:rPr>
        <w:t>Care</w:t>
      </w:r>
      <w:r w:rsidR="00583D3B" w:rsidRPr="009B2699">
        <w:rPr>
          <w:rFonts w:ascii="Arial" w:hAnsi="Arial" w:cs="Arial"/>
        </w:rPr>
        <w:t xml:space="preserve"> </w:t>
      </w:r>
      <w:r w:rsidR="00583D3B" w:rsidRPr="00131148">
        <w:rPr>
          <w:rFonts w:ascii="Arial" w:hAnsi="Arial" w:cs="Arial"/>
          <w:sz w:val="22"/>
          <w:szCs w:val="22"/>
        </w:rPr>
        <w:t>staff</w:t>
      </w:r>
      <w:r w:rsidR="00583D3B" w:rsidRPr="00583D3B">
        <w:rPr>
          <w:rFonts w:ascii="Arial" w:hAnsi="Arial" w:cs="Arial"/>
          <w:sz w:val="22"/>
          <w:szCs w:val="22"/>
        </w:rPr>
        <w:t xml:space="preserve"> can support them through reminiscence-based activities, encouraging reflection on meaningful experiences and achievements. This can help individuals reinterpret their life experiences positively and develop ego integrity, improving emotional wellbeing.</w:t>
      </w:r>
    </w:p>
    <w:p w14:paraId="67DEC23C" w14:textId="77777777" w:rsidR="00583D3B" w:rsidRPr="00583D3B" w:rsidRDefault="00583D3B" w:rsidP="00583D3B">
      <w:pPr>
        <w:pStyle w:val="NormalWeb"/>
        <w:spacing w:line="360" w:lineRule="auto"/>
        <w:rPr>
          <w:rFonts w:ascii="Arial" w:hAnsi="Arial" w:cs="Arial"/>
          <w:sz w:val="22"/>
          <w:szCs w:val="22"/>
        </w:rPr>
      </w:pPr>
      <w:r w:rsidRPr="00583D3B">
        <w:rPr>
          <w:rFonts w:ascii="Arial" w:hAnsi="Arial" w:cs="Arial"/>
          <w:sz w:val="22"/>
          <w:szCs w:val="22"/>
        </w:rPr>
        <w:t>However, a key challenge is that some older adults may experience cognitive decline or dementia, which can limit their ability to engage in reflective activities (Woods et al., 2018). To address this, care professionals can use prompts such as photographs, music or familiar objects to support memory recall. A person-centred approach ensures activities are adapted to individual needs, helping maintain engagement and wellbeing.</w:t>
      </w:r>
    </w:p>
    <w:p w14:paraId="330DD0E8" w14:textId="4EF56FD8" w:rsidR="00C019E0" w:rsidRPr="00A63733" w:rsidRDefault="00A63733" w:rsidP="00A63733">
      <w:pPr>
        <w:spacing w:line="360" w:lineRule="auto"/>
        <w:rPr>
          <w:rFonts w:ascii="Arial" w:hAnsi="Arial" w:cs="Arial"/>
          <w:b/>
          <w:bCs/>
        </w:rPr>
      </w:pPr>
      <w:r w:rsidRPr="00A63733">
        <w:rPr>
          <w:rFonts w:ascii="Arial" w:hAnsi="Arial" w:cs="Arial"/>
          <w:b/>
          <w:bCs/>
        </w:rPr>
        <w:t>4.</w:t>
      </w:r>
      <w:r>
        <w:rPr>
          <w:rFonts w:ascii="Arial" w:hAnsi="Arial" w:cs="Arial"/>
          <w:b/>
          <w:bCs/>
        </w:rPr>
        <w:t xml:space="preserve"> </w:t>
      </w:r>
      <w:r w:rsidR="00C019E0" w:rsidRPr="00A63733">
        <w:rPr>
          <w:rFonts w:ascii="Arial" w:hAnsi="Arial" w:cs="Arial"/>
          <w:b/>
          <w:bCs/>
        </w:rPr>
        <w:t xml:space="preserve">Challenges and Strategies in Residential Care </w:t>
      </w:r>
    </w:p>
    <w:p w14:paraId="34141D90" w14:textId="62873C7A" w:rsidR="00C019E0" w:rsidRDefault="00C019E0" w:rsidP="00C019E0">
      <w:pPr>
        <w:spacing w:line="360" w:lineRule="auto"/>
        <w:rPr>
          <w:rFonts w:ascii="Arial" w:hAnsi="Arial" w:cs="Arial"/>
        </w:rPr>
      </w:pPr>
      <w:r>
        <w:rPr>
          <w:rFonts w:ascii="Arial" w:hAnsi="Arial" w:cs="Arial"/>
        </w:rPr>
        <w:t xml:space="preserve">Although Erikson's theory offers a valuable framework for understanding psychological wellbeing in later life, its application within residential care settings can present several challenges. Many older adults living in care homes may experience cognitive decline, dementia, social isolation, or the loss of close relationships, which can adversely affect their ability to reflect positively on their lives (Woods et al., 2018; World Health </w:t>
      </w:r>
      <w:r w:rsidR="00B519CC">
        <w:rPr>
          <w:rFonts w:ascii="Arial" w:hAnsi="Arial" w:cs="Arial"/>
        </w:rPr>
        <w:t>Organi</w:t>
      </w:r>
      <w:r w:rsidR="00D36589">
        <w:rPr>
          <w:rFonts w:ascii="Arial" w:hAnsi="Arial" w:cs="Arial"/>
        </w:rPr>
        <w:t>z</w:t>
      </w:r>
      <w:r w:rsidR="00B519CC">
        <w:rPr>
          <w:rFonts w:ascii="Arial" w:hAnsi="Arial" w:cs="Arial"/>
        </w:rPr>
        <w:t>ation</w:t>
      </w:r>
      <w:r>
        <w:rPr>
          <w:rFonts w:ascii="Arial" w:hAnsi="Arial" w:cs="Arial"/>
        </w:rPr>
        <w:t>, 2015). Such experiences may heighten the risks of feelings of despair, loneliness, and diminished life satisfaction. Additionally, limited staffing and resources within care environments can sometimes</w:t>
      </w:r>
      <w:r>
        <w:rPr>
          <w:rFonts w:ascii="Arial" w:hAnsi="Arial" w:cs="Arial"/>
          <w:b/>
          <w:bCs/>
        </w:rPr>
        <w:t xml:space="preserve"> </w:t>
      </w:r>
      <w:r>
        <w:rPr>
          <w:rFonts w:ascii="Arial" w:hAnsi="Arial" w:cs="Arial"/>
        </w:rPr>
        <w:t>hinder the provision of personalised emotional support for residents (Victor, Scambler, and Bond, 2018).</w:t>
      </w:r>
    </w:p>
    <w:p w14:paraId="394B6F8A" w14:textId="77777777" w:rsidR="005E5C8E" w:rsidRDefault="00C019E0" w:rsidP="00C019E0">
      <w:pPr>
        <w:spacing w:line="360" w:lineRule="auto"/>
        <w:rPr>
          <w:rFonts w:ascii="Arial" w:hAnsi="Arial" w:cs="Arial"/>
        </w:rPr>
      </w:pPr>
      <w:r>
        <w:rPr>
          <w:rFonts w:ascii="Arial" w:hAnsi="Arial" w:cs="Arial"/>
        </w:rPr>
        <w:lastRenderedPageBreak/>
        <w:t>However, various strategies can help to address these challenges. Person-centred care approaches, which emphasise recognising each resident’s history, preferences, and identity, can support the development of integrity and psychological well-being (Kitwood, 1997). Activities such as reminiscence therapy, social engagement programmes, and meaningful daily activities can also help residents preserve their sense of identity, belonging, and emotional health in later life (Westerhof, Bohlmeijer, and McAdams, 2017).</w:t>
      </w:r>
    </w:p>
    <w:p w14:paraId="45E29976" w14:textId="47419059" w:rsidR="00C019E0" w:rsidRPr="005E5C8E" w:rsidRDefault="00A63733" w:rsidP="00C019E0">
      <w:pPr>
        <w:spacing w:line="360" w:lineRule="auto"/>
        <w:rPr>
          <w:rFonts w:ascii="Arial" w:hAnsi="Arial" w:cs="Arial"/>
        </w:rPr>
      </w:pPr>
      <w:r>
        <w:rPr>
          <w:rFonts w:ascii="Arial" w:hAnsi="Arial" w:cs="Arial"/>
          <w:b/>
          <w:bCs/>
        </w:rPr>
        <w:t xml:space="preserve">5. </w:t>
      </w:r>
      <w:r w:rsidR="00C019E0">
        <w:rPr>
          <w:rFonts w:ascii="Arial" w:hAnsi="Arial" w:cs="Arial"/>
          <w:b/>
          <w:bCs/>
        </w:rPr>
        <w:t>Conclusion</w:t>
      </w:r>
    </w:p>
    <w:p w14:paraId="6293DA30" w14:textId="77777777" w:rsidR="00AC1D01" w:rsidRPr="00B519CC" w:rsidRDefault="00AC1D01" w:rsidP="00B519CC">
      <w:pPr>
        <w:pStyle w:val="NormalWeb"/>
        <w:spacing w:line="360" w:lineRule="auto"/>
        <w:rPr>
          <w:rFonts w:ascii="Arial" w:hAnsi="Arial" w:cs="Arial"/>
          <w:sz w:val="22"/>
          <w:szCs w:val="22"/>
        </w:rPr>
      </w:pPr>
      <w:r w:rsidRPr="00B519CC">
        <w:rPr>
          <w:rFonts w:ascii="Arial" w:hAnsi="Arial" w:cs="Arial"/>
          <w:sz w:val="22"/>
          <w:szCs w:val="22"/>
        </w:rPr>
        <w:t xml:space="preserve">In conclusion, psychological theories provide valuable insight into the wellbeing of older adults in residential care settings. </w:t>
      </w:r>
      <w:r w:rsidRPr="00B519CC">
        <w:rPr>
          <w:rStyle w:val="whitespace-normal"/>
          <w:rFonts w:ascii="Arial" w:eastAsiaTheme="majorEastAsia" w:hAnsi="Arial" w:cs="Arial"/>
          <w:b/>
          <w:bCs/>
          <w:sz w:val="22"/>
          <w:szCs w:val="22"/>
        </w:rPr>
        <w:t>Erik Erikson</w:t>
      </w:r>
      <w:r w:rsidRPr="00B519CC">
        <w:rPr>
          <w:rStyle w:val="Strong"/>
          <w:rFonts w:ascii="Arial" w:eastAsiaTheme="majorEastAsia" w:hAnsi="Arial" w:cs="Arial"/>
          <w:sz w:val="22"/>
          <w:szCs w:val="22"/>
        </w:rPr>
        <w:t>’s</w:t>
      </w:r>
      <w:r w:rsidRPr="00B519CC">
        <w:rPr>
          <w:rFonts w:ascii="Arial" w:hAnsi="Arial" w:cs="Arial"/>
          <w:sz w:val="22"/>
          <w:szCs w:val="22"/>
        </w:rPr>
        <w:t xml:space="preserve"> psychosocial development theory highlights the importance of the final stage of integrity versus despair, where individuals reflect on their life experiences and develop either a sense of fulfilment or regret (Erikson, 1982). Understanding this stage enables health and social care professionals to better recognise and respond to the emotional and psychological needs of older adults.</w:t>
      </w:r>
    </w:p>
    <w:p w14:paraId="5D263DE0" w14:textId="4A146B2D" w:rsidR="00AC1D01" w:rsidRPr="00D5751E" w:rsidRDefault="00AC1D01" w:rsidP="00B519CC">
      <w:pPr>
        <w:pStyle w:val="NormalWeb"/>
        <w:spacing w:line="360" w:lineRule="auto"/>
        <w:rPr>
          <w:rFonts w:ascii="Arial" w:hAnsi="Arial" w:cs="Arial"/>
          <w:sz w:val="22"/>
          <w:szCs w:val="22"/>
        </w:rPr>
      </w:pPr>
      <w:r w:rsidRPr="00B519CC">
        <w:rPr>
          <w:rFonts w:ascii="Arial" w:hAnsi="Arial" w:cs="Arial"/>
          <w:sz w:val="22"/>
          <w:szCs w:val="22"/>
        </w:rPr>
        <w:t>Applying Erikson’s theory in practice, through approaches such as reminiscence activities, person-centred care and social engagement, can support individuals in maintaining identity, dignity and a sense of purpose. These strategies can also contribute to improved emotional wellbeing and life satisfaction in later life. However, it is important to acknowledge that ageing is complex and influenced by a range of physical, social and psychological factors. Therefore, Erikson’s theory should be used alongside a holistic approach to care that addresses the diverse needs of older adults.</w:t>
      </w:r>
      <w:r w:rsidR="00D5751E" w:rsidRPr="00D5751E">
        <w:t xml:space="preserve"> </w:t>
      </w:r>
      <w:r w:rsidR="00D5751E" w:rsidRPr="00D5751E">
        <w:rPr>
          <w:rFonts w:ascii="Arial" w:hAnsi="Arial" w:cs="Arial"/>
          <w:sz w:val="22"/>
          <w:szCs w:val="22"/>
        </w:rPr>
        <w:t>This highlights the importance of combining psychological theory with person-centred practice to effectively support the complex needs of older adults.</w:t>
      </w:r>
    </w:p>
    <w:p w14:paraId="084F6D32" w14:textId="77777777" w:rsidR="00C019E0" w:rsidRDefault="00C019E0" w:rsidP="00C019E0">
      <w:pPr>
        <w:spacing w:line="360" w:lineRule="auto"/>
        <w:rPr>
          <w:rFonts w:ascii="Arial" w:hAnsi="Arial" w:cs="Arial"/>
        </w:rPr>
      </w:pPr>
    </w:p>
    <w:p w14:paraId="6A1CD2E1" w14:textId="77777777" w:rsidR="00C019E0" w:rsidRDefault="00C019E0" w:rsidP="00C019E0">
      <w:pPr>
        <w:spacing w:line="360" w:lineRule="auto"/>
        <w:rPr>
          <w:rFonts w:ascii="Arial" w:hAnsi="Arial" w:cs="Arial"/>
        </w:rPr>
      </w:pPr>
    </w:p>
    <w:p w14:paraId="6ED2F906" w14:textId="77777777" w:rsidR="00C019E0" w:rsidRDefault="00C019E0" w:rsidP="00C019E0">
      <w:pPr>
        <w:spacing w:line="360" w:lineRule="auto"/>
        <w:rPr>
          <w:rFonts w:ascii="Arial" w:hAnsi="Arial" w:cs="Arial"/>
        </w:rPr>
      </w:pPr>
    </w:p>
    <w:p w14:paraId="2EA83B9D" w14:textId="77777777" w:rsidR="00C019E0" w:rsidRDefault="00C019E0" w:rsidP="00C019E0">
      <w:pPr>
        <w:spacing w:line="360" w:lineRule="auto"/>
        <w:rPr>
          <w:rFonts w:ascii="Arial" w:hAnsi="Arial" w:cs="Arial"/>
        </w:rPr>
      </w:pPr>
    </w:p>
    <w:p w14:paraId="0703C730" w14:textId="77777777" w:rsidR="00C019E0" w:rsidRDefault="00C019E0" w:rsidP="00C019E0">
      <w:pPr>
        <w:spacing w:line="360" w:lineRule="auto"/>
        <w:rPr>
          <w:rFonts w:ascii="Arial" w:hAnsi="Arial" w:cs="Arial"/>
        </w:rPr>
      </w:pPr>
    </w:p>
    <w:p w14:paraId="36FD250D" w14:textId="77777777" w:rsidR="00C019E0" w:rsidRDefault="00C019E0" w:rsidP="00C019E0">
      <w:pPr>
        <w:spacing w:line="360" w:lineRule="auto"/>
        <w:rPr>
          <w:rFonts w:ascii="Arial" w:hAnsi="Arial" w:cs="Arial"/>
        </w:rPr>
      </w:pPr>
    </w:p>
    <w:p w14:paraId="2883286F" w14:textId="77777777" w:rsidR="00C019E0" w:rsidRDefault="00C019E0" w:rsidP="00C019E0">
      <w:pPr>
        <w:spacing w:line="360" w:lineRule="auto"/>
        <w:rPr>
          <w:rFonts w:ascii="Arial" w:hAnsi="Arial" w:cs="Arial"/>
        </w:rPr>
      </w:pPr>
    </w:p>
    <w:p w14:paraId="4AB2F374" w14:textId="77777777" w:rsidR="00C019E0" w:rsidRDefault="00C019E0" w:rsidP="00C019E0">
      <w:pPr>
        <w:spacing w:line="360" w:lineRule="auto"/>
        <w:rPr>
          <w:rFonts w:ascii="Arial" w:hAnsi="Arial" w:cs="Arial"/>
        </w:rPr>
      </w:pPr>
    </w:p>
    <w:p w14:paraId="219C7F4A" w14:textId="77777777" w:rsidR="0064546C" w:rsidRDefault="0064546C" w:rsidP="00C019E0">
      <w:pPr>
        <w:spacing w:line="360" w:lineRule="auto"/>
        <w:rPr>
          <w:rFonts w:ascii="Arial" w:hAnsi="Arial" w:cs="Arial"/>
        </w:rPr>
      </w:pPr>
    </w:p>
    <w:p w14:paraId="4C653D75" w14:textId="350F28C9" w:rsidR="00DD7611" w:rsidRPr="00DD7611" w:rsidRDefault="00DD7611" w:rsidP="00C019E0">
      <w:pPr>
        <w:spacing w:line="360" w:lineRule="auto"/>
        <w:rPr>
          <w:rFonts w:ascii="Arial" w:hAnsi="Arial" w:cs="Arial"/>
          <w:b/>
          <w:bCs/>
        </w:rPr>
      </w:pPr>
      <w:r w:rsidRPr="00DD7611">
        <w:rPr>
          <w:rFonts w:ascii="Arial" w:hAnsi="Arial" w:cs="Arial"/>
          <w:b/>
          <w:bCs/>
        </w:rPr>
        <w:lastRenderedPageBreak/>
        <w:t>References</w:t>
      </w:r>
    </w:p>
    <w:p w14:paraId="4DB2C2BE"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Bar-Tur, L. (2021) ‘Fostering well-being in the elderly: translating theories of positive psychology into interventions’, </w:t>
      </w:r>
      <w:r w:rsidRPr="00DD7611">
        <w:rPr>
          <w:rStyle w:val="Emphasis"/>
          <w:rFonts w:ascii="Arial" w:eastAsiaTheme="majorEastAsia" w:hAnsi="Arial" w:cs="Arial"/>
          <w:sz w:val="22"/>
          <w:szCs w:val="22"/>
        </w:rPr>
        <w:t>Frontiers in Medicine</w:t>
      </w:r>
      <w:r w:rsidRPr="00DD7611">
        <w:rPr>
          <w:rFonts w:ascii="Arial" w:hAnsi="Arial" w:cs="Arial"/>
          <w:sz w:val="22"/>
          <w:szCs w:val="22"/>
        </w:rPr>
        <w:t>, 8.</w:t>
      </w:r>
    </w:p>
    <w:p w14:paraId="5DE5DB19"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Cheng, S. (2009) ‘Generativity in later life: Perceived respect from younger generations as a determinant of psychological wellbeing’, </w:t>
      </w:r>
      <w:r w:rsidRPr="00DD7611">
        <w:rPr>
          <w:rStyle w:val="Emphasis"/>
          <w:rFonts w:ascii="Arial" w:eastAsiaTheme="majorEastAsia" w:hAnsi="Arial" w:cs="Arial"/>
          <w:sz w:val="22"/>
          <w:szCs w:val="22"/>
        </w:rPr>
        <w:t>The Journals of Gerontology</w:t>
      </w:r>
      <w:r w:rsidRPr="00DD7611">
        <w:rPr>
          <w:rFonts w:ascii="Arial" w:hAnsi="Arial" w:cs="Arial"/>
          <w:sz w:val="22"/>
          <w:szCs w:val="22"/>
        </w:rPr>
        <w:t>, 64(1), pp. 45–54.</w:t>
      </w:r>
    </w:p>
    <w:p w14:paraId="56133362"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Erikson, E. H. (1950) </w:t>
      </w:r>
      <w:r w:rsidRPr="00DD7611">
        <w:rPr>
          <w:rStyle w:val="Emphasis"/>
          <w:rFonts w:ascii="Arial" w:eastAsiaTheme="majorEastAsia" w:hAnsi="Arial" w:cs="Arial"/>
          <w:sz w:val="22"/>
          <w:szCs w:val="22"/>
        </w:rPr>
        <w:t>Childhood and Society</w:t>
      </w:r>
      <w:r w:rsidRPr="00DD7611">
        <w:rPr>
          <w:rFonts w:ascii="Arial" w:hAnsi="Arial" w:cs="Arial"/>
          <w:sz w:val="22"/>
          <w:szCs w:val="22"/>
        </w:rPr>
        <w:t>. New York: W. W. Norton.</w:t>
      </w:r>
    </w:p>
    <w:p w14:paraId="39A7269F"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Erikson, E. H. (1982) </w:t>
      </w:r>
      <w:r w:rsidRPr="00DD7611">
        <w:rPr>
          <w:rStyle w:val="Emphasis"/>
          <w:rFonts w:ascii="Arial" w:eastAsiaTheme="majorEastAsia" w:hAnsi="Arial" w:cs="Arial"/>
          <w:sz w:val="22"/>
          <w:szCs w:val="22"/>
        </w:rPr>
        <w:t>The Life Cycle Completed</w:t>
      </w:r>
      <w:r w:rsidRPr="00DD7611">
        <w:rPr>
          <w:rFonts w:ascii="Arial" w:hAnsi="Arial" w:cs="Arial"/>
          <w:sz w:val="22"/>
          <w:szCs w:val="22"/>
        </w:rPr>
        <w:t>. New York: W. W. Norton.</w:t>
      </w:r>
    </w:p>
    <w:p w14:paraId="5C816A71"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Kitwood, T. (1997) </w:t>
      </w:r>
      <w:r w:rsidRPr="00DD7611">
        <w:rPr>
          <w:rStyle w:val="Emphasis"/>
          <w:rFonts w:ascii="Arial" w:eastAsiaTheme="majorEastAsia" w:hAnsi="Arial" w:cs="Arial"/>
          <w:sz w:val="22"/>
          <w:szCs w:val="22"/>
        </w:rPr>
        <w:t>Dementia Reconsidered: The Person Comes First</w:t>
      </w:r>
      <w:r w:rsidRPr="00DD7611">
        <w:rPr>
          <w:rFonts w:ascii="Arial" w:hAnsi="Arial" w:cs="Arial"/>
          <w:sz w:val="22"/>
          <w:szCs w:val="22"/>
        </w:rPr>
        <w:t>. Buckingham: Open University Press.</w:t>
      </w:r>
    </w:p>
    <w:p w14:paraId="24A891D4"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Newman, B. M. and Newman, P. R. (2017) </w:t>
      </w:r>
      <w:r w:rsidRPr="00DD7611">
        <w:rPr>
          <w:rStyle w:val="Emphasis"/>
          <w:rFonts w:ascii="Arial" w:eastAsiaTheme="majorEastAsia" w:hAnsi="Arial" w:cs="Arial"/>
          <w:sz w:val="22"/>
          <w:szCs w:val="22"/>
        </w:rPr>
        <w:t>Development through Life: A Psychosocial Approach</w:t>
      </w:r>
      <w:r w:rsidRPr="00DD7611">
        <w:rPr>
          <w:rFonts w:ascii="Arial" w:hAnsi="Arial" w:cs="Arial"/>
          <w:sz w:val="22"/>
          <w:szCs w:val="22"/>
        </w:rPr>
        <w:t>. 13th edn. Boston: Cengage Learning.</w:t>
      </w:r>
    </w:p>
    <w:p w14:paraId="71EF372C"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Steptoe, A., Deaton, A. and Stone, A. (2015) ‘Psychological well-being, health and ageing’, </w:t>
      </w:r>
      <w:r w:rsidRPr="00DD7611">
        <w:rPr>
          <w:rStyle w:val="Emphasis"/>
          <w:rFonts w:ascii="Arial" w:eastAsiaTheme="majorEastAsia" w:hAnsi="Arial" w:cs="Arial"/>
          <w:sz w:val="22"/>
          <w:szCs w:val="22"/>
        </w:rPr>
        <w:t>The Lancet</w:t>
      </w:r>
      <w:r w:rsidRPr="00DD7611">
        <w:rPr>
          <w:rFonts w:ascii="Arial" w:hAnsi="Arial" w:cs="Arial"/>
          <w:sz w:val="22"/>
          <w:szCs w:val="22"/>
        </w:rPr>
        <w:t>, 385(9968), pp. 640–648.</w:t>
      </w:r>
    </w:p>
    <w:p w14:paraId="012485EE"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Victor, C., Scambler, S. and Bond, J. (2018) </w:t>
      </w:r>
      <w:r w:rsidRPr="00DD7611">
        <w:rPr>
          <w:rStyle w:val="Emphasis"/>
          <w:rFonts w:ascii="Arial" w:eastAsiaTheme="majorEastAsia" w:hAnsi="Arial" w:cs="Arial"/>
          <w:sz w:val="22"/>
          <w:szCs w:val="22"/>
        </w:rPr>
        <w:t>The Social World of Older People</w:t>
      </w:r>
      <w:r w:rsidRPr="00DD7611">
        <w:rPr>
          <w:rFonts w:ascii="Arial" w:hAnsi="Arial" w:cs="Arial"/>
          <w:sz w:val="22"/>
          <w:szCs w:val="22"/>
        </w:rPr>
        <w:t>. 2nd edn. Maidenhead: Open University Press.</w:t>
      </w:r>
    </w:p>
    <w:p w14:paraId="7132A126"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Westerhof, G. and Bohlmeijer, E. (2014) ‘Celebrating fifty years of research and applications in reminiscence and life review’, </w:t>
      </w:r>
      <w:r w:rsidRPr="00DD7611">
        <w:rPr>
          <w:rStyle w:val="Emphasis"/>
          <w:rFonts w:ascii="Arial" w:eastAsiaTheme="majorEastAsia" w:hAnsi="Arial" w:cs="Arial"/>
          <w:sz w:val="22"/>
          <w:szCs w:val="22"/>
        </w:rPr>
        <w:t>Aging &amp; Mental Health</w:t>
      </w:r>
      <w:r w:rsidRPr="00DD7611">
        <w:rPr>
          <w:rFonts w:ascii="Arial" w:hAnsi="Arial" w:cs="Arial"/>
          <w:sz w:val="22"/>
          <w:szCs w:val="22"/>
        </w:rPr>
        <w:t>, 18(2), pp. 144–153.</w:t>
      </w:r>
    </w:p>
    <w:p w14:paraId="3E5D16A8"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Westerhof, G. J., Bohlmeijer, E. T. and McAdams, D. P. (2017) ‘The relation of ego integrity and despair to personality traits and mental health’, </w:t>
      </w:r>
      <w:r w:rsidRPr="00DD7611">
        <w:rPr>
          <w:rStyle w:val="Emphasis"/>
          <w:rFonts w:ascii="Arial" w:eastAsiaTheme="majorEastAsia" w:hAnsi="Arial" w:cs="Arial"/>
          <w:sz w:val="22"/>
          <w:szCs w:val="22"/>
        </w:rPr>
        <w:t>Journals of Gerontology</w:t>
      </w:r>
      <w:r w:rsidRPr="00DD7611">
        <w:rPr>
          <w:rFonts w:ascii="Arial" w:hAnsi="Arial" w:cs="Arial"/>
          <w:sz w:val="22"/>
          <w:szCs w:val="22"/>
        </w:rPr>
        <w:t>, 72(3), pp. 400–407.</w:t>
      </w:r>
    </w:p>
    <w:p w14:paraId="143B06F9" w14:textId="77777777" w:rsidR="00DD7611" w:rsidRPr="00DD7611" w:rsidRDefault="00DD7611" w:rsidP="00DD7611">
      <w:pPr>
        <w:pStyle w:val="NormalWeb"/>
        <w:spacing w:line="360" w:lineRule="auto"/>
        <w:rPr>
          <w:rFonts w:ascii="Arial" w:hAnsi="Arial" w:cs="Arial"/>
          <w:sz w:val="22"/>
          <w:szCs w:val="22"/>
        </w:rPr>
      </w:pPr>
      <w:r w:rsidRPr="00DD7611">
        <w:rPr>
          <w:rFonts w:ascii="Arial" w:hAnsi="Arial" w:cs="Arial"/>
          <w:sz w:val="22"/>
          <w:szCs w:val="22"/>
        </w:rPr>
        <w:t xml:space="preserve">Woods, B. et al. (2018) ‘Reminiscence therapy for dementia’, </w:t>
      </w:r>
      <w:r w:rsidRPr="00DD7611">
        <w:rPr>
          <w:rStyle w:val="Emphasis"/>
          <w:rFonts w:ascii="Arial" w:eastAsiaTheme="majorEastAsia" w:hAnsi="Arial" w:cs="Arial"/>
          <w:sz w:val="22"/>
          <w:szCs w:val="22"/>
        </w:rPr>
        <w:t>Cochrane Database of Systematic Reviews</w:t>
      </w:r>
      <w:r w:rsidRPr="00DD7611">
        <w:rPr>
          <w:rFonts w:ascii="Arial" w:hAnsi="Arial" w:cs="Arial"/>
          <w:sz w:val="22"/>
          <w:szCs w:val="22"/>
        </w:rPr>
        <w:t>, 3.</w:t>
      </w:r>
    </w:p>
    <w:p w14:paraId="3AF71DCC" w14:textId="66DF0D7E" w:rsidR="00C019E0" w:rsidRPr="00174C8F" w:rsidRDefault="00DD7611" w:rsidP="00174C8F">
      <w:pPr>
        <w:pStyle w:val="NormalWeb"/>
        <w:spacing w:line="360" w:lineRule="auto"/>
        <w:rPr>
          <w:rFonts w:ascii="Arial" w:hAnsi="Arial" w:cs="Arial"/>
          <w:sz w:val="22"/>
          <w:szCs w:val="22"/>
        </w:rPr>
      </w:pPr>
      <w:r w:rsidRPr="00DD7611">
        <w:rPr>
          <w:rFonts w:ascii="Arial" w:hAnsi="Arial" w:cs="Arial"/>
          <w:sz w:val="22"/>
          <w:szCs w:val="22"/>
        </w:rPr>
        <w:t xml:space="preserve">World Health Organization (2015) </w:t>
      </w:r>
      <w:r w:rsidRPr="00DD7611">
        <w:rPr>
          <w:rStyle w:val="Emphasis"/>
          <w:rFonts w:ascii="Arial" w:eastAsiaTheme="majorEastAsia" w:hAnsi="Arial" w:cs="Arial"/>
          <w:sz w:val="22"/>
          <w:szCs w:val="22"/>
        </w:rPr>
        <w:t>World report on ageing and health</w:t>
      </w:r>
      <w:r w:rsidRPr="00DD7611">
        <w:rPr>
          <w:rFonts w:ascii="Arial" w:hAnsi="Arial" w:cs="Arial"/>
          <w:sz w:val="22"/>
          <w:szCs w:val="22"/>
        </w:rPr>
        <w:t>. Geneva: WHO.</w:t>
      </w:r>
    </w:p>
    <w:sectPr w:rsidR="00C019E0" w:rsidRPr="00174C8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ED0CD" w14:textId="77777777" w:rsidR="00471D37" w:rsidRDefault="00471D37" w:rsidP="00C14B6E">
      <w:pPr>
        <w:spacing w:after="0" w:line="240" w:lineRule="auto"/>
      </w:pPr>
      <w:r>
        <w:separator/>
      </w:r>
    </w:p>
  </w:endnote>
  <w:endnote w:type="continuationSeparator" w:id="0">
    <w:p w14:paraId="5482D713" w14:textId="77777777" w:rsidR="00471D37" w:rsidRDefault="00471D37" w:rsidP="00C14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37760"/>
      <w:docPartObj>
        <w:docPartGallery w:val="Page Numbers (Bottom of Page)"/>
        <w:docPartUnique/>
      </w:docPartObj>
    </w:sdtPr>
    <w:sdtContent>
      <w:p w14:paraId="74DD84FD" w14:textId="79FD1C42" w:rsidR="00C14B6E" w:rsidRDefault="00C14B6E">
        <w:pPr>
          <w:pStyle w:val="Footer"/>
          <w:jc w:val="right"/>
        </w:pPr>
        <w:r>
          <w:fldChar w:fldCharType="begin"/>
        </w:r>
        <w:r>
          <w:instrText>PAGE   \* MERGEFORMAT</w:instrText>
        </w:r>
        <w:r>
          <w:fldChar w:fldCharType="separate"/>
        </w:r>
        <w:r>
          <w:t>2</w:t>
        </w:r>
        <w:r>
          <w:fldChar w:fldCharType="end"/>
        </w:r>
      </w:p>
    </w:sdtContent>
  </w:sdt>
  <w:p w14:paraId="6798839C" w14:textId="77777777" w:rsidR="00C14B6E" w:rsidRDefault="00C14B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8EC09" w14:textId="77777777" w:rsidR="00471D37" w:rsidRDefault="00471D37" w:rsidP="00C14B6E">
      <w:pPr>
        <w:spacing w:after="0" w:line="240" w:lineRule="auto"/>
      </w:pPr>
      <w:r>
        <w:separator/>
      </w:r>
    </w:p>
  </w:footnote>
  <w:footnote w:type="continuationSeparator" w:id="0">
    <w:p w14:paraId="35E67981" w14:textId="77777777" w:rsidR="00471D37" w:rsidRDefault="00471D37" w:rsidP="00C14B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B3992"/>
    <w:multiLevelType w:val="multilevel"/>
    <w:tmpl w:val="45346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3C6694"/>
    <w:multiLevelType w:val="hybridMultilevel"/>
    <w:tmpl w:val="E3909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4655200">
    <w:abstractNumId w:val="0"/>
  </w:num>
  <w:num w:numId="2" w16cid:durableId="447896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F34"/>
    <w:rsid w:val="00033B97"/>
    <w:rsid w:val="000746FE"/>
    <w:rsid w:val="00131148"/>
    <w:rsid w:val="001548CC"/>
    <w:rsid w:val="00174C8F"/>
    <w:rsid w:val="00202B60"/>
    <w:rsid w:val="00222DB8"/>
    <w:rsid w:val="002545C2"/>
    <w:rsid w:val="00274C0D"/>
    <w:rsid w:val="00283424"/>
    <w:rsid w:val="00284665"/>
    <w:rsid w:val="002C6BB0"/>
    <w:rsid w:val="002E4DB7"/>
    <w:rsid w:val="00361E77"/>
    <w:rsid w:val="003731B8"/>
    <w:rsid w:val="003A0D78"/>
    <w:rsid w:val="003D0191"/>
    <w:rsid w:val="004054D3"/>
    <w:rsid w:val="00435DDE"/>
    <w:rsid w:val="00442DFD"/>
    <w:rsid w:val="00455A24"/>
    <w:rsid w:val="00460E76"/>
    <w:rsid w:val="00471D37"/>
    <w:rsid w:val="004935F2"/>
    <w:rsid w:val="0049742D"/>
    <w:rsid w:val="004F0059"/>
    <w:rsid w:val="005002B4"/>
    <w:rsid w:val="00524D29"/>
    <w:rsid w:val="0056125F"/>
    <w:rsid w:val="00567500"/>
    <w:rsid w:val="00576B35"/>
    <w:rsid w:val="00583D3B"/>
    <w:rsid w:val="005E5C8E"/>
    <w:rsid w:val="005F2B6D"/>
    <w:rsid w:val="0064546C"/>
    <w:rsid w:val="0065755D"/>
    <w:rsid w:val="00667909"/>
    <w:rsid w:val="006B4E78"/>
    <w:rsid w:val="007541C3"/>
    <w:rsid w:val="007970E2"/>
    <w:rsid w:val="007B340C"/>
    <w:rsid w:val="007B702F"/>
    <w:rsid w:val="00843C2D"/>
    <w:rsid w:val="00852F33"/>
    <w:rsid w:val="0088596B"/>
    <w:rsid w:val="00891C46"/>
    <w:rsid w:val="00896A3A"/>
    <w:rsid w:val="008A6F34"/>
    <w:rsid w:val="008D685B"/>
    <w:rsid w:val="008F0D5E"/>
    <w:rsid w:val="00903456"/>
    <w:rsid w:val="0094374F"/>
    <w:rsid w:val="00975527"/>
    <w:rsid w:val="009B2699"/>
    <w:rsid w:val="009D7887"/>
    <w:rsid w:val="00A2569E"/>
    <w:rsid w:val="00A63733"/>
    <w:rsid w:val="00A87DD9"/>
    <w:rsid w:val="00A956E5"/>
    <w:rsid w:val="00AC1D01"/>
    <w:rsid w:val="00AC4CC1"/>
    <w:rsid w:val="00B329D5"/>
    <w:rsid w:val="00B36193"/>
    <w:rsid w:val="00B36EFD"/>
    <w:rsid w:val="00B519CC"/>
    <w:rsid w:val="00B561E1"/>
    <w:rsid w:val="00BB241C"/>
    <w:rsid w:val="00BC3F99"/>
    <w:rsid w:val="00C019E0"/>
    <w:rsid w:val="00C070F9"/>
    <w:rsid w:val="00C14B6E"/>
    <w:rsid w:val="00C56F90"/>
    <w:rsid w:val="00C71E06"/>
    <w:rsid w:val="00CA5B8A"/>
    <w:rsid w:val="00CD6627"/>
    <w:rsid w:val="00D01D13"/>
    <w:rsid w:val="00D36589"/>
    <w:rsid w:val="00D5751E"/>
    <w:rsid w:val="00DD7611"/>
    <w:rsid w:val="00DE31CD"/>
    <w:rsid w:val="00E07F77"/>
    <w:rsid w:val="00E73560"/>
    <w:rsid w:val="00EF30DE"/>
    <w:rsid w:val="00F304D8"/>
    <w:rsid w:val="00F5028D"/>
    <w:rsid w:val="00F57CFE"/>
    <w:rsid w:val="00F93FCC"/>
    <w:rsid w:val="00FD6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0E8C1"/>
  <w15:chartTrackingRefBased/>
  <w15:docId w15:val="{9115F8D7-11F8-4AFF-B19C-32648CEA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F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6F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F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F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6F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6F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F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F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F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F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6F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F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F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F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F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F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F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F34"/>
    <w:rPr>
      <w:rFonts w:eastAsiaTheme="majorEastAsia" w:cstheme="majorBidi"/>
      <w:color w:val="272727" w:themeColor="text1" w:themeTint="D8"/>
    </w:rPr>
  </w:style>
  <w:style w:type="paragraph" w:styleId="Title">
    <w:name w:val="Title"/>
    <w:basedOn w:val="Normal"/>
    <w:next w:val="Normal"/>
    <w:link w:val="TitleChar"/>
    <w:uiPriority w:val="10"/>
    <w:qFormat/>
    <w:rsid w:val="008A6F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F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F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F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F34"/>
    <w:pPr>
      <w:spacing w:before="160"/>
      <w:jc w:val="center"/>
    </w:pPr>
    <w:rPr>
      <w:i/>
      <w:iCs/>
      <w:color w:val="404040" w:themeColor="text1" w:themeTint="BF"/>
    </w:rPr>
  </w:style>
  <w:style w:type="character" w:customStyle="1" w:styleId="QuoteChar">
    <w:name w:val="Quote Char"/>
    <w:basedOn w:val="DefaultParagraphFont"/>
    <w:link w:val="Quote"/>
    <w:uiPriority w:val="29"/>
    <w:rsid w:val="008A6F34"/>
    <w:rPr>
      <w:i/>
      <w:iCs/>
      <w:color w:val="404040" w:themeColor="text1" w:themeTint="BF"/>
    </w:rPr>
  </w:style>
  <w:style w:type="paragraph" w:styleId="ListParagraph">
    <w:name w:val="List Paragraph"/>
    <w:basedOn w:val="Normal"/>
    <w:uiPriority w:val="34"/>
    <w:qFormat/>
    <w:rsid w:val="008A6F34"/>
    <w:pPr>
      <w:ind w:left="720"/>
      <w:contextualSpacing/>
    </w:pPr>
  </w:style>
  <w:style w:type="character" w:styleId="IntenseEmphasis">
    <w:name w:val="Intense Emphasis"/>
    <w:basedOn w:val="DefaultParagraphFont"/>
    <w:uiPriority w:val="21"/>
    <w:qFormat/>
    <w:rsid w:val="008A6F34"/>
    <w:rPr>
      <w:i/>
      <w:iCs/>
      <w:color w:val="0F4761" w:themeColor="accent1" w:themeShade="BF"/>
    </w:rPr>
  </w:style>
  <w:style w:type="paragraph" w:styleId="IntenseQuote">
    <w:name w:val="Intense Quote"/>
    <w:basedOn w:val="Normal"/>
    <w:next w:val="Normal"/>
    <w:link w:val="IntenseQuoteChar"/>
    <w:uiPriority w:val="30"/>
    <w:qFormat/>
    <w:rsid w:val="008A6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F34"/>
    <w:rPr>
      <w:i/>
      <w:iCs/>
      <w:color w:val="0F4761" w:themeColor="accent1" w:themeShade="BF"/>
    </w:rPr>
  </w:style>
  <w:style w:type="character" w:styleId="IntenseReference">
    <w:name w:val="Intense Reference"/>
    <w:basedOn w:val="DefaultParagraphFont"/>
    <w:uiPriority w:val="32"/>
    <w:qFormat/>
    <w:rsid w:val="008A6F34"/>
    <w:rPr>
      <w:b/>
      <w:bCs/>
      <w:smallCaps/>
      <w:color w:val="0F4761" w:themeColor="accent1" w:themeShade="BF"/>
      <w:spacing w:val="5"/>
    </w:rPr>
  </w:style>
  <w:style w:type="paragraph" w:styleId="NormalWeb">
    <w:name w:val="Normal (Web)"/>
    <w:basedOn w:val="Normal"/>
    <w:uiPriority w:val="99"/>
    <w:unhideWhenUsed/>
    <w:rsid w:val="005F2B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F2B6D"/>
    <w:rPr>
      <w:b/>
      <w:bCs/>
    </w:rPr>
  </w:style>
  <w:style w:type="character" w:customStyle="1" w:styleId="whitespace-normal">
    <w:name w:val="whitespace-normal"/>
    <w:basedOn w:val="DefaultParagraphFont"/>
    <w:rsid w:val="005F2B6D"/>
  </w:style>
  <w:style w:type="paragraph" w:styleId="NoSpacing">
    <w:name w:val="No Spacing"/>
    <w:uiPriority w:val="1"/>
    <w:qFormat/>
    <w:rsid w:val="005F2B6D"/>
    <w:pPr>
      <w:spacing w:after="0" w:line="240" w:lineRule="auto"/>
    </w:pPr>
  </w:style>
  <w:style w:type="paragraph" w:styleId="Header">
    <w:name w:val="header"/>
    <w:basedOn w:val="Normal"/>
    <w:link w:val="HeaderChar"/>
    <w:uiPriority w:val="99"/>
    <w:unhideWhenUsed/>
    <w:rsid w:val="00C14B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B6E"/>
  </w:style>
  <w:style w:type="paragraph" w:styleId="Footer">
    <w:name w:val="footer"/>
    <w:basedOn w:val="Normal"/>
    <w:link w:val="FooterChar"/>
    <w:uiPriority w:val="99"/>
    <w:unhideWhenUsed/>
    <w:rsid w:val="00C14B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B6E"/>
  </w:style>
  <w:style w:type="character" w:styleId="Emphasis">
    <w:name w:val="Emphasis"/>
    <w:basedOn w:val="DefaultParagraphFont"/>
    <w:uiPriority w:val="20"/>
    <w:qFormat/>
    <w:rsid w:val="00DD76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9</Pages>
  <Words>2394</Words>
  <Characters>13650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asfia akhtar</dc:creator>
  <cp:keywords/>
  <dc:description/>
  <cp:lastModifiedBy>asfia akhtar</cp:lastModifiedBy>
  <cp:revision>38</cp:revision>
  <dcterms:created xsi:type="dcterms:W3CDTF">2026-03-23T17:53:00Z</dcterms:created>
  <dcterms:modified xsi:type="dcterms:W3CDTF">2026-03-23T19:57:00Z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d48cf4df-dd64-4601-9f33-2bca536a4d1e</vt:lpwstr>
  </property>
</Properties>
</file>