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8B4731" w14:textId="77777777" w:rsidR="0047346E" w:rsidRDefault="0047346E" w:rsidP="0047346E">
      <w:pPr>
        <w:jc w:val="center"/>
        <w:rPr>
          <w:rFonts w:ascii="Arial" w:hAnsi="Arial" w:cs="Arial"/>
          <w:sz w:val="44"/>
          <w:szCs w:val="44"/>
        </w:rPr>
      </w:pPr>
    </w:p>
    <w:p w14:paraId="0B339501" w14:textId="77777777" w:rsidR="0047346E" w:rsidRDefault="0047346E" w:rsidP="0047346E">
      <w:pPr>
        <w:jc w:val="center"/>
        <w:rPr>
          <w:rFonts w:ascii="Arial" w:hAnsi="Arial" w:cs="Arial"/>
          <w:sz w:val="44"/>
          <w:szCs w:val="44"/>
        </w:rPr>
      </w:pPr>
    </w:p>
    <w:p w14:paraId="632734EC" w14:textId="77777777" w:rsidR="0047346E" w:rsidRDefault="0047346E" w:rsidP="0047346E">
      <w:pPr>
        <w:jc w:val="center"/>
        <w:rPr>
          <w:rFonts w:ascii="Arial" w:hAnsi="Arial" w:cs="Arial"/>
          <w:sz w:val="44"/>
          <w:szCs w:val="44"/>
        </w:rPr>
      </w:pPr>
    </w:p>
    <w:p w14:paraId="4FBF7DD6" w14:textId="77777777" w:rsidR="003A32E6" w:rsidRDefault="003A32E6" w:rsidP="0047346E">
      <w:pPr>
        <w:jc w:val="center"/>
        <w:rPr>
          <w:rFonts w:ascii="Arial" w:hAnsi="Arial" w:cs="Arial"/>
          <w:sz w:val="44"/>
          <w:szCs w:val="44"/>
        </w:rPr>
      </w:pPr>
    </w:p>
    <w:p w14:paraId="3A02B732" w14:textId="4FF80BDC" w:rsidR="0085334F" w:rsidRPr="0047346E" w:rsidRDefault="0047346E" w:rsidP="0047346E">
      <w:pPr>
        <w:jc w:val="center"/>
        <w:rPr>
          <w:rFonts w:ascii="Arial" w:hAnsi="Arial" w:cs="Arial"/>
          <w:sz w:val="44"/>
          <w:szCs w:val="44"/>
        </w:rPr>
      </w:pPr>
      <w:r w:rsidRPr="0047346E">
        <w:rPr>
          <w:rFonts w:ascii="Arial" w:hAnsi="Arial" w:cs="Arial"/>
          <w:sz w:val="44"/>
          <w:szCs w:val="44"/>
        </w:rPr>
        <w:t xml:space="preserve"> </w:t>
      </w:r>
      <w:r>
        <w:rPr>
          <w:rFonts w:ascii="Arial" w:hAnsi="Arial" w:cs="Arial"/>
          <w:sz w:val="44"/>
          <w:szCs w:val="44"/>
        </w:rPr>
        <w:t>F</w:t>
      </w:r>
      <w:r w:rsidRPr="0047346E">
        <w:rPr>
          <w:rFonts w:ascii="Arial" w:hAnsi="Arial" w:cs="Arial"/>
          <w:sz w:val="44"/>
          <w:szCs w:val="44"/>
        </w:rPr>
        <w:t xml:space="preserve">easibility </w:t>
      </w:r>
      <w:r w:rsidR="00D90F2D">
        <w:rPr>
          <w:rFonts w:ascii="Arial" w:hAnsi="Arial" w:cs="Arial"/>
          <w:sz w:val="44"/>
          <w:szCs w:val="44"/>
        </w:rPr>
        <w:t>plan for an international meeting.</w:t>
      </w:r>
    </w:p>
    <w:p w14:paraId="3CED2D7F" w14:textId="54C529FC" w:rsidR="0047346E" w:rsidRDefault="0047346E" w:rsidP="0047346E">
      <w:pPr>
        <w:jc w:val="center"/>
        <w:rPr>
          <w:rFonts w:ascii="Arial" w:hAnsi="Arial" w:cs="Arial"/>
          <w:sz w:val="44"/>
          <w:szCs w:val="44"/>
        </w:rPr>
      </w:pPr>
      <w:r w:rsidRPr="0047346E">
        <w:rPr>
          <w:rFonts w:ascii="Arial" w:hAnsi="Arial" w:cs="Arial"/>
          <w:sz w:val="44"/>
          <w:szCs w:val="44"/>
        </w:rPr>
        <w:t>Sustainability event.</w:t>
      </w:r>
    </w:p>
    <w:p w14:paraId="5F30584B" w14:textId="77777777" w:rsidR="0047346E" w:rsidRDefault="0047346E" w:rsidP="0047346E">
      <w:pPr>
        <w:jc w:val="center"/>
        <w:rPr>
          <w:rFonts w:ascii="Arial" w:hAnsi="Arial" w:cs="Arial"/>
          <w:sz w:val="44"/>
          <w:szCs w:val="44"/>
        </w:rPr>
      </w:pPr>
    </w:p>
    <w:p w14:paraId="2638EE77" w14:textId="77777777" w:rsidR="003A32E6" w:rsidRDefault="003A32E6" w:rsidP="0047346E">
      <w:pPr>
        <w:jc w:val="center"/>
        <w:rPr>
          <w:rFonts w:ascii="Arial" w:hAnsi="Arial" w:cs="Arial"/>
          <w:sz w:val="44"/>
          <w:szCs w:val="44"/>
        </w:rPr>
      </w:pPr>
    </w:p>
    <w:p w14:paraId="1AC6CCB2" w14:textId="77777777" w:rsidR="003A32E6" w:rsidRDefault="003A32E6" w:rsidP="0047346E">
      <w:pPr>
        <w:jc w:val="center"/>
        <w:rPr>
          <w:rFonts w:ascii="Arial" w:hAnsi="Arial" w:cs="Arial"/>
          <w:sz w:val="44"/>
          <w:szCs w:val="44"/>
        </w:rPr>
      </w:pPr>
    </w:p>
    <w:p w14:paraId="1DF93BB7" w14:textId="77777777" w:rsidR="0047346E" w:rsidRDefault="0047346E" w:rsidP="0047346E">
      <w:pPr>
        <w:jc w:val="center"/>
        <w:rPr>
          <w:rFonts w:ascii="Arial" w:hAnsi="Arial" w:cs="Arial"/>
          <w:sz w:val="44"/>
          <w:szCs w:val="44"/>
        </w:rPr>
      </w:pPr>
    </w:p>
    <w:p w14:paraId="646EB002" w14:textId="77777777" w:rsidR="003A32E6" w:rsidRDefault="003A32E6" w:rsidP="0047346E">
      <w:pPr>
        <w:jc w:val="center"/>
        <w:rPr>
          <w:rFonts w:ascii="Arial" w:hAnsi="Arial" w:cs="Arial"/>
          <w:sz w:val="44"/>
          <w:szCs w:val="44"/>
        </w:rPr>
      </w:pPr>
    </w:p>
    <w:p w14:paraId="7EFB77E0" w14:textId="77777777" w:rsidR="0047346E" w:rsidRDefault="0047346E" w:rsidP="0047346E">
      <w:pPr>
        <w:jc w:val="center"/>
        <w:rPr>
          <w:rFonts w:ascii="Arial" w:hAnsi="Arial" w:cs="Arial"/>
          <w:sz w:val="44"/>
          <w:szCs w:val="44"/>
        </w:rPr>
      </w:pPr>
    </w:p>
    <w:p w14:paraId="691F8E71" w14:textId="77777777" w:rsidR="003A32E6" w:rsidRDefault="003A32E6" w:rsidP="0047346E">
      <w:pPr>
        <w:jc w:val="center"/>
        <w:rPr>
          <w:rFonts w:ascii="Arial" w:hAnsi="Arial" w:cs="Arial"/>
          <w:sz w:val="44"/>
          <w:szCs w:val="44"/>
        </w:rPr>
      </w:pPr>
    </w:p>
    <w:p w14:paraId="2C69332B" w14:textId="77777777" w:rsidR="003A32E6" w:rsidRDefault="003A32E6" w:rsidP="0047346E">
      <w:pPr>
        <w:jc w:val="center"/>
        <w:rPr>
          <w:rFonts w:ascii="Arial" w:hAnsi="Arial" w:cs="Arial"/>
          <w:sz w:val="44"/>
          <w:szCs w:val="44"/>
        </w:rPr>
      </w:pPr>
    </w:p>
    <w:p w14:paraId="06862B09" w14:textId="77777777" w:rsidR="0047346E" w:rsidRPr="003A32E6" w:rsidRDefault="0047346E" w:rsidP="0047346E">
      <w:pPr>
        <w:jc w:val="center"/>
        <w:rPr>
          <w:rFonts w:ascii="Arial" w:hAnsi="Arial" w:cs="Arial"/>
          <w:sz w:val="28"/>
          <w:szCs w:val="28"/>
        </w:rPr>
      </w:pPr>
    </w:p>
    <w:p w14:paraId="477BAC0D" w14:textId="25781EA2" w:rsidR="0047346E" w:rsidRPr="003A32E6" w:rsidRDefault="0047346E" w:rsidP="0047346E">
      <w:pPr>
        <w:rPr>
          <w:rFonts w:ascii="Arial" w:hAnsi="Arial" w:cs="Arial"/>
          <w:sz w:val="28"/>
          <w:szCs w:val="28"/>
        </w:rPr>
      </w:pPr>
      <w:r w:rsidRPr="003A32E6">
        <w:rPr>
          <w:rFonts w:ascii="Arial" w:hAnsi="Arial" w:cs="Arial"/>
          <w:sz w:val="28"/>
          <w:szCs w:val="28"/>
        </w:rPr>
        <w:t xml:space="preserve">STUDENT NAME: </w:t>
      </w:r>
      <w:r w:rsidR="003A32E6" w:rsidRPr="003A32E6">
        <w:rPr>
          <w:rFonts w:ascii="Arial" w:hAnsi="Arial" w:cs="Arial"/>
          <w:sz w:val="28"/>
          <w:szCs w:val="28"/>
        </w:rPr>
        <w:t>MIHAELA ANTON</w:t>
      </w:r>
    </w:p>
    <w:p w14:paraId="295BA197" w14:textId="0B46D957" w:rsidR="0047346E" w:rsidRPr="003A32E6" w:rsidRDefault="0047346E" w:rsidP="0047346E">
      <w:pPr>
        <w:rPr>
          <w:rFonts w:ascii="Arial" w:hAnsi="Arial" w:cs="Arial"/>
          <w:sz w:val="28"/>
          <w:szCs w:val="28"/>
        </w:rPr>
      </w:pPr>
      <w:r w:rsidRPr="003A32E6">
        <w:rPr>
          <w:rFonts w:ascii="Arial" w:hAnsi="Arial" w:cs="Arial"/>
          <w:sz w:val="28"/>
          <w:szCs w:val="28"/>
        </w:rPr>
        <w:t>STUDENT NUMBER: 2122259</w:t>
      </w:r>
    </w:p>
    <w:p w14:paraId="21FFEF70" w14:textId="62BC9D72" w:rsidR="0047346E" w:rsidRPr="003A32E6" w:rsidRDefault="0047346E" w:rsidP="0047346E">
      <w:pPr>
        <w:rPr>
          <w:rFonts w:ascii="Arial" w:hAnsi="Arial" w:cs="Arial"/>
          <w:sz w:val="28"/>
          <w:szCs w:val="28"/>
        </w:rPr>
      </w:pPr>
      <w:r w:rsidRPr="003A32E6">
        <w:rPr>
          <w:rFonts w:ascii="Arial" w:hAnsi="Arial" w:cs="Arial"/>
          <w:sz w:val="28"/>
          <w:szCs w:val="28"/>
        </w:rPr>
        <w:t>MODULE NAME: INTERNATIONAL MEETINGS MANAGEMENT FOR THE HOTEL INDUSTRY</w:t>
      </w:r>
    </w:p>
    <w:p w14:paraId="50E096BB" w14:textId="51BE950E" w:rsidR="0047346E" w:rsidRPr="003A32E6" w:rsidRDefault="0047346E" w:rsidP="0047346E">
      <w:pPr>
        <w:rPr>
          <w:rFonts w:ascii="Arial" w:hAnsi="Arial" w:cs="Arial"/>
          <w:sz w:val="28"/>
          <w:szCs w:val="28"/>
        </w:rPr>
      </w:pPr>
      <w:r w:rsidRPr="003A32E6">
        <w:rPr>
          <w:rFonts w:ascii="Arial" w:hAnsi="Arial" w:cs="Arial"/>
          <w:sz w:val="28"/>
          <w:szCs w:val="28"/>
        </w:rPr>
        <w:t xml:space="preserve">MODULE NUMBER: </w:t>
      </w:r>
      <w:r w:rsidR="003A32E6" w:rsidRPr="003A32E6">
        <w:rPr>
          <w:rFonts w:ascii="Arial" w:hAnsi="Arial" w:cs="Arial"/>
          <w:sz w:val="28"/>
          <w:szCs w:val="28"/>
        </w:rPr>
        <w:t>BMIH6007</w:t>
      </w:r>
    </w:p>
    <w:p w14:paraId="365EEF10" w14:textId="712BADDD" w:rsidR="003A32E6" w:rsidRDefault="003A32E6" w:rsidP="0047346E">
      <w:pPr>
        <w:rPr>
          <w:rFonts w:ascii="Arial" w:hAnsi="Arial" w:cs="Arial"/>
          <w:sz w:val="28"/>
          <w:szCs w:val="28"/>
        </w:rPr>
      </w:pPr>
      <w:r w:rsidRPr="003A32E6">
        <w:rPr>
          <w:rFonts w:ascii="Arial" w:hAnsi="Arial" w:cs="Arial"/>
          <w:sz w:val="28"/>
          <w:szCs w:val="28"/>
        </w:rPr>
        <w:t>LECTURER NAME: PHILIPPA FITZGERALD</w:t>
      </w:r>
    </w:p>
    <w:p w14:paraId="463A4F2A" w14:textId="77777777" w:rsidR="003A32E6" w:rsidRDefault="003A32E6" w:rsidP="0047346E">
      <w:pPr>
        <w:rPr>
          <w:rFonts w:ascii="Arial" w:hAnsi="Arial" w:cs="Arial"/>
          <w:sz w:val="28"/>
          <w:szCs w:val="28"/>
        </w:rPr>
      </w:pPr>
    </w:p>
    <w:p w14:paraId="629FE044" w14:textId="1B37421F" w:rsidR="003A32E6" w:rsidRDefault="00193E70" w:rsidP="0047346E">
      <w:pPr>
        <w:rPr>
          <w:rFonts w:ascii="Arial" w:hAnsi="Arial" w:cs="Arial"/>
          <w:noProof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lastRenderedPageBreak/>
        <w:drawing>
          <wp:inline distT="0" distB="0" distL="0" distR="0" wp14:anchorId="74168624" wp14:editId="59E3C13F">
            <wp:extent cx="5731510" cy="3244850"/>
            <wp:effectExtent l="0" t="0" r="2540" b="0"/>
            <wp:docPr id="1602063592" name="Picture 19" descr="A close-up of a boo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2063592" name="Picture 19" descr="A close-up of a book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799C6477" wp14:editId="79E0787D">
            <wp:extent cx="5731510" cy="3253105"/>
            <wp:effectExtent l="0" t="0" r="2540" b="4445"/>
            <wp:docPr id="53854551" name="Picture 20" descr="A close-up of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854551" name="Picture 20" descr="A close-up of a building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3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8"/>
          <w:szCs w:val="28"/>
        </w:rPr>
        <w:lastRenderedPageBreak/>
        <w:drawing>
          <wp:inline distT="0" distB="0" distL="0" distR="0" wp14:anchorId="3E1C73A7" wp14:editId="1C88A844">
            <wp:extent cx="5731510" cy="3251835"/>
            <wp:effectExtent l="0" t="0" r="2540" b="5715"/>
            <wp:docPr id="941981509" name="Picture 21" descr="A close-up of a child's hand blowing bubbl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1981509" name="Picture 21" descr="A close-up of a child's hand blowing bubbles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1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65A2F12D" wp14:editId="7D7BFC44">
            <wp:extent cx="5731510" cy="3244215"/>
            <wp:effectExtent l="0" t="0" r="2540" b="0"/>
            <wp:docPr id="721913821" name="Picture 22" descr="A black and green brochure with green circl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1913821" name="Picture 22" descr="A black and green brochure with green circles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4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8"/>
          <w:szCs w:val="28"/>
        </w:rPr>
        <w:lastRenderedPageBreak/>
        <w:drawing>
          <wp:inline distT="0" distB="0" distL="0" distR="0" wp14:anchorId="52AB54B3" wp14:editId="74F05B2B">
            <wp:extent cx="5731510" cy="3201670"/>
            <wp:effectExtent l="0" t="0" r="2540" b="0"/>
            <wp:docPr id="1727825452" name="Picture 23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7825452" name="Picture 23" descr="A screenshot of a computer screen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1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553315C4" wp14:editId="7C8A14BD">
            <wp:extent cx="5731510" cy="3232785"/>
            <wp:effectExtent l="0" t="0" r="2540" b="5715"/>
            <wp:docPr id="993943099" name="Picture 24" descr="A close-up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3943099" name="Picture 24" descr="A close-up of a graph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2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8"/>
          <w:szCs w:val="28"/>
        </w:rPr>
        <w:lastRenderedPageBreak/>
        <w:drawing>
          <wp:inline distT="0" distB="0" distL="0" distR="0" wp14:anchorId="5BEA5C24" wp14:editId="3FF214F6">
            <wp:extent cx="5731510" cy="3212465"/>
            <wp:effectExtent l="0" t="0" r="2540" b="6985"/>
            <wp:docPr id="1231512583" name="Picture 25" descr="A black and white page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1512583" name="Picture 25" descr="A black and white page with tex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2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54F9CD78" wp14:editId="37660EF4">
            <wp:extent cx="5731510" cy="3188970"/>
            <wp:effectExtent l="0" t="0" r="2540" b="0"/>
            <wp:docPr id="2034508066" name="Picture 26" descr="A hand holding a pla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4508066" name="Picture 26" descr="A hand holding a plan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8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8"/>
          <w:szCs w:val="28"/>
        </w:rPr>
        <w:lastRenderedPageBreak/>
        <w:drawing>
          <wp:inline distT="0" distB="0" distL="0" distR="0" wp14:anchorId="3C79CF29" wp14:editId="187FC04D">
            <wp:extent cx="5731510" cy="3258820"/>
            <wp:effectExtent l="0" t="0" r="2540" b="0"/>
            <wp:docPr id="344788257" name="Picture 27" descr="A close-up of a wind turb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4788257" name="Picture 27" descr="A close-up of a wind turbine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8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31F05B0E" wp14:editId="3FD7E7C8">
            <wp:extent cx="5731510" cy="3242310"/>
            <wp:effectExtent l="0" t="0" r="2540" b="0"/>
            <wp:docPr id="1953659610" name="Picture 28" descr="A black and white text and blue tre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3659610" name="Picture 28" descr="A black and white text and blue trees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2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9D3601" w14:textId="77777777" w:rsidR="00F373D4" w:rsidRPr="00F373D4" w:rsidRDefault="00F373D4" w:rsidP="00F373D4">
      <w:pPr>
        <w:rPr>
          <w:rFonts w:ascii="Arial" w:hAnsi="Arial" w:cs="Arial"/>
          <w:sz w:val="28"/>
          <w:szCs w:val="28"/>
        </w:rPr>
      </w:pPr>
    </w:p>
    <w:p w14:paraId="50492C01" w14:textId="77777777" w:rsidR="00F373D4" w:rsidRPr="00F373D4" w:rsidRDefault="00F373D4" w:rsidP="00F373D4">
      <w:pPr>
        <w:rPr>
          <w:rFonts w:ascii="Arial" w:hAnsi="Arial" w:cs="Arial"/>
          <w:sz w:val="28"/>
          <w:szCs w:val="28"/>
        </w:rPr>
      </w:pPr>
    </w:p>
    <w:p w14:paraId="3EC313D0" w14:textId="77777777" w:rsidR="00F373D4" w:rsidRPr="00F373D4" w:rsidRDefault="00F373D4" w:rsidP="00F373D4">
      <w:pPr>
        <w:rPr>
          <w:rFonts w:ascii="Arial" w:hAnsi="Arial" w:cs="Arial"/>
          <w:sz w:val="28"/>
          <w:szCs w:val="28"/>
        </w:rPr>
      </w:pPr>
    </w:p>
    <w:p w14:paraId="7DF486F9" w14:textId="77777777" w:rsidR="00F373D4" w:rsidRPr="00F373D4" w:rsidRDefault="00F373D4" w:rsidP="00F373D4">
      <w:pPr>
        <w:rPr>
          <w:rFonts w:ascii="Arial" w:hAnsi="Arial" w:cs="Arial"/>
          <w:sz w:val="28"/>
          <w:szCs w:val="28"/>
        </w:rPr>
      </w:pPr>
    </w:p>
    <w:p w14:paraId="5807E449" w14:textId="77777777" w:rsidR="00F373D4" w:rsidRDefault="00F373D4" w:rsidP="00F373D4">
      <w:pPr>
        <w:rPr>
          <w:rFonts w:ascii="Arial" w:hAnsi="Arial" w:cs="Arial"/>
          <w:noProof/>
          <w:sz w:val="28"/>
          <w:szCs w:val="28"/>
        </w:rPr>
      </w:pPr>
    </w:p>
    <w:p w14:paraId="07E2255D" w14:textId="725C8043" w:rsidR="00F373D4" w:rsidRDefault="00F373D4" w:rsidP="00F373D4">
      <w:pPr>
        <w:tabs>
          <w:tab w:val="left" w:pos="2340"/>
        </w:tabs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ab/>
      </w:r>
    </w:p>
    <w:p w14:paraId="61B17A22" w14:textId="77777777" w:rsidR="00F373D4" w:rsidRDefault="00F373D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br w:type="page"/>
      </w:r>
    </w:p>
    <w:p w14:paraId="52ADD8A1" w14:textId="2BE445C2" w:rsidR="00F373D4" w:rsidRPr="00F373D4" w:rsidRDefault="00F373D4" w:rsidP="00F373D4">
      <w:pPr>
        <w:tabs>
          <w:tab w:val="left" w:pos="2340"/>
        </w:tabs>
        <w:rPr>
          <w:rFonts w:ascii="Arial" w:hAnsi="Arial" w:cs="Arial"/>
          <w:sz w:val="32"/>
          <w:szCs w:val="32"/>
        </w:rPr>
      </w:pPr>
      <w:r w:rsidRPr="00F373D4">
        <w:rPr>
          <w:rFonts w:ascii="Arial" w:hAnsi="Arial" w:cs="Arial"/>
          <w:sz w:val="32"/>
          <w:szCs w:val="32"/>
        </w:rPr>
        <w:lastRenderedPageBreak/>
        <w:t>References:</w:t>
      </w:r>
    </w:p>
    <w:p w14:paraId="3B31D5C7" w14:textId="77777777" w:rsidR="00F373D4" w:rsidRPr="00F373D4" w:rsidRDefault="00F373D4" w:rsidP="00F373D4">
      <w:pPr>
        <w:spacing w:line="264" w:lineRule="auto"/>
        <w:ind w:hanging="360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F373D4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en-US" w:eastAsia="en-GB"/>
          <w14:ligatures w14:val="none"/>
        </w:rPr>
        <w:t xml:space="preserve">Consultancy.uk (2022) </w:t>
      </w:r>
      <w:r w:rsidRPr="00F373D4"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  <w:lang w:val="en-US" w:eastAsia="en-GB"/>
          <w14:ligatures w14:val="none"/>
        </w:rPr>
        <w:t xml:space="preserve">UK consumers embracing more sustainable </w:t>
      </w:r>
      <w:proofErr w:type="spellStart"/>
      <w:r w:rsidRPr="00F373D4"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  <w:lang w:val="en-US" w:eastAsia="en-GB"/>
          <w14:ligatures w14:val="none"/>
        </w:rPr>
        <w:t>behaviour</w:t>
      </w:r>
      <w:proofErr w:type="spellEnd"/>
      <w:r w:rsidRPr="00F373D4"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  <w:lang w:val="en-US" w:eastAsia="en-GB"/>
          <w14:ligatures w14:val="none"/>
        </w:rPr>
        <w:t>.</w:t>
      </w:r>
      <w:r w:rsidRPr="00F373D4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en-US" w:eastAsia="en-GB"/>
          <w14:ligatures w14:val="none"/>
        </w:rPr>
        <w:t xml:space="preserve"> Available at: </w:t>
      </w:r>
      <w:hyperlink r:id="rId16" w:history="1">
        <w:r w:rsidRPr="00F373D4">
          <w:rPr>
            <w:rFonts w:ascii="Arial" w:eastAsiaTheme="minorEastAsia" w:hAnsi="Arial" w:cs="Arial"/>
            <w:color w:val="000000" w:themeColor="text1"/>
            <w:kern w:val="24"/>
            <w:sz w:val="24"/>
            <w:szCs w:val="24"/>
            <w:u w:val="single"/>
            <w:lang w:val="en-US" w:eastAsia="en-GB"/>
            <w14:ligatures w14:val="none"/>
          </w:rPr>
          <w:t>https://www.consultancy.uk/news/30077/uk-consumers-embracing-more-sustainable-behaviour</w:t>
        </w:r>
      </w:hyperlink>
    </w:p>
    <w:p w14:paraId="01E2F7B5" w14:textId="77777777" w:rsidR="00F373D4" w:rsidRPr="00F373D4" w:rsidRDefault="00F373D4" w:rsidP="00F373D4">
      <w:pPr>
        <w:spacing w:line="264" w:lineRule="auto"/>
        <w:ind w:hanging="360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F373D4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en-US" w:eastAsia="en-GB"/>
          <w14:ligatures w14:val="none"/>
        </w:rPr>
        <w:t xml:space="preserve"> (Accessed: 23 January 2024). </w:t>
      </w:r>
    </w:p>
    <w:p w14:paraId="7B458802" w14:textId="77777777" w:rsidR="00F373D4" w:rsidRPr="00F373D4" w:rsidRDefault="00F373D4" w:rsidP="00F373D4">
      <w:pPr>
        <w:spacing w:line="264" w:lineRule="auto"/>
        <w:ind w:hanging="360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F373D4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en-US" w:eastAsia="en-GB"/>
          <w14:ligatures w14:val="none"/>
        </w:rPr>
        <w:t xml:space="preserve">GOV.UK (2022) </w:t>
      </w:r>
      <w:r w:rsidRPr="00F373D4"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  <w:lang w:val="en-US" w:eastAsia="en-GB"/>
          <w14:ligatures w14:val="none"/>
        </w:rPr>
        <w:t>Find funding to help your business become greener.</w:t>
      </w:r>
      <w:r w:rsidRPr="00F373D4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en-US" w:eastAsia="en-GB"/>
          <w14:ligatures w14:val="none"/>
        </w:rPr>
        <w:t xml:space="preserve"> Available at: </w:t>
      </w:r>
      <w:hyperlink r:id="rId17" w:history="1">
        <w:r w:rsidRPr="00F373D4">
          <w:rPr>
            <w:rFonts w:ascii="Arial" w:eastAsiaTheme="minorEastAsia" w:hAnsi="Arial" w:cs="Arial"/>
            <w:color w:val="000000" w:themeColor="text1"/>
            <w:kern w:val="24"/>
            <w:sz w:val="24"/>
            <w:szCs w:val="24"/>
            <w:u w:val="single"/>
            <w:lang w:val="en-US" w:eastAsia="en-GB"/>
            <w14:ligatures w14:val="none"/>
          </w:rPr>
          <w:t>https://www.gov.uk/guidance/find-funding-to-help-your-business-become-greener</w:t>
        </w:r>
      </w:hyperlink>
    </w:p>
    <w:p w14:paraId="357FA9D8" w14:textId="77777777" w:rsidR="00F373D4" w:rsidRPr="00F373D4" w:rsidRDefault="00F373D4" w:rsidP="00F373D4">
      <w:pPr>
        <w:spacing w:line="264" w:lineRule="auto"/>
        <w:ind w:hanging="360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F373D4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en-US" w:eastAsia="en-GB"/>
          <w14:ligatures w14:val="none"/>
        </w:rPr>
        <w:t xml:space="preserve"> (Accessed: 23 January 2024). </w:t>
      </w:r>
    </w:p>
    <w:p w14:paraId="7DA38A46" w14:textId="77777777" w:rsidR="00F373D4" w:rsidRPr="00F373D4" w:rsidRDefault="00F373D4" w:rsidP="00F373D4">
      <w:pPr>
        <w:spacing w:line="264" w:lineRule="auto"/>
        <w:ind w:hanging="360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F373D4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en-US" w:eastAsia="en-GB"/>
          <w14:ligatures w14:val="none"/>
        </w:rPr>
        <w:t xml:space="preserve">GOV.UK (2022) </w:t>
      </w:r>
      <w:r w:rsidRPr="00F373D4"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  <w:lang w:val="en-US" w:eastAsia="en-GB"/>
          <w14:ligatures w14:val="none"/>
        </w:rPr>
        <w:t>Global agreement in green tech will open doors for UK PLC.</w:t>
      </w:r>
      <w:r w:rsidRPr="00F373D4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en-US" w:eastAsia="en-GB"/>
          <w14:ligatures w14:val="none"/>
        </w:rPr>
        <w:t xml:space="preserve"> Available at: </w:t>
      </w:r>
      <w:hyperlink r:id="rId18" w:history="1">
        <w:r w:rsidRPr="00F373D4">
          <w:rPr>
            <w:rFonts w:ascii="Arial" w:eastAsiaTheme="minorEastAsia" w:hAnsi="Arial" w:cs="Arial"/>
            <w:color w:val="000000" w:themeColor="text1"/>
            <w:kern w:val="24"/>
            <w:sz w:val="24"/>
            <w:szCs w:val="24"/>
            <w:u w:val="single"/>
            <w:lang w:val="en-US" w:eastAsia="en-GB"/>
            <w14:ligatures w14:val="none"/>
          </w:rPr>
          <w:t>https://www.gov.uk/government/news/global-agreement-in-green-tech-will-open-doors-for-uk-plc</w:t>
        </w:r>
      </w:hyperlink>
      <w:r w:rsidRPr="00F373D4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en-US" w:eastAsia="en-GB"/>
          <w14:ligatures w14:val="none"/>
        </w:rPr>
        <w:t xml:space="preserve">  (Accessed: 23 January 2024). </w:t>
      </w:r>
    </w:p>
    <w:p w14:paraId="05FC9239" w14:textId="77777777" w:rsidR="00F373D4" w:rsidRPr="00F373D4" w:rsidRDefault="00F373D4" w:rsidP="00F373D4">
      <w:pPr>
        <w:spacing w:line="264" w:lineRule="auto"/>
        <w:ind w:hanging="360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F373D4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en-US" w:eastAsia="en-GB"/>
          <w14:ligatures w14:val="none"/>
        </w:rPr>
        <w:t>Islam, M.Z. and Wang, S. (2023) Exploring the unique characteristics of environmental sustainability in China: Navigating future challenges. </w:t>
      </w:r>
      <w:r w:rsidRPr="00F373D4"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  <w:lang w:val="en-US" w:eastAsia="en-GB"/>
          <w14:ligatures w14:val="none"/>
        </w:rPr>
        <w:t>Chinese Journal of Population, Resources and Environment</w:t>
      </w:r>
      <w:r w:rsidRPr="00F373D4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en-US" w:eastAsia="en-GB"/>
          <w14:ligatures w14:val="none"/>
        </w:rPr>
        <w:t>, </w:t>
      </w:r>
      <w:r w:rsidRPr="00F373D4"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  <w:lang w:val="en-US" w:eastAsia="en-GB"/>
          <w14:ligatures w14:val="none"/>
        </w:rPr>
        <w:t>21</w:t>
      </w:r>
      <w:r w:rsidRPr="00F373D4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en-US" w:eastAsia="en-GB"/>
          <w14:ligatures w14:val="none"/>
        </w:rPr>
        <w:t>(1), pp.37-42.</w:t>
      </w:r>
    </w:p>
    <w:p w14:paraId="299568F6" w14:textId="458252AC" w:rsidR="00F373D4" w:rsidRPr="00F373D4" w:rsidRDefault="00F373D4" w:rsidP="00F373D4">
      <w:pPr>
        <w:tabs>
          <w:tab w:val="left" w:pos="2340"/>
        </w:tabs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en-US" w:eastAsia="en-GB"/>
          <w14:ligatures w14:val="none"/>
        </w:rPr>
      </w:pPr>
      <w:r w:rsidRPr="00F373D4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en-US" w:eastAsia="en-GB"/>
          <w14:ligatures w14:val="none"/>
        </w:rPr>
        <w:t xml:space="preserve">Legislation.gov.uk (2024) </w:t>
      </w:r>
      <w:r w:rsidRPr="00F373D4"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  <w:lang w:val="en-US" w:eastAsia="en-GB"/>
          <w14:ligatures w14:val="none"/>
        </w:rPr>
        <w:t>Climate Change Act 2008.</w:t>
      </w:r>
      <w:r w:rsidRPr="00F373D4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en-US" w:eastAsia="en-GB"/>
          <w14:ligatures w14:val="none"/>
        </w:rPr>
        <w:t xml:space="preserve"> Available at: </w:t>
      </w:r>
      <w:hyperlink r:id="rId19" w:history="1">
        <w:r w:rsidRPr="00F373D4">
          <w:rPr>
            <w:rFonts w:ascii="Arial" w:eastAsiaTheme="minorEastAsia" w:hAnsi="Arial" w:cs="Arial"/>
            <w:color w:val="000000" w:themeColor="text1"/>
            <w:kern w:val="24"/>
            <w:sz w:val="24"/>
            <w:szCs w:val="24"/>
            <w:u w:val="single"/>
            <w:lang w:val="en-US" w:eastAsia="en-GB"/>
            <w14:ligatures w14:val="none"/>
          </w:rPr>
          <w:t>https://www.legislation.gov.uk/ukpga/2008/27/contents</w:t>
        </w:r>
      </w:hyperlink>
      <w:r w:rsidRPr="00F373D4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en-US" w:eastAsia="en-GB"/>
          <w14:ligatures w14:val="none"/>
        </w:rPr>
        <w:t xml:space="preserve">  (Accessed: 23 January 2024).</w:t>
      </w:r>
    </w:p>
    <w:p w14:paraId="2CFCD578" w14:textId="6C45A51C" w:rsidR="00F373D4" w:rsidRPr="00F373D4" w:rsidRDefault="00F373D4" w:rsidP="00F373D4">
      <w:pPr>
        <w:tabs>
          <w:tab w:val="left" w:pos="2340"/>
        </w:tabs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</w:pPr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t xml:space="preserve">London and Partners (2022) </w:t>
      </w:r>
      <w:r w:rsidRPr="00F373D4">
        <w:rPr>
          <w:rFonts w:ascii="Arial" w:eastAsia="+mj-ea" w:hAnsi="Arial" w:cs="Arial"/>
          <w:i/>
          <w:iCs/>
          <w:color w:val="000000"/>
          <w:kern w:val="24"/>
          <w:sz w:val="24"/>
          <w:szCs w:val="24"/>
          <w:lang w:val="en-US"/>
        </w:rPr>
        <w:t>ELIZABETH LINE SET TO CONNECT LONDON’S MOST PROMINENT BUSINESS HUBS.</w:t>
      </w:r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t xml:space="preserve"> Available at: </w:t>
      </w:r>
      <w:hyperlink r:id="rId20" w:history="1">
        <w:r w:rsidRPr="00F373D4">
          <w:rPr>
            <w:rStyle w:val="Hyperlink"/>
            <w:rFonts w:ascii="Arial" w:eastAsia="+mj-ea" w:hAnsi="Arial" w:cs="Arial"/>
            <w:color w:val="000000"/>
            <w:kern w:val="24"/>
            <w:sz w:val="24"/>
            <w:szCs w:val="24"/>
            <w:lang w:val="en-US"/>
          </w:rPr>
          <w:t>https://media.londonandpartners.com/news/elizabeth-line-set-to-connect-londons-most-prominent-business-hubs</w:t>
        </w:r>
      </w:hyperlink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br/>
        <w:t xml:space="preserve"> (Accessed: 24 January 2024). </w:t>
      </w:r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br/>
      </w:r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br/>
        <w:t xml:space="preserve">London.gov.uk (2019) </w:t>
      </w:r>
      <w:r w:rsidRPr="00F373D4">
        <w:rPr>
          <w:rFonts w:ascii="Arial" w:eastAsia="+mj-ea" w:hAnsi="Arial" w:cs="Arial"/>
          <w:i/>
          <w:iCs/>
          <w:color w:val="000000"/>
          <w:kern w:val="24"/>
          <w:sz w:val="24"/>
          <w:szCs w:val="24"/>
          <w:lang w:val="en-US"/>
        </w:rPr>
        <w:t>MD2476 Siemens Crystal Early Lease Surrender Deal.</w:t>
      </w:r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t xml:space="preserve"> Available at: </w:t>
      </w:r>
      <w:hyperlink r:id="rId21" w:history="1">
        <w:r w:rsidRPr="00F373D4">
          <w:rPr>
            <w:rStyle w:val="Hyperlink"/>
            <w:rFonts w:ascii="Arial" w:eastAsia="+mj-ea" w:hAnsi="Arial" w:cs="Arial"/>
            <w:color w:val="000000"/>
            <w:kern w:val="24"/>
            <w:sz w:val="24"/>
            <w:szCs w:val="24"/>
            <w:lang w:val="en-US"/>
          </w:rPr>
          <w:t>https://www.london.gov.uk/who-we-are/governance-and-spending/promoting-good-governance/decision-making/mayoral-decisions/md2476-siemens-crystal-early-lease-surrender-deal</w:t>
        </w:r>
      </w:hyperlink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br/>
        <w:t xml:space="preserve"> (Accessed: 24 January 2024). </w:t>
      </w:r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br/>
      </w:r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br/>
        <w:t xml:space="preserve">Mintel (2023) </w:t>
      </w:r>
      <w:r w:rsidRPr="00F373D4">
        <w:rPr>
          <w:rFonts w:ascii="Arial" w:eastAsia="+mj-ea" w:hAnsi="Arial" w:cs="Arial"/>
          <w:i/>
          <w:iCs/>
          <w:color w:val="000000"/>
          <w:kern w:val="24"/>
          <w:sz w:val="24"/>
          <w:szCs w:val="24"/>
          <w:lang w:val="en-US"/>
        </w:rPr>
        <w:t>UK Everyday Sustainability Market Report 2023.</w:t>
      </w:r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t xml:space="preserve"> Available at: </w:t>
      </w:r>
      <w:hyperlink r:id="rId22" w:history="1">
        <w:r w:rsidRPr="00F373D4">
          <w:rPr>
            <w:rStyle w:val="Hyperlink"/>
            <w:rFonts w:ascii="Arial" w:eastAsia="+mj-ea" w:hAnsi="Arial" w:cs="Arial"/>
            <w:color w:val="000000"/>
            <w:kern w:val="24"/>
            <w:sz w:val="24"/>
            <w:szCs w:val="24"/>
            <w:lang w:val="en-US"/>
          </w:rPr>
          <w:t>https://store.mintel.com/report/uk-everyday-sustainability-market-report</w:t>
        </w:r>
      </w:hyperlink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br/>
        <w:t xml:space="preserve"> (Accessed: 24 January 2024). </w:t>
      </w:r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br/>
      </w:r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br/>
        <w:t xml:space="preserve">Mount Anvil (2020) </w:t>
      </w:r>
      <w:r w:rsidRPr="00F373D4">
        <w:rPr>
          <w:rFonts w:ascii="Arial" w:eastAsia="+mj-ea" w:hAnsi="Arial" w:cs="Arial"/>
          <w:i/>
          <w:iCs/>
          <w:color w:val="000000"/>
          <w:kern w:val="24"/>
          <w:sz w:val="24"/>
          <w:szCs w:val="24"/>
          <w:lang w:val="en-US"/>
        </w:rPr>
        <w:t>Top 10 reasons to buy in the Royal Docks.</w:t>
      </w:r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t xml:space="preserve"> Available at: </w:t>
      </w:r>
      <w:hyperlink r:id="rId23" w:history="1">
        <w:r w:rsidRPr="00F373D4">
          <w:rPr>
            <w:rStyle w:val="Hyperlink"/>
            <w:rFonts w:ascii="Arial" w:eastAsia="+mj-ea" w:hAnsi="Arial" w:cs="Arial"/>
            <w:color w:val="000000"/>
            <w:kern w:val="24"/>
            <w:sz w:val="24"/>
            <w:szCs w:val="24"/>
            <w:lang w:val="en-US"/>
          </w:rPr>
          <w:t>https://mountanvil.com/news/top-10-reasons-to-buy-in-the-royal-docks</w:t>
        </w:r>
      </w:hyperlink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br/>
        <w:t xml:space="preserve"> (Accessed: 24 January 2024). </w:t>
      </w:r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br/>
      </w:r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br/>
        <w:t>Radbourne, J. (2023) </w:t>
      </w:r>
      <w:r w:rsidRPr="00F373D4">
        <w:rPr>
          <w:rFonts w:ascii="Arial" w:eastAsia="+mj-ea" w:hAnsi="Arial" w:cs="Arial"/>
          <w:i/>
          <w:iCs/>
          <w:color w:val="000000"/>
          <w:kern w:val="24"/>
          <w:sz w:val="24"/>
          <w:szCs w:val="24"/>
          <w:lang w:val="en-US"/>
        </w:rPr>
        <w:t>Arts management: A practical guide</w:t>
      </w:r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t>. Taylor &amp; Francis.</w:t>
      </w:r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br/>
      </w:r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br/>
        <w:t xml:space="preserve">Statista (2022) </w:t>
      </w:r>
      <w:r w:rsidRPr="00F373D4">
        <w:rPr>
          <w:rFonts w:ascii="Arial" w:eastAsia="+mj-ea" w:hAnsi="Arial" w:cs="Arial"/>
          <w:i/>
          <w:iCs/>
          <w:color w:val="000000"/>
          <w:kern w:val="24"/>
          <w:sz w:val="24"/>
          <w:szCs w:val="24"/>
          <w:lang w:val="en-US"/>
        </w:rPr>
        <w:t>Grocery shoppers who would pay more for environmentally friendly products in the United Kingdom in 2021, by generation.</w:t>
      </w:r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t xml:space="preserve"> Available at: </w:t>
      </w:r>
      <w:hyperlink r:id="rId24" w:history="1">
        <w:r w:rsidRPr="00F373D4">
          <w:rPr>
            <w:rStyle w:val="Hyperlink"/>
            <w:rFonts w:ascii="Arial" w:eastAsia="+mj-ea" w:hAnsi="Arial" w:cs="Arial"/>
            <w:color w:val="000000"/>
            <w:kern w:val="24"/>
            <w:sz w:val="24"/>
            <w:szCs w:val="24"/>
            <w:lang w:val="en-US"/>
          </w:rPr>
          <w:t>https://www.statista.com/statistics/1291368/willingness-to-pay-more-for-sustainable-</w:t>
        </w:r>
        <w:r w:rsidRPr="00F373D4">
          <w:rPr>
            <w:rStyle w:val="Hyperlink"/>
            <w:rFonts w:ascii="Arial" w:eastAsia="+mj-ea" w:hAnsi="Arial" w:cs="Arial"/>
            <w:color w:val="000000"/>
            <w:kern w:val="24"/>
            <w:sz w:val="24"/>
            <w:szCs w:val="24"/>
            <w:lang w:val="en-US"/>
          </w:rPr>
          <w:lastRenderedPageBreak/>
          <w:t>products-by-generation-uk/</w:t>
        </w:r>
      </w:hyperlink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t xml:space="preserve"> (Accessed: 24 January 2024). </w:t>
      </w:r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br/>
      </w:r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br/>
        <w:t xml:space="preserve">Statista (2022) </w:t>
      </w:r>
      <w:r w:rsidRPr="00F373D4">
        <w:rPr>
          <w:rFonts w:ascii="Arial" w:eastAsia="+mj-ea" w:hAnsi="Arial" w:cs="Arial"/>
          <w:i/>
          <w:iCs/>
          <w:color w:val="000000"/>
          <w:kern w:val="24"/>
          <w:sz w:val="24"/>
          <w:szCs w:val="24"/>
          <w:lang w:val="en-US"/>
        </w:rPr>
        <w:t>Importance of hotel sustainability for business travel buyers worldwide as of October 2022.</w:t>
      </w:r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t xml:space="preserve"> Available at: </w:t>
      </w:r>
      <w:hyperlink r:id="rId25" w:history="1">
        <w:r w:rsidRPr="00F373D4">
          <w:rPr>
            <w:rStyle w:val="Hyperlink"/>
            <w:rFonts w:ascii="Arial" w:eastAsia="+mj-ea" w:hAnsi="Arial" w:cs="Arial"/>
            <w:color w:val="000000"/>
            <w:kern w:val="24"/>
            <w:sz w:val="24"/>
            <w:szCs w:val="24"/>
            <w:lang w:val="en-US"/>
          </w:rPr>
          <w:t>https://www.statista.com/statistics/999367/importance-sustainable-hotels-business-travel-managers-worldwide/</w:t>
        </w:r>
      </w:hyperlink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t xml:space="preserve">  (Accessed: 23 January 2024). </w:t>
      </w:r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br/>
      </w:r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br/>
        <w:t xml:space="preserve">Statista (2022) </w:t>
      </w:r>
      <w:r w:rsidRPr="00F373D4">
        <w:rPr>
          <w:rFonts w:ascii="Arial" w:eastAsia="+mj-ea" w:hAnsi="Arial" w:cs="Arial"/>
          <w:i/>
          <w:iCs/>
          <w:color w:val="000000"/>
          <w:kern w:val="24"/>
          <w:sz w:val="24"/>
          <w:szCs w:val="24"/>
          <w:lang w:val="en-US"/>
        </w:rPr>
        <w:t>Willingness of consumers to spend more on sustainable products in the United Kingdom (UK) in 2022, by generation.</w:t>
      </w:r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t xml:space="preserve"> Available at: </w:t>
      </w:r>
      <w:hyperlink r:id="rId26" w:history="1">
        <w:r w:rsidRPr="00F373D4">
          <w:rPr>
            <w:rStyle w:val="Hyperlink"/>
            <w:rFonts w:ascii="Arial" w:eastAsia="+mj-ea" w:hAnsi="Arial" w:cs="Arial"/>
            <w:color w:val="000000"/>
            <w:kern w:val="24"/>
            <w:sz w:val="24"/>
            <w:szCs w:val="24"/>
            <w:lang w:val="en-US"/>
          </w:rPr>
          <w:t>https://www.statista.com/statistics/1318317/willingness-to-spend-more-on-sustainability-by-generation/</w:t>
        </w:r>
      </w:hyperlink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t xml:space="preserve"> (Accessed: 24 January 2024). </w:t>
      </w:r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br/>
      </w:r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br/>
        <w:t xml:space="preserve">Statista (2023) </w:t>
      </w:r>
      <w:r w:rsidRPr="00F373D4">
        <w:rPr>
          <w:rFonts w:ascii="Arial" w:eastAsia="+mj-ea" w:hAnsi="Arial" w:cs="Arial"/>
          <w:i/>
          <w:iCs/>
          <w:color w:val="000000"/>
          <w:kern w:val="24"/>
          <w:sz w:val="24"/>
          <w:szCs w:val="24"/>
          <w:lang w:val="en-US"/>
        </w:rPr>
        <w:t>Global inflation rate from 2000 to 2022, with forecasts until 2028.</w:t>
      </w:r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t xml:space="preserve"> Available at: </w:t>
      </w:r>
      <w:hyperlink r:id="rId27" w:history="1">
        <w:r w:rsidRPr="00F373D4">
          <w:rPr>
            <w:rStyle w:val="Hyperlink"/>
            <w:rFonts w:ascii="Arial" w:eastAsia="+mj-ea" w:hAnsi="Arial" w:cs="Arial"/>
            <w:color w:val="000000"/>
            <w:kern w:val="24"/>
            <w:sz w:val="24"/>
            <w:szCs w:val="24"/>
            <w:lang w:val="en-US"/>
          </w:rPr>
          <w:t>https://www.statista.com/statistics/256598/global-inflation-rate-compared-to-previous-year/</w:t>
        </w:r>
      </w:hyperlink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t xml:space="preserve">  (Accessed: 23 January 2024). </w:t>
      </w:r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br/>
      </w:r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br/>
        <w:t xml:space="preserve">Statista (2023) </w:t>
      </w:r>
      <w:r w:rsidRPr="00F373D4">
        <w:rPr>
          <w:rFonts w:ascii="Arial" w:eastAsia="+mj-ea" w:hAnsi="Arial" w:cs="Arial"/>
          <w:i/>
          <w:iCs/>
          <w:color w:val="000000"/>
          <w:kern w:val="24"/>
          <w:sz w:val="24"/>
          <w:szCs w:val="24"/>
          <w:lang w:val="en-US"/>
        </w:rPr>
        <w:t>Share of respondents who are concerned about climate change in the United Kingdom (UK) in 2023.</w:t>
      </w:r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t xml:space="preserve"> Available at: </w:t>
      </w:r>
      <w:hyperlink r:id="rId28" w:history="1">
        <w:r w:rsidRPr="00F373D4">
          <w:rPr>
            <w:rStyle w:val="Hyperlink"/>
            <w:rFonts w:ascii="Arial" w:eastAsia="+mj-ea" w:hAnsi="Arial" w:cs="Arial"/>
            <w:color w:val="000000"/>
            <w:kern w:val="24"/>
            <w:sz w:val="24"/>
            <w:szCs w:val="24"/>
            <w:lang w:val="en-US"/>
          </w:rPr>
          <w:t>https://www.statista.com/statistics/426733/united-kingdom-uk-concern-about-climate-change/</w:t>
        </w:r>
      </w:hyperlink>
      <w:r w:rsidRPr="00F373D4">
        <w:rPr>
          <w:rFonts w:ascii="Arial" w:eastAsia="+mj-ea" w:hAnsi="Arial" w:cs="Arial"/>
          <w:color w:val="000000"/>
          <w:kern w:val="24"/>
          <w:sz w:val="24"/>
          <w:szCs w:val="24"/>
          <w:lang w:val="en-US"/>
        </w:rPr>
        <w:t xml:space="preserve">  (Accessed: 24 January 2024).</w:t>
      </w:r>
    </w:p>
    <w:p w14:paraId="3CF61A89" w14:textId="77777777" w:rsidR="00F373D4" w:rsidRPr="00F373D4" w:rsidRDefault="00F373D4" w:rsidP="00F373D4">
      <w:pPr>
        <w:pStyle w:val="NormalWeb"/>
        <w:spacing w:before="0" w:beforeAutospacing="0" w:after="0" w:afterAutospacing="0"/>
        <w:rPr>
          <w:rFonts w:ascii="Arial" w:hAnsi="Arial" w:cs="Arial"/>
        </w:rPr>
      </w:pPr>
      <w:r w:rsidRPr="00F373D4">
        <w:rPr>
          <w:rFonts w:ascii="Arial" w:eastAsiaTheme="majorEastAsia" w:hAnsi="Arial" w:cs="Arial"/>
          <w:color w:val="000000"/>
          <w:kern w:val="24"/>
          <w:lang w:val="en-US"/>
        </w:rPr>
        <w:t xml:space="preserve">Statista (2024) </w:t>
      </w:r>
      <w:r w:rsidRPr="00F373D4">
        <w:rPr>
          <w:rFonts w:ascii="Arial" w:eastAsiaTheme="majorEastAsia" w:hAnsi="Arial" w:cs="Arial"/>
          <w:i/>
          <w:iCs/>
          <w:color w:val="000000"/>
          <w:kern w:val="24"/>
          <w:lang w:val="en-US"/>
        </w:rPr>
        <w:t>Generation of electricity from renewable sources in the United Kingdom (UK) from 2010 to 2022.</w:t>
      </w:r>
      <w:r w:rsidRPr="00F373D4">
        <w:rPr>
          <w:rFonts w:ascii="Arial" w:eastAsiaTheme="majorEastAsia" w:hAnsi="Arial" w:cs="Arial"/>
          <w:color w:val="000000"/>
          <w:kern w:val="24"/>
          <w:lang w:val="en-US"/>
        </w:rPr>
        <w:t xml:space="preserve"> Available at: </w:t>
      </w:r>
      <w:hyperlink r:id="rId29" w:history="1">
        <w:r w:rsidRPr="00F373D4">
          <w:rPr>
            <w:rStyle w:val="Hyperlink"/>
            <w:rFonts w:ascii="Arial" w:eastAsiaTheme="majorEastAsia" w:hAnsi="Arial" w:cs="Arial"/>
            <w:color w:val="000000"/>
            <w:kern w:val="24"/>
            <w:lang w:val="en-US"/>
          </w:rPr>
          <w:t>https://www.statista.com/statistics/555645/electricity-generation-renewables</w:t>
        </w:r>
      </w:hyperlink>
      <w:r w:rsidRPr="00F373D4">
        <w:rPr>
          <w:rFonts w:ascii="Arial" w:eastAsiaTheme="majorEastAsia" w:hAnsi="Arial" w:cs="Arial"/>
          <w:color w:val="000000"/>
          <w:kern w:val="24"/>
          <w:lang w:val="en-US"/>
        </w:rPr>
        <w:t>uk/#:~:text=Electricity%20produced%20from%20renewables%20in,Kingdom%20(UK)%202010%2D2022&amp;text=Electricity%20generation%20from%20renewable%20sources,generation%20registered%20a%20small%20decline.  (Accessed: 23 January 2024).</w:t>
      </w:r>
    </w:p>
    <w:p w14:paraId="4864D688" w14:textId="77777777" w:rsidR="00F373D4" w:rsidRPr="00F373D4" w:rsidRDefault="00F373D4" w:rsidP="00F373D4">
      <w:pPr>
        <w:pStyle w:val="NormalWeb"/>
        <w:spacing w:before="0" w:beforeAutospacing="0" w:after="0" w:afterAutospacing="0"/>
        <w:rPr>
          <w:rFonts w:ascii="Arial" w:hAnsi="Arial" w:cs="Arial"/>
        </w:rPr>
      </w:pPr>
      <w:r w:rsidRPr="00F373D4">
        <w:rPr>
          <w:rFonts w:ascii="Arial" w:eastAsiaTheme="majorEastAsia" w:hAnsi="Arial" w:cs="Arial"/>
          <w:color w:val="000000"/>
          <w:kern w:val="24"/>
          <w:lang w:val="en-US"/>
        </w:rPr>
        <w:t xml:space="preserve"> </w:t>
      </w:r>
    </w:p>
    <w:p w14:paraId="5F86F44C" w14:textId="77777777" w:rsidR="00F373D4" w:rsidRPr="00F373D4" w:rsidRDefault="00F373D4" w:rsidP="00F373D4">
      <w:pPr>
        <w:pStyle w:val="NormalWeb"/>
        <w:spacing w:before="0" w:beforeAutospacing="0" w:after="0" w:afterAutospacing="0"/>
        <w:rPr>
          <w:rFonts w:ascii="Arial" w:hAnsi="Arial" w:cs="Arial"/>
        </w:rPr>
      </w:pPr>
      <w:r w:rsidRPr="00F373D4">
        <w:rPr>
          <w:rFonts w:ascii="Arial" w:eastAsiaTheme="majorEastAsia" w:hAnsi="Arial" w:cs="Arial"/>
          <w:color w:val="000000"/>
          <w:kern w:val="24"/>
          <w:lang w:val="en-US"/>
        </w:rPr>
        <w:br/>
        <w:t xml:space="preserve">Tapper, J. (2020) </w:t>
      </w:r>
      <w:r w:rsidRPr="00F373D4">
        <w:rPr>
          <w:rFonts w:ascii="Arial" w:eastAsiaTheme="majorEastAsia" w:hAnsi="Arial" w:cs="Arial"/>
          <w:i/>
          <w:iCs/>
          <w:color w:val="000000"/>
          <w:kern w:val="24"/>
          <w:lang w:val="en-US"/>
        </w:rPr>
        <w:t>Move over, millennials. Boomers are UK’s greenest generation.</w:t>
      </w:r>
      <w:r w:rsidRPr="00F373D4">
        <w:rPr>
          <w:rFonts w:ascii="Arial" w:eastAsiaTheme="majorEastAsia" w:hAnsi="Arial" w:cs="Arial"/>
          <w:color w:val="000000"/>
          <w:kern w:val="24"/>
          <w:lang w:val="en-US"/>
        </w:rPr>
        <w:t xml:space="preserve"> Available at: </w:t>
      </w:r>
      <w:hyperlink r:id="rId30" w:history="1">
        <w:r w:rsidRPr="00F373D4">
          <w:rPr>
            <w:rStyle w:val="Hyperlink"/>
            <w:rFonts w:ascii="Arial" w:eastAsiaTheme="majorEastAsia" w:hAnsi="Arial" w:cs="Arial"/>
            <w:color w:val="000000"/>
            <w:kern w:val="24"/>
            <w:lang w:val="en-US"/>
          </w:rPr>
          <w:t>https://www.theguardian.com/environment/2020/nov/22/move-over-millennials-boomers-are-uks-greenest-generation</w:t>
        </w:r>
      </w:hyperlink>
    </w:p>
    <w:p w14:paraId="57570018" w14:textId="77777777" w:rsidR="00F373D4" w:rsidRPr="00F373D4" w:rsidRDefault="00F373D4" w:rsidP="00F373D4">
      <w:pPr>
        <w:pStyle w:val="NormalWeb"/>
        <w:spacing w:before="0" w:beforeAutospacing="0" w:after="0" w:afterAutospacing="0"/>
        <w:rPr>
          <w:rFonts w:ascii="Arial" w:hAnsi="Arial" w:cs="Arial"/>
        </w:rPr>
      </w:pPr>
      <w:r w:rsidRPr="00F373D4">
        <w:rPr>
          <w:rFonts w:ascii="Arial" w:eastAsiaTheme="majorEastAsia" w:hAnsi="Arial" w:cs="Arial"/>
          <w:color w:val="000000"/>
          <w:kern w:val="24"/>
          <w:lang w:val="en-US"/>
        </w:rPr>
        <w:t xml:space="preserve"> (Accessed: 24 January 2024). </w:t>
      </w:r>
    </w:p>
    <w:p w14:paraId="3FAB758E" w14:textId="77777777" w:rsidR="00F373D4" w:rsidRPr="00F373D4" w:rsidRDefault="00F373D4" w:rsidP="00F373D4">
      <w:pPr>
        <w:pStyle w:val="NormalWeb"/>
        <w:spacing w:before="0" w:beforeAutospacing="0" w:after="0" w:afterAutospacing="0"/>
        <w:rPr>
          <w:rFonts w:ascii="Arial" w:hAnsi="Arial" w:cs="Arial"/>
        </w:rPr>
      </w:pPr>
      <w:r w:rsidRPr="00F373D4">
        <w:rPr>
          <w:rFonts w:ascii="Arial" w:eastAsiaTheme="majorEastAsia" w:hAnsi="Arial" w:cs="Arial"/>
          <w:color w:val="000000"/>
          <w:kern w:val="24"/>
          <w:lang w:val="en-US"/>
        </w:rPr>
        <w:br/>
        <w:t xml:space="preserve">United Nations (2024) </w:t>
      </w:r>
      <w:r w:rsidRPr="00F373D4">
        <w:rPr>
          <w:rFonts w:ascii="Arial" w:eastAsiaTheme="majorEastAsia" w:hAnsi="Arial" w:cs="Arial"/>
          <w:i/>
          <w:iCs/>
          <w:color w:val="000000"/>
          <w:kern w:val="24"/>
          <w:lang w:val="en-US"/>
        </w:rPr>
        <w:t>The Paris Agreement.</w:t>
      </w:r>
      <w:r w:rsidRPr="00F373D4">
        <w:rPr>
          <w:rFonts w:ascii="Arial" w:eastAsiaTheme="majorEastAsia" w:hAnsi="Arial" w:cs="Arial"/>
          <w:color w:val="000000"/>
          <w:kern w:val="24"/>
          <w:lang w:val="en-US"/>
        </w:rPr>
        <w:t xml:space="preserve"> Available at: </w:t>
      </w:r>
      <w:hyperlink r:id="rId31" w:history="1">
        <w:r w:rsidRPr="00F373D4">
          <w:rPr>
            <w:rStyle w:val="Hyperlink"/>
            <w:rFonts w:ascii="Arial" w:eastAsiaTheme="majorEastAsia" w:hAnsi="Arial" w:cs="Arial"/>
            <w:color w:val="000000"/>
            <w:kern w:val="24"/>
            <w:lang w:val="en-US"/>
          </w:rPr>
          <w:t>https://unfccc.int/process-and-meetings/the-paris-agreement</w:t>
        </w:r>
      </w:hyperlink>
    </w:p>
    <w:p w14:paraId="2FC9A473" w14:textId="77777777" w:rsidR="00F373D4" w:rsidRPr="00F373D4" w:rsidRDefault="00F373D4" w:rsidP="00F373D4">
      <w:pPr>
        <w:pStyle w:val="NormalWeb"/>
        <w:spacing w:before="0" w:beforeAutospacing="0" w:after="0" w:afterAutospacing="0"/>
        <w:rPr>
          <w:rFonts w:ascii="Arial" w:hAnsi="Arial" w:cs="Arial"/>
        </w:rPr>
      </w:pPr>
      <w:r w:rsidRPr="00F373D4">
        <w:rPr>
          <w:rFonts w:ascii="Arial" w:eastAsiaTheme="majorEastAsia" w:hAnsi="Arial" w:cs="Arial"/>
          <w:color w:val="000000"/>
          <w:kern w:val="24"/>
          <w:lang w:val="en-US"/>
        </w:rPr>
        <w:t xml:space="preserve"> (Accessed: 23 January 2024). </w:t>
      </w:r>
    </w:p>
    <w:p w14:paraId="65B69DC7" w14:textId="77777777" w:rsidR="00F373D4" w:rsidRPr="00F373D4" w:rsidRDefault="00F373D4" w:rsidP="00F373D4">
      <w:pPr>
        <w:pStyle w:val="NormalWeb"/>
        <w:spacing w:before="0" w:beforeAutospacing="0" w:after="0" w:afterAutospacing="0"/>
        <w:rPr>
          <w:rFonts w:ascii="Arial" w:hAnsi="Arial" w:cs="Arial"/>
        </w:rPr>
      </w:pPr>
      <w:r w:rsidRPr="00F373D4">
        <w:rPr>
          <w:rFonts w:ascii="Arial" w:eastAsiaTheme="majorEastAsia" w:hAnsi="Arial" w:cs="Arial"/>
          <w:color w:val="000000"/>
          <w:kern w:val="24"/>
          <w:lang w:val="en-US"/>
        </w:rPr>
        <w:br/>
      </w:r>
      <w:proofErr w:type="spellStart"/>
      <w:r w:rsidRPr="00F373D4">
        <w:rPr>
          <w:rFonts w:ascii="Arial" w:eastAsiaTheme="majorEastAsia" w:hAnsi="Arial" w:cs="Arial"/>
          <w:color w:val="000000"/>
          <w:kern w:val="24"/>
          <w:lang w:val="en-US"/>
        </w:rPr>
        <w:t>Uralovich</w:t>
      </w:r>
      <w:proofErr w:type="spellEnd"/>
      <w:r w:rsidRPr="00F373D4">
        <w:rPr>
          <w:rFonts w:ascii="Arial" w:eastAsiaTheme="majorEastAsia" w:hAnsi="Arial" w:cs="Arial"/>
          <w:color w:val="000000"/>
          <w:kern w:val="24"/>
          <w:lang w:val="en-US"/>
        </w:rPr>
        <w:t xml:space="preserve">, K.S., </w:t>
      </w:r>
      <w:proofErr w:type="spellStart"/>
      <w:r w:rsidRPr="00F373D4">
        <w:rPr>
          <w:rFonts w:ascii="Arial" w:eastAsiaTheme="majorEastAsia" w:hAnsi="Arial" w:cs="Arial"/>
          <w:color w:val="000000"/>
          <w:kern w:val="24"/>
          <w:lang w:val="en-US"/>
        </w:rPr>
        <w:t>Toshmamatovich</w:t>
      </w:r>
      <w:proofErr w:type="spellEnd"/>
      <w:r w:rsidRPr="00F373D4">
        <w:rPr>
          <w:rFonts w:ascii="Arial" w:eastAsiaTheme="majorEastAsia" w:hAnsi="Arial" w:cs="Arial"/>
          <w:color w:val="000000"/>
          <w:kern w:val="24"/>
          <w:lang w:val="en-US"/>
        </w:rPr>
        <w:t xml:space="preserve">, T.U., </w:t>
      </w:r>
      <w:proofErr w:type="spellStart"/>
      <w:r w:rsidRPr="00F373D4">
        <w:rPr>
          <w:rFonts w:ascii="Arial" w:eastAsiaTheme="majorEastAsia" w:hAnsi="Arial" w:cs="Arial"/>
          <w:color w:val="000000"/>
          <w:kern w:val="24"/>
          <w:lang w:val="en-US"/>
        </w:rPr>
        <w:t>Kubayevich</w:t>
      </w:r>
      <w:proofErr w:type="spellEnd"/>
      <w:r w:rsidRPr="00F373D4">
        <w:rPr>
          <w:rFonts w:ascii="Arial" w:eastAsiaTheme="majorEastAsia" w:hAnsi="Arial" w:cs="Arial"/>
          <w:color w:val="000000"/>
          <w:kern w:val="24"/>
          <w:lang w:val="en-US"/>
        </w:rPr>
        <w:t xml:space="preserve">, K.F., </w:t>
      </w:r>
      <w:proofErr w:type="spellStart"/>
      <w:r w:rsidRPr="00F373D4">
        <w:rPr>
          <w:rFonts w:ascii="Arial" w:eastAsiaTheme="majorEastAsia" w:hAnsi="Arial" w:cs="Arial"/>
          <w:color w:val="000000"/>
          <w:kern w:val="24"/>
          <w:lang w:val="en-US"/>
        </w:rPr>
        <w:t>Sapaev</w:t>
      </w:r>
      <w:proofErr w:type="spellEnd"/>
      <w:r w:rsidRPr="00F373D4">
        <w:rPr>
          <w:rFonts w:ascii="Arial" w:eastAsiaTheme="majorEastAsia" w:hAnsi="Arial" w:cs="Arial"/>
          <w:color w:val="000000"/>
          <w:kern w:val="24"/>
          <w:lang w:val="en-US"/>
        </w:rPr>
        <w:t xml:space="preserve">, I.B., </w:t>
      </w:r>
      <w:proofErr w:type="spellStart"/>
      <w:r w:rsidRPr="00F373D4">
        <w:rPr>
          <w:rFonts w:ascii="Arial" w:eastAsiaTheme="majorEastAsia" w:hAnsi="Arial" w:cs="Arial"/>
          <w:color w:val="000000"/>
          <w:kern w:val="24"/>
          <w:lang w:val="en-US"/>
        </w:rPr>
        <w:t>Saylaubaevna</w:t>
      </w:r>
      <w:proofErr w:type="spellEnd"/>
      <w:r w:rsidRPr="00F373D4">
        <w:rPr>
          <w:rFonts w:ascii="Arial" w:eastAsiaTheme="majorEastAsia" w:hAnsi="Arial" w:cs="Arial"/>
          <w:color w:val="000000"/>
          <w:kern w:val="24"/>
          <w:lang w:val="en-US"/>
        </w:rPr>
        <w:t xml:space="preserve">, S.S., </w:t>
      </w:r>
      <w:proofErr w:type="spellStart"/>
      <w:r w:rsidRPr="00F373D4">
        <w:rPr>
          <w:rFonts w:ascii="Arial" w:eastAsiaTheme="majorEastAsia" w:hAnsi="Arial" w:cs="Arial"/>
          <w:color w:val="000000"/>
          <w:kern w:val="24"/>
          <w:lang w:val="en-US"/>
        </w:rPr>
        <w:t>Beknazarova</w:t>
      </w:r>
      <w:proofErr w:type="spellEnd"/>
      <w:r w:rsidRPr="00F373D4">
        <w:rPr>
          <w:rFonts w:ascii="Arial" w:eastAsiaTheme="majorEastAsia" w:hAnsi="Arial" w:cs="Arial"/>
          <w:color w:val="000000"/>
          <w:kern w:val="24"/>
          <w:lang w:val="en-US"/>
        </w:rPr>
        <w:t xml:space="preserve">, Z.F. and </w:t>
      </w:r>
      <w:proofErr w:type="spellStart"/>
      <w:r w:rsidRPr="00F373D4">
        <w:rPr>
          <w:rFonts w:ascii="Arial" w:eastAsiaTheme="majorEastAsia" w:hAnsi="Arial" w:cs="Arial"/>
          <w:color w:val="000000"/>
          <w:kern w:val="24"/>
          <w:lang w:val="en-US"/>
        </w:rPr>
        <w:t>Khurramov</w:t>
      </w:r>
      <w:proofErr w:type="spellEnd"/>
      <w:r w:rsidRPr="00F373D4">
        <w:rPr>
          <w:rFonts w:ascii="Arial" w:eastAsiaTheme="majorEastAsia" w:hAnsi="Arial" w:cs="Arial"/>
          <w:color w:val="000000"/>
          <w:kern w:val="24"/>
          <w:lang w:val="en-US"/>
        </w:rPr>
        <w:t>, A. (2023) A primary factor in sustainable development and environmental sustainability is environmental education. </w:t>
      </w:r>
      <w:r w:rsidRPr="00F373D4">
        <w:rPr>
          <w:rFonts w:ascii="Arial" w:eastAsiaTheme="majorEastAsia" w:hAnsi="Arial" w:cs="Arial"/>
          <w:i/>
          <w:iCs/>
          <w:color w:val="000000"/>
          <w:kern w:val="24"/>
          <w:lang w:val="en-US"/>
        </w:rPr>
        <w:t>Caspian Journal of Environmental Sciences</w:t>
      </w:r>
      <w:r w:rsidRPr="00F373D4">
        <w:rPr>
          <w:rFonts w:ascii="Arial" w:eastAsiaTheme="majorEastAsia" w:hAnsi="Arial" w:cs="Arial"/>
          <w:color w:val="000000"/>
          <w:kern w:val="24"/>
          <w:lang w:val="en-US"/>
        </w:rPr>
        <w:t>, </w:t>
      </w:r>
      <w:r w:rsidRPr="00F373D4">
        <w:rPr>
          <w:rFonts w:ascii="Arial" w:eastAsiaTheme="majorEastAsia" w:hAnsi="Arial" w:cs="Arial"/>
          <w:i/>
          <w:iCs/>
          <w:color w:val="000000"/>
          <w:kern w:val="24"/>
          <w:lang w:val="en-US"/>
        </w:rPr>
        <w:t>21</w:t>
      </w:r>
      <w:r w:rsidRPr="00F373D4">
        <w:rPr>
          <w:rFonts w:ascii="Arial" w:eastAsiaTheme="majorEastAsia" w:hAnsi="Arial" w:cs="Arial"/>
          <w:color w:val="000000"/>
          <w:kern w:val="24"/>
          <w:lang w:val="en-US"/>
        </w:rPr>
        <w:t>(4), pp.965-975.</w:t>
      </w:r>
    </w:p>
    <w:p w14:paraId="29CFB881" w14:textId="77777777" w:rsidR="00F373D4" w:rsidRPr="00F373D4" w:rsidRDefault="00F373D4" w:rsidP="00F373D4">
      <w:pPr>
        <w:pStyle w:val="NormalWeb"/>
        <w:spacing w:before="0" w:beforeAutospacing="0" w:after="0" w:afterAutospacing="0"/>
        <w:rPr>
          <w:rFonts w:ascii="Arial" w:hAnsi="Arial" w:cs="Arial"/>
        </w:rPr>
      </w:pPr>
      <w:r w:rsidRPr="00F373D4">
        <w:rPr>
          <w:rFonts w:ascii="Arial" w:eastAsiaTheme="majorEastAsia" w:hAnsi="Arial" w:cs="Arial"/>
          <w:color w:val="000000"/>
          <w:kern w:val="24"/>
          <w:lang w:val="en-US"/>
        </w:rPr>
        <w:br/>
      </w:r>
      <w:proofErr w:type="spellStart"/>
      <w:r w:rsidRPr="00F373D4">
        <w:rPr>
          <w:rFonts w:ascii="Arial" w:eastAsiaTheme="majorEastAsia" w:hAnsi="Arial" w:cs="Arial"/>
          <w:color w:val="000000"/>
          <w:kern w:val="24"/>
          <w:lang w:val="en-US"/>
        </w:rPr>
        <w:t>wilkinsoneyre</w:t>
      </w:r>
      <w:proofErr w:type="spellEnd"/>
      <w:r w:rsidRPr="00F373D4">
        <w:rPr>
          <w:rFonts w:ascii="Arial" w:eastAsiaTheme="majorEastAsia" w:hAnsi="Arial" w:cs="Arial"/>
          <w:color w:val="000000"/>
          <w:kern w:val="24"/>
          <w:lang w:val="en-US"/>
        </w:rPr>
        <w:t xml:space="preserve"> (2024) </w:t>
      </w:r>
      <w:r w:rsidRPr="00F373D4">
        <w:rPr>
          <w:rFonts w:ascii="Arial" w:eastAsiaTheme="majorEastAsia" w:hAnsi="Arial" w:cs="Arial"/>
          <w:i/>
          <w:iCs/>
          <w:color w:val="000000"/>
          <w:kern w:val="24"/>
          <w:lang w:val="en-US"/>
        </w:rPr>
        <w:t>The Crystal.</w:t>
      </w:r>
      <w:r w:rsidRPr="00F373D4">
        <w:rPr>
          <w:rFonts w:ascii="Arial" w:eastAsiaTheme="majorEastAsia" w:hAnsi="Arial" w:cs="Arial"/>
          <w:color w:val="000000"/>
          <w:kern w:val="24"/>
          <w:lang w:val="en-US"/>
        </w:rPr>
        <w:t xml:space="preserve"> Available at: </w:t>
      </w:r>
      <w:hyperlink r:id="rId32" w:history="1">
        <w:r w:rsidRPr="00F373D4">
          <w:rPr>
            <w:rStyle w:val="Hyperlink"/>
            <w:rFonts w:ascii="Arial" w:eastAsiaTheme="majorEastAsia" w:hAnsi="Arial" w:cs="Arial"/>
            <w:color w:val="000000"/>
            <w:kern w:val="24"/>
            <w:lang w:val="en-US"/>
          </w:rPr>
          <w:t>https://wilkinsoneyre.com/projects/the-crystal</w:t>
        </w:r>
      </w:hyperlink>
    </w:p>
    <w:p w14:paraId="20E60535" w14:textId="77777777" w:rsidR="00F373D4" w:rsidRPr="00F373D4" w:rsidRDefault="00F373D4" w:rsidP="00F373D4">
      <w:pPr>
        <w:pStyle w:val="NormalWeb"/>
        <w:spacing w:before="0" w:beforeAutospacing="0" w:after="0" w:afterAutospacing="0"/>
        <w:rPr>
          <w:rFonts w:ascii="Arial" w:hAnsi="Arial" w:cs="Arial"/>
        </w:rPr>
      </w:pPr>
      <w:r w:rsidRPr="00F373D4">
        <w:rPr>
          <w:rFonts w:ascii="Arial" w:eastAsiaTheme="majorEastAsia" w:hAnsi="Arial" w:cs="Arial"/>
          <w:color w:val="000000"/>
          <w:kern w:val="24"/>
          <w:lang w:val="en-US"/>
        </w:rPr>
        <w:t xml:space="preserve"> (Accessed: 23 January 2024</w:t>
      </w:r>
      <w:r w:rsidRPr="00F373D4">
        <w:rPr>
          <w:rFonts w:ascii="Arial" w:eastAsiaTheme="majorEastAsia" w:hAnsi="Arial" w:cs="Arial"/>
          <w:i/>
          <w:iCs/>
          <w:color w:val="000000"/>
          <w:kern w:val="24"/>
          <w:lang w:val="en-US"/>
        </w:rPr>
        <w:t>Health</w:t>
      </w:r>
      <w:r w:rsidRPr="00F373D4">
        <w:rPr>
          <w:rFonts w:ascii="Arial" w:eastAsiaTheme="majorEastAsia" w:hAnsi="Arial" w:cs="Arial"/>
          <w:color w:val="000000"/>
          <w:kern w:val="24"/>
          <w:lang w:val="en-US"/>
        </w:rPr>
        <w:t>, </w:t>
      </w:r>
      <w:r w:rsidRPr="00F373D4">
        <w:rPr>
          <w:rFonts w:ascii="Arial" w:eastAsiaTheme="majorEastAsia" w:hAnsi="Arial" w:cs="Arial"/>
          <w:i/>
          <w:iCs/>
          <w:color w:val="000000"/>
          <w:kern w:val="24"/>
          <w:lang w:val="en-US"/>
        </w:rPr>
        <w:t>47</w:t>
      </w:r>
      <w:r w:rsidRPr="00F373D4">
        <w:rPr>
          <w:rFonts w:ascii="Arial" w:eastAsiaTheme="majorEastAsia" w:hAnsi="Arial" w:cs="Arial"/>
          <w:color w:val="000000"/>
          <w:kern w:val="24"/>
          <w:lang w:val="en-US"/>
        </w:rPr>
        <w:t xml:space="preserve">(2), p.100024.). </w:t>
      </w:r>
    </w:p>
    <w:p w14:paraId="445AA8DE" w14:textId="2DC09CC3" w:rsidR="007F79B3" w:rsidRDefault="00F373D4" w:rsidP="004B742B">
      <w:pPr>
        <w:pStyle w:val="NormalWeb"/>
        <w:spacing w:before="0" w:beforeAutospacing="0" w:after="0" w:afterAutospacing="0"/>
        <w:rPr>
          <w:rFonts w:ascii="Arial" w:eastAsiaTheme="majorEastAsia" w:hAnsi="Arial" w:cs="Arial"/>
          <w:i/>
          <w:iCs/>
          <w:color w:val="000000"/>
          <w:kern w:val="24"/>
          <w:lang w:val="en-US"/>
        </w:rPr>
      </w:pPr>
      <w:r w:rsidRPr="00F373D4">
        <w:rPr>
          <w:rFonts w:ascii="Arial" w:eastAsiaTheme="majorEastAsia" w:hAnsi="Arial" w:cs="Arial"/>
          <w:color w:val="000000"/>
          <w:kern w:val="24"/>
          <w:lang w:val="en-US"/>
        </w:rPr>
        <w:br/>
        <w:t xml:space="preserve">Zorbas, C., Martino, F., Heneghan, T., Potter, J., Chisholm, M., Cameron, A.J., </w:t>
      </w:r>
      <w:r w:rsidRPr="00F373D4">
        <w:rPr>
          <w:rFonts w:ascii="Arial" w:eastAsiaTheme="majorEastAsia" w:hAnsi="Arial" w:cs="Arial"/>
          <w:color w:val="000000"/>
          <w:kern w:val="24"/>
          <w:lang w:val="en-US"/>
        </w:rPr>
        <w:lastRenderedPageBreak/>
        <w:t xml:space="preserve">Sacks, G., </w:t>
      </w:r>
      <w:proofErr w:type="spellStart"/>
      <w:r w:rsidRPr="00F373D4">
        <w:rPr>
          <w:rFonts w:ascii="Arial" w:eastAsiaTheme="majorEastAsia" w:hAnsi="Arial" w:cs="Arial"/>
          <w:color w:val="000000"/>
          <w:kern w:val="24"/>
          <w:lang w:val="en-US"/>
        </w:rPr>
        <w:t>Ananthapavan</w:t>
      </w:r>
      <w:proofErr w:type="spellEnd"/>
      <w:r w:rsidRPr="00F373D4">
        <w:rPr>
          <w:rFonts w:ascii="Arial" w:eastAsiaTheme="majorEastAsia" w:hAnsi="Arial" w:cs="Arial"/>
          <w:color w:val="000000"/>
          <w:kern w:val="24"/>
          <w:lang w:val="en-US"/>
        </w:rPr>
        <w:t xml:space="preserve">, J. and </w:t>
      </w:r>
      <w:proofErr w:type="spellStart"/>
      <w:r w:rsidRPr="00F373D4">
        <w:rPr>
          <w:rFonts w:ascii="Arial" w:eastAsiaTheme="majorEastAsia" w:hAnsi="Arial" w:cs="Arial"/>
          <w:color w:val="000000"/>
          <w:kern w:val="24"/>
          <w:lang w:val="en-US"/>
        </w:rPr>
        <w:t>Backholer</w:t>
      </w:r>
      <w:proofErr w:type="spellEnd"/>
      <w:r w:rsidRPr="00F373D4">
        <w:rPr>
          <w:rFonts w:ascii="Arial" w:eastAsiaTheme="majorEastAsia" w:hAnsi="Arial" w:cs="Arial"/>
          <w:color w:val="000000"/>
          <w:kern w:val="24"/>
          <w:lang w:val="en-US"/>
        </w:rPr>
        <w:t>, K. (2023) Perceptions towards unhealthy food sponsorship in junior sports in Victoria, Australia. </w:t>
      </w:r>
      <w:r w:rsidRPr="00F373D4">
        <w:rPr>
          <w:rFonts w:ascii="Arial" w:eastAsiaTheme="majorEastAsia" w:hAnsi="Arial" w:cs="Arial"/>
          <w:i/>
          <w:iCs/>
          <w:color w:val="000000"/>
          <w:kern w:val="24"/>
          <w:lang w:val="en-US"/>
        </w:rPr>
        <w:t>Australian and New Zealand Journal of Public</w:t>
      </w:r>
      <w:r>
        <w:rPr>
          <w:rFonts w:ascii="Arial" w:eastAsiaTheme="majorEastAsia" w:hAnsi="Arial" w:cs="Arial"/>
          <w:i/>
          <w:iCs/>
          <w:color w:val="000000"/>
          <w:kern w:val="24"/>
          <w:lang w:val="en-US"/>
        </w:rPr>
        <w:t>.</w:t>
      </w:r>
    </w:p>
    <w:p w14:paraId="41AA600F" w14:textId="77777777" w:rsidR="004B742B" w:rsidRDefault="004B742B" w:rsidP="004B742B">
      <w:pPr>
        <w:pStyle w:val="NormalWeb"/>
        <w:spacing w:before="0" w:beforeAutospacing="0" w:after="0" w:afterAutospacing="0"/>
        <w:rPr>
          <w:rFonts w:ascii="Arial" w:eastAsiaTheme="majorEastAsia" w:hAnsi="Arial" w:cs="Arial"/>
          <w:i/>
          <w:iCs/>
          <w:color w:val="000000"/>
          <w:kern w:val="24"/>
          <w:lang w:val="en-US"/>
        </w:rPr>
      </w:pPr>
    </w:p>
    <w:p w14:paraId="240967E7" w14:textId="77777777" w:rsidR="004B742B" w:rsidRDefault="004B742B" w:rsidP="004B742B">
      <w:pPr>
        <w:pStyle w:val="NormalWeb"/>
        <w:spacing w:before="0" w:beforeAutospacing="0" w:after="0" w:afterAutospacing="0"/>
        <w:rPr>
          <w:rFonts w:ascii="Arial" w:eastAsiaTheme="majorEastAsia" w:hAnsi="Arial" w:cs="Arial"/>
          <w:i/>
          <w:iCs/>
          <w:color w:val="000000"/>
          <w:kern w:val="24"/>
          <w:lang w:val="en-US"/>
        </w:rPr>
      </w:pPr>
    </w:p>
    <w:p w14:paraId="1A17D9D4" w14:textId="2CC32C23" w:rsidR="004B742B" w:rsidRDefault="004B742B" w:rsidP="004B742B">
      <w:pPr>
        <w:pStyle w:val="NormalWeb"/>
        <w:spacing w:before="0" w:beforeAutospacing="0" w:after="0" w:afterAutospacing="0"/>
        <w:rPr>
          <w:rFonts w:ascii="Arial" w:eastAsiaTheme="majorEastAsia" w:hAnsi="Arial" w:cs="Arial"/>
          <w:i/>
          <w:iCs/>
          <w:color w:val="000000"/>
          <w:kern w:val="24"/>
          <w:lang w:val="en-US"/>
        </w:rPr>
      </w:pPr>
      <w:r>
        <w:rPr>
          <w:rFonts w:ascii="Arial" w:eastAsiaTheme="majorEastAsia" w:hAnsi="Arial" w:cs="Arial"/>
          <w:i/>
          <w:iCs/>
          <w:color w:val="000000"/>
          <w:kern w:val="24"/>
          <w:lang w:val="en-US"/>
        </w:rPr>
        <w:t>Link:</w:t>
      </w:r>
    </w:p>
    <w:p w14:paraId="3179F7B3" w14:textId="542EC7D3" w:rsidR="004B742B" w:rsidRPr="004B742B" w:rsidRDefault="00000000" w:rsidP="004B742B">
      <w:pPr>
        <w:pStyle w:val="NormalWeb"/>
        <w:spacing w:before="0" w:beforeAutospacing="0" w:after="0" w:afterAutospacing="0"/>
      </w:pPr>
      <w:hyperlink r:id="rId33" w:history="1">
        <w:r w:rsidR="004B742B" w:rsidRPr="00CF1986">
          <w:rPr>
            <w:rStyle w:val="Hyperlink"/>
          </w:rPr>
          <w:t>https://uowtsd-my.sharepoint.com/:v:/g/personal/2122259_student_uwtsd_ac_uk/EVdwluY2pFFGlKYDxWwaMgQBMkguPZU0ctzJI57Xsx0ylQ?referrer=Teams.TEAMS-ELECTRON&amp;referrerScenario=MeetingChicletGetLink.view.view</w:t>
        </w:r>
      </w:hyperlink>
      <w:r w:rsidR="004B742B">
        <w:t xml:space="preserve"> </w:t>
      </w:r>
    </w:p>
    <w:sectPr w:rsidR="004B742B" w:rsidRPr="004B74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D49911" w14:textId="77777777" w:rsidR="00477EFA" w:rsidRDefault="00477EFA" w:rsidP="00E92A56">
      <w:pPr>
        <w:spacing w:after="0" w:line="240" w:lineRule="auto"/>
      </w:pPr>
      <w:r>
        <w:separator/>
      </w:r>
    </w:p>
  </w:endnote>
  <w:endnote w:type="continuationSeparator" w:id="0">
    <w:p w14:paraId="618A4D81" w14:textId="77777777" w:rsidR="00477EFA" w:rsidRDefault="00477EFA" w:rsidP="00E92A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+mj-ea"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12781A" w14:textId="77777777" w:rsidR="00477EFA" w:rsidRDefault="00477EFA" w:rsidP="00E92A56">
      <w:pPr>
        <w:spacing w:after="0" w:line="240" w:lineRule="auto"/>
      </w:pPr>
      <w:r>
        <w:separator/>
      </w:r>
    </w:p>
  </w:footnote>
  <w:footnote w:type="continuationSeparator" w:id="0">
    <w:p w14:paraId="16AD3A18" w14:textId="77777777" w:rsidR="00477EFA" w:rsidRDefault="00477EFA" w:rsidP="00E92A5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0A28"/>
    <w:rsid w:val="000760AB"/>
    <w:rsid w:val="00193E70"/>
    <w:rsid w:val="003A0A28"/>
    <w:rsid w:val="003A32E6"/>
    <w:rsid w:val="0047346E"/>
    <w:rsid w:val="00477EFA"/>
    <w:rsid w:val="004B742B"/>
    <w:rsid w:val="00530C91"/>
    <w:rsid w:val="00593075"/>
    <w:rsid w:val="007F79B3"/>
    <w:rsid w:val="0085334F"/>
    <w:rsid w:val="00CA6A08"/>
    <w:rsid w:val="00D90F2D"/>
    <w:rsid w:val="00E92A56"/>
    <w:rsid w:val="00F373D4"/>
    <w:rsid w:val="00F950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921700"/>
  <w15:chartTrackingRefBased/>
  <w15:docId w15:val="{0507F9CB-3E15-437A-88CC-63E93AD958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0A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A0A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A0A28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0A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0A28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0A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0A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0A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0A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0A28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A0A2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A0A28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0A28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0A28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0A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0A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0A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0A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0A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0A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0A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0A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0A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0A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0A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0A28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0A28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0A28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0A28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92A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92A56"/>
  </w:style>
  <w:style w:type="paragraph" w:styleId="Footer">
    <w:name w:val="footer"/>
    <w:basedOn w:val="Normal"/>
    <w:link w:val="FooterChar"/>
    <w:uiPriority w:val="99"/>
    <w:unhideWhenUsed/>
    <w:rsid w:val="00E92A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92A56"/>
  </w:style>
  <w:style w:type="paragraph" w:styleId="NormalWeb">
    <w:name w:val="Normal (Web)"/>
    <w:basedOn w:val="Normal"/>
    <w:uiPriority w:val="99"/>
    <w:unhideWhenUsed/>
    <w:rsid w:val="00F373D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F373D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742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636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534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hyperlink" Target="https://www.gov.uk/government/news/global-agreement-in-green-tech-will-open-doors-for-uk-plc" TargetMode="External"/><Relationship Id="rId26" Type="http://schemas.openxmlformats.org/officeDocument/2006/relationships/hyperlink" Target="https://www.statista.com/statistics/1318317/willingness-to-spend-more-on-sustainability-by-generation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london.gov.uk/who-we-are/governance-and-spending/promoting-good-governance/decision-making/mayoral-decisions/md2476-siemens-crystal-early-lease-surrender-deal" TargetMode="External"/><Relationship Id="rId34" Type="http://schemas.openxmlformats.org/officeDocument/2006/relationships/fontTable" Target="fontTable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hyperlink" Target="https://www.gov.uk/guidance/find-funding-to-help-your-business-become-greener" TargetMode="External"/><Relationship Id="rId25" Type="http://schemas.openxmlformats.org/officeDocument/2006/relationships/hyperlink" Target="https://www.statista.com/statistics/999367/importance-sustainable-hotels-business-travel-managers-worldwide/" TargetMode="External"/><Relationship Id="rId33" Type="http://schemas.openxmlformats.org/officeDocument/2006/relationships/hyperlink" Target="https://uowtsd-my.sharepoint.com/:v:/g/personal/2122259_student_uwtsd_ac_uk/EVdwluY2pFFGlKYDxWwaMgQBMkguPZU0ctzJI57Xsx0ylQ?referrer=Teams.TEAMS-ELECTRON&amp;referrerScenario=MeetingChicletGetLink.view.view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consultancy.uk/news/30077/uk-consumers-embracing-more-sustainable-behaviour" TargetMode="External"/><Relationship Id="rId20" Type="http://schemas.openxmlformats.org/officeDocument/2006/relationships/hyperlink" Target="https://media.londonandpartners.com/news/elizabeth-line-set-to-connect-londons-most-prominent-business-hubs" TargetMode="External"/><Relationship Id="rId29" Type="http://schemas.openxmlformats.org/officeDocument/2006/relationships/hyperlink" Target="https://www.statista.com/statistics/555645/electricity-generation-renewables" TargetMode="Externa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hyperlink" Target="https://www.statista.com/statistics/1291368/willingness-to-pay-more-for-sustainable-products-by-generation-uk/" TargetMode="External"/><Relationship Id="rId32" Type="http://schemas.openxmlformats.org/officeDocument/2006/relationships/hyperlink" Target="https://wilkinsoneyre.com/projects/the-crystal" TargetMode="Externa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hyperlink" Target="https://mountanvil.com/news/top-10-reasons-to-buy-in-the-royal-docks" TargetMode="External"/><Relationship Id="rId28" Type="http://schemas.openxmlformats.org/officeDocument/2006/relationships/hyperlink" Target="https://www.statista.com/statistics/426733/united-kingdom-uk-concern-about-climate-change/" TargetMode="External"/><Relationship Id="rId10" Type="http://schemas.openxmlformats.org/officeDocument/2006/relationships/image" Target="media/image5.png"/><Relationship Id="rId19" Type="http://schemas.openxmlformats.org/officeDocument/2006/relationships/hyperlink" Target="https://www.legislation.gov.uk/ukpga/2008/27/contents" TargetMode="External"/><Relationship Id="rId31" Type="http://schemas.openxmlformats.org/officeDocument/2006/relationships/hyperlink" Target="https://unfccc.int/process-and-meetings/the-paris-agreement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hyperlink" Target="https://store.mintel.com/report/uk-everyday-sustainability-market-report" TargetMode="External"/><Relationship Id="rId27" Type="http://schemas.openxmlformats.org/officeDocument/2006/relationships/hyperlink" Target="https://www.statista.com/statistics/256598/global-inflation-rate-compared-to-previous-year/" TargetMode="External"/><Relationship Id="rId30" Type="http://schemas.openxmlformats.org/officeDocument/2006/relationships/hyperlink" Target="https://www.theguardian.com/environment/2020/nov/22/move-over-millennials-boomers-are-uks-greenest-generation" TargetMode="External"/><Relationship Id="rId35" Type="http://schemas.openxmlformats.org/officeDocument/2006/relationships/theme" Target="theme/theme1.xml"/><Relationship Id="rId8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1</Pages>
  <Words>1088</Words>
  <Characters>6203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Mihaela Anton (2122259)</dc:creator>
  <cp:keywords/>
  <dc:description/>
  <cp:lastModifiedBy>Mihaela Anton (2122259)</cp:lastModifiedBy>
  <cp:revision>11</cp:revision>
  <dcterms:created xsi:type="dcterms:W3CDTF">2024-02-06T13:29:00Z</dcterms:created>
  <dcterms:modified xsi:type="dcterms:W3CDTF">2024-02-09T12:14:00Z</dcterms:modified>
</cp:coreProperties>
</file>