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33BC6" w14:textId="1477BA61" w:rsidR="00272192" w:rsidRPr="00080208" w:rsidRDefault="00B044CF" w:rsidP="00080208">
      <w:pPr>
        <w:spacing w:line="480" w:lineRule="auto"/>
        <w:rPr>
          <w:rFonts w:ascii="Arial" w:hAnsi="Arial" w:cs="Arial"/>
          <w:noProof/>
          <w:sz w:val="24"/>
          <w:szCs w:val="24"/>
        </w:rPr>
      </w:pPr>
      <w:r w:rsidRPr="00080208">
        <w:rPr>
          <w:rFonts w:ascii="Arial" w:hAnsi="Arial" w:cs="Arial"/>
          <w:noProof/>
          <w:sz w:val="24"/>
          <w:szCs w:val="24"/>
        </w:rPr>
        <w:drawing>
          <wp:inline distT="0" distB="0" distL="0" distR="0" wp14:anchorId="5035C6FF" wp14:editId="405D4741">
            <wp:extent cx="5781020" cy="5353685"/>
            <wp:effectExtent l="0" t="0" r="0" b="0"/>
            <wp:docPr id="4" name="Picture 4" descr="A Gavel and a Name Plate with the Engraving Property Law Stock Photo -  Image of advocate, legislation: 162112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avel and a Name Plate with the Engraving Property Law Stock Photo -  Image of advocate, legislation: 16211269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804674" cy="5375590"/>
                    </a:xfrm>
                    <a:prstGeom prst="rect">
                      <a:avLst/>
                    </a:prstGeom>
                    <a:noFill/>
                    <a:ln>
                      <a:noFill/>
                    </a:ln>
                  </pic:spPr>
                </pic:pic>
              </a:graphicData>
            </a:graphic>
          </wp:inline>
        </w:drawing>
      </w:r>
    </w:p>
    <w:p w14:paraId="2B483A9E" w14:textId="77777777" w:rsidR="00B044CF" w:rsidRDefault="00B044CF" w:rsidP="00B044CF">
      <w:pPr>
        <w:rPr>
          <w:noProof/>
        </w:rPr>
      </w:pPr>
    </w:p>
    <w:p w14:paraId="63976AA8" w14:textId="48B42984" w:rsidR="00B044CF" w:rsidRDefault="00080208" w:rsidP="00B044CF">
      <w:pPr>
        <w:rPr>
          <w:rFonts w:ascii="Arial" w:hAnsi="Arial" w:cs="Arial"/>
          <w:sz w:val="40"/>
          <w:szCs w:val="40"/>
          <w:u w:val="single"/>
        </w:rPr>
      </w:pPr>
      <w:r w:rsidRPr="00080208">
        <w:rPr>
          <w:rFonts w:ascii="Arial" w:hAnsi="Arial" w:cs="Arial"/>
          <w:sz w:val="40"/>
          <w:szCs w:val="40"/>
          <w:u w:val="single"/>
        </w:rPr>
        <w:t>Property Law. (BMLW6008) By Melenie Jane Box.</w:t>
      </w:r>
    </w:p>
    <w:p w14:paraId="7DF6ADB4" w14:textId="24CF64B0" w:rsidR="00080208" w:rsidRDefault="007A2D78" w:rsidP="00080208">
      <w:pPr>
        <w:spacing w:line="480" w:lineRule="auto"/>
        <w:rPr>
          <w:rFonts w:ascii="Arial" w:hAnsi="Arial" w:cs="Arial"/>
          <w:sz w:val="24"/>
          <w:szCs w:val="24"/>
        </w:rPr>
      </w:pPr>
      <w:r>
        <w:rPr>
          <w:rFonts w:ascii="Arial" w:hAnsi="Arial" w:cs="Arial"/>
          <w:sz w:val="24"/>
          <w:szCs w:val="24"/>
        </w:rPr>
        <w:t>Firstly,</w:t>
      </w:r>
      <w:r w:rsidR="00080208">
        <w:rPr>
          <w:rFonts w:ascii="Arial" w:hAnsi="Arial" w:cs="Arial"/>
          <w:sz w:val="24"/>
          <w:szCs w:val="24"/>
        </w:rPr>
        <w:t xml:space="preserve"> you must know what the fundamental terms are and to which of the rights can be for interests, and which can be for estates. If the land is registered, this is known as a buil</w:t>
      </w:r>
      <w:r>
        <w:rPr>
          <w:rFonts w:ascii="Arial" w:hAnsi="Arial" w:cs="Arial"/>
          <w:sz w:val="24"/>
          <w:szCs w:val="24"/>
        </w:rPr>
        <w:t>ding block for land law, but firstly you must have got the fundaments correct before you are able to progress any further.</w:t>
      </w:r>
    </w:p>
    <w:p w14:paraId="748BE35D" w14:textId="1B1BA16E" w:rsidR="006502A3" w:rsidRDefault="006502A3" w:rsidP="00080208">
      <w:pPr>
        <w:spacing w:line="480" w:lineRule="auto"/>
        <w:rPr>
          <w:rFonts w:ascii="Arial" w:hAnsi="Arial" w:cs="Arial"/>
          <w:sz w:val="24"/>
          <w:szCs w:val="24"/>
        </w:rPr>
      </w:pPr>
      <w:r>
        <w:rPr>
          <w:rFonts w:ascii="Arial" w:hAnsi="Arial" w:cs="Arial"/>
          <w:sz w:val="24"/>
          <w:szCs w:val="24"/>
        </w:rPr>
        <w:t xml:space="preserve">With an easement you would normally have a right to do something on what is known as the servient land, in some cases it could stop someone from doing </w:t>
      </w:r>
      <w:r>
        <w:rPr>
          <w:rFonts w:ascii="Arial" w:hAnsi="Arial" w:cs="Arial"/>
          <w:sz w:val="24"/>
          <w:szCs w:val="24"/>
        </w:rPr>
        <w:lastRenderedPageBreak/>
        <w:t>something upon the servient land. Examples would include</w:t>
      </w:r>
      <w:r w:rsidR="004F71C4">
        <w:rPr>
          <w:rFonts w:ascii="Arial" w:hAnsi="Arial" w:cs="Arial"/>
          <w:sz w:val="24"/>
          <w:szCs w:val="24"/>
        </w:rPr>
        <w:t xml:space="preserve"> rights of way, lighting and of course drainage too.</w:t>
      </w:r>
    </w:p>
    <w:p w14:paraId="17DB4F61" w14:textId="5B350EBA" w:rsidR="004F71C4" w:rsidRDefault="004F71C4" w:rsidP="00080208">
      <w:pPr>
        <w:spacing w:line="480" w:lineRule="auto"/>
        <w:rPr>
          <w:rFonts w:ascii="Arial" w:hAnsi="Arial" w:cs="Arial"/>
          <w:sz w:val="24"/>
          <w:szCs w:val="24"/>
        </w:rPr>
      </w:pPr>
      <w:r>
        <w:rPr>
          <w:rFonts w:ascii="Arial" w:hAnsi="Arial" w:cs="Arial"/>
          <w:sz w:val="24"/>
          <w:szCs w:val="24"/>
        </w:rPr>
        <w:t xml:space="preserve">It is less easy to understand the requirements of an easement, you firstly need to take four characteristics which have been accepted in the Court of Appeal with regards to the Re Ellenborough Park case. There must be a servient and dominant tenement. The easement </w:t>
      </w:r>
      <w:proofErr w:type="gramStart"/>
      <w:r>
        <w:rPr>
          <w:rFonts w:ascii="Arial" w:hAnsi="Arial" w:cs="Arial"/>
          <w:sz w:val="24"/>
          <w:szCs w:val="24"/>
        </w:rPr>
        <w:t>has to</w:t>
      </w:r>
      <w:proofErr w:type="gramEnd"/>
      <w:r>
        <w:rPr>
          <w:rFonts w:ascii="Arial" w:hAnsi="Arial" w:cs="Arial"/>
          <w:sz w:val="24"/>
          <w:szCs w:val="24"/>
        </w:rPr>
        <w:t xml:space="preserve"> accommodate the dominant tenement. Both dominant and servient owners </w:t>
      </w:r>
      <w:proofErr w:type="gramStart"/>
      <w:r>
        <w:rPr>
          <w:rFonts w:ascii="Arial" w:hAnsi="Arial" w:cs="Arial"/>
          <w:sz w:val="24"/>
          <w:szCs w:val="24"/>
        </w:rPr>
        <w:t>have to</w:t>
      </w:r>
      <w:proofErr w:type="gramEnd"/>
      <w:r>
        <w:rPr>
          <w:rFonts w:ascii="Arial" w:hAnsi="Arial" w:cs="Arial"/>
          <w:sz w:val="24"/>
          <w:szCs w:val="24"/>
        </w:rPr>
        <w:t xml:space="preserve"> be two different people, and the right has to be able to form a matter of a grant. These tests can be useful, but not always answer most questions to inform anyone if this right would be accepted. To recognise an easement, you would need to see the Re Ellenborough Park case (1956). (Smith. R. J.2014).</w:t>
      </w:r>
    </w:p>
    <w:p w14:paraId="4301CB47" w14:textId="61E8CA0A" w:rsidR="004F71C4" w:rsidRDefault="004F71C4" w:rsidP="00080208">
      <w:pPr>
        <w:spacing w:line="480" w:lineRule="auto"/>
        <w:rPr>
          <w:rFonts w:ascii="Arial" w:hAnsi="Arial" w:cs="Arial"/>
          <w:sz w:val="24"/>
          <w:szCs w:val="24"/>
        </w:rPr>
      </w:pPr>
      <w:r>
        <w:rPr>
          <w:rFonts w:ascii="Arial" w:hAnsi="Arial" w:cs="Arial"/>
          <w:sz w:val="24"/>
          <w:szCs w:val="24"/>
        </w:rPr>
        <w:t xml:space="preserve">Hill and Tupper (1863), claimant was to claim the rights to use a </w:t>
      </w:r>
      <w:r w:rsidR="00D31807">
        <w:rPr>
          <w:rFonts w:ascii="Arial" w:hAnsi="Arial" w:cs="Arial"/>
          <w:sz w:val="24"/>
          <w:szCs w:val="24"/>
        </w:rPr>
        <w:t>mooring,</w:t>
      </w:r>
      <w:r>
        <w:rPr>
          <w:rFonts w:ascii="Arial" w:hAnsi="Arial" w:cs="Arial"/>
          <w:sz w:val="24"/>
          <w:szCs w:val="24"/>
        </w:rPr>
        <w:t xml:space="preserve"> so they were able to let</w:t>
      </w:r>
      <w:r w:rsidR="00D31807">
        <w:rPr>
          <w:rFonts w:ascii="Arial" w:hAnsi="Arial" w:cs="Arial"/>
          <w:sz w:val="24"/>
          <w:szCs w:val="24"/>
        </w:rPr>
        <w:t xml:space="preserve"> out pleasure boats. The court was to say that this sort of right would only benefit the claimant and not the dominant tenement.</w:t>
      </w:r>
    </w:p>
    <w:p w14:paraId="03E3FD97" w14:textId="23ABC411" w:rsidR="00D31807" w:rsidRDefault="00D31807" w:rsidP="00080208">
      <w:pPr>
        <w:spacing w:line="480" w:lineRule="auto"/>
        <w:rPr>
          <w:rFonts w:ascii="Arial" w:hAnsi="Arial" w:cs="Arial"/>
          <w:sz w:val="24"/>
          <w:szCs w:val="24"/>
        </w:rPr>
      </w:pPr>
      <w:r>
        <w:rPr>
          <w:rFonts w:ascii="Arial" w:hAnsi="Arial" w:cs="Arial"/>
          <w:sz w:val="24"/>
          <w:szCs w:val="24"/>
        </w:rPr>
        <w:t xml:space="preserve">You are not entitled to have an easement over land if you already own this piece of land. (Metropolitan Railway Co v Fowler 1893). This right </w:t>
      </w:r>
      <w:proofErr w:type="gramStart"/>
      <w:r>
        <w:rPr>
          <w:rFonts w:ascii="Arial" w:hAnsi="Arial" w:cs="Arial"/>
          <w:sz w:val="24"/>
          <w:szCs w:val="24"/>
        </w:rPr>
        <w:t>has to</w:t>
      </w:r>
      <w:proofErr w:type="gramEnd"/>
      <w:r>
        <w:rPr>
          <w:rFonts w:ascii="Arial" w:hAnsi="Arial" w:cs="Arial"/>
          <w:sz w:val="24"/>
          <w:szCs w:val="24"/>
        </w:rPr>
        <w:t xml:space="preserve"> be over the land of someone else. This could be made possible for an acquired easement, if two tenements were owned by one person, but if different people occupied the land. (Smith. R. J. 2014)</w:t>
      </w:r>
    </w:p>
    <w:p w14:paraId="4488B213" w14:textId="1ECC1AE2" w:rsidR="00D31807" w:rsidRDefault="00D31807" w:rsidP="00080208">
      <w:pPr>
        <w:spacing w:line="480" w:lineRule="auto"/>
        <w:rPr>
          <w:rFonts w:ascii="Arial" w:hAnsi="Arial" w:cs="Arial"/>
          <w:sz w:val="24"/>
          <w:szCs w:val="24"/>
        </w:rPr>
      </w:pPr>
      <w:r>
        <w:rPr>
          <w:rFonts w:ascii="Arial" w:hAnsi="Arial" w:cs="Arial"/>
          <w:sz w:val="24"/>
          <w:szCs w:val="24"/>
        </w:rPr>
        <w:t xml:space="preserve">There are three types of prescription, these would be as follows. Lost Modern Grant, the Prescription Act of 1832 and the third would be Common Law. It is very important to know that the three prescriptions wholly depend on at least twenty years use of a right by only the claimant, also they contain a further number of features which are in common with each other. Prescription must relay upon a continuous use by the </w:t>
      </w:r>
      <w:r>
        <w:rPr>
          <w:rFonts w:ascii="Arial" w:hAnsi="Arial" w:cs="Arial"/>
          <w:sz w:val="24"/>
          <w:szCs w:val="24"/>
        </w:rPr>
        <w:lastRenderedPageBreak/>
        <w:t xml:space="preserve">dominant owner, the freeholder of the estate </w:t>
      </w:r>
      <w:proofErr w:type="gramStart"/>
      <w:r>
        <w:rPr>
          <w:rFonts w:ascii="Arial" w:hAnsi="Arial" w:cs="Arial"/>
          <w:sz w:val="24"/>
          <w:szCs w:val="24"/>
        </w:rPr>
        <w:t>has to</w:t>
      </w:r>
      <w:proofErr w:type="gramEnd"/>
      <w:r>
        <w:rPr>
          <w:rFonts w:ascii="Arial" w:hAnsi="Arial" w:cs="Arial"/>
          <w:sz w:val="24"/>
          <w:szCs w:val="24"/>
        </w:rPr>
        <w:t xml:space="preserve"> be the dominant owner or one who is acting upon the wishes of a freehold owner. You cannot acquire an easement </w:t>
      </w:r>
      <w:r w:rsidR="00EA3AAF">
        <w:rPr>
          <w:rFonts w:ascii="Arial" w:hAnsi="Arial" w:cs="Arial"/>
          <w:sz w:val="24"/>
          <w:szCs w:val="24"/>
        </w:rPr>
        <w:t xml:space="preserve">for life by prescription either, neither an easement can be required for a term of years. To acquire an easement by prescription, a tenant may do this on behalf of their landlord, but not for another tenant who has the same landlord. If the easement has been done by prescription, it is known as a legal easement and not equitable because they are informally created. What prescription means is that the easement has been assumed that it has been granted by the servient owner, this can only be a legal grant of a fee simple, which technically would be forever. If the right is to be claimed as an easement, then this </w:t>
      </w:r>
      <w:proofErr w:type="gramStart"/>
      <w:r w:rsidR="00EA3AAF">
        <w:rPr>
          <w:rFonts w:ascii="Arial" w:hAnsi="Arial" w:cs="Arial"/>
          <w:sz w:val="24"/>
          <w:szCs w:val="24"/>
        </w:rPr>
        <w:t>has to</w:t>
      </w:r>
      <w:proofErr w:type="gramEnd"/>
      <w:r w:rsidR="00EA3AAF">
        <w:rPr>
          <w:rFonts w:ascii="Arial" w:hAnsi="Arial" w:cs="Arial"/>
          <w:sz w:val="24"/>
          <w:szCs w:val="24"/>
        </w:rPr>
        <w:t xml:space="preserve"> be continuous, if there have been long periods of gaps within the use of this, then a prescription cannot be given. Hollins v Verney (1884) 13 QBD 304. This use may be against any future owners of the servient land </w:t>
      </w:r>
      <w:proofErr w:type="gramStart"/>
      <w:r w:rsidR="00EA3AAF">
        <w:rPr>
          <w:rFonts w:ascii="Arial" w:hAnsi="Arial" w:cs="Arial"/>
          <w:sz w:val="24"/>
          <w:szCs w:val="24"/>
        </w:rPr>
        <w:t>as long as</w:t>
      </w:r>
      <w:proofErr w:type="gramEnd"/>
      <w:r w:rsidR="00EA3AAF">
        <w:rPr>
          <w:rFonts w:ascii="Arial" w:hAnsi="Arial" w:cs="Arial"/>
          <w:sz w:val="24"/>
          <w:szCs w:val="24"/>
        </w:rPr>
        <w:t xml:space="preserve"> it has continuous use, it makes little or no difference that servient land changes the ownership. (Clarke</w:t>
      </w:r>
      <w:r w:rsidR="00D3692E">
        <w:rPr>
          <w:rFonts w:ascii="Arial" w:hAnsi="Arial" w:cs="Arial"/>
          <w:sz w:val="24"/>
          <w:szCs w:val="24"/>
        </w:rPr>
        <w:t>, S &amp;Greer, S.2014).</w:t>
      </w:r>
    </w:p>
    <w:p w14:paraId="2C5BA485" w14:textId="62BDD8A0" w:rsidR="00D3692E" w:rsidRDefault="00D3692E" w:rsidP="00080208">
      <w:pPr>
        <w:spacing w:line="480" w:lineRule="auto"/>
        <w:rPr>
          <w:rFonts w:ascii="Arial" w:hAnsi="Arial" w:cs="Arial"/>
          <w:sz w:val="24"/>
          <w:szCs w:val="24"/>
        </w:rPr>
      </w:pPr>
      <w:r>
        <w:rPr>
          <w:rFonts w:ascii="Arial" w:hAnsi="Arial" w:cs="Arial"/>
          <w:sz w:val="24"/>
          <w:szCs w:val="24"/>
        </w:rPr>
        <w:t xml:space="preserve">There is without force, without secrecy and without permission too, these rights are exactly what they say they are. An example would be London Tara Hotel Ltd v Kensington Close Hotel Ltd (2011) EWCA </w:t>
      </w:r>
      <w:proofErr w:type="spellStart"/>
      <w:r>
        <w:rPr>
          <w:rFonts w:ascii="Arial" w:hAnsi="Arial" w:cs="Arial"/>
          <w:sz w:val="24"/>
          <w:szCs w:val="24"/>
        </w:rPr>
        <w:t>Civ</w:t>
      </w:r>
      <w:proofErr w:type="spellEnd"/>
      <w:r>
        <w:rPr>
          <w:rFonts w:ascii="Arial" w:hAnsi="Arial" w:cs="Arial"/>
          <w:sz w:val="24"/>
          <w:szCs w:val="24"/>
        </w:rPr>
        <w:t xml:space="preserve"> 1356. For this case there was a licence to use a service road, but this ended upon the servient land changing of ownership. The new owner had no idea and thought that the use of this road by the dominant owner was still used by permission. The Court of Appeal stated that because this right was defined by without force, secrecy and permission tests, and as these had already been established then no further criterion was left to be satisfied. (Dixon, M, 2016).</w:t>
      </w:r>
    </w:p>
    <w:p w14:paraId="3E63A2BB" w14:textId="4625A1C7" w:rsidR="003954CB" w:rsidRDefault="003954CB" w:rsidP="00080208">
      <w:pPr>
        <w:spacing w:line="480" w:lineRule="auto"/>
        <w:rPr>
          <w:rFonts w:ascii="Arial" w:hAnsi="Arial" w:cs="Arial"/>
          <w:sz w:val="24"/>
          <w:szCs w:val="24"/>
        </w:rPr>
      </w:pPr>
      <w:r>
        <w:rPr>
          <w:rFonts w:ascii="Arial" w:hAnsi="Arial" w:cs="Arial"/>
          <w:sz w:val="24"/>
          <w:szCs w:val="24"/>
        </w:rPr>
        <w:t xml:space="preserve">An easement by prescription cannot be given if the land were to be used illegally, for example dumping </w:t>
      </w:r>
      <w:r w:rsidR="005D409E">
        <w:rPr>
          <w:rFonts w:ascii="Arial" w:hAnsi="Arial" w:cs="Arial"/>
          <w:sz w:val="24"/>
          <w:szCs w:val="24"/>
        </w:rPr>
        <w:t>wastewater</w:t>
      </w:r>
      <w:r>
        <w:rPr>
          <w:rFonts w:ascii="Arial" w:hAnsi="Arial" w:cs="Arial"/>
          <w:sz w:val="24"/>
          <w:szCs w:val="24"/>
        </w:rPr>
        <w:t xml:space="preserve"> into rivers without permission from the Environmental </w:t>
      </w:r>
      <w:r>
        <w:rPr>
          <w:rFonts w:ascii="Arial" w:hAnsi="Arial" w:cs="Arial"/>
          <w:sz w:val="24"/>
          <w:szCs w:val="24"/>
        </w:rPr>
        <w:lastRenderedPageBreak/>
        <w:t>Agency concerned. So</w:t>
      </w:r>
      <w:r w:rsidR="005D409E">
        <w:rPr>
          <w:rFonts w:ascii="Arial" w:hAnsi="Arial" w:cs="Arial"/>
          <w:sz w:val="24"/>
          <w:szCs w:val="24"/>
        </w:rPr>
        <w:t>,</w:t>
      </w:r>
      <w:r>
        <w:rPr>
          <w:rFonts w:ascii="Arial" w:hAnsi="Arial" w:cs="Arial"/>
          <w:sz w:val="24"/>
          <w:szCs w:val="24"/>
        </w:rPr>
        <w:t xml:space="preserve"> an easement for this potential use cannot be granted</w:t>
      </w:r>
      <w:r w:rsidR="005D409E">
        <w:rPr>
          <w:rFonts w:ascii="Arial" w:hAnsi="Arial" w:cs="Arial"/>
          <w:sz w:val="24"/>
          <w:szCs w:val="24"/>
        </w:rPr>
        <w:t xml:space="preserve"> by prescription, due to the servient owner not being able to grant any such easements. (George </w:t>
      </w:r>
      <w:proofErr w:type="spellStart"/>
      <w:r w:rsidR="005D409E">
        <w:rPr>
          <w:rFonts w:ascii="Arial" w:hAnsi="Arial" w:cs="Arial"/>
          <w:sz w:val="24"/>
          <w:szCs w:val="24"/>
        </w:rPr>
        <w:t>Legge</w:t>
      </w:r>
      <w:proofErr w:type="spellEnd"/>
      <w:r w:rsidR="005D409E">
        <w:rPr>
          <w:rFonts w:ascii="Arial" w:hAnsi="Arial" w:cs="Arial"/>
          <w:sz w:val="24"/>
          <w:szCs w:val="24"/>
        </w:rPr>
        <w:t xml:space="preserve"> and Son Ltd v Wenlock Corporation (1938) 1 ALL ER37. (Dixon, M, 2016).</w:t>
      </w:r>
    </w:p>
    <w:p w14:paraId="4BD01483" w14:textId="578A84DC" w:rsidR="005D409E" w:rsidRDefault="005D409E" w:rsidP="00080208">
      <w:pPr>
        <w:spacing w:line="480" w:lineRule="auto"/>
        <w:rPr>
          <w:rFonts w:ascii="Arial" w:hAnsi="Arial" w:cs="Arial"/>
          <w:sz w:val="24"/>
          <w:szCs w:val="24"/>
        </w:rPr>
      </w:pPr>
      <w:r>
        <w:rPr>
          <w:rFonts w:ascii="Arial" w:hAnsi="Arial" w:cs="Arial"/>
          <w:sz w:val="24"/>
          <w:szCs w:val="24"/>
        </w:rPr>
        <w:t xml:space="preserve">If the servient landowner had not given consent to the use, then it may be possible to have accesses to an easement by prescription if the right claimed would be illegal, as in the case of Bakewell Management Ltd v Roland Brandwood and </w:t>
      </w:r>
      <w:proofErr w:type="spellStart"/>
      <w:r>
        <w:rPr>
          <w:rFonts w:ascii="Arial" w:hAnsi="Arial" w:cs="Arial"/>
          <w:sz w:val="24"/>
          <w:szCs w:val="24"/>
        </w:rPr>
        <w:t>Ors</w:t>
      </w:r>
      <w:proofErr w:type="spellEnd"/>
      <w:r>
        <w:rPr>
          <w:rFonts w:ascii="Arial" w:hAnsi="Arial" w:cs="Arial"/>
          <w:sz w:val="24"/>
          <w:szCs w:val="24"/>
        </w:rPr>
        <w:t xml:space="preserve"> (2004) UKHL 14. The oner of this common land was boarded by the defendant’s houses, for a long period of time, the defendants had been getting home by driving over the servient or common land. The Court of Appeal looked back upon the case of </w:t>
      </w:r>
      <w:proofErr w:type="spellStart"/>
      <w:r>
        <w:rPr>
          <w:rFonts w:ascii="Arial" w:hAnsi="Arial" w:cs="Arial"/>
          <w:sz w:val="24"/>
          <w:szCs w:val="24"/>
        </w:rPr>
        <w:t>Hanning</w:t>
      </w:r>
      <w:proofErr w:type="spellEnd"/>
      <w:r>
        <w:rPr>
          <w:rFonts w:ascii="Arial" w:hAnsi="Arial" w:cs="Arial"/>
          <w:sz w:val="24"/>
          <w:szCs w:val="24"/>
        </w:rPr>
        <w:t xml:space="preserve"> v Top Deck Travel (1993) 6</w:t>
      </w:r>
      <w:r w:rsidR="006E1BC0">
        <w:rPr>
          <w:rFonts w:ascii="Arial" w:hAnsi="Arial" w:cs="Arial"/>
          <w:sz w:val="24"/>
          <w:szCs w:val="24"/>
        </w:rPr>
        <w:t xml:space="preserve">8 P&amp;CR 14. Defendants cannot establish an ease of way via a prescription, as they were travelling upon land which is known to be common land, </w:t>
      </w:r>
      <w:proofErr w:type="gramStart"/>
      <w:r w:rsidR="006E1BC0">
        <w:rPr>
          <w:rFonts w:ascii="Arial" w:hAnsi="Arial" w:cs="Arial"/>
          <w:sz w:val="24"/>
          <w:szCs w:val="24"/>
        </w:rPr>
        <w:t>and also</w:t>
      </w:r>
      <w:proofErr w:type="gramEnd"/>
      <w:r w:rsidR="006E1BC0">
        <w:rPr>
          <w:rFonts w:ascii="Arial" w:hAnsi="Arial" w:cs="Arial"/>
          <w:sz w:val="24"/>
          <w:szCs w:val="24"/>
        </w:rPr>
        <w:t xml:space="preserve"> with on permission from the landowner. This would be a criminal offence under LPA 1925, s 193 (4). Claimant was trying to gain monetary assets from the surrounding householders in a return for an express grant for an easement of this land. (</w:t>
      </w:r>
      <w:proofErr w:type="spellStart"/>
      <w:r w:rsidR="006E1BC0">
        <w:rPr>
          <w:rFonts w:ascii="Arial" w:hAnsi="Arial" w:cs="Arial"/>
          <w:sz w:val="24"/>
          <w:szCs w:val="24"/>
        </w:rPr>
        <w:t>Duddington</w:t>
      </w:r>
      <w:proofErr w:type="spellEnd"/>
      <w:r w:rsidR="006E1BC0">
        <w:rPr>
          <w:rFonts w:ascii="Arial" w:hAnsi="Arial" w:cs="Arial"/>
          <w:sz w:val="24"/>
          <w:szCs w:val="24"/>
        </w:rPr>
        <w:t>, J, 2017).</w:t>
      </w:r>
      <w:r w:rsidR="006F20A7">
        <w:rPr>
          <w:rFonts w:ascii="Arial" w:hAnsi="Arial" w:cs="Arial"/>
          <w:sz w:val="24"/>
          <w:szCs w:val="24"/>
        </w:rPr>
        <w:t xml:space="preserve"> </w:t>
      </w:r>
    </w:p>
    <w:p w14:paraId="4460AC1F" w14:textId="333E2FB7" w:rsidR="006F20A7" w:rsidRDefault="006F20A7" w:rsidP="00080208">
      <w:pPr>
        <w:spacing w:line="480" w:lineRule="auto"/>
        <w:rPr>
          <w:rFonts w:ascii="Arial" w:hAnsi="Arial" w:cs="Arial"/>
          <w:sz w:val="24"/>
          <w:szCs w:val="24"/>
        </w:rPr>
      </w:pPr>
      <w:r>
        <w:rPr>
          <w:rFonts w:ascii="Arial" w:hAnsi="Arial" w:cs="Arial"/>
          <w:sz w:val="24"/>
          <w:szCs w:val="24"/>
        </w:rPr>
        <w:t xml:space="preserve">The House of Lords went on to state that the </w:t>
      </w:r>
      <w:proofErr w:type="spellStart"/>
      <w:r>
        <w:rPr>
          <w:rFonts w:ascii="Arial" w:hAnsi="Arial" w:cs="Arial"/>
          <w:sz w:val="24"/>
          <w:szCs w:val="24"/>
        </w:rPr>
        <w:t>Hanning</w:t>
      </w:r>
      <w:proofErr w:type="spellEnd"/>
      <w:r>
        <w:rPr>
          <w:rFonts w:ascii="Arial" w:hAnsi="Arial" w:cs="Arial"/>
          <w:sz w:val="24"/>
          <w:szCs w:val="24"/>
        </w:rPr>
        <w:t xml:space="preserve"> v Top Deck Travel, can use an easement by prescription if by the right claimed was known to be legal and that there had been permission given to them to drive over the common land by the servient landowner. For an acquiescence by a servient owner, it must be shown that the owner acquiesced the dominant owners use of this right to be claimed. This is related to the ‘use of rights’ as in the case of London Tara Hotel Ltd v Kensington Close Hotel Ltd (2011) This too can also be seen within the case of Dalton v Angus and Co (1881 – 1885) ALL ER Rep 1. It stated that the </w:t>
      </w:r>
      <w:r w:rsidR="0031600D">
        <w:rPr>
          <w:rFonts w:ascii="Arial" w:hAnsi="Arial" w:cs="Arial"/>
          <w:sz w:val="24"/>
          <w:szCs w:val="24"/>
        </w:rPr>
        <w:t>acquiescence would</w:t>
      </w:r>
      <w:r w:rsidR="00CA30CB">
        <w:rPr>
          <w:rFonts w:ascii="Arial" w:hAnsi="Arial" w:cs="Arial"/>
          <w:sz w:val="24"/>
          <w:szCs w:val="24"/>
        </w:rPr>
        <w:t xml:space="preserve"> be accepted only if the servient owner were to have prior knowledge of the acts that </w:t>
      </w:r>
      <w:r w:rsidR="00CA30CB">
        <w:rPr>
          <w:rFonts w:ascii="Arial" w:hAnsi="Arial" w:cs="Arial"/>
          <w:sz w:val="24"/>
          <w:szCs w:val="24"/>
        </w:rPr>
        <w:lastRenderedPageBreak/>
        <w:t>were committed, that the servient owner could or may have prevented or stopped the acts or to sue</w:t>
      </w:r>
      <w:r w:rsidR="00260848">
        <w:rPr>
          <w:rFonts w:ascii="Arial" w:hAnsi="Arial" w:cs="Arial"/>
          <w:sz w:val="24"/>
          <w:szCs w:val="24"/>
        </w:rPr>
        <w:t xml:space="preserve"> in</w:t>
      </w:r>
      <w:r w:rsidR="00CA30CB">
        <w:rPr>
          <w:rFonts w:ascii="Arial" w:hAnsi="Arial" w:cs="Arial"/>
          <w:sz w:val="24"/>
          <w:szCs w:val="24"/>
        </w:rPr>
        <w:t xml:space="preserve"> retrospect of these, or to just stay away from the exercise of any such powers.</w:t>
      </w:r>
      <w:r w:rsidR="0031600D">
        <w:rPr>
          <w:rFonts w:ascii="Arial" w:hAnsi="Arial" w:cs="Arial"/>
          <w:sz w:val="24"/>
          <w:szCs w:val="24"/>
        </w:rPr>
        <w:t xml:space="preserve"> (Clark. S, </w:t>
      </w:r>
      <w:proofErr w:type="spellStart"/>
      <w:r w:rsidR="0031600D">
        <w:rPr>
          <w:rFonts w:ascii="Arial" w:hAnsi="Arial" w:cs="Arial"/>
          <w:sz w:val="24"/>
          <w:szCs w:val="24"/>
        </w:rPr>
        <w:t>Greer.S</w:t>
      </w:r>
      <w:proofErr w:type="spellEnd"/>
      <w:r w:rsidR="0031600D">
        <w:rPr>
          <w:rFonts w:ascii="Arial" w:hAnsi="Arial" w:cs="Arial"/>
          <w:sz w:val="24"/>
          <w:szCs w:val="24"/>
        </w:rPr>
        <w:t>, 2014).</w:t>
      </w:r>
    </w:p>
    <w:p w14:paraId="25461743" w14:textId="5C4DFFCF" w:rsidR="00260848" w:rsidRDefault="00260848" w:rsidP="00080208">
      <w:pPr>
        <w:spacing w:line="480" w:lineRule="auto"/>
        <w:rPr>
          <w:rFonts w:ascii="Arial" w:hAnsi="Arial" w:cs="Arial"/>
          <w:sz w:val="24"/>
          <w:szCs w:val="24"/>
        </w:rPr>
      </w:pPr>
      <w:r>
        <w:rPr>
          <w:rFonts w:ascii="Arial" w:hAnsi="Arial" w:cs="Arial"/>
          <w:sz w:val="24"/>
          <w:szCs w:val="24"/>
        </w:rPr>
        <w:t xml:space="preserve">It is important for a landowner to not just stand by and let others exercise any rights over the land, do nothing like object, and this right will become irrevocable, and the landowner would be unable to prevent it. A presumed grant </w:t>
      </w:r>
      <w:proofErr w:type="gramStart"/>
      <w:r>
        <w:rPr>
          <w:rFonts w:ascii="Arial" w:hAnsi="Arial" w:cs="Arial"/>
          <w:sz w:val="24"/>
          <w:szCs w:val="24"/>
        </w:rPr>
        <w:t>has to</w:t>
      </w:r>
      <w:proofErr w:type="gramEnd"/>
      <w:r>
        <w:rPr>
          <w:rFonts w:ascii="Arial" w:hAnsi="Arial" w:cs="Arial"/>
          <w:sz w:val="24"/>
          <w:szCs w:val="24"/>
        </w:rPr>
        <w:t xml:space="preserve"> be by the freeholder owner only. If the servient land was to be leased to a tenant during the time of a presumed grant, then this could be said that the freehold owner did not have the authority to stop the land from being used in this way. The right to have this stopped, is exercisable by the tenant only. Williams v Sandy Lane (Chester) Ltd (2006) EWCA </w:t>
      </w:r>
      <w:proofErr w:type="spellStart"/>
      <w:r>
        <w:rPr>
          <w:rFonts w:ascii="Arial" w:hAnsi="Arial" w:cs="Arial"/>
          <w:sz w:val="24"/>
          <w:szCs w:val="24"/>
        </w:rPr>
        <w:t>Civ</w:t>
      </w:r>
      <w:proofErr w:type="spellEnd"/>
      <w:r>
        <w:rPr>
          <w:rFonts w:ascii="Arial" w:hAnsi="Arial" w:cs="Arial"/>
          <w:sz w:val="24"/>
          <w:szCs w:val="24"/>
        </w:rPr>
        <w:t xml:space="preserve"> 1738. The Court of Appeal said that the freeholder </w:t>
      </w:r>
      <w:proofErr w:type="gramStart"/>
      <w:r>
        <w:rPr>
          <w:rFonts w:ascii="Arial" w:hAnsi="Arial" w:cs="Arial"/>
          <w:sz w:val="24"/>
          <w:szCs w:val="24"/>
        </w:rPr>
        <w:t>actually had</w:t>
      </w:r>
      <w:proofErr w:type="gramEnd"/>
      <w:r>
        <w:rPr>
          <w:rFonts w:ascii="Arial" w:hAnsi="Arial" w:cs="Arial"/>
          <w:sz w:val="24"/>
          <w:szCs w:val="24"/>
        </w:rPr>
        <w:t xml:space="preserve"> the authority to stop the claimant from the use of the land, despite the tenancy. In the case of Llewellyn v </w:t>
      </w:r>
      <w:proofErr w:type="spellStart"/>
      <w:r>
        <w:rPr>
          <w:rFonts w:ascii="Arial" w:hAnsi="Arial" w:cs="Arial"/>
          <w:sz w:val="24"/>
          <w:szCs w:val="24"/>
        </w:rPr>
        <w:t>Lorey</w:t>
      </w:r>
      <w:proofErr w:type="spellEnd"/>
      <w:r>
        <w:rPr>
          <w:rFonts w:ascii="Arial" w:hAnsi="Arial" w:cs="Arial"/>
          <w:sz w:val="24"/>
          <w:szCs w:val="24"/>
        </w:rPr>
        <w:t xml:space="preserve"> (2011) EWCA </w:t>
      </w:r>
      <w:proofErr w:type="spellStart"/>
      <w:r>
        <w:rPr>
          <w:rFonts w:ascii="Arial" w:hAnsi="Arial" w:cs="Arial"/>
          <w:sz w:val="24"/>
          <w:szCs w:val="24"/>
        </w:rPr>
        <w:t>Civ</w:t>
      </w:r>
      <w:proofErr w:type="spellEnd"/>
      <w:r>
        <w:rPr>
          <w:rFonts w:ascii="Arial" w:hAnsi="Arial" w:cs="Arial"/>
          <w:sz w:val="24"/>
          <w:szCs w:val="24"/>
        </w:rPr>
        <w:t xml:space="preserve"> 37, the freeholder had no idea about or at least have any powers to stop a track from being used during</w:t>
      </w:r>
      <w:r w:rsidR="00485060">
        <w:rPr>
          <w:rFonts w:ascii="Arial" w:hAnsi="Arial" w:cs="Arial"/>
          <w:sz w:val="24"/>
          <w:szCs w:val="24"/>
        </w:rPr>
        <w:t xml:space="preserve"> the time this servient piece of land had been tenanted. The freeholder therefore had not acquiesced to its use.</w:t>
      </w:r>
      <w:r w:rsidR="00D4430B">
        <w:rPr>
          <w:rFonts w:ascii="Arial" w:hAnsi="Arial" w:cs="Arial"/>
          <w:sz w:val="24"/>
          <w:szCs w:val="24"/>
        </w:rPr>
        <w:t xml:space="preserve"> (Bray, J</w:t>
      </w:r>
      <w:r w:rsidR="000E0592">
        <w:rPr>
          <w:rFonts w:ascii="Arial" w:hAnsi="Arial" w:cs="Arial"/>
          <w:sz w:val="24"/>
          <w:szCs w:val="24"/>
        </w:rPr>
        <w:t>. 20</w:t>
      </w:r>
      <w:r w:rsidR="00800559">
        <w:rPr>
          <w:rFonts w:ascii="Arial" w:hAnsi="Arial" w:cs="Arial"/>
          <w:sz w:val="24"/>
          <w:szCs w:val="24"/>
        </w:rPr>
        <w:t>03).</w:t>
      </w:r>
    </w:p>
    <w:p w14:paraId="5A54E588" w14:textId="78D3E288" w:rsidR="00093472" w:rsidRDefault="00093472" w:rsidP="00080208">
      <w:pPr>
        <w:spacing w:line="480" w:lineRule="auto"/>
        <w:rPr>
          <w:rFonts w:ascii="Arial" w:hAnsi="Arial" w:cs="Arial"/>
          <w:sz w:val="24"/>
          <w:szCs w:val="24"/>
        </w:rPr>
      </w:pPr>
      <w:r>
        <w:rPr>
          <w:rFonts w:ascii="Arial" w:hAnsi="Arial" w:cs="Arial"/>
          <w:sz w:val="24"/>
          <w:szCs w:val="24"/>
        </w:rPr>
        <w:t xml:space="preserve">Common law prescription is on the use of the rights in question since time immemorial, basically since 1189, but only if the right has had twenty years of use. The presumption is raised that the use of this </w:t>
      </w:r>
      <w:proofErr w:type="gramStart"/>
      <w:r>
        <w:rPr>
          <w:rFonts w:ascii="Arial" w:hAnsi="Arial" w:cs="Arial"/>
          <w:sz w:val="24"/>
          <w:szCs w:val="24"/>
        </w:rPr>
        <w:t>has to</w:t>
      </w:r>
      <w:proofErr w:type="gramEnd"/>
      <w:r>
        <w:rPr>
          <w:rFonts w:ascii="Arial" w:hAnsi="Arial" w:cs="Arial"/>
          <w:sz w:val="24"/>
          <w:szCs w:val="24"/>
        </w:rPr>
        <w:t xml:space="preserve"> have been since the immemorial. You can rebut this presumption, if you could show rights for this did not exist in 1189 because both dominant and servient tenements were to be in co – ownership during that date or that the property would not have benefited from this right in 1189. A property that was built in the 1960s, would not have received any benefit from this right of support in 1189, as all common law prescriptions were not useful for establishing any of the modern rights.</w:t>
      </w:r>
    </w:p>
    <w:p w14:paraId="5470C663" w14:textId="16F7FEDC" w:rsidR="00093472" w:rsidRDefault="00093472" w:rsidP="00080208">
      <w:pPr>
        <w:spacing w:line="480" w:lineRule="auto"/>
        <w:rPr>
          <w:rFonts w:ascii="Arial" w:hAnsi="Arial" w:cs="Arial"/>
          <w:sz w:val="24"/>
          <w:szCs w:val="24"/>
        </w:rPr>
      </w:pPr>
      <w:r>
        <w:rPr>
          <w:rFonts w:ascii="Arial" w:hAnsi="Arial" w:cs="Arial"/>
          <w:sz w:val="24"/>
          <w:szCs w:val="24"/>
        </w:rPr>
        <w:lastRenderedPageBreak/>
        <w:t>A lost modern grant is a remedy for the defects of common law prescriptions, this lost modern grant was developed by the courts. It was thought that if there had been an enjoyment of a right for twenty years, then the grant must have initially been made</w:t>
      </w:r>
      <w:r w:rsidR="008D5AB5">
        <w:rPr>
          <w:rFonts w:ascii="Arial" w:hAnsi="Arial" w:cs="Arial"/>
          <w:sz w:val="24"/>
          <w:szCs w:val="24"/>
        </w:rPr>
        <w:t xml:space="preserve">, and then lost. It is an odd rule within land law, but it is still in use today. Bryant v Foot (1867) LR 2 QB 161, a presumption is made regardless of no evidence of such a grant, even if there was some evidence to state that the grant did exist. If no one has made such a grant, which is no capable grantor the presumption does not stand, in other words it will be rebutted by the courts. There is a case about the rights of common acquired by prescription, </w:t>
      </w:r>
      <w:proofErr w:type="spellStart"/>
      <w:r w:rsidR="008D5AB5">
        <w:rPr>
          <w:rFonts w:ascii="Arial" w:hAnsi="Arial" w:cs="Arial"/>
          <w:sz w:val="24"/>
          <w:szCs w:val="24"/>
        </w:rPr>
        <w:t>Tehidy</w:t>
      </w:r>
      <w:proofErr w:type="spellEnd"/>
      <w:r w:rsidR="008D5AB5">
        <w:rPr>
          <w:rFonts w:ascii="Arial" w:hAnsi="Arial" w:cs="Arial"/>
          <w:sz w:val="24"/>
          <w:szCs w:val="24"/>
        </w:rPr>
        <w:t xml:space="preserve"> Minerals v Norman (1971) 2 QB 528. The court of </w:t>
      </w:r>
      <w:r w:rsidR="00C6530A">
        <w:rPr>
          <w:rFonts w:ascii="Arial" w:hAnsi="Arial" w:cs="Arial"/>
          <w:sz w:val="24"/>
          <w:szCs w:val="24"/>
        </w:rPr>
        <w:t>appeal</w:t>
      </w:r>
      <w:r w:rsidR="008D5AB5">
        <w:rPr>
          <w:rFonts w:ascii="Arial" w:hAnsi="Arial" w:cs="Arial"/>
          <w:sz w:val="24"/>
          <w:szCs w:val="24"/>
        </w:rPr>
        <w:t xml:space="preserve"> was to hold that no grant was made was irrelevant, as long as there had been someone who would have made this grant possible. (Clark, S, Greer, S 2014).</w:t>
      </w:r>
    </w:p>
    <w:p w14:paraId="6FA4987D" w14:textId="50212FF2" w:rsidR="008E1824" w:rsidRDefault="008E1824" w:rsidP="00080208">
      <w:pPr>
        <w:spacing w:line="480" w:lineRule="auto"/>
        <w:rPr>
          <w:rFonts w:ascii="Arial" w:hAnsi="Arial" w:cs="Arial"/>
          <w:sz w:val="24"/>
          <w:szCs w:val="24"/>
        </w:rPr>
      </w:pPr>
      <w:r>
        <w:rPr>
          <w:rFonts w:ascii="Arial" w:hAnsi="Arial" w:cs="Arial"/>
          <w:sz w:val="24"/>
          <w:szCs w:val="24"/>
        </w:rPr>
        <w:t>The 1832 Prescription Act (PA 1832) was introduced to account for the law on prescription, but went on to apply another prescription type, to the two that are already in place. This would make the law on prescription more comp</w:t>
      </w:r>
      <w:r w:rsidR="000957AC">
        <w:rPr>
          <w:rFonts w:ascii="Arial" w:hAnsi="Arial" w:cs="Arial"/>
          <w:sz w:val="24"/>
          <w:szCs w:val="24"/>
        </w:rPr>
        <w:t>l</w:t>
      </w:r>
      <w:r>
        <w:rPr>
          <w:rFonts w:ascii="Arial" w:hAnsi="Arial" w:cs="Arial"/>
          <w:sz w:val="24"/>
          <w:szCs w:val="24"/>
        </w:rPr>
        <w:t>icated than it already is. The act or the section</w:t>
      </w:r>
      <w:r w:rsidR="000957AC">
        <w:rPr>
          <w:rFonts w:ascii="Arial" w:hAnsi="Arial" w:cs="Arial"/>
          <w:sz w:val="24"/>
          <w:szCs w:val="24"/>
        </w:rPr>
        <w:t xml:space="preserve"> of it will split into two parts, there is the shorter part of twenty years, and the longer part of forty years. If an easement has had enjoyment, with no interruption for the shorter period of twenty years, then proof is not needed that this began later than 1189. Only common law</w:t>
      </w:r>
      <w:r w:rsidR="00016188">
        <w:rPr>
          <w:rFonts w:ascii="Arial" w:hAnsi="Arial" w:cs="Arial"/>
          <w:sz w:val="24"/>
          <w:szCs w:val="24"/>
        </w:rPr>
        <w:t xml:space="preserve"> may be able to defeat this. If there has been no disturbance within forty years of the easement this would be absolute </w:t>
      </w:r>
      <w:proofErr w:type="gramStart"/>
      <w:r w:rsidR="00016188">
        <w:rPr>
          <w:rFonts w:ascii="Arial" w:hAnsi="Arial" w:cs="Arial"/>
          <w:sz w:val="24"/>
          <w:szCs w:val="24"/>
        </w:rPr>
        <w:t>and also</w:t>
      </w:r>
      <w:proofErr w:type="gramEnd"/>
      <w:r w:rsidR="00016188">
        <w:rPr>
          <w:rFonts w:ascii="Arial" w:hAnsi="Arial" w:cs="Arial"/>
          <w:sz w:val="24"/>
          <w:szCs w:val="24"/>
        </w:rPr>
        <w:t xml:space="preserve"> indefeasible, if it were to be noted that this easement had been enjoyed by a consent or agreement which has to be given expressly in writing. The act is in place to inform on how the twenty or the forty years are measured, unlike lost modern grants, then you are unable to choose whether it be twenty years or forty years.</w:t>
      </w:r>
      <w:r w:rsidR="00884A41">
        <w:rPr>
          <w:rFonts w:ascii="Arial" w:hAnsi="Arial" w:cs="Arial"/>
          <w:sz w:val="24"/>
          <w:szCs w:val="24"/>
        </w:rPr>
        <w:t xml:space="preserve"> (Sexton, R &amp; </w:t>
      </w:r>
      <w:proofErr w:type="spellStart"/>
      <w:r w:rsidR="00884A41">
        <w:rPr>
          <w:rFonts w:ascii="Arial" w:hAnsi="Arial" w:cs="Arial"/>
          <w:sz w:val="24"/>
          <w:szCs w:val="24"/>
        </w:rPr>
        <w:t>Bogusz</w:t>
      </w:r>
      <w:proofErr w:type="spellEnd"/>
      <w:r w:rsidR="00884A41">
        <w:rPr>
          <w:rFonts w:ascii="Arial" w:hAnsi="Arial" w:cs="Arial"/>
          <w:sz w:val="24"/>
          <w:szCs w:val="24"/>
        </w:rPr>
        <w:t>, B. 2011).</w:t>
      </w:r>
    </w:p>
    <w:p w14:paraId="38B34456" w14:textId="65D50A5C" w:rsidR="00DD1FD7" w:rsidRDefault="00DD1FD7" w:rsidP="00080208">
      <w:pPr>
        <w:spacing w:line="480" w:lineRule="auto"/>
        <w:rPr>
          <w:rFonts w:ascii="Arial" w:hAnsi="Arial" w:cs="Arial"/>
          <w:sz w:val="24"/>
          <w:szCs w:val="24"/>
        </w:rPr>
      </w:pPr>
      <w:r>
        <w:rPr>
          <w:rFonts w:ascii="Arial" w:hAnsi="Arial" w:cs="Arial"/>
          <w:sz w:val="24"/>
          <w:szCs w:val="24"/>
        </w:rPr>
        <w:lastRenderedPageBreak/>
        <w:t>The Property Law Act of 1925 was introduced by Lord Birkenhead and was originally published in 1925, or its Royal Assent 9</w:t>
      </w:r>
      <w:r w:rsidRPr="00DD1FD7">
        <w:rPr>
          <w:rFonts w:ascii="Arial" w:hAnsi="Arial" w:cs="Arial"/>
          <w:sz w:val="24"/>
          <w:szCs w:val="24"/>
          <w:vertAlign w:val="superscript"/>
        </w:rPr>
        <w:t>th</w:t>
      </w:r>
      <w:r>
        <w:rPr>
          <w:rFonts w:ascii="Arial" w:hAnsi="Arial" w:cs="Arial"/>
          <w:sz w:val="24"/>
          <w:szCs w:val="24"/>
        </w:rPr>
        <w:t xml:space="preserve"> April 1925. This did not commence until the following year (January 1926). It has a long title and goes by the name An Act to consolidate the enactments relating to conveyancing and the law of property in England and Wales. The short name would just be the Property Law Act of 1925.</w:t>
      </w:r>
    </w:p>
    <w:p w14:paraId="1F799504" w14:textId="557A2BCF" w:rsidR="00DD1FD7" w:rsidRDefault="00DD1FD7" w:rsidP="00080208">
      <w:pPr>
        <w:spacing w:line="480" w:lineRule="auto"/>
        <w:rPr>
          <w:rFonts w:ascii="Arial" w:hAnsi="Arial" w:cs="Arial"/>
          <w:sz w:val="24"/>
          <w:szCs w:val="24"/>
        </w:rPr>
      </w:pPr>
      <w:r>
        <w:rPr>
          <w:rFonts w:ascii="Arial" w:hAnsi="Arial" w:cs="Arial"/>
          <w:sz w:val="24"/>
          <w:szCs w:val="24"/>
        </w:rPr>
        <w:t>The Law Commission talk about the rights to light. This would be known as an easement that entitles a landowner to natural light through windows in buildings upon their own land.</w:t>
      </w:r>
      <w:r w:rsidR="00AD75A3">
        <w:rPr>
          <w:rFonts w:ascii="Arial" w:hAnsi="Arial" w:cs="Arial"/>
          <w:sz w:val="24"/>
          <w:szCs w:val="24"/>
        </w:rPr>
        <w:t xml:space="preserve"> If you are burdened by this right, then you cannot erect a building which would block out any natural light without permission from the benefiting owner. A right to natural light will increase the amenity and the value of the buildings, this type of right may be used so landowners can prevent any buildings/ constructions from any form of interference with their rights or may even be entitled to have the building destroyed. If a building has been erected, the court does not order it to be demolished but they may award some sort of monetary damages to the actual benefiting landowner. A right to natural light will arise by long use and not by express agreement with the landowners. Those who are to benefit from the rights to natural light, may be unaware that they exist.</w:t>
      </w:r>
      <w:r w:rsidR="00550683">
        <w:rPr>
          <w:rFonts w:ascii="Arial" w:hAnsi="Arial" w:cs="Arial"/>
          <w:sz w:val="24"/>
          <w:szCs w:val="24"/>
        </w:rPr>
        <w:t xml:space="preserve"> The system for planning of the use of natural light, does not take into consideration of private rights, this could hamper any further developments, even after permission has been given to a construction company. (lawcom.gov).</w:t>
      </w:r>
    </w:p>
    <w:p w14:paraId="358CA365" w14:textId="20884D6E" w:rsidR="00550683" w:rsidRDefault="00550683" w:rsidP="00080208">
      <w:pPr>
        <w:spacing w:line="480" w:lineRule="auto"/>
        <w:rPr>
          <w:rFonts w:ascii="Arial" w:hAnsi="Arial" w:cs="Arial"/>
          <w:sz w:val="24"/>
          <w:szCs w:val="24"/>
        </w:rPr>
      </w:pPr>
      <w:r>
        <w:rPr>
          <w:rFonts w:ascii="Arial" w:hAnsi="Arial" w:cs="Arial"/>
          <w:sz w:val="24"/>
          <w:szCs w:val="24"/>
        </w:rPr>
        <w:t>The Law Commission’s work upon covenants, profits and easements reviewed these, but did not go on to specifically examine any easements. They however stated that more work was to be needed or examined with regards to light. The rec</w:t>
      </w:r>
      <w:r w:rsidR="00AB7006">
        <w:rPr>
          <w:rFonts w:ascii="Arial" w:hAnsi="Arial" w:cs="Arial"/>
          <w:sz w:val="24"/>
          <w:szCs w:val="24"/>
        </w:rPr>
        <w:t xml:space="preserve">ommendations were published for the Rights to Light (Law com no 356). They do </w:t>
      </w:r>
      <w:r w:rsidR="00AB7006">
        <w:rPr>
          <w:rFonts w:ascii="Arial" w:hAnsi="Arial" w:cs="Arial"/>
          <w:sz w:val="24"/>
          <w:szCs w:val="24"/>
        </w:rPr>
        <w:lastRenderedPageBreak/>
        <w:t xml:space="preserve">not recommend that prescription is to be abolished as a right of acquiring any </w:t>
      </w:r>
      <w:r w:rsidR="009F77F7">
        <w:rPr>
          <w:rFonts w:ascii="Arial" w:hAnsi="Arial" w:cs="Arial"/>
          <w:sz w:val="24"/>
          <w:szCs w:val="24"/>
        </w:rPr>
        <w:t>form</w:t>
      </w:r>
      <w:r w:rsidR="00AB7006">
        <w:rPr>
          <w:rFonts w:ascii="Arial" w:hAnsi="Arial" w:cs="Arial"/>
          <w:sz w:val="24"/>
          <w:szCs w:val="24"/>
        </w:rPr>
        <w:t xml:space="preserve"> of light.</w:t>
      </w:r>
    </w:p>
    <w:p w14:paraId="363F124A" w14:textId="1E34039F" w:rsidR="00AB7006" w:rsidRDefault="00AB7006" w:rsidP="00080208">
      <w:pPr>
        <w:spacing w:line="480" w:lineRule="auto"/>
        <w:rPr>
          <w:rFonts w:ascii="Arial" w:hAnsi="Arial" w:cs="Arial"/>
          <w:sz w:val="24"/>
          <w:szCs w:val="24"/>
        </w:rPr>
      </w:pPr>
      <w:r>
        <w:rPr>
          <w:rFonts w:ascii="Arial" w:hAnsi="Arial" w:cs="Arial"/>
          <w:sz w:val="24"/>
          <w:szCs w:val="24"/>
        </w:rPr>
        <w:t>With regards to this assignment, it was hard going. When looking things u</w:t>
      </w:r>
      <w:r w:rsidR="009F77F7">
        <w:rPr>
          <w:rFonts w:ascii="Arial" w:hAnsi="Arial" w:cs="Arial"/>
          <w:sz w:val="24"/>
          <w:szCs w:val="24"/>
        </w:rPr>
        <w:t xml:space="preserve">p, not everything seems to be up to date. Further recommendations and reform </w:t>
      </w:r>
      <w:r w:rsidR="001B1540">
        <w:rPr>
          <w:rFonts w:ascii="Arial" w:hAnsi="Arial" w:cs="Arial"/>
          <w:sz w:val="24"/>
          <w:szCs w:val="24"/>
        </w:rPr>
        <w:t>are</w:t>
      </w:r>
      <w:r w:rsidR="009F77F7">
        <w:rPr>
          <w:rFonts w:ascii="Arial" w:hAnsi="Arial" w:cs="Arial"/>
          <w:sz w:val="24"/>
          <w:szCs w:val="24"/>
        </w:rPr>
        <w:t xml:space="preserve"> needed with regards to property law as a lot of things have changed over the years and are not </w:t>
      </w:r>
      <w:r w:rsidR="009F6E9A">
        <w:rPr>
          <w:rFonts w:ascii="Arial" w:hAnsi="Arial" w:cs="Arial"/>
          <w:sz w:val="24"/>
          <w:szCs w:val="24"/>
        </w:rPr>
        <w:t>up</w:t>
      </w:r>
      <w:r w:rsidR="009F77F7">
        <w:rPr>
          <w:rFonts w:ascii="Arial" w:hAnsi="Arial" w:cs="Arial"/>
          <w:sz w:val="24"/>
          <w:szCs w:val="24"/>
        </w:rPr>
        <w:t xml:space="preserve"> to date. The government need to simplify things more to help people who are on the property ladder and wish to purchase</w:t>
      </w:r>
      <w:r w:rsidR="0039661B">
        <w:rPr>
          <w:rFonts w:ascii="Arial" w:hAnsi="Arial" w:cs="Arial"/>
          <w:sz w:val="24"/>
          <w:szCs w:val="24"/>
        </w:rPr>
        <w:t xml:space="preserve"> their own home or properties for many other reasons.</w:t>
      </w:r>
    </w:p>
    <w:p w14:paraId="3DD6F74E" w14:textId="77777777" w:rsidR="009F6E9A" w:rsidRDefault="009F6E9A" w:rsidP="00080208">
      <w:pPr>
        <w:spacing w:line="480" w:lineRule="auto"/>
        <w:rPr>
          <w:rFonts w:ascii="Arial" w:hAnsi="Arial" w:cs="Arial"/>
          <w:sz w:val="24"/>
          <w:szCs w:val="24"/>
        </w:rPr>
      </w:pPr>
    </w:p>
    <w:p w14:paraId="23ECF1E4" w14:textId="2C026310" w:rsidR="009F6E9A" w:rsidRDefault="009F6E9A" w:rsidP="00080208">
      <w:pPr>
        <w:spacing w:line="480" w:lineRule="auto"/>
        <w:rPr>
          <w:rFonts w:ascii="Arial" w:hAnsi="Arial" w:cs="Arial"/>
          <w:sz w:val="24"/>
          <w:szCs w:val="24"/>
        </w:rPr>
      </w:pPr>
      <w:r>
        <w:rPr>
          <w:rFonts w:ascii="Arial" w:hAnsi="Arial" w:cs="Arial"/>
          <w:sz w:val="24"/>
          <w:szCs w:val="24"/>
        </w:rPr>
        <w:t xml:space="preserve">Law Commission, 2012. Law Commission – Reforming the Law, government web site, accessed 19/04/2023, </w:t>
      </w:r>
      <w:hyperlink r:id="rId5" w:history="1">
        <w:r w:rsidRPr="006A2468">
          <w:rPr>
            <w:rStyle w:val="Hyperlink"/>
            <w:rFonts w:ascii="Arial" w:hAnsi="Arial" w:cs="Arial"/>
            <w:sz w:val="24"/>
            <w:szCs w:val="24"/>
          </w:rPr>
          <w:t>https://www.lawcom.gov.uk/project/rights-to-light/</w:t>
        </w:r>
      </w:hyperlink>
    </w:p>
    <w:p w14:paraId="6851FD31" w14:textId="769055F4" w:rsidR="009F6E9A" w:rsidRDefault="009F6E9A" w:rsidP="00080208">
      <w:pPr>
        <w:spacing w:line="480" w:lineRule="auto"/>
        <w:rPr>
          <w:rFonts w:ascii="Arial" w:hAnsi="Arial" w:cs="Arial"/>
          <w:sz w:val="24"/>
          <w:szCs w:val="24"/>
        </w:rPr>
      </w:pPr>
      <w:proofErr w:type="spellStart"/>
      <w:r>
        <w:rPr>
          <w:rFonts w:ascii="Arial" w:hAnsi="Arial" w:cs="Arial"/>
          <w:sz w:val="24"/>
          <w:szCs w:val="24"/>
        </w:rPr>
        <w:t>Bogusz</w:t>
      </w:r>
      <w:proofErr w:type="spellEnd"/>
      <w:r>
        <w:rPr>
          <w:rFonts w:ascii="Arial" w:hAnsi="Arial" w:cs="Arial"/>
          <w:sz w:val="24"/>
          <w:szCs w:val="24"/>
        </w:rPr>
        <w:t>, B &amp; Sexton, R,2011, Complete Land Law, 4</w:t>
      </w:r>
      <w:r w:rsidRPr="009F6E9A">
        <w:rPr>
          <w:rFonts w:ascii="Arial" w:hAnsi="Arial" w:cs="Arial"/>
          <w:sz w:val="24"/>
          <w:szCs w:val="24"/>
          <w:vertAlign w:val="superscript"/>
        </w:rPr>
        <w:t>th</w:t>
      </w:r>
      <w:r>
        <w:rPr>
          <w:rFonts w:ascii="Arial" w:hAnsi="Arial" w:cs="Arial"/>
          <w:sz w:val="24"/>
          <w:szCs w:val="24"/>
        </w:rPr>
        <w:t xml:space="preserve"> edition, Oxford University Press, Oxford.</w:t>
      </w:r>
    </w:p>
    <w:p w14:paraId="76CBA0AA" w14:textId="2A3F9B96" w:rsidR="00B47A09" w:rsidRDefault="00B47A09" w:rsidP="00080208">
      <w:pPr>
        <w:spacing w:line="480" w:lineRule="auto"/>
        <w:rPr>
          <w:rFonts w:ascii="Arial" w:hAnsi="Arial" w:cs="Arial"/>
          <w:sz w:val="24"/>
          <w:szCs w:val="24"/>
        </w:rPr>
      </w:pPr>
      <w:r>
        <w:rPr>
          <w:rFonts w:ascii="Arial" w:hAnsi="Arial" w:cs="Arial"/>
          <w:sz w:val="24"/>
          <w:szCs w:val="24"/>
        </w:rPr>
        <w:t>Clarke, S &amp; Greer, S, 2014, Land Law Directions, 4</w:t>
      </w:r>
      <w:r w:rsidRPr="00B47A09">
        <w:rPr>
          <w:rFonts w:ascii="Arial" w:hAnsi="Arial" w:cs="Arial"/>
          <w:sz w:val="24"/>
          <w:szCs w:val="24"/>
          <w:vertAlign w:val="superscript"/>
        </w:rPr>
        <w:t>th</w:t>
      </w:r>
      <w:r>
        <w:rPr>
          <w:rFonts w:ascii="Arial" w:hAnsi="Arial" w:cs="Arial"/>
          <w:sz w:val="24"/>
          <w:szCs w:val="24"/>
        </w:rPr>
        <w:t xml:space="preserve"> edition, Oxford University Press, Oxford.</w:t>
      </w:r>
    </w:p>
    <w:p w14:paraId="78F26623" w14:textId="72E341DA" w:rsidR="00B47A09" w:rsidRDefault="00B47A09" w:rsidP="00080208">
      <w:pPr>
        <w:spacing w:line="480" w:lineRule="auto"/>
        <w:rPr>
          <w:rFonts w:ascii="Arial" w:hAnsi="Arial" w:cs="Arial"/>
          <w:sz w:val="24"/>
          <w:szCs w:val="24"/>
        </w:rPr>
      </w:pPr>
      <w:r>
        <w:rPr>
          <w:rFonts w:ascii="Arial" w:hAnsi="Arial" w:cs="Arial"/>
          <w:sz w:val="24"/>
          <w:szCs w:val="24"/>
        </w:rPr>
        <w:t>Smith, R, J, 2014, Property Law, 8</w:t>
      </w:r>
      <w:r w:rsidRPr="00B47A09">
        <w:rPr>
          <w:rFonts w:ascii="Arial" w:hAnsi="Arial" w:cs="Arial"/>
          <w:sz w:val="24"/>
          <w:szCs w:val="24"/>
          <w:vertAlign w:val="superscript"/>
        </w:rPr>
        <w:t>th</w:t>
      </w:r>
      <w:r>
        <w:rPr>
          <w:rFonts w:ascii="Arial" w:hAnsi="Arial" w:cs="Arial"/>
          <w:sz w:val="24"/>
          <w:szCs w:val="24"/>
        </w:rPr>
        <w:t xml:space="preserve"> edition, Longman Law Series, Harlow.</w:t>
      </w:r>
    </w:p>
    <w:p w14:paraId="3A44538A" w14:textId="075B3E92" w:rsidR="00B47A09" w:rsidRDefault="00B47A09" w:rsidP="00080208">
      <w:pPr>
        <w:spacing w:line="480" w:lineRule="auto"/>
        <w:rPr>
          <w:rFonts w:ascii="Arial" w:hAnsi="Arial" w:cs="Arial"/>
          <w:sz w:val="24"/>
          <w:szCs w:val="24"/>
        </w:rPr>
      </w:pPr>
      <w:r>
        <w:rPr>
          <w:rFonts w:ascii="Arial" w:hAnsi="Arial" w:cs="Arial"/>
          <w:sz w:val="24"/>
          <w:szCs w:val="24"/>
        </w:rPr>
        <w:t>Dixon, M, 2016, Modern Land Law, 10</w:t>
      </w:r>
      <w:r w:rsidRPr="00B47A09">
        <w:rPr>
          <w:rFonts w:ascii="Arial" w:hAnsi="Arial" w:cs="Arial"/>
          <w:sz w:val="24"/>
          <w:szCs w:val="24"/>
          <w:vertAlign w:val="superscript"/>
        </w:rPr>
        <w:t>th</w:t>
      </w:r>
      <w:r>
        <w:rPr>
          <w:rFonts w:ascii="Arial" w:hAnsi="Arial" w:cs="Arial"/>
          <w:sz w:val="24"/>
          <w:szCs w:val="24"/>
        </w:rPr>
        <w:t xml:space="preserve"> edition</w:t>
      </w:r>
      <w:r w:rsidR="005E34AA">
        <w:rPr>
          <w:rFonts w:ascii="Arial" w:hAnsi="Arial" w:cs="Arial"/>
          <w:sz w:val="24"/>
          <w:szCs w:val="24"/>
        </w:rPr>
        <w:t>, Routledge, Oxon.</w:t>
      </w:r>
    </w:p>
    <w:p w14:paraId="7DF0FD1C" w14:textId="71E090F5" w:rsidR="005E34AA" w:rsidRDefault="005E34AA" w:rsidP="00080208">
      <w:pPr>
        <w:spacing w:line="480" w:lineRule="auto"/>
        <w:rPr>
          <w:rFonts w:ascii="Arial" w:hAnsi="Arial" w:cs="Arial"/>
          <w:sz w:val="24"/>
          <w:szCs w:val="24"/>
        </w:rPr>
      </w:pPr>
      <w:r>
        <w:rPr>
          <w:rFonts w:ascii="Arial" w:hAnsi="Arial" w:cs="Arial"/>
          <w:sz w:val="24"/>
          <w:szCs w:val="24"/>
        </w:rPr>
        <w:t>Bray, J, 2003, The comprehensive guide to all the facts land law, 2</w:t>
      </w:r>
      <w:r w:rsidRPr="005E34AA">
        <w:rPr>
          <w:rFonts w:ascii="Arial" w:hAnsi="Arial" w:cs="Arial"/>
          <w:sz w:val="24"/>
          <w:szCs w:val="24"/>
          <w:vertAlign w:val="superscript"/>
        </w:rPr>
        <w:t>nd</w:t>
      </w:r>
      <w:r>
        <w:rPr>
          <w:rFonts w:ascii="Arial" w:hAnsi="Arial" w:cs="Arial"/>
          <w:sz w:val="24"/>
          <w:szCs w:val="24"/>
        </w:rPr>
        <w:t xml:space="preserve"> edition, Hodder &amp; Stoughton, Oxon.</w:t>
      </w:r>
    </w:p>
    <w:p w14:paraId="7DAC3032" w14:textId="77777777" w:rsidR="001B1540" w:rsidRDefault="001B1540" w:rsidP="00080208">
      <w:pPr>
        <w:spacing w:line="480" w:lineRule="auto"/>
        <w:rPr>
          <w:rFonts w:ascii="Arial" w:hAnsi="Arial" w:cs="Arial"/>
          <w:sz w:val="24"/>
          <w:szCs w:val="24"/>
        </w:rPr>
      </w:pPr>
    </w:p>
    <w:p w14:paraId="149823DE" w14:textId="77777777" w:rsidR="001B1540" w:rsidRDefault="001B1540" w:rsidP="00080208">
      <w:pPr>
        <w:spacing w:line="480" w:lineRule="auto"/>
        <w:rPr>
          <w:rFonts w:ascii="Arial" w:hAnsi="Arial" w:cs="Arial"/>
          <w:sz w:val="24"/>
          <w:szCs w:val="24"/>
        </w:rPr>
      </w:pPr>
    </w:p>
    <w:p w14:paraId="7008CEF7" w14:textId="77777777" w:rsidR="0031600D" w:rsidRPr="00080208" w:rsidRDefault="0031600D" w:rsidP="00080208">
      <w:pPr>
        <w:spacing w:line="480" w:lineRule="auto"/>
        <w:rPr>
          <w:rFonts w:ascii="Arial" w:hAnsi="Arial" w:cs="Arial"/>
          <w:sz w:val="24"/>
          <w:szCs w:val="24"/>
        </w:rPr>
      </w:pPr>
    </w:p>
    <w:sectPr w:rsidR="0031600D" w:rsidRPr="000802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4CF"/>
    <w:rsid w:val="00016188"/>
    <w:rsid w:val="00080208"/>
    <w:rsid w:val="00093472"/>
    <w:rsid w:val="000957AC"/>
    <w:rsid w:val="000E0592"/>
    <w:rsid w:val="001B1540"/>
    <w:rsid w:val="00260848"/>
    <w:rsid w:val="00272192"/>
    <w:rsid w:val="00293735"/>
    <w:rsid w:val="0031600D"/>
    <w:rsid w:val="003954CB"/>
    <w:rsid w:val="0039661B"/>
    <w:rsid w:val="00485060"/>
    <w:rsid w:val="004F71C4"/>
    <w:rsid w:val="00550683"/>
    <w:rsid w:val="005D409E"/>
    <w:rsid w:val="005E34AA"/>
    <w:rsid w:val="006502A3"/>
    <w:rsid w:val="006E1BC0"/>
    <w:rsid w:val="006F20A7"/>
    <w:rsid w:val="007A2D78"/>
    <w:rsid w:val="00800559"/>
    <w:rsid w:val="00884A41"/>
    <w:rsid w:val="008D5AB5"/>
    <w:rsid w:val="008E1824"/>
    <w:rsid w:val="009F6E9A"/>
    <w:rsid w:val="009F77F7"/>
    <w:rsid w:val="00AB7006"/>
    <w:rsid w:val="00AD75A3"/>
    <w:rsid w:val="00B044CF"/>
    <w:rsid w:val="00B47A09"/>
    <w:rsid w:val="00BF6739"/>
    <w:rsid w:val="00C6530A"/>
    <w:rsid w:val="00CA30CB"/>
    <w:rsid w:val="00D31807"/>
    <w:rsid w:val="00D3692E"/>
    <w:rsid w:val="00D4430B"/>
    <w:rsid w:val="00DD1FD7"/>
    <w:rsid w:val="00EA3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361F9"/>
  <w15:chartTrackingRefBased/>
  <w15:docId w15:val="{64E8B924-9728-4465-8FA0-DC8EADF04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6E9A"/>
    <w:rPr>
      <w:color w:val="0563C1" w:themeColor="hyperlink"/>
      <w:u w:val="single"/>
    </w:rPr>
  </w:style>
  <w:style w:type="character" w:styleId="UnresolvedMention">
    <w:name w:val="Unresolved Mention"/>
    <w:basedOn w:val="DefaultParagraphFont"/>
    <w:uiPriority w:val="99"/>
    <w:semiHidden/>
    <w:unhideWhenUsed/>
    <w:rsid w:val="009F6E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awcom.gov.uk/project/rights-to-light/"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1957</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Melenie Jane Box</dc:creator>
  <cp:keywords/>
  <dc:description/>
  <cp:lastModifiedBy>Melenie Jane Box</cp:lastModifiedBy>
  <cp:revision>2</cp:revision>
  <dcterms:created xsi:type="dcterms:W3CDTF">2023-04-19T20:19:00Z</dcterms:created>
  <dcterms:modified xsi:type="dcterms:W3CDTF">2023-04-19T20:19:00Z</dcterms:modified>
</cp:coreProperties>
</file>