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F0C790" w14:textId="2D74CBD4" w:rsidR="000A44F6" w:rsidRPr="00D22C3E" w:rsidRDefault="0028474D" w:rsidP="0028474D">
      <w:pPr>
        <w:jc w:val="center"/>
        <w:rPr>
          <w:rFonts w:ascii="Baskerville Old Face" w:hAnsi="Baskerville Old Face"/>
          <w:b/>
          <w:bCs/>
          <w:sz w:val="32"/>
          <w:szCs w:val="32"/>
        </w:rPr>
      </w:pPr>
      <w:r w:rsidRPr="00D22C3E">
        <w:rPr>
          <w:rFonts w:ascii="Baskerville Old Face" w:hAnsi="Baskerville Old Face"/>
          <w:b/>
          <w:bCs/>
          <w:sz w:val="32"/>
          <w:szCs w:val="32"/>
        </w:rPr>
        <w:t>Using this image, discuss how aspects of Bourdieu’s theory of practice can be applied to interpret it? What does it tell us about the habitus and organisation of the household in Chalcolithic Cyprus?</w:t>
      </w:r>
    </w:p>
    <w:p w14:paraId="1134B8E1" w14:textId="278F45D3" w:rsidR="009A774B" w:rsidRDefault="00A14B9A" w:rsidP="0028474D">
      <w:pPr>
        <w:jc w:val="center"/>
        <w:rPr>
          <w:rFonts w:ascii="Baskerville Old Face" w:hAnsi="Baskerville Old Face"/>
          <w:sz w:val="32"/>
          <w:szCs w:val="32"/>
        </w:rPr>
      </w:pPr>
      <w:r>
        <w:rPr>
          <w:rFonts w:ascii="Baskerville Old Face" w:hAnsi="Baskerville Old Face"/>
          <w:noProof/>
          <w:sz w:val="32"/>
          <w:szCs w:val="32"/>
        </w:rPr>
        <w:drawing>
          <wp:anchor distT="0" distB="0" distL="114300" distR="114300" simplePos="0" relativeHeight="251658240" behindDoc="0" locked="0" layoutInCell="1" allowOverlap="1" wp14:anchorId="40F35DF0" wp14:editId="03C051C7">
            <wp:simplePos x="0" y="0"/>
            <wp:positionH relativeFrom="column">
              <wp:posOffset>-332105</wp:posOffset>
            </wp:positionH>
            <wp:positionV relativeFrom="paragraph">
              <wp:posOffset>412750</wp:posOffset>
            </wp:positionV>
            <wp:extent cx="2420620" cy="2444750"/>
            <wp:effectExtent l="19050" t="19050" r="17780" b="12700"/>
            <wp:wrapSquare wrapText="bothSides"/>
            <wp:docPr id="135526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0620" cy="2444750"/>
                    </a:xfrm>
                    <a:prstGeom prst="rect">
                      <a:avLst/>
                    </a:prstGeom>
                    <a:noFill/>
                    <a:ln>
                      <a:solidFill>
                        <a:schemeClr val="tx1"/>
                      </a:solidFill>
                    </a:ln>
                  </pic:spPr>
                </pic:pic>
              </a:graphicData>
            </a:graphic>
          </wp:anchor>
        </w:drawing>
      </w:r>
      <w:r w:rsidR="008A6D3E">
        <w:rPr>
          <w:rFonts w:ascii="Baskerville Old Face" w:hAnsi="Baskerville Old Face"/>
          <w:sz w:val="32"/>
          <w:szCs w:val="32"/>
        </w:rPr>
        <w:t xml:space="preserve"> </w:t>
      </w:r>
      <w:r w:rsidR="009A774B">
        <w:rPr>
          <w:rFonts w:ascii="Baskerville Old Face" w:hAnsi="Baskerville Old Face"/>
          <w:sz w:val="32"/>
          <w:szCs w:val="32"/>
        </w:rPr>
        <w:t>2000 words</w:t>
      </w:r>
    </w:p>
    <w:p w14:paraId="0B277501" w14:textId="56E21910" w:rsidR="00A14B9A" w:rsidRDefault="00A14B9A" w:rsidP="00A14B9A">
      <w:pPr>
        <w:jc w:val="both"/>
        <w:rPr>
          <w:rFonts w:ascii="Baskerville Old Face" w:hAnsi="Baskerville Old Face"/>
          <w:sz w:val="24"/>
          <w:szCs w:val="24"/>
        </w:rPr>
      </w:pPr>
      <w:r>
        <w:rPr>
          <w:rFonts w:ascii="Baskerville Old Face" w:hAnsi="Baskerville Old Face"/>
          <w:sz w:val="24"/>
          <w:szCs w:val="24"/>
        </w:rPr>
        <w:t>The examination of households as ‘both a container and arena of social action’</w:t>
      </w:r>
      <w:r>
        <w:rPr>
          <w:rStyle w:val="FootnoteReference"/>
          <w:rFonts w:ascii="Baskerville Old Face" w:hAnsi="Baskerville Old Face"/>
          <w:sz w:val="24"/>
          <w:szCs w:val="24"/>
        </w:rPr>
        <w:footnoteReference w:id="1"/>
      </w:r>
      <w:r w:rsidR="00C241C5">
        <w:rPr>
          <w:rFonts w:ascii="Baskerville Old Face" w:hAnsi="Baskerville Old Face"/>
          <w:sz w:val="24"/>
          <w:szCs w:val="24"/>
        </w:rPr>
        <w:t xml:space="preserve"> has not always been understood, or explored in regard to prehistory. Architecture, historically, has been viewed rather clinically, in that domestic remains were seen as, and referred to as dwellings, shelter, houses. It has only been within the last few decades that archaeologists have begun to fully realise the social depths of the household - of the home. Domestic remains, prehistoric or otherwise, hold the same gravitas of </w:t>
      </w:r>
      <w:r w:rsidR="008407C6">
        <w:rPr>
          <w:rFonts w:ascii="Baskerville Old Face" w:hAnsi="Baskerville Old Face"/>
          <w:sz w:val="24"/>
          <w:szCs w:val="24"/>
        </w:rPr>
        <w:t xml:space="preserve">the </w:t>
      </w:r>
      <w:r w:rsidR="00C241C5">
        <w:rPr>
          <w:rFonts w:ascii="Baskerville Old Face" w:hAnsi="Baskerville Old Face"/>
          <w:sz w:val="24"/>
          <w:szCs w:val="24"/>
        </w:rPr>
        <w:t>homes of today; ‘wildly cultural</w:t>
      </w:r>
      <w:r w:rsidR="00FA283B">
        <w:rPr>
          <w:rFonts w:ascii="Baskerville Old Face" w:hAnsi="Baskerville Old Face"/>
          <w:sz w:val="24"/>
          <w:szCs w:val="24"/>
        </w:rPr>
        <w:t xml:space="preserve"> [and] evoking emotional nostalgia’</w:t>
      </w:r>
      <w:r w:rsidR="00FA283B">
        <w:rPr>
          <w:rStyle w:val="FootnoteReference"/>
          <w:rFonts w:ascii="Baskerville Old Face" w:hAnsi="Baskerville Old Face"/>
          <w:sz w:val="24"/>
          <w:szCs w:val="24"/>
        </w:rPr>
        <w:footnoteReference w:id="2"/>
      </w:r>
      <w:r w:rsidR="008407C6">
        <w:rPr>
          <w:rFonts w:ascii="Baskerville Old Face" w:hAnsi="Baskerville Old Face"/>
          <w:sz w:val="24"/>
          <w:szCs w:val="24"/>
        </w:rPr>
        <w:t xml:space="preserve">. In fact, many aspects of the household- its functioning, its habitation- provide valuable insight into the social evolution of man as communal, familial creatures. Therefore, it is, and has always been, important to examine archaeological remains of the home, with the according social implications in mind. Bourdieu’s </w:t>
      </w:r>
      <w:r w:rsidR="00B22B7A">
        <w:rPr>
          <w:rFonts w:ascii="Baskerville Old Face" w:hAnsi="Baskerville Old Face"/>
          <w:sz w:val="24"/>
          <w:szCs w:val="24"/>
        </w:rPr>
        <w:t>theories of the home, are but one way of approaching that.</w:t>
      </w:r>
    </w:p>
    <w:p w14:paraId="559D119B" w14:textId="30E7B154" w:rsidR="00504CC8" w:rsidRDefault="00504CC8" w:rsidP="00A14B9A">
      <w:pPr>
        <w:jc w:val="both"/>
        <w:rPr>
          <w:rFonts w:ascii="Baskerville Old Face" w:hAnsi="Baskerville Old Face"/>
          <w:sz w:val="24"/>
          <w:szCs w:val="24"/>
        </w:rPr>
      </w:pPr>
      <w:r w:rsidRPr="00504CC8">
        <w:rPr>
          <w:rFonts w:ascii="Baskerville Old Face" w:hAnsi="Baskerville Old Face"/>
          <w:sz w:val="24"/>
          <w:szCs w:val="24"/>
        </w:rPr>
        <w:t>Social theory, the umbrella to which the theory of practice falls under, refers to the interpretation of human social activity, both on a wider cultural scale, as well as individually. Social theory, and consequently the theory of practice, explores an individual’s role in social change, as well as social reproduction; the process of passing one’s social behaviours and actions within this generation, to those around us, and the next.</w:t>
      </w:r>
    </w:p>
    <w:p w14:paraId="2C653C97" w14:textId="4B6FEDC2" w:rsidR="00462646" w:rsidRDefault="00B22B7A" w:rsidP="00A14B9A">
      <w:pPr>
        <w:jc w:val="both"/>
        <w:rPr>
          <w:rFonts w:ascii="Baskerville Old Face" w:hAnsi="Baskerville Old Face"/>
          <w:sz w:val="24"/>
          <w:szCs w:val="24"/>
        </w:rPr>
      </w:pPr>
      <w:r>
        <w:rPr>
          <w:rFonts w:ascii="Baskerville Old Face" w:hAnsi="Baskerville Old Face"/>
          <w:sz w:val="24"/>
          <w:szCs w:val="24"/>
        </w:rPr>
        <w:t>French sociologist Pierre Bourdieu</w:t>
      </w:r>
      <w:r w:rsidR="00071E48">
        <w:rPr>
          <w:rFonts w:ascii="Baskerville Old Face" w:hAnsi="Baskerville Old Face"/>
          <w:sz w:val="24"/>
          <w:szCs w:val="24"/>
        </w:rPr>
        <w:t xml:space="preserve">’s career solidified with his appointment to the College de France, one of the most prestigious research institutions in the country. Bourdieu’s own advancement </w:t>
      </w:r>
      <w:r w:rsidR="00BE139E">
        <w:rPr>
          <w:rFonts w:ascii="Baskerville Old Face" w:hAnsi="Baskerville Old Face"/>
          <w:sz w:val="24"/>
          <w:szCs w:val="24"/>
        </w:rPr>
        <w:t>in social class is credited with having affected his theories, and he grew to become an incredibly influential figure in the sociological field of the twentieth century.</w:t>
      </w:r>
      <w:r w:rsidR="00592B27">
        <w:rPr>
          <w:rStyle w:val="FootnoteReference"/>
          <w:rFonts w:ascii="Baskerville Old Face" w:hAnsi="Baskerville Old Face"/>
          <w:sz w:val="24"/>
          <w:szCs w:val="24"/>
        </w:rPr>
        <w:footnoteReference w:id="3"/>
      </w:r>
      <w:r w:rsidR="00BE139E">
        <w:rPr>
          <w:rFonts w:ascii="Baskerville Old Face" w:hAnsi="Baskerville Old Face"/>
          <w:sz w:val="24"/>
          <w:szCs w:val="24"/>
        </w:rPr>
        <w:t xml:space="preserve"> His theory of practice revolved around habitus and capital, and aimed to explain ‘the internalisation of externality and the externalisation of internality’</w:t>
      </w:r>
      <w:r w:rsidR="00BE139E">
        <w:rPr>
          <w:rStyle w:val="FootnoteReference"/>
          <w:rFonts w:ascii="Baskerville Old Face" w:hAnsi="Baskerville Old Face"/>
          <w:sz w:val="24"/>
          <w:szCs w:val="24"/>
        </w:rPr>
        <w:footnoteReference w:id="4"/>
      </w:r>
      <w:r w:rsidR="00BE139E">
        <w:rPr>
          <w:rFonts w:ascii="Baskerville Old Face" w:hAnsi="Baskerville Old Face"/>
          <w:sz w:val="24"/>
          <w:szCs w:val="24"/>
        </w:rPr>
        <w:t>.</w:t>
      </w:r>
      <w:r w:rsidR="00592B27">
        <w:rPr>
          <w:rFonts w:ascii="Baskerville Old Face" w:hAnsi="Baskerville Old Face"/>
          <w:sz w:val="24"/>
          <w:szCs w:val="24"/>
        </w:rPr>
        <w:t xml:space="preserve"> </w:t>
      </w:r>
      <w:r w:rsidR="00462646">
        <w:rPr>
          <w:rFonts w:ascii="Baskerville Old Face" w:hAnsi="Baskerville Old Face"/>
          <w:sz w:val="24"/>
          <w:szCs w:val="24"/>
        </w:rPr>
        <w:t>Bourdieu’s theory rejected structuralism, the intellectual movement that emerged in 1950s France</w:t>
      </w:r>
      <w:r w:rsidR="0085429A">
        <w:rPr>
          <w:rFonts w:ascii="Baskerville Old Face" w:hAnsi="Baskerville Old Face"/>
          <w:sz w:val="24"/>
          <w:szCs w:val="24"/>
        </w:rPr>
        <w:t>, wherein it is accepted that human behaviour is determined by preexisting social structures</w:t>
      </w:r>
      <w:r w:rsidR="0085429A">
        <w:rPr>
          <w:rStyle w:val="FootnoteReference"/>
          <w:rFonts w:ascii="Baskerville Old Face" w:hAnsi="Baskerville Old Face"/>
          <w:sz w:val="24"/>
          <w:szCs w:val="24"/>
        </w:rPr>
        <w:footnoteReference w:id="5"/>
      </w:r>
      <w:r w:rsidR="009F2D81">
        <w:rPr>
          <w:rFonts w:ascii="Baskerville Old Face" w:hAnsi="Baskerville Old Face"/>
          <w:sz w:val="24"/>
          <w:szCs w:val="24"/>
        </w:rPr>
        <w:t>, instead supporting the notion that social agents</w:t>
      </w:r>
      <w:r w:rsidR="008E0FE6">
        <w:rPr>
          <w:rFonts w:ascii="Baskerville Old Face" w:hAnsi="Baskerville Old Face"/>
          <w:sz w:val="24"/>
          <w:szCs w:val="24"/>
        </w:rPr>
        <w:t xml:space="preserve"> on an individual scale</w:t>
      </w:r>
      <w:r w:rsidR="009F2D81">
        <w:rPr>
          <w:rFonts w:ascii="Baskerville Old Face" w:hAnsi="Baskerville Old Face"/>
          <w:sz w:val="24"/>
          <w:szCs w:val="24"/>
        </w:rPr>
        <w:t xml:space="preserve"> are pivotal to social development. Where the theory of practice examines the way in which social agents produce, reproduce, and alter social rules, one can recognise the interdisciplinary application, pertaining to ancient archaeological record, that can </w:t>
      </w:r>
      <w:r w:rsidR="009F2D81">
        <w:rPr>
          <w:rFonts w:ascii="Baskerville Old Face" w:hAnsi="Baskerville Old Face"/>
          <w:sz w:val="24"/>
          <w:szCs w:val="24"/>
        </w:rPr>
        <w:lastRenderedPageBreak/>
        <w:t xml:space="preserve">be pursued. </w:t>
      </w:r>
      <w:r w:rsidR="001B6843">
        <w:rPr>
          <w:rFonts w:ascii="Baskerville Old Face" w:hAnsi="Baskerville Old Face"/>
          <w:sz w:val="24"/>
          <w:szCs w:val="24"/>
        </w:rPr>
        <w:t>Archaeological d</w:t>
      </w:r>
      <w:r w:rsidR="009F2D81">
        <w:rPr>
          <w:rFonts w:ascii="Baskerville Old Face" w:hAnsi="Baskerville Old Face"/>
          <w:sz w:val="24"/>
          <w:szCs w:val="24"/>
        </w:rPr>
        <w:t xml:space="preserve">omestic remains are </w:t>
      </w:r>
      <w:r w:rsidR="001B6843">
        <w:rPr>
          <w:rFonts w:ascii="Baskerville Old Face" w:hAnsi="Baskerville Old Face"/>
          <w:sz w:val="24"/>
          <w:szCs w:val="24"/>
        </w:rPr>
        <w:t>well</w:t>
      </w:r>
      <w:r w:rsidR="009F2D81">
        <w:rPr>
          <w:rFonts w:ascii="Baskerville Old Face" w:hAnsi="Baskerville Old Face"/>
          <w:sz w:val="24"/>
          <w:szCs w:val="24"/>
        </w:rPr>
        <w:t xml:space="preserve"> suited to the theory’s application, in that one of </w:t>
      </w:r>
      <w:r w:rsidR="00323FED">
        <w:rPr>
          <w:rFonts w:ascii="Baskerville Old Face" w:hAnsi="Baskerville Old Face"/>
          <w:sz w:val="24"/>
          <w:szCs w:val="24"/>
        </w:rPr>
        <w:t>Bourdieu’s</w:t>
      </w:r>
      <w:r w:rsidR="009F2D81">
        <w:rPr>
          <w:rFonts w:ascii="Baskerville Old Face" w:hAnsi="Baskerville Old Face"/>
          <w:sz w:val="24"/>
          <w:szCs w:val="24"/>
        </w:rPr>
        <w:t xml:space="preserve"> foc</w:t>
      </w:r>
      <w:r w:rsidR="006368CF">
        <w:rPr>
          <w:rFonts w:ascii="Baskerville Old Face" w:hAnsi="Baskerville Old Face"/>
          <w:sz w:val="24"/>
          <w:szCs w:val="24"/>
        </w:rPr>
        <w:t>uses was the habitus, and its social implications.</w:t>
      </w:r>
    </w:p>
    <w:p w14:paraId="58990F87" w14:textId="121F3B9C" w:rsidR="001679FB" w:rsidRDefault="008E0FE6" w:rsidP="00A14B9A">
      <w:pPr>
        <w:jc w:val="both"/>
        <w:rPr>
          <w:rFonts w:ascii="Baskerville Old Face" w:hAnsi="Baskerville Old Face"/>
          <w:sz w:val="24"/>
          <w:szCs w:val="24"/>
        </w:rPr>
      </w:pPr>
      <w:r>
        <w:rPr>
          <w:rFonts w:ascii="Baskerville Old Face" w:hAnsi="Baskerville Old Face"/>
          <w:sz w:val="24"/>
          <w:szCs w:val="24"/>
        </w:rPr>
        <w:t>The habitus, or the home in which we are reared and then reside as an adult, acts as a field of social education and discipline, wherein a child learns culturally acquired rules, as well as patterns of thought and behaviour. Effectively, the habitus is the earliest field of socialisation</w:t>
      </w:r>
      <w:r w:rsidR="008251A4">
        <w:rPr>
          <w:rFonts w:ascii="Baskerville Old Face" w:hAnsi="Baskerville Old Face"/>
          <w:sz w:val="24"/>
          <w:szCs w:val="24"/>
        </w:rPr>
        <w:t xml:space="preserve">, instilling cultural competence through almost every interaction in their </w:t>
      </w:r>
      <w:r w:rsidR="002B6137">
        <w:rPr>
          <w:rFonts w:ascii="Baskerville Old Face" w:hAnsi="Baskerville Old Face"/>
          <w:sz w:val="24"/>
          <w:szCs w:val="24"/>
        </w:rPr>
        <w:t xml:space="preserve">immediate </w:t>
      </w:r>
      <w:r w:rsidR="008251A4">
        <w:rPr>
          <w:rFonts w:ascii="Baskerville Old Face" w:hAnsi="Baskerville Old Face"/>
          <w:sz w:val="24"/>
          <w:szCs w:val="24"/>
        </w:rPr>
        <w:t>environment</w:t>
      </w:r>
      <w:r w:rsidR="00124E2B">
        <w:rPr>
          <w:rStyle w:val="FootnoteReference"/>
          <w:rFonts w:ascii="Baskerville Old Face" w:hAnsi="Baskerville Old Face"/>
          <w:sz w:val="24"/>
          <w:szCs w:val="24"/>
        </w:rPr>
        <w:footnoteReference w:id="6"/>
      </w:r>
      <w:r w:rsidR="008251A4">
        <w:rPr>
          <w:rFonts w:ascii="Baskerville Old Face" w:hAnsi="Baskerville Old Face"/>
          <w:sz w:val="24"/>
          <w:szCs w:val="24"/>
        </w:rPr>
        <w:t>.</w:t>
      </w:r>
      <w:r w:rsidR="0092145B">
        <w:rPr>
          <w:rFonts w:ascii="Baskerville Old Face" w:hAnsi="Baskerville Old Face"/>
          <w:sz w:val="24"/>
          <w:szCs w:val="24"/>
        </w:rPr>
        <w:t xml:space="preserve"> </w:t>
      </w:r>
      <w:r w:rsidR="00734E79">
        <w:rPr>
          <w:rFonts w:ascii="Baskerville Old Face" w:hAnsi="Baskerville Old Face"/>
          <w:sz w:val="24"/>
          <w:szCs w:val="24"/>
        </w:rPr>
        <w:t>Bourdieu’s</w:t>
      </w:r>
      <w:r w:rsidR="001679FB">
        <w:rPr>
          <w:rFonts w:ascii="Baskerville Old Face" w:hAnsi="Baskerville Old Face"/>
          <w:sz w:val="24"/>
          <w:szCs w:val="24"/>
        </w:rPr>
        <w:t xml:space="preserve"> understanding of the habitus was as follows:</w:t>
      </w:r>
    </w:p>
    <w:p w14:paraId="472EB1B4" w14:textId="743D62C6" w:rsidR="001679FB" w:rsidRPr="001679FB" w:rsidRDefault="008C4EA7" w:rsidP="001679FB">
      <w:pPr>
        <w:jc w:val="center"/>
        <w:rPr>
          <w:rFonts w:ascii="Baskerville Old Face" w:hAnsi="Baskerville Old Face"/>
          <w:i/>
          <w:iCs/>
          <w:sz w:val="24"/>
          <w:szCs w:val="24"/>
        </w:rPr>
      </w:pPr>
      <w:r>
        <w:rPr>
          <w:rFonts w:ascii="Baskerville Old Face" w:hAnsi="Baskerville Old Face"/>
          <w:i/>
          <w:iCs/>
          <w:sz w:val="24"/>
          <w:szCs w:val="24"/>
        </w:rPr>
        <w:t>“</w:t>
      </w:r>
      <w:r w:rsidR="001679FB" w:rsidRPr="001679FB">
        <w:rPr>
          <w:rFonts w:ascii="Baskerville Old Face" w:hAnsi="Baskerville Old Face"/>
          <w:i/>
          <w:iCs/>
          <w:sz w:val="24"/>
          <w:szCs w:val="24"/>
        </w:rPr>
        <w:t>The structures constitutive of a particular type of environment (e.g. the material conditions</w:t>
      </w:r>
      <w:r w:rsidR="001679FB" w:rsidRPr="001679FB">
        <w:rPr>
          <w:rFonts w:ascii="Baskerville Old Face" w:hAnsi="Baskerville Old Face"/>
          <w:i/>
          <w:iCs/>
          <w:sz w:val="24"/>
          <w:szCs w:val="24"/>
        </w:rPr>
        <w:t xml:space="preserve"> </w:t>
      </w:r>
      <w:r w:rsidR="001679FB" w:rsidRPr="001679FB">
        <w:rPr>
          <w:rFonts w:ascii="Baskerville Old Face" w:hAnsi="Baskerville Old Face"/>
          <w:i/>
          <w:iCs/>
          <w:sz w:val="24"/>
          <w:szCs w:val="24"/>
        </w:rPr>
        <w:t>of existence characteristic of a class condition) produce habitus, systems of durable, transposable dispositions, structured structures predisposed to function as structuring structures</w:t>
      </w:r>
      <w:r w:rsidR="001679FB" w:rsidRPr="001679FB">
        <w:rPr>
          <w:rFonts w:ascii="Baskerville Old Face" w:hAnsi="Baskerville Old Face"/>
          <w:i/>
          <w:iCs/>
          <w:sz w:val="24"/>
          <w:szCs w:val="24"/>
        </w:rPr>
        <w:t xml:space="preserve"> </w:t>
      </w:r>
      <w:r w:rsidR="001679FB" w:rsidRPr="001679FB">
        <w:rPr>
          <w:rFonts w:ascii="Baskerville Old Face" w:hAnsi="Baskerville Old Face"/>
          <w:i/>
          <w:iCs/>
          <w:sz w:val="24"/>
          <w:szCs w:val="24"/>
        </w:rPr>
        <w:t>that is, as principles of the generation and structuring of practices and representations which</w:t>
      </w:r>
      <w:r w:rsidR="001679FB" w:rsidRPr="001679FB">
        <w:rPr>
          <w:rFonts w:ascii="Baskerville Old Face" w:hAnsi="Baskerville Old Face"/>
          <w:i/>
          <w:iCs/>
          <w:sz w:val="24"/>
          <w:szCs w:val="24"/>
        </w:rPr>
        <w:t xml:space="preserve"> </w:t>
      </w:r>
      <w:r w:rsidR="001679FB" w:rsidRPr="001679FB">
        <w:rPr>
          <w:rFonts w:ascii="Baskerville Old Face" w:hAnsi="Baskerville Old Face"/>
          <w:i/>
          <w:iCs/>
          <w:sz w:val="24"/>
          <w:szCs w:val="24"/>
        </w:rPr>
        <w:t>can be objectively ‘regulated’ and ‘regular’ without in any way being the product of obedience to rules, objectively adopted to their goals without presupposing a conscious aiming at</w:t>
      </w:r>
      <w:r w:rsidR="001679FB" w:rsidRPr="001679FB">
        <w:rPr>
          <w:rFonts w:ascii="Baskerville Old Face" w:hAnsi="Baskerville Old Face"/>
          <w:i/>
          <w:iCs/>
          <w:sz w:val="24"/>
          <w:szCs w:val="24"/>
        </w:rPr>
        <w:t xml:space="preserve"> </w:t>
      </w:r>
      <w:r w:rsidR="001679FB" w:rsidRPr="001679FB">
        <w:rPr>
          <w:rFonts w:ascii="Baskerville Old Face" w:hAnsi="Baskerville Old Face"/>
          <w:i/>
          <w:iCs/>
          <w:sz w:val="24"/>
          <w:szCs w:val="24"/>
        </w:rPr>
        <w:t>ends or an express mastery of the operations necessary to attain them and, being all this,</w:t>
      </w:r>
      <w:r w:rsidR="001679FB" w:rsidRPr="001679FB">
        <w:rPr>
          <w:rFonts w:ascii="Baskerville Old Face" w:hAnsi="Baskerville Old Face"/>
          <w:i/>
          <w:iCs/>
          <w:sz w:val="24"/>
          <w:szCs w:val="24"/>
        </w:rPr>
        <w:t xml:space="preserve"> </w:t>
      </w:r>
      <w:r w:rsidR="001679FB" w:rsidRPr="001679FB">
        <w:rPr>
          <w:rFonts w:ascii="Baskerville Old Face" w:hAnsi="Baskerville Old Face"/>
          <w:i/>
          <w:iCs/>
          <w:sz w:val="24"/>
          <w:szCs w:val="24"/>
        </w:rPr>
        <w:t>collectively orchestrated without being the product of the orchestrating action of a conductor</w:t>
      </w:r>
      <w:r>
        <w:rPr>
          <w:rFonts w:ascii="Baskerville Old Face" w:hAnsi="Baskerville Old Face"/>
          <w:i/>
          <w:iCs/>
          <w:sz w:val="24"/>
          <w:szCs w:val="24"/>
        </w:rPr>
        <w:t>”</w:t>
      </w:r>
      <w:r>
        <w:rPr>
          <w:rStyle w:val="FootnoteReference"/>
          <w:rFonts w:ascii="Baskerville Old Face" w:hAnsi="Baskerville Old Face"/>
          <w:i/>
          <w:iCs/>
          <w:sz w:val="24"/>
          <w:szCs w:val="24"/>
        </w:rPr>
        <w:footnoteReference w:id="7"/>
      </w:r>
    </w:p>
    <w:p w14:paraId="6457631B" w14:textId="085C50EB" w:rsidR="002D210B" w:rsidRDefault="0092145B" w:rsidP="00A14B9A">
      <w:pPr>
        <w:jc w:val="both"/>
        <w:rPr>
          <w:rFonts w:ascii="Baskerville Old Face" w:hAnsi="Baskerville Old Face"/>
          <w:sz w:val="24"/>
          <w:szCs w:val="24"/>
        </w:rPr>
      </w:pPr>
      <w:r>
        <w:rPr>
          <w:rFonts w:ascii="Baskerville Old Face" w:hAnsi="Baskerville Old Face"/>
          <w:sz w:val="24"/>
          <w:szCs w:val="24"/>
        </w:rPr>
        <w:t xml:space="preserve">The habitus should also be understood as a powerful symbol of both personal, and group identities. Their status, or lack thereof, reaffirms one’s capital in its display of wealth or authority. Archaeologist Gordon Thomas understood that ‘in some complex or structured societies, the symbolic meaning of houses can also reflect a hierarchy of </w:t>
      </w:r>
      <w:r w:rsidR="001A6946">
        <w:rPr>
          <w:rFonts w:ascii="Baskerville Old Face" w:hAnsi="Baskerville Old Face"/>
          <w:sz w:val="24"/>
          <w:szCs w:val="24"/>
        </w:rPr>
        <w:t>identities</w:t>
      </w:r>
      <w:r>
        <w:rPr>
          <w:rFonts w:ascii="Baskerville Old Face" w:hAnsi="Baskerville Old Face"/>
          <w:sz w:val="24"/>
          <w:szCs w:val="24"/>
        </w:rPr>
        <w:t>.</w:t>
      </w:r>
      <w:r w:rsidR="0057237E">
        <w:rPr>
          <w:rStyle w:val="FootnoteReference"/>
          <w:rFonts w:ascii="Baskerville Old Face" w:hAnsi="Baskerville Old Face"/>
          <w:sz w:val="24"/>
          <w:szCs w:val="24"/>
        </w:rPr>
        <w:footnoteReference w:id="8"/>
      </w:r>
    </w:p>
    <w:p w14:paraId="4CFD79E1" w14:textId="2CE59D8E" w:rsidR="008251A4" w:rsidRDefault="008251A4" w:rsidP="00A14B9A">
      <w:pPr>
        <w:jc w:val="both"/>
        <w:rPr>
          <w:rFonts w:ascii="Baskerville Old Face" w:hAnsi="Baskerville Old Face"/>
          <w:sz w:val="24"/>
          <w:szCs w:val="24"/>
        </w:rPr>
      </w:pPr>
      <w:r>
        <w:rPr>
          <w:rFonts w:ascii="Baskerville Old Face" w:hAnsi="Baskerville Old Face"/>
          <w:sz w:val="24"/>
          <w:szCs w:val="24"/>
        </w:rPr>
        <w:t>Another key concept within the theory is that of capital. Capital refers to the resource, in whichever form it may manifest, that a social agent holds. One’s possession of capital</w:t>
      </w:r>
      <w:r w:rsidR="00C07F9A">
        <w:rPr>
          <w:rFonts w:ascii="Baskerville Old Face" w:hAnsi="Baskerville Old Face"/>
          <w:sz w:val="24"/>
          <w:szCs w:val="24"/>
        </w:rPr>
        <w:t xml:space="preserve"> in society, is consciously, or unconsciously assessed by others, in determination of social standing; those with a wealth of capital are likely to exercise that power, finding themselves in a </w:t>
      </w:r>
      <w:r w:rsidR="00EC0CF7">
        <w:rPr>
          <w:rFonts w:ascii="Baskerville Old Face" w:hAnsi="Baskerville Old Face"/>
          <w:sz w:val="24"/>
          <w:szCs w:val="24"/>
        </w:rPr>
        <w:t>favourable position in the social hierarchy.</w:t>
      </w:r>
      <w:r w:rsidR="00CA01E2">
        <w:rPr>
          <w:rFonts w:ascii="Baskerville Old Face" w:hAnsi="Baskerville Old Face"/>
          <w:sz w:val="24"/>
          <w:szCs w:val="24"/>
        </w:rPr>
        <w:t xml:space="preserve"> Cultural capital for instance,</w:t>
      </w:r>
      <w:r w:rsidR="006B79AA">
        <w:rPr>
          <w:rFonts w:ascii="Baskerville Old Face" w:hAnsi="Baskerville Old Face"/>
          <w:sz w:val="24"/>
          <w:szCs w:val="24"/>
        </w:rPr>
        <w:t xml:space="preserve"> is the knowledge and experience gained through cultural immersion and developed competence. Socially ascribed power and prestige awarded unto a social agent by peers is referred to as symbolic capital, which can be observed in the cases of certain politicians, or beloved celebrities. There is also economic capital which, naturally, addresses wealth, or </w:t>
      </w:r>
      <w:r w:rsidR="002B6137">
        <w:rPr>
          <w:rFonts w:ascii="Baskerville Old Face" w:hAnsi="Baskerville Old Face"/>
          <w:sz w:val="24"/>
          <w:szCs w:val="24"/>
        </w:rPr>
        <w:t xml:space="preserve">the </w:t>
      </w:r>
      <w:r w:rsidR="006B79AA">
        <w:rPr>
          <w:rFonts w:ascii="Baskerville Old Face" w:hAnsi="Baskerville Old Face"/>
          <w:sz w:val="24"/>
          <w:szCs w:val="24"/>
        </w:rPr>
        <w:t>material resources that one may possess.</w:t>
      </w:r>
    </w:p>
    <w:p w14:paraId="30C83D72" w14:textId="43772524" w:rsidR="00124E2B" w:rsidRDefault="00124E2B" w:rsidP="00A14B9A">
      <w:pPr>
        <w:jc w:val="both"/>
        <w:rPr>
          <w:rFonts w:ascii="Baskerville Old Face" w:hAnsi="Baskerville Old Face"/>
          <w:sz w:val="24"/>
          <w:szCs w:val="24"/>
        </w:rPr>
      </w:pPr>
      <w:r>
        <w:rPr>
          <w:rFonts w:ascii="Baskerville Old Face" w:hAnsi="Baskerville Old Face"/>
          <w:sz w:val="24"/>
          <w:szCs w:val="24"/>
        </w:rPr>
        <w:t xml:space="preserve">With this understanding of </w:t>
      </w:r>
      <w:r w:rsidR="00645F93">
        <w:rPr>
          <w:rFonts w:ascii="Baskerville Old Face" w:hAnsi="Baskerville Old Face"/>
          <w:sz w:val="24"/>
          <w:szCs w:val="24"/>
        </w:rPr>
        <w:t xml:space="preserve">Bourdieu’s theory, it is possible to begin its application to historical examples of habitus with the intention of both determining whether modern sociological theory </w:t>
      </w:r>
      <w:r w:rsidR="001B6843">
        <w:rPr>
          <w:rFonts w:ascii="Baskerville Old Face" w:hAnsi="Baskerville Old Face"/>
          <w:sz w:val="24"/>
          <w:szCs w:val="24"/>
        </w:rPr>
        <w:t xml:space="preserve">is appropriate or accurate within a historical context, as well as attempting to better understand the social workings of ancient and prehistoric peoples. </w:t>
      </w:r>
      <w:r w:rsidR="002B6137">
        <w:rPr>
          <w:rFonts w:ascii="Baskerville Old Face" w:hAnsi="Baskerville Old Face"/>
          <w:sz w:val="24"/>
          <w:szCs w:val="24"/>
        </w:rPr>
        <w:t xml:space="preserve">The ability to connect, as modern archaeologists or historians, with these people- the subjects of study- is </w:t>
      </w:r>
      <w:r w:rsidR="0078260E">
        <w:rPr>
          <w:rFonts w:ascii="Baskerville Old Face" w:hAnsi="Baskerville Old Face"/>
          <w:sz w:val="24"/>
          <w:szCs w:val="24"/>
        </w:rPr>
        <w:t>uniquely important, and cannot afford to be dismissed, lest the study of history lose the very people it is attempting to survive. Archaeologist Ruth Tringham herself, felt schooled by this idea; in her envisaging of prehistory, she imagined only ‘a lot of faceless blobs.’</w:t>
      </w:r>
      <w:r w:rsidR="000F297C">
        <w:rPr>
          <w:rStyle w:val="FootnoteReference"/>
          <w:rFonts w:ascii="Baskerville Old Face" w:hAnsi="Baskerville Old Face"/>
          <w:sz w:val="24"/>
          <w:szCs w:val="24"/>
        </w:rPr>
        <w:footnoteReference w:id="9"/>
      </w:r>
      <w:r w:rsidR="0078260E">
        <w:rPr>
          <w:rFonts w:ascii="Baskerville Old Face" w:hAnsi="Baskerville Old Face"/>
          <w:sz w:val="24"/>
          <w:szCs w:val="24"/>
        </w:rPr>
        <w:t xml:space="preserve"> Tringham writes that ‘until you can engender prehistory, you cannot think of your prehistoric constructions as really human entities </w:t>
      </w:r>
      <w:r w:rsidR="0078260E">
        <w:rPr>
          <w:rFonts w:ascii="Baskerville Old Face" w:hAnsi="Baskerville Old Face"/>
          <w:sz w:val="24"/>
          <w:szCs w:val="24"/>
        </w:rPr>
        <w:lastRenderedPageBreak/>
        <w:t>with a social, political, ideological, and economic life.’</w:t>
      </w:r>
      <w:r w:rsidR="000F297C">
        <w:rPr>
          <w:rStyle w:val="FootnoteReference"/>
          <w:rFonts w:ascii="Baskerville Old Face" w:hAnsi="Baskerville Old Face"/>
          <w:sz w:val="24"/>
          <w:szCs w:val="24"/>
        </w:rPr>
        <w:footnoteReference w:id="10"/>
      </w:r>
      <w:r w:rsidR="0078260E">
        <w:rPr>
          <w:rFonts w:ascii="Baskerville Old Face" w:hAnsi="Baskerville Old Face"/>
          <w:sz w:val="24"/>
          <w:szCs w:val="24"/>
        </w:rPr>
        <w:t xml:space="preserve"> Therefore, seeing the past under a human, sociological lens, is almost necessary for it to be understood;</w:t>
      </w:r>
      <w:r w:rsidR="00734E79">
        <w:rPr>
          <w:rFonts w:ascii="Baskerville Old Face" w:hAnsi="Baskerville Old Face"/>
          <w:sz w:val="24"/>
          <w:szCs w:val="24"/>
        </w:rPr>
        <w:t xml:space="preserve"> modern</w:t>
      </w:r>
      <w:r w:rsidR="0078260E">
        <w:rPr>
          <w:rFonts w:ascii="Baskerville Old Face" w:hAnsi="Baskerville Old Face"/>
          <w:sz w:val="24"/>
          <w:szCs w:val="24"/>
        </w:rPr>
        <w:t xml:space="preserve"> sociology, and social theory, has the potential to realise this.</w:t>
      </w:r>
      <w:r w:rsidR="001A6946">
        <w:rPr>
          <w:rFonts w:ascii="Baskerville Old Face" w:hAnsi="Baskerville Old Face"/>
          <w:sz w:val="24"/>
          <w:szCs w:val="24"/>
        </w:rPr>
        <w:t xml:space="preserve"> It is imperative, also, for one to realise the substance in buildings as a metaphor. That is to say, the intention, and activity of and within a building is culturally significant, as </w:t>
      </w:r>
      <w:r w:rsidR="00E151B3">
        <w:rPr>
          <w:rFonts w:ascii="Baskerville Old Face" w:hAnsi="Baskerville Old Face"/>
          <w:sz w:val="24"/>
          <w:szCs w:val="24"/>
        </w:rPr>
        <w:t>the building itself acts as a</w:t>
      </w:r>
      <w:r w:rsidR="00DB4DCB">
        <w:rPr>
          <w:rFonts w:ascii="Baskerville Old Face" w:hAnsi="Baskerville Old Face"/>
          <w:sz w:val="24"/>
          <w:szCs w:val="24"/>
        </w:rPr>
        <w:t xml:space="preserve"> ‘metaphor for a community’s view of the world order.’ Hence, the importance of human activity in regard to architecture must be recognised</w:t>
      </w:r>
      <w:r w:rsidR="00C56295">
        <w:rPr>
          <w:rFonts w:ascii="Baskerville Old Face" w:hAnsi="Baskerville Old Face"/>
          <w:sz w:val="24"/>
          <w:szCs w:val="24"/>
        </w:rPr>
        <w:t xml:space="preserve">, </w:t>
      </w:r>
      <w:r w:rsidR="00DB4DCB">
        <w:rPr>
          <w:rFonts w:ascii="Baskerville Old Face" w:hAnsi="Baskerville Old Face"/>
          <w:sz w:val="24"/>
          <w:szCs w:val="24"/>
        </w:rPr>
        <w:t>because ‘in ordering space, architecture also orders human action’</w:t>
      </w:r>
      <w:r w:rsidR="00DB4DCB">
        <w:rPr>
          <w:rStyle w:val="FootnoteReference"/>
          <w:rFonts w:ascii="Baskerville Old Face" w:hAnsi="Baskerville Old Face"/>
          <w:sz w:val="24"/>
          <w:szCs w:val="24"/>
        </w:rPr>
        <w:footnoteReference w:id="11"/>
      </w:r>
      <w:r w:rsidR="00DB4DCB">
        <w:rPr>
          <w:rFonts w:ascii="Baskerville Old Face" w:hAnsi="Baskerville Old Face"/>
          <w:sz w:val="24"/>
          <w:szCs w:val="24"/>
        </w:rPr>
        <w:t>, which undoubtedly, will be affirmed in the examination of the Chalcolithic Cypriot house plan.</w:t>
      </w:r>
    </w:p>
    <w:p w14:paraId="455E9713" w14:textId="52FE07D4" w:rsidR="00B65102" w:rsidRDefault="00AF0166" w:rsidP="00A14B9A">
      <w:pPr>
        <w:jc w:val="both"/>
        <w:rPr>
          <w:rFonts w:ascii="Baskerville Old Face" w:hAnsi="Baskerville Old Face"/>
          <w:sz w:val="24"/>
          <w:szCs w:val="24"/>
        </w:rPr>
      </w:pPr>
      <w:r>
        <w:rPr>
          <w:rFonts w:ascii="Baskerville Old Face" w:hAnsi="Baskerville Old Face"/>
          <w:sz w:val="24"/>
          <w:szCs w:val="24"/>
        </w:rPr>
        <w:t>Architecture during the Chalcolithic period in Cyprus can be described as ‘complex’ and ‘[differing] from site to site</w:t>
      </w:r>
      <w:r w:rsidR="00D168A8">
        <w:rPr>
          <w:rFonts w:ascii="Baskerville Old Face" w:hAnsi="Baskerville Old Face"/>
          <w:sz w:val="24"/>
          <w:szCs w:val="24"/>
        </w:rPr>
        <w:t>’</w:t>
      </w:r>
      <w:r w:rsidR="00D168A8">
        <w:rPr>
          <w:rStyle w:val="FootnoteReference"/>
          <w:rFonts w:ascii="Baskerville Old Face" w:hAnsi="Baskerville Old Face"/>
          <w:sz w:val="24"/>
          <w:szCs w:val="24"/>
        </w:rPr>
        <w:footnoteReference w:id="12"/>
      </w:r>
      <w:r w:rsidR="00D168A8">
        <w:rPr>
          <w:rFonts w:ascii="Baskerville Old Face" w:hAnsi="Baskerville Old Face"/>
          <w:sz w:val="24"/>
          <w:szCs w:val="24"/>
        </w:rPr>
        <w:t>. Despite two significant events that brought about architectural change</w:t>
      </w:r>
      <w:r w:rsidR="00D168A8">
        <w:rPr>
          <w:rStyle w:val="FootnoteReference"/>
          <w:rFonts w:ascii="Baskerville Old Face" w:hAnsi="Baskerville Old Face"/>
          <w:sz w:val="24"/>
          <w:szCs w:val="24"/>
        </w:rPr>
        <w:footnoteReference w:id="13"/>
      </w:r>
      <w:r w:rsidR="00D168A8">
        <w:rPr>
          <w:rFonts w:ascii="Baskerville Old Face" w:hAnsi="Baskerville Old Face"/>
          <w:sz w:val="24"/>
          <w:szCs w:val="24"/>
        </w:rPr>
        <w:t>, the standard of the home remained the same throughout external cultural movements and influence, perhaps sig</w:t>
      </w:r>
      <w:r w:rsidR="00EA76CE">
        <w:rPr>
          <w:rFonts w:ascii="Baskerville Old Face" w:hAnsi="Baskerville Old Face"/>
          <w:sz w:val="24"/>
          <w:szCs w:val="24"/>
        </w:rPr>
        <w:t xml:space="preserve">nifying the ‘role of </w:t>
      </w:r>
      <w:r w:rsidR="00670DAF">
        <w:rPr>
          <w:rFonts w:ascii="Baskerville Old Face" w:hAnsi="Baskerville Old Face"/>
          <w:sz w:val="24"/>
          <w:szCs w:val="24"/>
        </w:rPr>
        <w:t>architecture</w:t>
      </w:r>
      <w:r w:rsidR="00EA76CE">
        <w:rPr>
          <w:rFonts w:ascii="Baskerville Old Face" w:hAnsi="Baskerville Old Face"/>
          <w:sz w:val="24"/>
          <w:szCs w:val="24"/>
        </w:rPr>
        <w:t xml:space="preserve"> as an element in defining cultural identity</w:t>
      </w:r>
      <w:r w:rsidR="0092145B">
        <w:rPr>
          <w:rFonts w:ascii="Baskerville Old Face" w:hAnsi="Baskerville Old Face"/>
          <w:sz w:val="24"/>
          <w:szCs w:val="24"/>
        </w:rPr>
        <w:t>.’</w:t>
      </w:r>
      <w:r w:rsidR="00EA76CE">
        <w:rPr>
          <w:rStyle w:val="FootnoteReference"/>
          <w:rFonts w:ascii="Baskerville Old Face" w:hAnsi="Baskerville Old Face"/>
          <w:sz w:val="24"/>
          <w:szCs w:val="24"/>
        </w:rPr>
        <w:footnoteReference w:id="14"/>
      </w:r>
      <w:r w:rsidR="0092145B">
        <w:rPr>
          <w:rFonts w:ascii="Baskerville Old Face" w:hAnsi="Baskerville Old Face"/>
          <w:sz w:val="24"/>
          <w:szCs w:val="24"/>
        </w:rPr>
        <w:t xml:space="preserve"> </w:t>
      </w:r>
      <w:r w:rsidR="004177BA">
        <w:rPr>
          <w:rFonts w:ascii="Baskerville Old Face" w:hAnsi="Baskerville Old Face"/>
          <w:noProof/>
          <w:sz w:val="24"/>
          <w:szCs w:val="24"/>
        </w:rPr>
        <w:drawing>
          <wp:anchor distT="0" distB="0" distL="114300" distR="114300" simplePos="0" relativeHeight="251659264" behindDoc="0" locked="0" layoutInCell="1" allowOverlap="1" wp14:anchorId="71994445" wp14:editId="4DD62342">
            <wp:simplePos x="0" y="0"/>
            <wp:positionH relativeFrom="column">
              <wp:posOffset>0</wp:posOffset>
            </wp:positionH>
            <wp:positionV relativeFrom="paragraph">
              <wp:posOffset>1514</wp:posOffset>
            </wp:positionV>
            <wp:extent cx="2444750" cy="2468880"/>
            <wp:effectExtent l="0" t="0" r="0" b="7620"/>
            <wp:wrapThrough wrapText="bothSides">
              <wp:wrapPolygon edited="0">
                <wp:start x="0" y="0"/>
                <wp:lineTo x="0" y="21500"/>
                <wp:lineTo x="21376" y="21500"/>
                <wp:lineTo x="21376" y="0"/>
                <wp:lineTo x="0" y="0"/>
              </wp:wrapPolygon>
            </wp:wrapThrough>
            <wp:docPr id="1169950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44750" cy="2468880"/>
                    </a:xfrm>
                    <a:prstGeom prst="rect">
                      <a:avLst/>
                    </a:prstGeom>
                    <a:noFill/>
                  </pic:spPr>
                </pic:pic>
              </a:graphicData>
            </a:graphic>
          </wp:anchor>
        </w:drawing>
      </w:r>
      <w:r w:rsidR="00867C55">
        <w:rPr>
          <w:rFonts w:ascii="Baskerville Old Face" w:hAnsi="Baskerville Old Face"/>
          <w:sz w:val="24"/>
          <w:szCs w:val="24"/>
        </w:rPr>
        <w:t>Architectural record has identified the standard plan characteristic of Chalcolithic Cyprus throughout its millennia, pictured in its most basic representation, to the left. These houses were circular, free-standing, and single-roomed situated within a shallow depression</w:t>
      </w:r>
      <w:r w:rsidR="00A31460">
        <w:rPr>
          <w:rFonts w:ascii="Baskerville Old Face" w:hAnsi="Baskerville Old Face"/>
          <w:sz w:val="24"/>
          <w:szCs w:val="24"/>
        </w:rPr>
        <w:t xml:space="preserve">. The walls were of mud, or stone, topped by a flat earth roof and finished with a mud or lime plaster. As can be observed, coloured red in the centre of the plan, lay the hearth. This too, was constructed of mud or lime plaster, as would have been the case with all internal elements within the home, with bevelled edging and a central firebowl, which </w:t>
      </w:r>
      <w:r w:rsidR="007703F3">
        <w:rPr>
          <w:rFonts w:ascii="Baskerville Old Face" w:hAnsi="Baskerville Old Face"/>
          <w:sz w:val="24"/>
          <w:szCs w:val="24"/>
        </w:rPr>
        <w:t>would have</w:t>
      </w:r>
      <w:r w:rsidR="00A31460">
        <w:rPr>
          <w:rFonts w:ascii="Baskerville Old Face" w:hAnsi="Baskerville Old Face"/>
          <w:sz w:val="24"/>
          <w:szCs w:val="24"/>
        </w:rPr>
        <w:t xml:space="preserve"> been the stereotypical format of the period</w:t>
      </w:r>
      <w:r w:rsidR="002134EF">
        <w:rPr>
          <w:rStyle w:val="FootnoteReference"/>
          <w:rFonts w:ascii="Baskerville Old Face" w:hAnsi="Baskerville Old Face"/>
          <w:sz w:val="24"/>
          <w:szCs w:val="24"/>
        </w:rPr>
        <w:footnoteReference w:id="15"/>
      </w:r>
      <w:r w:rsidR="00A31460">
        <w:rPr>
          <w:rFonts w:ascii="Baskerville Old Face" w:hAnsi="Baskerville Old Face"/>
          <w:sz w:val="24"/>
          <w:szCs w:val="24"/>
        </w:rPr>
        <w:t>.</w:t>
      </w:r>
      <w:r w:rsidR="00E30AE7">
        <w:rPr>
          <w:rFonts w:ascii="Baskerville Old Face" w:hAnsi="Baskerville Old Face"/>
          <w:sz w:val="24"/>
          <w:szCs w:val="24"/>
        </w:rPr>
        <w:t xml:space="preserve"> As knowledge and competence of construction grew, so too did the durability and sturdiness of which these roundhouses were built; early chalcolithic buildings were likely built with perishable material. In the same sentiment, certain changes regarding layout can be observed, specifically with the increase in indoor storage facilities, which suggests </w:t>
      </w:r>
      <w:r w:rsidR="001D17A6">
        <w:rPr>
          <w:rFonts w:ascii="Baskerville Old Face" w:hAnsi="Baskerville Old Face"/>
          <w:sz w:val="24"/>
          <w:szCs w:val="24"/>
        </w:rPr>
        <w:t>that economy was becoming a bigger part of the household</w:t>
      </w:r>
      <w:r w:rsidR="002134EF">
        <w:rPr>
          <w:rStyle w:val="FootnoteReference"/>
          <w:rFonts w:ascii="Baskerville Old Face" w:hAnsi="Baskerville Old Face"/>
          <w:sz w:val="24"/>
          <w:szCs w:val="24"/>
        </w:rPr>
        <w:footnoteReference w:id="16"/>
      </w:r>
      <w:r w:rsidR="001D17A6">
        <w:rPr>
          <w:rFonts w:ascii="Baskerville Old Face" w:hAnsi="Baskerville Old Face"/>
          <w:sz w:val="24"/>
          <w:szCs w:val="24"/>
        </w:rPr>
        <w:t>.</w:t>
      </w:r>
      <w:r w:rsidR="002B25C9">
        <w:rPr>
          <w:rFonts w:ascii="Baskerville Old Face" w:hAnsi="Baskerville Old Face"/>
          <w:sz w:val="24"/>
          <w:szCs w:val="24"/>
        </w:rPr>
        <w:t xml:space="preserve"> </w:t>
      </w:r>
      <w:r w:rsidR="007979AD">
        <w:rPr>
          <w:rFonts w:ascii="Baskerville Old Face" w:hAnsi="Baskerville Old Face"/>
          <w:sz w:val="24"/>
          <w:szCs w:val="24"/>
        </w:rPr>
        <w:t xml:space="preserve">This relates to Bourdieu’s idea of the home as an extension of capital, as the ‘work area’ and the shift to indoor food storage </w:t>
      </w:r>
      <w:r w:rsidR="00A57CDF">
        <w:rPr>
          <w:rFonts w:ascii="Baskerville Old Face" w:hAnsi="Baskerville Old Face"/>
          <w:sz w:val="24"/>
          <w:szCs w:val="24"/>
        </w:rPr>
        <w:t xml:space="preserve">is representative of just that. Furthermore, </w:t>
      </w:r>
      <w:r w:rsidR="00DE2F23">
        <w:rPr>
          <w:rFonts w:ascii="Baskerville Old Face" w:hAnsi="Baskerville Old Face"/>
          <w:sz w:val="24"/>
          <w:szCs w:val="24"/>
        </w:rPr>
        <w:t>the evolution of house form during the Middle Chalcolithic period into ‘impressive, elaborate, and costly structures’</w:t>
      </w:r>
      <w:r w:rsidR="00DE2F23">
        <w:rPr>
          <w:rStyle w:val="FootnoteReference"/>
          <w:rFonts w:ascii="Baskerville Old Face" w:hAnsi="Baskerville Old Face"/>
          <w:sz w:val="24"/>
          <w:szCs w:val="24"/>
        </w:rPr>
        <w:footnoteReference w:id="17"/>
      </w:r>
      <w:r w:rsidR="00DE2F23">
        <w:rPr>
          <w:rFonts w:ascii="Baskerville Old Face" w:hAnsi="Baskerville Old Face"/>
          <w:sz w:val="24"/>
          <w:szCs w:val="24"/>
        </w:rPr>
        <w:t xml:space="preserve"> could in fact, indicate a shift toward further social complexity, wherein hierarchies are beginning to be enforced, and thus capital as a social tool is being integrated further. According to archaeologist Thomas, architectural elements such as grandeur and formal spaces within the household, as well as </w:t>
      </w:r>
      <w:r w:rsidR="00DE2F23">
        <w:rPr>
          <w:rFonts w:ascii="Baskerville Old Face" w:hAnsi="Baskerville Old Face"/>
          <w:sz w:val="24"/>
          <w:szCs w:val="24"/>
        </w:rPr>
        <w:lastRenderedPageBreak/>
        <w:t xml:space="preserve">construction quality, </w:t>
      </w:r>
      <w:r w:rsidR="004C5208">
        <w:rPr>
          <w:rFonts w:ascii="Baskerville Old Face" w:hAnsi="Baskerville Old Face"/>
          <w:sz w:val="24"/>
          <w:szCs w:val="24"/>
        </w:rPr>
        <w:t xml:space="preserve">could likely have been considered as socially important features of habitus, in representing status among community (symbolic capital), as well as economic capital. </w:t>
      </w:r>
      <w:r w:rsidR="0068399D">
        <w:rPr>
          <w:rFonts w:ascii="Baskerville Old Face" w:hAnsi="Baskerville Old Face"/>
          <w:sz w:val="24"/>
          <w:szCs w:val="24"/>
        </w:rPr>
        <w:t>The shift toward sturdier material is indicative of growing cultural capital and in turn, competence in tasks that serve society.</w:t>
      </w:r>
    </w:p>
    <w:p w14:paraId="3EA57FDB" w14:textId="1D052294" w:rsidR="004547C8" w:rsidRDefault="002B25C9" w:rsidP="00A14B9A">
      <w:pPr>
        <w:jc w:val="both"/>
        <w:rPr>
          <w:rFonts w:ascii="Baskerville Old Face" w:hAnsi="Baskerville Old Face"/>
          <w:sz w:val="24"/>
          <w:szCs w:val="24"/>
        </w:rPr>
      </w:pPr>
      <w:r>
        <w:rPr>
          <w:rFonts w:ascii="Baskerville Old Face" w:hAnsi="Baskerville Old Face"/>
          <w:sz w:val="24"/>
          <w:szCs w:val="24"/>
        </w:rPr>
        <w:t>Despite the roundhouse’s open plan layout, examples of spatial segmentation have been implemented</w:t>
      </w:r>
      <w:r w:rsidR="002C02DC">
        <w:rPr>
          <w:rFonts w:ascii="Baskerville Old Face" w:hAnsi="Baskerville Old Face"/>
          <w:sz w:val="24"/>
          <w:szCs w:val="24"/>
        </w:rPr>
        <w:t xml:space="preserve"> </w:t>
      </w:r>
      <w:proofErr w:type="gramStart"/>
      <w:r w:rsidR="002C02DC">
        <w:rPr>
          <w:rFonts w:ascii="Baskerville Old Face" w:hAnsi="Baskerville Old Face"/>
          <w:sz w:val="24"/>
          <w:szCs w:val="24"/>
        </w:rPr>
        <w:t>through the use of</w:t>
      </w:r>
      <w:proofErr w:type="gramEnd"/>
      <w:r w:rsidR="002C02DC">
        <w:rPr>
          <w:rFonts w:ascii="Baskerville Old Face" w:hAnsi="Baskerville Old Face"/>
          <w:sz w:val="24"/>
          <w:szCs w:val="24"/>
        </w:rPr>
        <w:t xml:space="preserve"> </w:t>
      </w:r>
      <w:r w:rsidR="002961A5">
        <w:rPr>
          <w:rFonts w:ascii="Baskerville Old Face" w:hAnsi="Baskerville Old Face"/>
          <w:sz w:val="24"/>
          <w:szCs w:val="24"/>
        </w:rPr>
        <w:t xml:space="preserve">plastered </w:t>
      </w:r>
      <w:r w:rsidR="002C02DC">
        <w:rPr>
          <w:rFonts w:ascii="Baskerville Old Face" w:hAnsi="Baskerville Old Face"/>
          <w:sz w:val="24"/>
          <w:szCs w:val="24"/>
        </w:rPr>
        <w:t>floor, which covers the area</w:t>
      </w:r>
      <w:r w:rsidR="002961A5">
        <w:rPr>
          <w:rFonts w:ascii="Baskerville Old Face" w:hAnsi="Baskerville Old Face"/>
          <w:sz w:val="24"/>
          <w:szCs w:val="24"/>
        </w:rPr>
        <w:t xml:space="preserve"> to the right of the entrance</w:t>
      </w:r>
      <w:r w:rsidR="002C02DC">
        <w:rPr>
          <w:rFonts w:ascii="Baskerville Old Face" w:hAnsi="Baskerville Old Face"/>
          <w:sz w:val="24"/>
          <w:szCs w:val="24"/>
        </w:rPr>
        <w:t>, purposed as a living and sleeping area. The remainder of the interior is non-plastered</w:t>
      </w:r>
      <w:r w:rsidR="00A7732E">
        <w:rPr>
          <w:rFonts w:ascii="Baskerville Old Face" w:hAnsi="Baskerville Old Face"/>
          <w:sz w:val="24"/>
          <w:szCs w:val="24"/>
        </w:rPr>
        <w:t xml:space="preserve">, wherein cooking, tool production, and storage would have taken place. </w:t>
      </w:r>
      <w:r w:rsidR="00AA02F8">
        <w:rPr>
          <w:rFonts w:ascii="Baskerville Old Face" w:hAnsi="Baskerville Old Face"/>
          <w:sz w:val="24"/>
          <w:szCs w:val="24"/>
        </w:rPr>
        <w:t xml:space="preserve">The open plan, too, is significant in its attention to a communal purpose. </w:t>
      </w:r>
      <w:r w:rsidR="00A7732E">
        <w:rPr>
          <w:rFonts w:ascii="Baskerville Old Face" w:hAnsi="Baskerville Old Face"/>
          <w:sz w:val="24"/>
          <w:szCs w:val="24"/>
        </w:rPr>
        <w:t>This mindful separation through material is telling of a domestically conscious, cultured attitude to their construction which, furthermore, suggests of this period to have a deep-rooted value and understanding of family functioning, and socialisation.</w:t>
      </w:r>
      <w:r w:rsidR="001A403C">
        <w:rPr>
          <w:rFonts w:ascii="Baskerville Old Face" w:hAnsi="Baskerville Old Face"/>
          <w:sz w:val="24"/>
          <w:szCs w:val="24"/>
        </w:rPr>
        <w:t xml:space="preserve"> </w:t>
      </w:r>
      <w:r w:rsidR="004547C8">
        <w:rPr>
          <w:rFonts w:ascii="Baskerville Old Face" w:hAnsi="Baskerville Old Face"/>
          <w:sz w:val="24"/>
          <w:szCs w:val="24"/>
        </w:rPr>
        <w:t xml:space="preserve">The question of </w:t>
      </w:r>
      <w:r w:rsidR="00047127">
        <w:rPr>
          <w:rFonts w:ascii="Baskerville Old Face" w:hAnsi="Baskerville Old Face"/>
          <w:sz w:val="24"/>
          <w:szCs w:val="24"/>
        </w:rPr>
        <w:t>these homes</w:t>
      </w:r>
      <w:r w:rsidR="004547C8">
        <w:rPr>
          <w:rFonts w:ascii="Baskerville Old Face" w:hAnsi="Baskerville Old Face"/>
          <w:sz w:val="24"/>
          <w:szCs w:val="24"/>
        </w:rPr>
        <w:t xml:space="preserve"> as ‘dynamic entities’</w:t>
      </w:r>
      <w:r w:rsidR="004547C8">
        <w:rPr>
          <w:rStyle w:val="FootnoteReference"/>
          <w:rFonts w:ascii="Baskerville Old Face" w:hAnsi="Baskerville Old Face"/>
          <w:sz w:val="24"/>
          <w:szCs w:val="24"/>
        </w:rPr>
        <w:footnoteReference w:id="18"/>
      </w:r>
      <w:r w:rsidR="004547C8">
        <w:rPr>
          <w:rFonts w:ascii="Baskerville Old Face" w:hAnsi="Baskerville Old Face"/>
          <w:sz w:val="24"/>
          <w:szCs w:val="24"/>
        </w:rPr>
        <w:t xml:space="preserve"> can be posed, to which one must consider their biographies, and parallel nature to their inhabitants. As a ‘constant cultural marker of this period, and the focus of domestic and social life’</w:t>
      </w:r>
      <w:r w:rsidR="004547C8">
        <w:rPr>
          <w:rStyle w:val="FootnoteReference"/>
          <w:rFonts w:ascii="Baskerville Old Face" w:hAnsi="Baskerville Old Face"/>
          <w:sz w:val="24"/>
          <w:szCs w:val="24"/>
        </w:rPr>
        <w:footnoteReference w:id="19"/>
      </w:r>
      <w:r w:rsidR="004547C8">
        <w:rPr>
          <w:rFonts w:ascii="Baskerville Old Face" w:hAnsi="Baskerville Old Face"/>
          <w:sz w:val="24"/>
          <w:szCs w:val="24"/>
        </w:rPr>
        <w:t>, the concept of the family, and of the household, bleeds in to the architecture itself, lending what is essentially mud and plaster, a life of its own.</w:t>
      </w:r>
      <w:r w:rsidR="001A403C">
        <w:rPr>
          <w:rFonts w:ascii="Baskerville Old Face" w:hAnsi="Baskerville Old Face"/>
          <w:sz w:val="24"/>
          <w:szCs w:val="24"/>
        </w:rPr>
        <w:t xml:space="preserve"> Their construction mirrors birth, their habitation in which they adapt to use can be seen as their life, and lastly their subsequent ruin or demolition mirrors death.</w:t>
      </w:r>
      <w:r w:rsidR="004547C8">
        <w:rPr>
          <w:rFonts w:ascii="Baskerville Old Face" w:hAnsi="Baskerville Old Face"/>
          <w:sz w:val="24"/>
          <w:szCs w:val="24"/>
        </w:rPr>
        <w:t xml:space="preserve"> It has even been suggested through association of the household, the house may begin to take on a similar identity, as it is formed and changed </w:t>
      </w:r>
      <w:r w:rsidR="001A403C">
        <w:rPr>
          <w:rFonts w:ascii="Baskerville Old Face" w:hAnsi="Baskerville Old Face"/>
          <w:sz w:val="24"/>
          <w:szCs w:val="24"/>
        </w:rPr>
        <w:t xml:space="preserve">through generations of use. </w:t>
      </w:r>
    </w:p>
    <w:p w14:paraId="7CD2B3B4" w14:textId="3EEB3686" w:rsidR="00C656F1" w:rsidRDefault="00C656F1" w:rsidP="00A14B9A">
      <w:pPr>
        <w:jc w:val="both"/>
        <w:rPr>
          <w:rFonts w:ascii="Baskerville Old Face" w:hAnsi="Baskerville Old Face"/>
          <w:sz w:val="24"/>
          <w:szCs w:val="24"/>
        </w:rPr>
      </w:pPr>
      <w:r>
        <w:rPr>
          <w:rFonts w:ascii="Baskerville Old Face" w:hAnsi="Baskerville Old Face"/>
          <w:sz w:val="24"/>
          <w:szCs w:val="24"/>
        </w:rPr>
        <w:t>It is clear then, that domiciles are undeniably intertwined with human life and our sociology; this statement appears to hold true throughout prehistory into modernity. The sociology of man is imbued in all that is interacted with, and made by us.</w:t>
      </w:r>
      <w:r w:rsidR="001F4206">
        <w:rPr>
          <w:rFonts w:ascii="Baskerville Old Face" w:hAnsi="Baskerville Old Face"/>
          <w:sz w:val="24"/>
          <w:szCs w:val="24"/>
        </w:rPr>
        <w:t xml:space="preserve"> In that sense, the biography of</w:t>
      </w:r>
      <w:r w:rsidR="00320C35">
        <w:rPr>
          <w:rFonts w:ascii="Baskerville Old Face" w:hAnsi="Baskerville Old Face"/>
          <w:sz w:val="24"/>
          <w:szCs w:val="24"/>
        </w:rPr>
        <w:t xml:space="preserve"> homes</w:t>
      </w:r>
      <w:r w:rsidR="001F4206">
        <w:rPr>
          <w:rFonts w:ascii="Baskerville Old Face" w:hAnsi="Baskerville Old Face"/>
          <w:sz w:val="24"/>
          <w:szCs w:val="24"/>
        </w:rPr>
        <w:t xml:space="preserve"> </w:t>
      </w:r>
      <w:proofErr w:type="gramStart"/>
      <w:r w:rsidR="00A559F5">
        <w:rPr>
          <w:rFonts w:ascii="Baskerville Old Face" w:hAnsi="Baskerville Old Face"/>
          <w:sz w:val="24"/>
          <w:szCs w:val="24"/>
        </w:rPr>
        <w:t>reflects</w:t>
      </w:r>
      <w:r w:rsidR="00320C35">
        <w:rPr>
          <w:rFonts w:ascii="Baskerville Old Face" w:hAnsi="Baskerville Old Face"/>
          <w:sz w:val="24"/>
          <w:szCs w:val="24"/>
        </w:rPr>
        <w:t xml:space="preserve"> back</w:t>
      </w:r>
      <w:proofErr w:type="gramEnd"/>
      <w:r w:rsidR="00320C35">
        <w:rPr>
          <w:rFonts w:ascii="Baskerville Old Face" w:hAnsi="Baskerville Old Face"/>
          <w:sz w:val="24"/>
          <w:szCs w:val="24"/>
        </w:rPr>
        <w:t xml:space="preserve"> at us the social and familial workings that make up the family with</w:t>
      </w:r>
      <w:r w:rsidR="001679FB">
        <w:rPr>
          <w:rFonts w:ascii="Baskerville Old Face" w:hAnsi="Baskerville Old Face"/>
          <w:sz w:val="24"/>
          <w:szCs w:val="24"/>
        </w:rPr>
        <w:t>in</w:t>
      </w:r>
      <w:r w:rsidR="00320C35">
        <w:rPr>
          <w:rFonts w:ascii="Baskerville Old Face" w:hAnsi="Baskerville Old Face"/>
          <w:sz w:val="24"/>
          <w:szCs w:val="24"/>
        </w:rPr>
        <w:t xml:space="preserve">. </w:t>
      </w:r>
      <w:r w:rsidR="00F9775F">
        <w:rPr>
          <w:rFonts w:ascii="Baskerville Old Face" w:hAnsi="Baskerville Old Face"/>
          <w:sz w:val="24"/>
          <w:szCs w:val="24"/>
        </w:rPr>
        <w:t>With respect to Bourdieu’s theory of practice</w:t>
      </w:r>
      <w:r w:rsidR="007979AD">
        <w:rPr>
          <w:rFonts w:ascii="Baskerville Old Face" w:hAnsi="Baskerville Old Face"/>
          <w:sz w:val="24"/>
          <w:szCs w:val="24"/>
        </w:rPr>
        <w:t xml:space="preserve">, </w:t>
      </w:r>
      <w:r w:rsidR="0068399D">
        <w:rPr>
          <w:rFonts w:ascii="Baskerville Old Face" w:hAnsi="Baskerville Old Face"/>
          <w:sz w:val="24"/>
          <w:szCs w:val="24"/>
        </w:rPr>
        <w:t xml:space="preserve">his ideas of society’s functioning align, in part, when applied to the context of Chalcolithic Cyprus, however it must be acknowledged the theory’s formation in the twentieth century, is a direct response to twentieth century society, and therefore can only be loosely translated in any other timeframe, as society, and man, is forever adapting. </w:t>
      </w:r>
      <w:r w:rsidR="00F304F1">
        <w:rPr>
          <w:rFonts w:ascii="Baskerville Old Face" w:hAnsi="Baskerville Old Face"/>
          <w:sz w:val="24"/>
          <w:szCs w:val="24"/>
        </w:rPr>
        <w:t xml:space="preserve">What does remain constant through time however, is the home, in its </w:t>
      </w:r>
      <w:proofErr w:type="gramStart"/>
      <w:r w:rsidR="00F304F1">
        <w:rPr>
          <w:rFonts w:ascii="Baskerville Old Face" w:hAnsi="Baskerville Old Face"/>
          <w:sz w:val="24"/>
          <w:szCs w:val="24"/>
        </w:rPr>
        <w:t>most simplest</w:t>
      </w:r>
      <w:proofErr w:type="gramEnd"/>
      <w:r w:rsidR="00F304F1">
        <w:rPr>
          <w:rFonts w:ascii="Baskerville Old Face" w:hAnsi="Baskerville Old Face"/>
          <w:sz w:val="24"/>
          <w:szCs w:val="24"/>
        </w:rPr>
        <w:t xml:space="preserve"> of definitions. Analysing homes within the archaeological record using social theory can prove insightful, if not at least </w:t>
      </w:r>
      <w:r w:rsidR="00047127">
        <w:rPr>
          <w:rFonts w:ascii="Baskerville Old Face" w:hAnsi="Baskerville Old Face"/>
          <w:sz w:val="24"/>
          <w:szCs w:val="24"/>
        </w:rPr>
        <w:t xml:space="preserve">a </w:t>
      </w:r>
      <w:r w:rsidR="00F304F1">
        <w:rPr>
          <w:rFonts w:ascii="Baskerville Old Face" w:hAnsi="Baskerville Old Face"/>
          <w:sz w:val="24"/>
          <w:szCs w:val="24"/>
        </w:rPr>
        <w:t>challeng</w:t>
      </w:r>
      <w:r w:rsidR="00047127">
        <w:rPr>
          <w:rFonts w:ascii="Baskerville Old Face" w:hAnsi="Baskerville Old Face"/>
          <w:sz w:val="24"/>
          <w:szCs w:val="24"/>
        </w:rPr>
        <w:t>e to</w:t>
      </w:r>
      <w:r w:rsidR="00F304F1">
        <w:rPr>
          <w:rFonts w:ascii="Baskerville Old Face" w:hAnsi="Baskerville Old Face"/>
          <w:sz w:val="24"/>
          <w:szCs w:val="24"/>
        </w:rPr>
        <w:t xml:space="preserve"> us to reframe our ideas of prehistoric families, and put a face, and thoughts, to the ‘faceless blobs</w:t>
      </w:r>
      <w:r w:rsidR="00811B6A">
        <w:rPr>
          <w:rFonts w:ascii="Baskerville Old Face" w:hAnsi="Baskerville Old Face"/>
          <w:sz w:val="24"/>
          <w:szCs w:val="24"/>
        </w:rPr>
        <w:t>.’</w:t>
      </w:r>
    </w:p>
    <w:p w14:paraId="5511273C" w14:textId="77777777" w:rsidR="004547C8" w:rsidRDefault="004547C8" w:rsidP="00A14B9A">
      <w:pPr>
        <w:jc w:val="both"/>
        <w:rPr>
          <w:rFonts w:ascii="Baskerville Old Face" w:hAnsi="Baskerville Old Face"/>
          <w:sz w:val="24"/>
          <w:szCs w:val="24"/>
        </w:rPr>
      </w:pPr>
    </w:p>
    <w:p w14:paraId="2A290835" w14:textId="77777777" w:rsidR="00A7732E" w:rsidRDefault="00A7732E" w:rsidP="00A14B9A">
      <w:pPr>
        <w:jc w:val="both"/>
        <w:rPr>
          <w:rFonts w:ascii="Baskerville Old Face" w:hAnsi="Baskerville Old Face"/>
          <w:sz w:val="24"/>
          <w:szCs w:val="24"/>
        </w:rPr>
      </w:pPr>
    </w:p>
    <w:p w14:paraId="61F13325" w14:textId="77777777" w:rsidR="00A7732E" w:rsidRDefault="00A7732E" w:rsidP="00A14B9A">
      <w:pPr>
        <w:jc w:val="both"/>
        <w:rPr>
          <w:rFonts w:ascii="Baskerville Old Face" w:hAnsi="Baskerville Old Face"/>
          <w:sz w:val="24"/>
          <w:szCs w:val="24"/>
        </w:rPr>
      </w:pPr>
    </w:p>
    <w:p w14:paraId="37E65C45" w14:textId="3A2E6D2D" w:rsidR="00B65102" w:rsidRDefault="00B65102" w:rsidP="00A14B9A">
      <w:pPr>
        <w:jc w:val="both"/>
        <w:rPr>
          <w:rFonts w:ascii="Baskerville Old Face" w:hAnsi="Baskerville Old Face"/>
          <w:sz w:val="24"/>
          <w:szCs w:val="24"/>
        </w:rPr>
      </w:pPr>
    </w:p>
    <w:p w14:paraId="7A10E9C8" w14:textId="0D563B4C" w:rsidR="00B65102" w:rsidRDefault="00B65102" w:rsidP="00A14B9A">
      <w:pPr>
        <w:jc w:val="both"/>
        <w:rPr>
          <w:rFonts w:ascii="Baskerville Old Face" w:hAnsi="Baskerville Old Face"/>
          <w:sz w:val="24"/>
          <w:szCs w:val="24"/>
        </w:rPr>
      </w:pPr>
    </w:p>
    <w:p w14:paraId="05530DC2" w14:textId="77777777" w:rsidR="00B65102" w:rsidRDefault="00B65102" w:rsidP="00A14B9A">
      <w:pPr>
        <w:jc w:val="both"/>
        <w:rPr>
          <w:rFonts w:ascii="Baskerville Old Face" w:hAnsi="Baskerville Old Face"/>
          <w:sz w:val="24"/>
          <w:szCs w:val="24"/>
        </w:rPr>
      </w:pPr>
    </w:p>
    <w:p w14:paraId="5EEE625D" w14:textId="77777777" w:rsidR="00B65102" w:rsidRDefault="00B65102" w:rsidP="00A14B9A">
      <w:pPr>
        <w:jc w:val="both"/>
        <w:rPr>
          <w:rFonts w:ascii="Baskerville Old Face" w:hAnsi="Baskerville Old Face"/>
          <w:sz w:val="24"/>
          <w:szCs w:val="24"/>
        </w:rPr>
      </w:pPr>
    </w:p>
    <w:p w14:paraId="237EEEFD" w14:textId="77777777" w:rsidR="004177BA" w:rsidRDefault="004177BA" w:rsidP="00A14B9A">
      <w:pPr>
        <w:jc w:val="both"/>
        <w:rPr>
          <w:rFonts w:ascii="Baskerville Old Face" w:hAnsi="Baskerville Old Face"/>
          <w:sz w:val="24"/>
          <w:szCs w:val="24"/>
        </w:rPr>
      </w:pPr>
    </w:p>
    <w:p w14:paraId="6D70F5ED" w14:textId="5C44FB9E" w:rsidR="00B65102" w:rsidRDefault="00B65102" w:rsidP="00734E79">
      <w:pPr>
        <w:jc w:val="center"/>
        <w:rPr>
          <w:rFonts w:ascii="Baskerville Old Face" w:hAnsi="Baskerville Old Face"/>
          <w:b/>
          <w:bCs/>
          <w:sz w:val="28"/>
          <w:szCs w:val="28"/>
        </w:rPr>
      </w:pPr>
      <w:r w:rsidRPr="00B65102">
        <w:rPr>
          <w:rFonts w:ascii="Baskerville Old Face" w:hAnsi="Baskerville Old Face"/>
          <w:b/>
          <w:bCs/>
          <w:sz w:val="28"/>
          <w:szCs w:val="28"/>
        </w:rPr>
        <w:t>BIBLIOGRAPHY</w:t>
      </w:r>
    </w:p>
    <w:p w14:paraId="53A6B348" w14:textId="77777777" w:rsidR="00B65102" w:rsidRDefault="00B65102" w:rsidP="00B65102">
      <w:pPr>
        <w:jc w:val="center"/>
        <w:rPr>
          <w:rFonts w:ascii="Baskerville Old Face" w:hAnsi="Baskerville Old Face"/>
          <w:b/>
          <w:bCs/>
          <w:sz w:val="28"/>
          <w:szCs w:val="28"/>
        </w:rPr>
      </w:pPr>
    </w:p>
    <w:p w14:paraId="641E63BF" w14:textId="25923291" w:rsidR="00B65102" w:rsidRPr="009F5E85" w:rsidRDefault="00B65102" w:rsidP="009F5E85">
      <w:pPr>
        <w:pStyle w:val="ListParagraph"/>
        <w:numPr>
          <w:ilvl w:val="0"/>
          <w:numId w:val="1"/>
        </w:numPr>
        <w:jc w:val="both"/>
        <w:rPr>
          <w:rFonts w:ascii="Baskerville Old Face" w:hAnsi="Baskerville Old Face"/>
          <w:sz w:val="24"/>
          <w:szCs w:val="24"/>
        </w:rPr>
      </w:pPr>
      <w:r w:rsidRPr="009F5E85">
        <w:rPr>
          <w:rFonts w:ascii="Baskerville Old Face" w:hAnsi="Baskerville Old Face"/>
          <w:sz w:val="24"/>
          <w:szCs w:val="24"/>
        </w:rPr>
        <w:t xml:space="preserve">Tringham, Ruth. 1995. ‘Archaeological Houses, Households, Housework and the Home’, in The Home: Words, Interpretations, Meanings and Environments (Avebury) </w:t>
      </w:r>
      <w:hyperlink r:id="rId10" w:history="1">
        <w:r w:rsidRPr="009F5E85">
          <w:rPr>
            <w:rStyle w:val="Hyperlink"/>
            <w:rFonts w:ascii="Baskerville Old Face" w:hAnsi="Baskerville Old Face"/>
            <w:sz w:val="24"/>
            <w:szCs w:val="24"/>
          </w:rPr>
          <w:t>file:///C:/Users/User/Downloads/RET_Houses_1995web%20(1).pdf</w:t>
        </w:r>
      </w:hyperlink>
    </w:p>
    <w:p w14:paraId="30E1B277" w14:textId="0DB87571" w:rsidR="00592B27" w:rsidRPr="009F5E85" w:rsidRDefault="00592B27" w:rsidP="009F5E85">
      <w:pPr>
        <w:pStyle w:val="ListParagraph"/>
        <w:numPr>
          <w:ilvl w:val="0"/>
          <w:numId w:val="1"/>
        </w:numPr>
        <w:jc w:val="both"/>
        <w:rPr>
          <w:rFonts w:ascii="Baskerville Old Face" w:hAnsi="Baskerville Old Face"/>
          <w:sz w:val="24"/>
          <w:szCs w:val="24"/>
        </w:rPr>
      </w:pPr>
      <w:bookmarkStart w:id="1" w:name="_Hlk172473948"/>
      <w:r w:rsidRPr="009F5E85">
        <w:rPr>
          <w:rFonts w:ascii="Baskerville Old Face" w:hAnsi="Baskerville Old Face"/>
          <w:sz w:val="24"/>
          <w:szCs w:val="24"/>
        </w:rPr>
        <w:t>Meissner, Marlen. 2021. ‘Pierre Bourdieu’s “Theory of Practice”’, Intangible Cultural Heritage and Sustainable Development</w:t>
      </w:r>
      <w:bookmarkEnd w:id="1"/>
      <w:r w:rsidRPr="009F5E85">
        <w:rPr>
          <w:rFonts w:ascii="Baskerville Old Face" w:hAnsi="Baskerville Old Face"/>
          <w:sz w:val="24"/>
          <w:szCs w:val="24"/>
        </w:rPr>
        <w:t xml:space="preserve">. p. 51 </w:t>
      </w:r>
      <w:hyperlink r:id="rId11" w:history="1">
        <w:r w:rsidRPr="009F5E85">
          <w:rPr>
            <w:rStyle w:val="Hyperlink"/>
            <w:rFonts w:ascii="Baskerville Old Face" w:hAnsi="Baskerville Old Face"/>
            <w:sz w:val="24"/>
            <w:szCs w:val="24"/>
          </w:rPr>
          <w:t>https://www.academia.edu/73598003/Pierre_Bourdieu_s_Theory_of_Practice_</w:t>
        </w:r>
      </w:hyperlink>
    </w:p>
    <w:p w14:paraId="2F5D86E7" w14:textId="4032CE35" w:rsidR="006D3EEA" w:rsidRPr="009F5E85" w:rsidRDefault="006D3EEA" w:rsidP="009F5E85">
      <w:pPr>
        <w:pStyle w:val="ListParagraph"/>
        <w:numPr>
          <w:ilvl w:val="0"/>
          <w:numId w:val="1"/>
        </w:numPr>
        <w:jc w:val="both"/>
        <w:rPr>
          <w:rFonts w:ascii="Baskerville Old Face" w:hAnsi="Baskerville Old Face"/>
          <w:sz w:val="24"/>
          <w:szCs w:val="24"/>
        </w:rPr>
      </w:pPr>
      <w:r w:rsidRPr="009F5E85">
        <w:rPr>
          <w:rFonts w:ascii="Baskerville Old Face" w:hAnsi="Baskerville Old Face"/>
          <w:sz w:val="24"/>
          <w:szCs w:val="24"/>
        </w:rPr>
        <w:t>Bourdeiu, Pierre. 1977. ‘Outline of a Theory of Practice’. (Cambridge University Press) p. 72</w:t>
      </w:r>
    </w:p>
    <w:p w14:paraId="4454A7C3" w14:textId="49D852EA" w:rsidR="0085429A" w:rsidRPr="009F5E85" w:rsidRDefault="0085429A" w:rsidP="009F5E85">
      <w:pPr>
        <w:pStyle w:val="ListParagraph"/>
        <w:numPr>
          <w:ilvl w:val="0"/>
          <w:numId w:val="1"/>
        </w:numPr>
        <w:jc w:val="both"/>
        <w:rPr>
          <w:rStyle w:val="Hyperlink"/>
          <w:rFonts w:ascii="Baskerville Old Face" w:hAnsi="Baskerville Old Face"/>
          <w:sz w:val="24"/>
          <w:szCs w:val="24"/>
        </w:rPr>
      </w:pPr>
      <w:r w:rsidRPr="009F5E85">
        <w:rPr>
          <w:rFonts w:ascii="Baskerville Old Face" w:hAnsi="Baskerville Old Face"/>
          <w:sz w:val="24"/>
          <w:szCs w:val="24"/>
        </w:rPr>
        <w:t xml:space="preserve">Van de Walle, Jürgen, Dominique Willems, and Klaas Willems. 2006. ‘Structuralism’, Handbook of Pragmatics: 1–36 </w:t>
      </w:r>
      <w:hyperlink r:id="rId12" w:history="1">
        <w:r w:rsidRPr="009F5E85">
          <w:rPr>
            <w:rStyle w:val="Hyperlink"/>
            <w:rFonts w:ascii="Baskerville Old Face" w:hAnsi="Baskerville Old Face"/>
            <w:sz w:val="24"/>
            <w:szCs w:val="24"/>
          </w:rPr>
          <w:t>https://doi.org/10.1075/hop.10.str1</w:t>
        </w:r>
      </w:hyperlink>
    </w:p>
    <w:p w14:paraId="3ABF50EB" w14:textId="288ABAA3" w:rsidR="00B11B54" w:rsidRPr="009F5E85" w:rsidRDefault="00B11B54" w:rsidP="009F5E85">
      <w:pPr>
        <w:pStyle w:val="ListParagraph"/>
        <w:numPr>
          <w:ilvl w:val="0"/>
          <w:numId w:val="1"/>
        </w:numPr>
        <w:jc w:val="both"/>
        <w:rPr>
          <w:rFonts w:ascii="Baskerville Old Face" w:hAnsi="Baskerville Old Face"/>
          <w:sz w:val="24"/>
          <w:szCs w:val="24"/>
        </w:rPr>
      </w:pPr>
      <w:r w:rsidRPr="009F5E85">
        <w:rPr>
          <w:rFonts w:ascii="Baskerville Old Face" w:hAnsi="Baskerville Old Face"/>
          <w:sz w:val="24"/>
          <w:szCs w:val="24"/>
        </w:rPr>
        <w:t xml:space="preserve">Tringham, </w:t>
      </w:r>
      <w:proofErr w:type="gramStart"/>
      <w:r w:rsidRPr="009F5E85">
        <w:rPr>
          <w:rFonts w:ascii="Baskerville Old Face" w:hAnsi="Baskerville Old Face"/>
          <w:sz w:val="24"/>
          <w:szCs w:val="24"/>
        </w:rPr>
        <w:t>Ruth .</w:t>
      </w:r>
      <w:proofErr w:type="gramEnd"/>
      <w:r w:rsidRPr="009F5E85">
        <w:rPr>
          <w:rFonts w:ascii="Baskerville Old Face" w:hAnsi="Baskerville Old Face"/>
          <w:sz w:val="24"/>
          <w:szCs w:val="24"/>
        </w:rPr>
        <w:t xml:space="preserve"> 1991. ‘Households with Faces: The Challenge of Gender in Prehistoric Architectural Remains’, in Engendering Archaeology: Women and Prehistory (Oxford)</w:t>
      </w:r>
    </w:p>
    <w:p w14:paraId="60340285" w14:textId="08EFFD32" w:rsidR="00D168A8" w:rsidRPr="009F5E85" w:rsidRDefault="00D168A8" w:rsidP="009F5E85">
      <w:pPr>
        <w:pStyle w:val="ListParagraph"/>
        <w:numPr>
          <w:ilvl w:val="0"/>
          <w:numId w:val="1"/>
        </w:numPr>
        <w:jc w:val="both"/>
        <w:rPr>
          <w:rFonts w:ascii="Baskerville Old Face" w:hAnsi="Baskerville Old Face"/>
          <w:sz w:val="24"/>
          <w:szCs w:val="24"/>
        </w:rPr>
      </w:pPr>
      <w:r w:rsidRPr="009F5E85">
        <w:rPr>
          <w:rFonts w:ascii="Baskerville Old Face" w:hAnsi="Baskerville Old Face"/>
          <w:sz w:val="24"/>
          <w:szCs w:val="24"/>
        </w:rPr>
        <w:t>Thomas, Gordan. 2005. ‘House Form and Cultural Identity in Chalcolithic Cyprus’, in Archaeological Perspectives on the Transmission and Transformation of Culture in the Eastern Mediterranean (Oxbow)</w:t>
      </w:r>
    </w:p>
    <w:p w14:paraId="16D2D3DC" w14:textId="0B768C23" w:rsidR="002134EF" w:rsidRPr="009F5E85" w:rsidRDefault="002134EF" w:rsidP="009F5E85">
      <w:pPr>
        <w:pStyle w:val="ListParagraph"/>
        <w:numPr>
          <w:ilvl w:val="0"/>
          <w:numId w:val="1"/>
        </w:numPr>
        <w:jc w:val="both"/>
        <w:rPr>
          <w:rFonts w:ascii="Baskerville Old Face" w:hAnsi="Baskerville Old Face"/>
          <w:sz w:val="24"/>
          <w:szCs w:val="24"/>
        </w:rPr>
      </w:pPr>
      <w:r w:rsidRPr="009F5E85">
        <w:rPr>
          <w:rFonts w:ascii="Baskerville Old Face" w:hAnsi="Baskerville Old Face"/>
          <w:sz w:val="24"/>
          <w:szCs w:val="24"/>
        </w:rPr>
        <w:t xml:space="preserve">Klinkenberg, Victor. 2022. ‘Building Biographies of the Cypriot Chalcolithic’, Levant: 1–14 </w:t>
      </w:r>
      <w:hyperlink r:id="rId13" w:history="1">
        <w:r w:rsidRPr="009F5E85">
          <w:rPr>
            <w:rStyle w:val="Hyperlink"/>
            <w:rFonts w:ascii="Baskerville Old Face" w:hAnsi="Baskerville Old Face"/>
            <w:sz w:val="24"/>
            <w:szCs w:val="24"/>
          </w:rPr>
          <w:t>https://doi.org/10.1080/00758914.2022.2140975</w:t>
        </w:r>
      </w:hyperlink>
    </w:p>
    <w:p w14:paraId="359AC50B" w14:textId="48D47FC9" w:rsidR="002134EF" w:rsidRPr="009F5E85" w:rsidRDefault="009F5E85" w:rsidP="009F5E85">
      <w:pPr>
        <w:pStyle w:val="ListParagraph"/>
        <w:numPr>
          <w:ilvl w:val="0"/>
          <w:numId w:val="1"/>
        </w:numPr>
        <w:jc w:val="both"/>
        <w:rPr>
          <w:rFonts w:ascii="Baskerville Old Face" w:hAnsi="Baskerville Old Face"/>
          <w:sz w:val="24"/>
          <w:szCs w:val="24"/>
        </w:rPr>
      </w:pPr>
      <w:r w:rsidRPr="009F5E85">
        <w:rPr>
          <w:rFonts w:ascii="Baskerville Old Face" w:hAnsi="Baskerville Old Face"/>
          <w:sz w:val="24"/>
          <w:szCs w:val="24"/>
        </w:rPr>
        <w:t>Papaconstantinou, Demetra. 2013. ‘Settlement Planning and Architecture’, in ARCANE: Associated Regional Chronologies for the Ancient near East and the Eastern Mediterranean (Brepols)</w:t>
      </w:r>
    </w:p>
    <w:p w14:paraId="2A714CE6" w14:textId="77777777" w:rsidR="009F5E85" w:rsidRDefault="009F5E85" w:rsidP="006D3EEA">
      <w:pPr>
        <w:jc w:val="both"/>
        <w:rPr>
          <w:rFonts w:ascii="Baskerville Old Face" w:hAnsi="Baskerville Old Face"/>
          <w:sz w:val="24"/>
          <w:szCs w:val="24"/>
        </w:rPr>
      </w:pPr>
    </w:p>
    <w:p w14:paraId="03794142" w14:textId="77777777" w:rsidR="00B11B54" w:rsidRDefault="00B11B54" w:rsidP="006D3EEA">
      <w:pPr>
        <w:jc w:val="both"/>
        <w:rPr>
          <w:rFonts w:ascii="Baskerville Old Face" w:hAnsi="Baskerville Old Face"/>
          <w:sz w:val="24"/>
          <w:szCs w:val="24"/>
        </w:rPr>
      </w:pPr>
    </w:p>
    <w:p w14:paraId="594FF16A" w14:textId="77777777" w:rsidR="0085429A" w:rsidRDefault="0085429A" w:rsidP="006D3EEA">
      <w:pPr>
        <w:jc w:val="both"/>
        <w:rPr>
          <w:rFonts w:ascii="Baskerville Old Face" w:hAnsi="Baskerville Old Face"/>
          <w:sz w:val="24"/>
          <w:szCs w:val="24"/>
        </w:rPr>
      </w:pPr>
    </w:p>
    <w:p w14:paraId="218F205A" w14:textId="77777777" w:rsidR="006D3EEA" w:rsidRDefault="006D3EEA" w:rsidP="00B65102">
      <w:pPr>
        <w:jc w:val="both"/>
        <w:rPr>
          <w:rFonts w:ascii="Baskerville Old Face" w:hAnsi="Baskerville Old Face"/>
          <w:sz w:val="24"/>
          <w:szCs w:val="24"/>
        </w:rPr>
      </w:pPr>
    </w:p>
    <w:p w14:paraId="12E60D0B" w14:textId="77777777" w:rsidR="006D3EEA" w:rsidRPr="00B65102" w:rsidRDefault="006D3EEA" w:rsidP="00B65102">
      <w:pPr>
        <w:jc w:val="both"/>
        <w:rPr>
          <w:rFonts w:ascii="Baskerville Old Face" w:hAnsi="Baskerville Old Face"/>
          <w:sz w:val="24"/>
          <w:szCs w:val="24"/>
        </w:rPr>
      </w:pPr>
    </w:p>
    <w:p w14:paraId="39757B6E" w14:textId="77777777" w:rsidR="00B65102" w:rsidRPr="00B65102" w:rsidRDefault="00B65102" w:rsidP="00B65102">
      <w:pPr>
        <w:jc w:val="center"/>
        <w:rPr>
          <w:rFonts w:ascii="Baskerville Old Face" w:hAnsi="Baskerville Old Face"/>
          <w:b/>
          <w:bCs/>
          <w:sz w:val="28"/>
          <w:szCs w:val="28"/>
        </w:rPr>
      </w:pPr>
    </w:p>
    <w:p w14:paraId="0992253A" w14:textId="77777777" w:rsidR="00A14B9A" w:rsidRDefault="00A14B9A" w:rsidP="0028474D">
      <w:pPr>
        <w:jc w:val="center"/>
        <w:rPr>
          <w:rFonts w:ascii="Baskerville Old Face" w:hAnsi="Baskerville Old Face"/>
          <w:sz w:val="32"/>
          <w:szCs w:val="32"/>
        </w:rPr>
      </w:pPr>
    </w:p>
    <w:p w14:paraId="2E9A2FD5" w14:textId="40ABB46C" w:rsidR="00D22C3E" w:rsidRDefault="00D22C3E" w:rsidP="0028474D">
      <w:pPr>
        <w:jc w:val="center"/>
        <w:rPr>
          <w:rFonts w:ascii="Baskerville Old Face" w:hAnsi="Baskerville Old Face"/>
          <w:sz w:val="32"/>
          <w:szCs w:val="32"/>
        </w:rPr>
      </w:pPr>
    </w:p>
    <w:p w14:paraId="18A9D870" w14:textId="07FE56FE" w:rsidR="00D22C3E" w:rsidRPr="00A14B9A" w:rsidRDefault="00D22C3E" w:rsidP="00A14B9A">
      <w:pPr>
        <w:jc w:val="both"/>
        <w:rPr>
          <w:rFonts w:ascii="Baskerville Old Face" w:hAnsi="Baskerville Old Face"/>
          <w:sz w:val="24"/>
          <w:szCs w:val="24"/>
        </w:rPr>
      </w:pPr>
    </w:p>
    <w:sectPr w:rsidR="00D22C3E" w:rsidRPr="00A14B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956114" w14:textId="77777777" w:rsidR="00A700BF" w:rsidRDefault="00A700BF" w:rsidP="00A14B9A">
      <w:pPr>
        <w:spacing w:after="0" w:line="240" w:lineRule="auto"/>
      </w:pPr>
      <w:r>
        <w:separator/>
      </w:r>
    </w:p>
  </w:endnote>
  <w:endnote w:type="continuationSeparator" w:id="0">
    <w:p w14:paraId="4B5D1BA0" w14:textId="77777777" w:rsidR="00A700BF" w:rsidRDefault="00A700BF" w:rsidP="00A14B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skerville Old Face">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39B2EC" w14:textId="77777777" w:rsidR="00A700BF" w:rsidRDefault="00A700BF" w:rsidP="00A14B9A">
      <w:pPr>
        <w:spacing w:after="0" w:line="240" w:lineRule="auto"/>
      </w:pPr>
      <w:r>
        <w:separator/>
      </w:r>
    </w:p>
  </w:footnote>
  <w:footnote w:type="continuationSeparator" w:id="0">
    <w:p w14:paraId="3F70CE15" w14:textId="77777777" w:rsidR="00A700BF" w:rsidRDefault="00A700BF" w:rsidP="00A14B9A">
      <w:pPr>
        <w:spacing w:after="0" w:line="240" w:lineRule="auto"/>
      </w:pPr>
      <w:r>
        <w:continuationSeparator/>
      </w:r>
    </w:p>
  </w:footnote>
  <w:footnote w:id="1">
    <w:p w14:paraId="23CA5D24" w14:textId="72F32121" w:rsidR="00A14B9A" w:rsidRPr="00FA283B" w:rsidRDefault="00A14B9A">
      <w:pPr>
        <w:pStyle w:val="FootnoteText"/>
        <w:rPr>
          <w:rFonts w:ascii="Baskerville Old Face" w:hAnsi="Baskerville Old Face"/>
        </w:rPr>
      </w:pPr>
      <w:r w:rsidRPr="00B65102">
        <w:rPr>
          <w:rStyle w:val="FootnoteReference"/>
          <w:rFonts w:ascii="Baskerville Old Face" w:hAnsi="Baskerville Old Face"/>
        </w:rPr>
        <w:footnoteRef/>
      </w:r>
      <w:r w:rsidRPr="00B65102">
        <w:rPr>
          <w:rFonts w:ascii="Baskerville Old Face" w:hAnsi="Baskerville Old Face"/>
        </w:rPr>
        <w:t xml:space="preserve"> </w:t>
      </w:r>
      <w:r w:rsidR="00B65102" w:rsidRPr="00B65102">
        <w:rPr>
          <w:rFonts w:ascii="Baskerville Old Face" w:hAnsi="Baskerville Old Face"/>
        </w:rPr>
        <w:t>Tringham, Ruth. 1995. ‘Archaeological Houses, Households, Housework and the Home’, in The Home: Words, Interpretations, Meanings and Environments (Avebury) p.80</w:t>
      </w:r>
    </w:p>
  </w:footnote>
  <w:footnote w:id="2">
    <w:p w14:paraId="06CE1399" w14:textId="070DA5C2" w:rsidR="00FA283B" w:rsidRPr="00FA283B" w:rsidRDefault="00FA283B">
      <w:pPr>
        <w:pStyle w:val="FootnoteText"/>
        <w:rPr>
          <w:rFonts w:ascii="Baskerville Old Face" w:hAnsi="Baskerville Old Face"/>
        </w:rPr>
      </w:pPr>
      <w:r w:rsidRPr="00FA283B">
        <w:rPr>
          <w:rStyle w:val="FootnoteReference"/>
          <w:rFonts w:ascii="Baskerville Old Face" w:hAnsi="Baskerville Old Face"/>
        </w:rPr>
        <w:footnoteRef/>
      </w:r>
      <w:r w:rsidRPr="00FA283B">
        <w:rPr>
          <w:rFonts w:ascii="Baskerville Old Face" w:hAnsi="Baskerville Old Face"/>
        </w:rPr>
        <w:t xml:space="preserve"> Ibid.</w:t>
      </w:r>
    </w:p>
  </w:footnote>
  <w:footnote w:id="3">
    <w:p w14:paraId="08FD81E0" w14:textId="0672D0F8" w:rsidR="00592B27" w:rsidRPr="00592B27" w:rsidRDefault="00592B27">
      <w:pPr>
        <w:pStyle w:val="FootnoteText"/>
        <w:rPr>
          <w:rFonts w:ascii="Baskerville Old Face" w:hAnsi="Baskerville Old Face"/>
        </w:rPr>
      </w:pPr>
      <w:r w:rsidRPr="00592B27">
        <w:rPr>
          <w:rStyle w:val="FootnoteReference"/>
          <w:rFonts w:ascii="Baskerville Old Face" w:hAnsi="Baskerville Old Face"/>
        </w:rPr>
        <w:footnoteRef/>
      </w:r>
      <w:r w:rsidRPr="00592B27">
        <w:rPr>
          <w:rFonts w:ascii="Baskerville Old Face" w:hAnsi="Baskerville Old Face"/>
        </w:rPr>
        <w:t xml:space="preserve"> Meissner, Marlen. 2021. ‘Pierre Bourdieu’s “Theory of Practice”’, Intangible Cultural Heritage and Sustainable Development. p. 52</w:t>
      </w:r>
    </w:p>
  </w:footnote>
  <w:footnote w:id="4">
    <w:p w14:paraId="66B77637" w14:textId="4F0FC054" w:rsidR="00BE139E" w:rsidRPr="006D3EEA" w:rsidRDefault="00BE139E">
      <w:pPr>
        <w:pStyle w:val="FootnoteText"/>
        <w:rPr>
          <w:rFonts w:ascii="Baskerville Old Face" w:hAnsi="Baskerville Old Face"/>
        </w:rPr>
      </w:pPr>
      <w:r w:rsidRPr="006D3EEA">
        <w:rPr>
          <w:rStyle w:val="FootnoteReference"/>
          <w:rFonts w:ascii="Baskerville Old Face" w:hAnsi="Baskerville Old Face"/>
        </w:rPr>
        <w:footnoteRef/>
      </w:r>
      <w:r w:rsidRPr="006D3EEA">
        <w:rPr>
          <w:rFonts w:ascii="Baskerville Old Face" w:hAnsi="Baskerville Old Face"/>
        </w:rPr>
        <w:t xml:space="preserve"> </w:t>
      </w:r>
      <w:r w:rsidR="006D3EEA" w:rsidRPr="006D3EEA">
        <w:rPr>
          <w:rFonts w:ascii="Baskerville Old Face" w:hAnsi="Baskerville Old Face"/>
        </w:rPr>
        <w:t>Bourdeiu, Pierre. 1977. ‘Outline of a Theory of Practice’. (Cambridge University Press) p. 72</w:t>
      </w:r>
    </w:p>
  </w:footnote>
  <w:footnote w:id="5">
    <w:p w14:paraId="39D21E9B" w14:textId="2D25B3A2" w:rsidR="0085429A" w:rsidRPr="0085429A" w:rsidRDefault="0085429A">
      <w:pPr>
        <w:pStyle w:val="FootnoteText"/>
        <w:rPr>
          <w:rFonts w:ascii="Baskerville Old Face" w:hAnsi="Baskerville Old Face"/>
        </w:rPr>
      </w:pPr>
      <w:r w:rsidRPr="0085429A">
        <w:rPr>
          <w:rStyle w:val="FootnoteReference"/>
          <w:rFonts w:ascii="Baskerville Old Face" w:hAnsi="Baskerville Old Face"/>
        </w:rPr>
        <w:footnoteRef/>
      </w:r>
      <w:r w:rsidRPr="0085429A">
        <w:rPr>
          <w:rFonts w:ascii="Baskerville Old Face" w:hAnsi="Baskerville Old Face"/>
        </w:rPr>
        <w:t xml:space="preserve"> Van de Walle, Jürgen, Dominique Willems, and Klaas Willems. 2006. ‘Structuralism’, Handbook of Pragmatics: 1–36</w:t>
      </w:r>
    </w:p>
  </w:footnote>
  <w:footnote w:id="6">
    <w:p w14:paraId="33C726CA" w14:textId="3FDFC629" w:rsidR="00124E2B" w:rsidRPr="00124E2B" w:rsidRDefault="00124E2B">
      <w:pPr>
        <w:pStyle w:val="FootnoteText"/>
        <w:rPr>
          <w:rFonts w:ascii="Baskerville Old Face" w:hAnsi="Baskerville Old Face"/>
        </w:rPr>
      </w:pPr>
      <w:r w:rsidRPr="00124E2B">
        <w:rPr>
          <w:rStyle w:val="FootnoteReference"/>
          <w:rFonts w:ascii="Baskerville Old Face" w:hAnsi="Baskerville Old Face"/>
        </w:rPr>
        <w:footnoteRef/>
      </w:r>
      <w:r w:rsidRPr="00124E2B">
        <w:rPr>
          <w:rFonts w:ascii="Baskerville Old Face" w:hAnsi="Baskerville Old Face"/>
        </w:rPr>
        <w:t xml:space="preserve"> Meissner, Marlen. 2021. ‘Pierre Bourdieu’s “Theory of Practice”’, Intangible Cultural Heritage and Sustainable Development. p. 59</w:t>
      </w:r>
    </w:p>
  </w:footnote>
  <w:footnote w:id="7">
    <w:p w14:paraId="720331D3" w14:textId="52AB3F7D" w:rsidR="008C4EA7" w:rsidRPr="008C4EA7" w:rsidRDefault="008C4EA7">
      <w:pPr>
        <w:pStyle w:val="FootnoteText"/>
        <w:rPr>
          <w:rFonts w:ascii="Baskerville Old Face" w:hAnsi="Baskerville Old Face"/>
        </w:rPr>
      </w:pPr>
      <w:r w:rsidRPr="008C4EA7">
        <w:rPr>
          <w:rStyle w:val="FootnoteReference"/>
          <w:rFonts w:ascii="Baskerville Old Face" w:hAnsi="Baskerville Old Face"/>
        </w:rPr>
        <w:footnoteRef/>
      </w:r>
      <w:r w:rsidRPr="008C4EA7">
        <w:rPr>
          <w:rFonts w:ascii="Baskerville Old Face" w:hAnsi="Baskerville Old Face"/>
        </w:rPr>
        <w:t xml:space="preserve"> Bourdieu</w:t>
      </w:r>
      <w:r w:rsidRPr="008C4EA7">
        <w:rPr>
          <w:rFonts w:ascii="Baskerville Old Face" w:hAnsi="Baskerville Old Face"/>
        </w:rPr>
        <w:t>, Pierre. 1977. ‘Outline of a Theory of Practice’. (Cambridge University Press)</w:t>
      </w:r>
    </w:p>
  </w:footnote>
  <w:footnote w:id="8">
    <w:p w14:paraId="4519967D" w14:textId="78BFFB9D" w:rsidR="0057237E" w:rsidRPr="0057237E" w:rsidRDefault="0057237E">
      <w:pPr>
        <w:pStyle w:val="FootnoteText"/>
        <w:rPr>
          <w:rFonts w:ascii="Baskerville Old Face" w:hAnsi="Baskerville Old Face"/>
          <w:lang w:val="en-US"/>
        </w:rPr>
      </w:pPr>
      <w:r w:rsidRPr="0057237E">
        <w:rPr>
          <w:rStyle w:val="FootnoteReference"/>
          <w:rFonts w:ascii="Baskerville Old Face" w:hAnsi="Baskerville Old Face"/>
        </w:rPr>
        <w:footnoteRef/>
      </w:r>
      <w:r w:rsidRPr="0057237E">
        <w:rPr>
          <w:rFonts w:ascii="Baskerville Old Face" w:hAnsi="Baskerville Old Face"/>
        </w:rPr>
        <w:t xml:space="preserve"> </w:t>
      </w:r>
      <w:r w:rsidRPr="0057237E">
        <w:rPr>
          <w:rFonts w:ascii="Baskerville Old Face" w:hAnsi="Baskerville Old Face"/>
        </w:rPr>
        <w:t xml:space="preserve">  Thomas, Gordan. 2005. ‘House Form and Cultural Identity in Chalcolithic Cyprus’, in Archaeological Perspectives on the Transmission and Transformation of Culture in the Eastern Mediterranean (Oxbow) p.119</w:t>
      </w:r>
    </w:p>
  </w:footnote>
  <w:footnote w:id="9">
    <w:p w14:paraId="650F7718" w14:textId="5006AD81" w:rsidR="000F297C" w:rsidRPr="000F297C" w:rsidRDefault="000F297C">
      <w:pPr>
        <w:pStyle w:val="FootnoteText"/>
        <w:rPr>
          <w:rFonts w:ascii="Baskerville Old Face" w:hAnsi="Baskerville Old Face"/>
          <w:lang w:val="en-US"/>
        </w:rPr>
      </w:pPr>
      <w:r w:rsidRPr="000F297C">
        <w:rPr>
          <w:rStyle w:val="FootnoteReference"/>
          <w:rFonts w:ascii="Baskerville Old Face" w:hAnsi="Baskerville Old Face"/>
        </w:rPr>
        <w:footnoteRef/>
      </w:r>
      <w:r w:rsidRPr="000F297C">
        <w:rPr>
          <w:rFonts w:ascii="Baskerville Old Face" w:hAnsi="Baskerville Old Face"/>
        </w:rPr>
        <w:t xml:space="preserve"> </w:t>
      </w:r>
      <w:r w:rsidRPr="000F297C">
        <w:rPr>
          <w:rFonts w:ascii="Baskerville Old Face" w:hAnsi="Baskerville Old Face"/>
        </w:rPr>
        <w:t xml:space="preserve">Tringham, </w:t>
      </w:r>
      <w:r w:rsidR="00670DAF" w:rsidRPr="000F297C">
        <w:rPr>
          <w:rFonts w:ascii="Baskerville Old Face" w:hAnsi="Baskerville Old Face"/>
        </w:rPr>
        <w:t>Ruth.</w:t>
      </w:r>
      <w:r w:rsidRPr="000F297C">
        <w:rPr>
          <w:rFonts w:ascii="Baskerville Old Face" w:hAnsi="Baskerville Old Face"/>
        </w:rPr>
        <w:t xml:space="preserve"> 1991. ‘Households with Faces: The Challenge of Gender in Prehistoric </w:t>
      </w:r>
      <w:r w:rsidRPr="000F297C">
        <w:rPr>
          <w:rFonts w:ascii="Baskerville Old Face" w:hAnsi="Baskerville Old Face"/>
        </w:rPr>
        <w:t>Architectural</w:t>
      </w:r>
      <w:r w:rsidRPr="000F297C">
        <w:rPr>
          <w:rFonts w:ascii="Baskerville Old Face" w:hAnsi="Baskerville Old Face"/>
        </w:rPr>
        <w:t xml:space="preserve"> Remains’, in Engendering Archaeology: Women and Prehistory (Oxford)</w:t>
      </w:r>
      <w:r w:rsidRPr="000F297C">
        <w:rPr>
          <w:rFonts w:ascii="Baskerville Old Face" w:hAnsi="Baskerville Old Face"/>
        </w:rPr>
        <w:t xml:space="preserve"> p.94</w:t>
      </w:r>
    </w:p>
  </w:footnote>
  <w:footnote w:id="10">
    <w:p w14:paraId="4598697C" w14:textId="52C91437" w:rsidR="00AF0166" w:rsidRPr="000F297C" w:rsidRDefault="000F297C">
      <w:pPr>
        <w:pStyle w:val="FootnoteText"/>
        <w:rPr>
          <w:rFonts w:ascii="Baskerville Old Face" w:hAnsi="Baskerville Old Face"/>
          <w:lang w:val="en-US"/>
        </w:rPr>
      </w:pPr>
      <w:r w:rsidRPr="000F297C">
        <w:rPr>
          <w:rStyle w:val="FootnoteReference"/>
          <w:rFonts w:ascii="Baskerville Old Face" w:hAnsi="Baskerville Old Face"/>
        </w:rPr>
        <w:footnoteRef/>
      </w:r>
      <w:r w:rsidRPr="000F297C">
        <w:rPr>
          <w:rFonts w:ascii="Baskerville Old Face" w:hAnsi="Baskerville Old Face"/>
        </w:rPr>
        <w:t xml:space="preserve"> </w:t>
      </w:r>
      <w:r w:rsidRPr="000F297C">
        <w:rPr>
          <w:rFonts w:ascii="Baskerville Old Face" w:hAnsi="Baskerville Old Face"/>
          <w:lang w:val="en-US"/>
        </w:rPr>
        <w:t>Ibid. p. 94</w:t>
      </w:r>
    </w:p>
  </w:footnote>
  <w:footnote w:id="11">
    <w:p w14:paraId="71767DF5" w14:textId="001F91CE" w:rsidR="00DB4DCB" w:rsidRPr="00DB4DCB" w:rsidRDefault="00DB4DCB">
      <w:pPr>
        <w:pStyle w:val="FootnoteText"/>
        <w:rPr>
          <w:rFonts w:ascii="Baskerville Old Face" w:hAnsi="Baskerville Old Face"/>
          <w:lang w:val="en-US"/>
        </w:rPr>
      </w:pPr>
      <w:r w:rsidRPr="00DB4DCB">
        <w:rPr>
          <w:rStyle w:val="FootnoteReference"/>
          <w:rFonts w:ascii="Baskerville Old Face" w:hAnsi="Baskerville Old Face"/>
        </w:rPr>
        <w:footnoteRef/>
      </w:r>
      <w:r w:rsidRPr="00DB4DCB">
        <w:rPr>
          <w:rFonts w:ascii="Baskerville Old Face" w:hAnsi="Baskerville Old Face"/>
        </w:rPr>
        <w:t xml:space="preserve"> </w:t>
      </w:r>
      <w:r w:rsidRPr="00DB4DCB">
        <w:rPr>
          <w:rFonts w:ascii="Baskerville Old Face" w:hAnsi="Baskerville Old Face"/>
        </w:rPr>
        <w:t>Thomas, Gordan. 2005. ‘House Form and Cultural Identity in Chalcolithic Cyprus’, in Archaeological Perspectives on the Transmission and Transformation of Culture in the Eastern Mediterranean (Oxbow) p.11</w:t>
      </w:r>
      <w:r w:rsidRPr="00DB4DCB">
        <w:rPr>
          <w:rFonts w:ascii="Baskerville Old Face" w:hAnsi="Baskerville Old Face"/>
        </w:rPr>
        <w:t>8</w:t>
      </w:r>
    </w:p>
  </w:footnote>
  <w:footnote w:id="12">
    <w:p w14:paraId="0E4E4802" w14:textId="29DC08CB" w:rsidR="00D168A8" w:rsidRPr="00D168A8" w:rsidRDefault="00D168A8">
      <w:pPr>
        <w:pStyle w:val="FootnoteText"/>
        <w:rPr>
          <w:rFonts w:ascii="Baskerville Old Face" w:hAnsi="Baskerville Old Face"/>
          <w:lang w:val="en-US"/>
        </w:rPr>
      </w:pPr>
      <w:bookmarkStart w:id="0" w:name="_Hlk172652980"/>
      <w:r w:rsidRPr="00D168A8">
        <w:rPr>
          <w:rStyle w:val="FootnoteReference"/>
          <w:rFonts w:ascii="Baskerville Old Face" w:hAnsi="Baskerville Old Face"/>
        </w:rPr>
        <w:footnoteRef/>
      </w:r>
      <w:r w:rsidRPr="00D168A8">
        <w:rPr>
          <w:rFonts w:ascii="Baskerville Old Face" w:hAnsi="Baskerville Old Face"/>
        </w:rPr>
        <w:t xml:space="preserve"> </w:t>
      </w:r>
      <w:r w:rsidRPr="00D168A8">
        <w:rPr>
          <w:rFonts w:ascii="Baskerville Old Face" w:hAnsi="Baskerville Old Face"/>
        </w:rPr>
        <w:t>Thomas, Gordan. 2005. ‘House Form and Cultural Identity in Chalcolithic Cyprus’, in Archaeological Perspectives on the Transmission and Transformation of Culture in the Eastern Mediterranean (Oxbow)</w:t>
      </w:r>
      <w:r w:rsidRPr="00D168A8">
        <w:rPr>
          <w:rFonts w:ascii="Baskerville Old Face" w:hAnsi="Baskerville Old Face"/>
        </w:rPr>
        <w:t xml:space="preserve"> p.119</w:t>
      </w:r>
    </w:p>
    <w:bookmarkEnd w:id="0"/>
  </w:footnote>
  <w:footnote w:id="13">
    <w:p w14:paraId="36631D3A" w14:textId="2B9A8B09" w:rsidR="00D168A8" w:rsidRPr="00EA76CE" w:rsidRDefault="00D168A8">
      <w:pPr>
        <w:pStyle w:val="FootnoteText"/>
        <w:rPr>
          <w:rFonts w:ascii="Baskerville Old Face" w:hAnsi="Baskerville Old Face"/>
          <w:lang w:val="en-US"/>
        </w:rPr>
      </w:pPr>
      <w:r w:rsidRPr="00EA76CE">
        <w:rPr>
          <w:rStyle w:val="FootnoteReference"/>
          <w:rFonts w:ascii="Baskerville Old Face" w:hAnsi="Baskerville Old Face"/>
        </w:rPr>
        <w:footnoteRef/>
      </w:r>
      <w:r w:rsidRPr="00EA76CE">
        <w:rPr>
          <w:rFonts w:ascii="Baskerville Old Face" w:hAnsi="Baskerville Old Face"/>
        </w:rPr>
        <w:t xml:space="preserve"> </w:t>
      </w:r>
      <w:r w:rsidR="00EA76CE" w:rsidRPr="00EA76CE">
        <w:rPr>
          <w:rFonts w:ascii="Baskerville Old Face" w:hAnsi="Baskerville Old Face"/>
        </w:rPr>
        <w:t>At the beginning of the Chalcolithic period and at the end of Chalcolithic third phase.</w:t>
      </w:r>
    </w:p>
  </w:footnote>
  <w:footnote w:id="14">
    <w:p w14:paraId="776E0F7C" w14:textId="7FB99FCE" w:rsidR="00EA76CE" w:rsidRPr="00EA76CE" w:rsidRDefault="00EA76CE">
      <w:pPr>
        <w:pStyle w:val="FootnoteText"/>
        <w:rPr>
          <w:rFonts w:ascii="Baskerville Old Face" w:hAnsi="Baskerville Old Face"/>
          <w:lang w:val="en-US"/>
        </w:rPr>
      </w:pPr>
      <w:r w:rsidRPr="00EA76CE">
        <w:rPr>
          <w:rStyle w:val="FootnoteReference"/>
          <w:rFonts w:ascii="Baskerville Old Face" w:hAnsi="Baskerville Old Face"/>
        </w:rPr>
        <w:footnoteRef/>
      </w:r>
      <w:r w:rsidRPr="00EA76CE">
        <w:rPr>
          <w:rFonts w:ascii="Baskerville Old Face" w:hAnsi="Baskerville Old Face"/>
        </w:rPr>
        <w:t xml:space="preserve"> </w:t>
      </w:r>
      <w:r w:rsidRPr="00EA76CE">
        <w:rPr>
          <w:rFonts w:ascii="Baskerville Old Face" w:hAnsi="Baskerville Old Face"/>
          <w:lang w:val="en-US"/>
        </w:rPr>
        <w:t>Ibid.</w:t>
      </w:r>
    </w:p>
  </w:footnote>
  <w:footnote w:id="15">
    <w:p w14:paraId="4DDF9A58" w14:textId="38D0777C" w:rsidR="002134EF" w:rsidRPr="002134EF" w:rsidRDefault="002134EF">
      <w:pPr>
        <w:pStyle w:val="FootnoteText"/>
        <w:rPr>
          <w:rFonts w:ascii="Baskerville Old Face" w:hAnsi="Baskerville Old Face"/>
        </w:rPr>
      </w:pPr>
      <w:r w:rsidRPr="002134EF">
        <w:rPr>
          <w:rStyle w:val="FootnoteReference"/>
          <w:rFonts w:ascii="Baskerville Old Face" w:hAnsi="Baskerville Old Face"/>
        </w:rPr>
        <w:footnoteRef/>
      </w:r>
      <w:r w:rsidRPr="002134EF">
        <w:rPr>
          <w:rFonts w:ascii="Baskerville Old Face" w:hAnsi="Baskerville Old Face"/>
        </w:rPr>
        <w:t xml:space="preserve"> </w:t>
      </w:r>
      <w:r w:rsidRPr="002134EF">
        <w:rPr>
          <w:rFonts w:ascii="Baskerville Old Face" w:hAnsi="Baskerville Old Face"/>
        </w:rPr>
        <w:t xml:space="preserve">Klinkenberg, Victor. 2022. ‘Building Biographies of the Cypriot Chalcolithic’, Levant: 1–14 </w:t>
      </w:r>
    </w:p>
  </w:footnote>
  <w:footnote w:id="16">
    <w:p w14:paraId="173979D7" w14:textId="010869A1" w:rsidR="002134EF" w:rsidRPr="009F5E85" w:rsidRDefault="002134EF">
      <w:pPr>
        <w:pStyle w:val="FootnoteText"/>
        <w:rPr>
          <w:rFonts w:ascii="Baskerville Old Face" w:hAnsi="Baskerville Old Face"/>
        </w:rPr>
      </w:pPr>
      <w:r w:rsidRPr="009F5E85">
        <w:rPr>
          <w:rStyle w:val="FootnoteReference"/>
          <w:rFonts w:ascii="Baskerville Old Face" w:hAnsi="Baskerville Old Face"/>
        </w:rPr>
        <w:footnoteRef/>
      </w:r>
      <w:r w:rsidRPr="009F5E85">
        <w:rPr>
          <w:rFonts w:ascii="Baskerville Old Face" w:hAnsi="Baskerville Old Face"/>
        </w:rPr>
        <w:t xml:space="preserve"> </w:t>
      </w:r>
      <w:r w:rsidR="009F5E85" w:rsidRPr="009F5E85">
        <w:rPr>
          <w:rFonts w:ascii="Baskerville Old Face" w:hAnsi="Baskerville Old Face"/>
        </w:rPr>
        <w:t xml:space="preserve">Papaconstantinou, Demetra. </w:t>
      </w:r>
      <w:r w:rsidR="009F5E85" w:rsidRPr="009F5E85">
        <w:rPr>
          <w:rFonts w:ascii="Baskerville Old Face" w:hAnsi="Baskerville Old Face"/>
        </w:rPr>
        <w:t>2013</w:t>
      </w:r>
      <w:r w:rsidR="009F5E85" w:rsidRPr="009F5E85">
        <w:rPr>
          <w:rFonts w:ascii="Baskerville Old Face" w:hAnsi="Baskerville Old Face"/>
        </w:rPr>
        <w:t xml:space="preserve">. ‘Settlement Planning and Architecture’, in ARCANE: Associated Regional </w:t>
      </w:r>
      <w:r w:rsidR="009F5E85" w:rsidRPr="009F5E85">
        <w:rPr>
          <w:rFonts w:ascii="Baskerville Old Face" w:hAnsi="Baskerville Old Face"/>
        </w:rPr>
        <w:t>Chronologies for</w:t>
      </w:r>
      <w:r w:rsidR="009F5E85" w:rsidRPr="009F5E85">
        <w:rPr>
          <w:rFonts w:ascii="Baskerville Old Face" w:hAnsi="Baskerville Old Face"/>
        </w:rPr>
        <w:t xml:space="preserve"> the Ancient near </w:t>
      </w:r>
      <w:r w:rsidR="009F5E85" w:rsidRPr="009F5E85">
        <w:rPr>
          <w:rFonts w:ascii="Baskerville Old Face" w:hAnsi="Baskerville Old Face"/>
        </w:rPr>
        <w:t>East and</w:t>
      </w:r>
      <w:r w:rsidR="009F5E85" w:rsidRPr="009F5E85">
        <w:rPr>
          <w:rFonts w:ascii="Baskerville Old Face" w:hAnsi="Baskerville Old Face"/>
        </w:rPr>
        <w:t xml:space="preserve"> the Eastern Mediterranean (Brepol</w:t>
      </w:r>
      <w:r w:rsidR="009F5E85" w:rsidRPr="009F5E85">
        <w:rPr>
          <w:rFonts w:ascii="Baskerville Old Face" w:hAnsi="Baskerville Old Face"/>
        </w:rPr>
        <w:t>s)</w:t>
      </w:r>
    </w:p>
  </w:footnote>
  <w:footnote w:id="17">
    <w:p w14:paraId="5C3FD390" w14:textId="2437E401" w:rsidR="00DE2F23" w:rsidRPr="00DE2F23" w:rsidRDefault="00DE2F23">
      <w:pPr>
        <w:pStyle w:val="FootnoteText"/>
        <w:rPr>
          <w:rFonts w:ascii="Baskerville Old Face" w:hAnsi="Baskerville Old Face"/>
        </w:rPr>
      </w:pPr>
      <w:r w:rsidRPr="00DE2F23">
        <w:rPr>
          <w:rStyle w:val="FootnoteReference"/>
          <w:rFonts w:ascii="Baskerville Old Face" w:hAnsi="Baskerville Old Face"/>
        </w:rPr>
        <w:footnoteRef/>
      </w:r>
      <w:r w:rsidRPr="00DE2F23">
        <w:rPr>
          <w:rFonts w:ascii="Baskerville Old Face" w:hAnsi="Baskerville Old Face"/>
        </w:rPr>
        <w:t xml:space="preserve"> </w:t>
      </w:r>
      <w:r w:rsidRPr="00DE2F23">
        <w:rPr>
          <w:rFonts w:ascii="Baskerville Old Face" w:hAnsi="Baskerville Old Face"/>
        </w:rPr>
        <w:t xml:space="preserve">  Thomas, Gordan. 2005. ‘House Form and Cultural Identity in Chalcolithic Cyprus’, in Archaeological Perspectives on the Transmission and Transformation of Culture in the Eastern Mediterranean (Oxbow) p.1</w:t>
      </w:r>
      <w:r w:rsidRPr="00DE2F23">
        <w:rPr>
          <w:rFonts w:ascii="Baskerville Old Face" w:hAnsi="Baskerville Old Face"/>
        </w:rPr>
        <w:t>23</w:t>
      </w:r>
    </w:p>
  </w:footnote>
  <w:footnote w:id="18">
    <w:p w14:paraId="19C48F06" w14:textId="2F68EB6F" w:rsidR="004547C8" w:rsidRPr="004547C8" w:rsidRDefault="004547C8">
      <w:pPr>
        <w:pStyle w:val="FootnoteText"/>
        <w:rPr>
          <w:rFonts w:ascii="Baskerville Old Face" w:hAnsi="Baskerville Old Face"/>
        </w:rPr>
      </w:pPr>
      <w:r w:rsidRPr="004547C8">
        <w:rPr>
          <w:rStyle w:val="FootnoteReference"/>
          <w:rFonts w:ascii="Baskerville Old Face" w:hAnsi="Baskerville Old Face"/>
        </w:rPr>
        <w:footnoteRef/>
      </w:r>
      <w:r w:rsidRPr="004547C8">
        <w:rPr>
          <w:rFonts w:ascii="Baskerville Old Face" w:hAnsi="Baskerville Old Face"/>
        </w:rPr>
        <w:t xml:space="preserve"> </w:t>
      </w:r>
      <w:r w:rsidRPr="004547C8">
        <w:rPr>
          <w:rFonts w:ascii="Baskerville Old Face" w:hAnsi="Baskerville Old Face"/>
        </w:rPr>
        <w:t>Klinkenberg, Victor. 2022. ‘Building Biographies of the Cypriot Chalcolithic’, Levant:</w:t>
      </w:r>
      <w:r w:rsidRPr="004547C8">
        <w:rPr>
          <w:rFonts w:ascii="Baskerville Old Face" w:hAnsi="Baskerville Old Face"/>
        </w:rPr>
        <w:t xml:space="preserve"> p.4</w:t>
      </w:r>
    </w:p>
  </w:footnote>
  <w:footnote w:id="19">
    <w:p w14:paraId="7C9B1DA3" w14:textId="30154195" w:rsidR="004547C8" w:rsidRPr="004547C8" w:rsidRDefault="004547C8">
      <w:pPr>
        <w:pStyle w:val="FootnoteText"/>
        <w:rPr>
          <w:rFonts w:ascii="Baskerville Old Face" w:hAnsi="Baskerville Old Face"/>
        </w:rPr>
      </w:pPr>
      <w:r w:rsidRPr="004547C8">
        <w:rPr>
          <w:rStyle w:val="FootnoteReference"/>
          <w:rFonts w:ascii="Baskerville Old Face" w:hAnsi="Baskerville Old Face"/>
        </w:rPr>
        <w:footnoteRef/>
      </w:r>
      <w:r w:rsidRPr="004547C8">
        <w:rPr>
          <w:rFonts w:ascii="Baskerville Old Face" w:hAnsi="Baskerville Old Face"/>
        </w:rPr>
        <w:t xml:space="preserve"> Ibid.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DD2CD6"/>
    <w:multiLevelType w:val="hybridMultilevel"/>
    <w:tmpl w:val="9B3016AC"/>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181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74D"/>
    <w:rsid w:val="000123D7"/>
    <w:rsid w:val="00047127"/>
    <w:rsid w:val="00071E48"/>
    <w:rsid w:val="000A44F6"/>
    <w:rsid w:val="000F297C"/>
    <w:rsid w:val="00124E2B"/>
    <w:rsid w:val="001679FB"/>
    <w:rsid w:val="001A403C"/>
    <w:rsid w:val="001A6946"/>
    <w:rsid w:val="001B6843"/>
    <w:rsid w:val="001D17A6"/>
    <w:rsid w:val="001F4206"/>
    <w:rsid w:val="002134EF"/>
    <w:rsid w:val="0028474D"/>
    <w:rsid w:val="002961A5"/>
    <w:rsid w:val="00296FAD"/>
    <w:rsid w:val="002B25C9"/>
    <w:rsid w:val="002B6137"/>
    <w:rsid w:val="002C02DC"/>
    <w:rsid w:val="002D210B"/>
    <w:rsid w:val="00320C35"/>
    <w:rsid w:val="00323FED"/>
    <w:rsid w:val="004177BA"/>
    <w:rsid w:val="004547C8"/>
    <w:rsid w:val="00462646"/>
    <w:rsid w:val="004C5208"/>
    <w:rsid w:val="00504CC8"/>
    <w:rsid w:val="0057237E"/>
    <w:rsid w:val="00592B27"/>
    <w:rsid w:val="005A3992"/>
    <w:rsid w:val="00634E29"/>
    <w:rsid w:val="006368CF"/>
    <w:rsid w:val="00645F93"/>
    <w:rsid w:val="00670DAF"/>
    <w:rsid w:val="0068399D"/>
    <w:rsid w:val="006B79AA"/>
    <w:rsid w:val="006D3EEA"/>
    <w:rsid w:val="00734E79"/>
    <w:rsid w:val="007703F3"/>
    <w:rsid w:val="0078260E"/>
    <w:rsid w:val="007979AD"/>
    <w:rsid w:val="00811B6A"/>
    <w:rsid w:val="008251A4"/>
    <w:rsid w:val="008407C6"/>
    <w:rsid w:val="0085429A"/>
    <w:rsid w:val="00867C55"/>
    <w:rsid w:val="008A6D3E"/>
    <w:rsid w:val="008C4EA7"/>
    <w:rsid w:val="008E0FE6"/>
    <w:rsid w:val="0092145B"/>
    <w:rsid w:val="00974814"/>
    <w:rsid w:val="009A774B"/>
    <w:rsid w:val="009F2D81"/>
    <w:rsid w:val="009F5E85"/>
    <w:rsid w:val="00A14B9A"/>
    <w:rsid w:val="00A31460"/>
    <w:rsid w:val="00A559F5"/>
    <w:rsid w:val="00A57CDF"/>
    <w:rsid w:val="00A700BF"/>
    <w:rsid w:val="00A7732E"/>
    <w:rsid w:val="00AA02F8"/>
    <w:rsid w:val="00AF0166"/>
    <w:rsid w:val="00B11B54"/>
    <w:rsid w:val="00B22B7A"/>
    <w:rsid w:val="00B65102"/>
    <w:rsid w:val="00BE139E"/>
    <w:rsid w:val="00C07F9A"/>
    <w:rsid w:val="00C241C5"/>
    <w:rsid w:val="00C56295"/>
    <w:rsid w:val="00C656F1"/>
    <w:rsid w:val="00C82B56"/>
    <w:rsid w:val="00CA01E2"/>
    <w:rsid w:val="00CB0A3B"/>
    <w:rsid w:val="00D168A8"/>
    <w:rsid w:val="00D21305"/>
    <w:rsid w:val="00D22C3E"/>
    <w:rsid w:val="00D81157"/>
    <w:rsid w:val="00DB4DCB"/>
    <w:rsid w:val="00DE2F23"/>
    <w:rsid w:val="00E151B3"/>
    <w:rsid w:val="00E30AE7"/>
    <w:rsid w:val="00EA76CE"/>
    <w:rsid w:val="00EC0CF7"/>
    <w:rsid w:val="00F304F1"/>
    <w:rsid w:val="00F655AF"/>
    <w:rsid w:val="00F9775F"/>
    <w:rsid w:val="00FA283B"/>
    <w:rsid w:val="00FD2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255E8"/>
  <w15:chartTrackingRefBased/>
  <w15:docId w15:val="{D0FC994B-C734-43B6-8EC0-E39C783992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14B9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4B9A"/>
    <w:rPr>
      <w:sz w:val="20"/>
      <w:szCs w:val="20"/>
    </w:rPr>
  </w:style>
  <w:style w:type="character" w:styleId="FootnoteReference">
    <w:name w:val="footnote reference"/>
    <w:basedOn w:val="DefaultParagraphFont"/>
    <w:uiPriority w:val="99"/>
    <w:semiHidden/>
    <w:unhideWhenUsed/>
    <w:rsid w:val="00A14B9A"/>
    <w:rPr>
      <w:vertAlign w:val="superscript"/>
    </w:rPr>
  </w:style>
  <w:style w:type="character" w:styleId="Hyperlink">
    <w:name w:val="Hyperlink"/>
    <w:basedOn w:val="DefaultParagraphFont"/>
    <w:uiPriority w:val="99"/>
    <w:unhideWhenUsed/>
    <w:rsid w:val="00B65102"/>
    <w:rPr>
      <w:color w:val="0563C1" w:themeColor="hyperlink"/>
      <w:u w:val="single"/>
    </w:rPr>
  </w:style>
  <w:style w:type="character" w:styleId="UnresolvedMention">
    <w:name w:val="Unresolved Mention"/>
    <w:basedOn w:val="DefaultParagraphFont"/>
    <w:uiPriority w:val="99"/>
    <w:semiHidden/>
    <w:unhideWhenUsed/>
    <w:rsid w:val="00B65102"/>
    <w:rPr>
      <w:color w:val="605E5C"/>
      <w:shd w:val="clear" w:color="auto" w:fill="E1DFDD"/>
    </w:rPr>
  </w:style>
  <w:style w:type="paragraph" w:styleId="ListParagraph">
    <w:name w:val="List Paragraph"/>
    <w:basedOn w:val="Normal"/>
    <w:uiPriority w:val="34"/>
    <w:qFormat/>
    <w:rsid w:val="009F5E8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00758914.2022.214097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75/hop.10.str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73598003/Pierre_Bourdieu_s_Theory_of_Practice_"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file:///C:/Users/User/Downloads/RET_Houses_1995web%20(1).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B0D838-5636-4E4E-A798-B4EC89E96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4277</TotalTime>
  <Pages>5</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quieros</dc:creator>
  <cp:keywords/>
  <dc:description/>
  <cp:lastModifiedBy>francesca quieros</cp:lastModifiedBy>
  <cp:revision>41</cp:revision>
  <cp:lastPrinted>2024-07-23T18:31:00Z</cp:lastPrinted>
  <dcterms:created xsi:type="dcterms:W3CDTF">2024-07-19T20:39:00Z</dcterms:created>
  <dcterms:modified xsi:type="dcterms:W3CDTF">2024-07-24T14:13:00Z</dcterms:modified>
</cp:coreProperties>
</file>