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641939753"/>
        <w:docPartObj>
          <w:docPartGallery w:val="Cover Pages"/>
          <w:docPartUnique/>
        </w:docPartObj>
      </w:sdtPr>
      <w:sdtContent>
        <w:p w14:paraId="05F5388C" w14:textId="08C9774A" w:rsidR="0056750A" w:rsidRDefault="00FC55A3">
          <w:pPr>
            <w:rPr>
              <w:rFonts w:ascii="Times New Roman" w:hAnsi="Times New Roman" w:cs="Times New Roman"/>
            </w:rPr>
          </w:pPr>
          <w:r w:rsidRPr="0056750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C270722" wp14:editId="6BFF2EF1">
                    <wp:simplePos x="0" y="0"/>
                    <wp:positionH relativeFrom="margin">
                      <wp:align>center</wp:align>
                    </wp:positionH>
                    <wp:positionV relativeFrom="page">
                      <wp:posOffset>1955770</wp:posOffset>
                    </wp:positionV>
                    <wp:extent cx="1712595" cy="8399721"/>
                    <wp:effectExtent l="0" t="0" r="0" b="1905"/>
                    <wp:wrapSquare wrapText="bothSides"/>
                    <wp:docPr id="138" name="Text Box 139"/>
                    <wp:cNvGraphicFramePr/>
                    <a:graphic xmlns:a="http://schemas.openxmlformats.org/drawingml/2006/main">
                      <a:graphicData uri="http://schemas.microsoft.com/office/word/2010/wordprocessingShape">
                        <wps:wsp>
                          <wps:cNvSpPr txBox="1"/>
                          <wps:spPr>
                            <a:xfrm>
                              <a:off x="0" y="0"/>
                              <a:ext cx="1712595" cy="839972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10"/>
                                  <w:gridCol w:w="2367"/>
                                </w:tblGrid>
                                <w:tr w:rsidR="0056750A" w14:paraId="27FBEDAC" w14:textId="77777777" w:rsidTr="0056750A">
                                  <w:trPr>
                                    <w:jc w:val="center"/>
                                  </w:trPr>
                                  <w:tc>
                                    <w:tcPr>
                                      <w:tcW w:w="2568" w:type="pct"/>
                                      <w:vAlign w:val="center"/>
                                    </w:tcPr>
                                    <w:p w14:paraId="2B86F6E7" w14:textId="2657C46B" w:rsidR="0056750A" w:rsidRDefault="00563E0B">
                                      <w:pPr>
                                        <w:jc w:val="right"/>
                                      </w:pPr>
                                      <w:r>
                                        <w:rPr>
                                          <w:noProof/>
                                        </w:rPr>
                                        <w:drawing>
                                          <wp:inline distT="0" distB="0" distL="0" distR="0" wp14:anchorId="10170927" wp14:editId="5F5C541E">
                                            <wp:extent cx="2978150" cy="2459023"/>
                                            <wp:effectExtent l="0" t="0" r="0" b="0"/>
                                            <wp:docPr id="185485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54844" name=""/>
                                                    <pic:cNvPicPr/>
                                                  </pic:nvPicPr>
                                                  <pic:blipFill rotWithShape="1">
                                                    <a:blip r:embed="rId8"/>
                                                    <a:srcRect r="31875"/>
                                                    <a:stretch>
                                                      <a:fillRect/>
                                                    </a:stretch>
                                                  </pic:blipFill>
                                                  <pic:spPr bwMode="auto">
                                                    <a:xfrm>
                                                      <a:off x="0" y="0"/>
                                                      <a:ext cx="2984447" cy="246422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Theme="majorEastAsia" w:hAnsi="Arial" w:cs="Arial"/>
                                          <w:color w:val="2F5496" w:themeColor="accent1" w:themeShade="BF"/>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BABD8D" w14:textId="16FBEF67" w:rsidR="0056750A" w:rsidRPr="008E4924" w:rsidRDefault="0056750A">
                                          <w:pPr>
                                            <w:pStyle w:val="NoSpacing"/>
                                            <w:spacing w:line="312" w:lineRule="auto"/>
                                            <w:jc w:val="right"/>
                                            <w:rPr>
                                              <w:rFonts w:ascii="Arial" w:hAnsi="Arial" w:cs="Arial"/>
                                              <w:caps/>
                                              <w:color w:val="191919" w:themeColor="text1" w:themeTint="E6"/>
                                              <w:sz w:val="72"/>
                                              <w:szCs w:val="72"/>
                                            </w:rPr>
                                          </w:pPr>
                                          <w:r w:rsidRPr="008E4924">
                                            <w:rPr>
                                              <w:rFonts w:ascii="Arial" w:eastAsiaTheme="majorEastAsia" w:hAnsi="Arial" w:cs="Arial"/>
                                              <w:color w:val="2F5496" w:themeColor="accent1" w:themeShade="BF"/>
                                              <w:sz w:val="40"/>
                                              <w:szCs w:val="40"/>
                                            </w:rPr>
                                            <w:t>Leadership and Governance Failures in the Shrewsbury and Telford Maternity Scandal</w:t>
                                          </w:r>
                                        </w:p>
                                      </w:sdtContent>
                                    </w:sdt>
                                    <w:sdt>
                                      <w:sdtPr>
                                        <w:rPr>
                                          <w:rFonts w:ascii="Arial" w:hAnsi="Arial" w:cs="Arial"/>
                                          <w:b/>
                                          <w:bCs/>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E06CEEB" w14:textId="74A349CF" w:rsidR="0056750A" w:rsidRDefault="0056750A">
                                          <w:pPr>
                                            <w:jc w:val="right"/>
                                            <w:rPr>
                                              <w:sz w:val="24"/>
                                              <w:szCs w:val="24"/>
                                            </w:rPr>
                                          </w:pPr>
                                          <w:r w:rsidRPr="008E4924">
                                            <w:rPr>
                                              <w:rFonts w:ascii="Arial" w:hAnsi="Arial" w:cs="Arial"/>
                                              <w:b/>
                                              <w:bCs/>
                                              <w:kern w:val="0"/>
                                              <w14:ligatures w14:val="none"/>
                                            </w:rPr>
                                            <w:t>SERVICE IMPROVEMENT REPORT</w:t>
                                          </w:r>
                                        </w:p>
                                      </w:sdtContent>
                                    </w:sdt>
                                  </w:tc>
                                  <w:tc>
                                    <w:tcPr>
                                      <w:tcW w:w="2432" w:type="pct"/>
                                      <w:vAlign w:val="center"/>
                                    </w:tcPr>
                                    <w:p w14:paraId="22748DCA" w14:textId="4B40D174" w:rsidR="0056750A" w:rsidRPr="008E4924" w:rsidRDefault="0056750A">
                                      <w:pPr>
                                        <w:pStyle w:val="NoSpacing"/>
                                        <w:rPr>
                                          <w:rFonts w:ascii="Arial" w:hAnsi="Arial" w:cs="Arial"/>
                                          <w:caps/>
                                          <w:color w:val="ED7D31" w:themeColor="accent2"/>
                                          <w:sz w:val="26"/>
                                          <w:szCs w:val="26"/>
                                        </w:rPr>
                                      </w:pPr>
                                      <w:sdt>
                                        <w:sdtPr>
                                          <w:rPr>
                                            <w:rFonts w:ascii="Arial" w:hAnsi="Arial" w:cs="Arial"/>
                                            <w:caps/>
                                            <w:color w:val="1F3864" w:themeColor="accent1"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Pr="008E4924">
                                            <w:rPr>
                                              <w:rFonts w:ascii="Arial" w:hAnsi="Arial" w:cs="Arial"/>
                                              <w:caps/>
                                              <w:color w:val="1F3864" w:themeColor="accent1" w:themeShade="80"/>
                                              <w:sz w:val="26"/>
                                              <w:szCs w:val="26"/>
                                            </w:rPr>
                                            <w:t>Janvi iSHWARBHAI chauhan</w:t>
                                          </w:r>
                                        </w:sdtContent>
                                      </w:sdt>
                                    </w:p>
                                    <w:p w14:paraId="6C703707" w14:textId="2F0BC1D5" w:rsidR="0056750A" w:rsidRPr="008E4924" w:rsidRDefault="0056750A" w:rsidP="00563E0B">
                                      <w:pPr>
                                        <w:pStyle w:val="NoSpacing"/>
                                        <w:rPr>
                                          <w:rFonts w:ascii="Arial" w:hAnsi="Arial" w:cs="Arial"/>
                                        </w:rPr>
                                      </w:pPr>
                                      <w:sdt>
                                        <w:sdtPr>
                                          <w:rPr>
                                            <w:rFonts w:ascii="Arial" w:eastAsiaTheme="minorHAnsi" w:hAnsi="Arial" w:cs="Arial"/>
                                            <w:kern w:val="2"/>
                                            <w:lang w:val="en-IN"/>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E4924">
                                            <w:rPr>
                                              <w:rFonts w:ascii="Arial" w:eastAsiaTheme="minorHAnsi" w:hAnsi="Arial" w:cs="Arial"/>
                                              <w:kern w:val="2"/>
                                              <w:lang w:val="en-IN"/>
                                              <w14:ligatures w14:val="standardContextual"/>
                                            </w:rPr>
                                            <w:t>Student ID: 2431585</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 xml:space="preserve">Module: Quality Assurance and Service Improvements </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Module code: LCHS7006</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Lecturer: Shepherd Ziko</w:t>
                                          </w:r>
                                          <w:r w:rsidRPr="008E4924">
                                            <w:rPr>
                                              <w:rFonts w:ascii="Arial" w:eastAsiaTheme="minorHAnsi" w:hAnsi="Arial" w:cs="Arial"/>
                                              <w:kern w:val="2"/>
                                              <w:lang w:val="en-IN"/>
                                              <w14:ligatures w14:val="standardContextual"/>
                                            </w:rPr>
                                            <w:t xml:space="preserve">  </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Assignment Title: Service Improvement Report</w:t>
                                          </w:r>
                                        </w:sdtContent>
                                      </w:sdt>
                                    </w:p>
                                  </w:tc>
                                </w:tr>
                                <w:tr w:rsidR="0056750A" w14:paraId="214C4722" w14:textId="77777777" w:rsidTr="0056750A">
                                  <w:trPr>
                                    <w:jc w:val="center"/>
                                  </w:trPr>
                                  <w:tc>
                                    <w:tcPr>
                                      <w:tcW w:w="2568" w:type="pct"/>
                                      <w:vAlign w:val="center"/>
                                    </w:tcPr>
                                    <w:p w14:paraId="4EC784FC" w14:textId="77777777" w:rsidR="0056750A" w:rsidRDefault="0056750A">
                                      <w:pPr>
                                        <w:jc w:val="right"/>
                                        <w:rPr>
                                          <w:noProof/>
                                        </w:rPr>
                                      </w:pPr>
                                    </w:p>
                                  </w:tc>
                                  <w:tc>
                                    <w:tcPr>
                                      <w:tcW w:w="2432" w:type="pct"/>
                                      <w:vAlign w:val="center"/>
                                    </w:tcPr>
                                    <w:p w14:paraId="574586AC" w14:textId="77777777" w:rsidR="0056750A" w:rsidRPr="0056750A" w:rsidRDefault="0056750A">
                                      <w:pPr>
                                        <w:pStyle w:val="NoSpacing"/>
                                        <w:rPr>
                                          <w:caps/>
                                          <w:color w:val="ED7D31" w:themeColor="accent2"/>
                                          <w:sz w:val="26"/>
                                          <w:szCs w:val="26"/>
                                        </w:rPr>
                                      </w:pPr>
                                    </w:p>
                                  </w:tc>
                                </w:tr>
                                <w:tr w:rsidR="0056750A" w14:paraId="3C72B479" w14:textId="77777777" w:rsidTr="0056750A">
                                  <w:trPr>
                                    <w:jc w:val="center"/>
                                  </w:trPr>
                                  <w:tc>
                                    <w:tcPr>
                                      <w:tcW w:w="2568" w:type="pct"/>
                                      <w:vAlign w:val="center"/>
                                    </w:tcPr>
                                    <w:p w14:paraId="28E865C2" w14:textId="77777777" w:rsidR="0056750A" w:rsidRDefault="0056750A">
                                      <w:pPr>
                                        <w:jc w:val="right"/>
                                        <w:rPr>
                                          <w:noProof/>
                                        </w:rPr>
                                      </w:pPr>
                                    </w:p>
                                  </w:tc>
                                  <w:tc>
                                    <w:tcPr>
                                      <w:tcW w:w="2432" w:type="pct"/>
                                      <w:vAlign w:val="center"/>
                                    </w:tcPr>
                                    <w:p w14:paraId="7694905A" w14:textId="77777777" w:rsidR="0056750A" w:rsidRPr="0056750A" w:rsidRDefault="0056750A">
                                      <w:pPr>
                                        <w:pStyle w:val="NoSpacing"/>
                                        <w:rPr>
                                          <w:caps/>
                                          <w:color w:val="ED7D31" w:themeColor="accent2"/>
                                          <w:sz w:val="26"/>
                                          <w:szCs w:val="26"/>
                                        </w:rPr>
                                      </w:pPr>
                                    </w:p>
                                  </w:tc>
                                </w:tr>
                              </w:tbl>
                              <w:p w14:paraId="06D9A925" w14:textId="77777777" w:rsidR="0056750A" w:rsidRDefault="0056750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270722" id="_x0000_t202" coordsize="21600,21600" o:spt="202" path="m,l,21600r21600,l21600,xe">
                    <v:stroke joinstyle="miter"/>
                    <v:path gradientshapeok="t" o:connecttype="rect"/>
                  </v:shapetype>
                  <v:shape id="Text Box 139" o:spid="_x0000_s1026" type="#_x0000_t202" style="position:absolute;margin-left:0;margin-top:154pt;width:134.85pt;height:661.4pt;z-index:251662336;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10"/>
                            <w:gridCol w:w="2367"/>
                          </w:tblGrid>
                          <w:tr w:rsidR="0056750A" w14:paraId="27FBEDAC" w14:textId="77777777" w:rsidTr="0056750A">
                            <w:trPr>
                              <w:jc w:val="center"/>
                            </w:trPr>
                            <w:tc>
                              <w:tcPr>
                                <w:tcW w:w="2568" w:type="pct"/>
                                <w:vAlign w:val="center"/>
                              </w:tcPr>
                              <w:p w14:paraId="2B86F6E7" w14:textId="2657C46B" w:rsidR="0056750A" w:rsidRDefault="00563E0B">
                                <w:pPr>
                                  <w:jc w:val="right"/>
                                </w:pPr>
                                <w:r>
                                  <w:rPr>
                                    <w:noProof/>
                                  </w:rPr>
                                  <w:drawing>
                                    <wp:inline distT="0" distB="0" distL="0" distR="0" wp14:anchorId="10170927" wp14:editId="5F5C541E">
                                      <wp:extent cx="2978150" cy="2459023"/>
                                      <wp:effectExtent l="0" t="0" r="0" b="0"/>
                                      <wp:docPr id="185485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54844" name=""/>
                                              <pic:cNvPicPr/>
                                            </pic:nvPicPr>
                                            <pic:blipFill rotWithShape="1">
                                              <a:blip r:embed="rId8"/>
                                              <a:srcRect r="31875"/>
                                              <a:stretch>
                                                <a:fillRect/>
                                              </a:stretch>
                                            </pic:blipFill>
                                            <pic:spPr bwMode="auto">
                                              <a:xfrm>
                                                <a:off x="0" y="0"/>
                                                <a:ext cx="2984447" cy="246422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Theme="majorEastAsia" w:hAnsi="Arial" w:cs="Arial"/>
                                    <w:color w:val="2F5496" w:themeColor="accent1" w:themeShade="BF"/>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BABD8D" w14:textId="16FBEF67" w:rsidR="0056750A" w:rsidRPr="008E4924" w:rsidRDefault="0056750A">
                                    <w:pPr>
                                      <w:pStyle w:val="NoSpacing"/>
                                      <w:spacing w:line="312" w:lineRule="auto"/>
                                      <w:jc w:val="right"/>
                                      <w:rPr>
                                        <w:rFonts w:ascii="Arial" w:hAnsi="Arial" w:cs="Arial"/>
                                        <w:caps/>
                                        <w:color w:val="191919" w:themeColor="text1" w:themeTint="E6"/>
                                        <w:sz w:val="72"/>
                                        <w:szCs w:val="72"/>
                                      </w:rPr>
                                    </w:pPr>
                                    <w:r w:rsidRPr="008E4924">
                                      <w:rPr>
                                        <w:rFonts w:ascii="Arial" w:eastAsiaTheme="majorEastAsia" w:hAnsi="Arial" w:cs="Arial"/>
                                        <w:color w:val="2F5496" w:themeColor="accent1" w:themeShade="BF"/>
                                        <w:sz w:val="40"/>
                                        <w:szCs w:val="40"/>
                                      </w:rPr>
                                      <w:t>Leadership and Governance Failures in the Shrewsbury and Telford Maternity Scandal</w:t>
                                    </w:r>
                                  </w:p>
                                </w:sdtContent>
                              </w:sdt>
                              <w:sdt>
                                <w:sdtPr>
                                  <w:rPr>
                                    <w:rFonts w:ascii="Arial" w:hAnsi="Arial" w:cs="Arial"/>
                                    <w:b/>
                                    <w:bCs/>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E06CEEB" w14:textId="74A349CF" w:rsidR="0056750A" w:rsidRDefault="0056750A">
                                    <w:pPr>
                                      <w:jc w:val="right"/>
                                      <w:rPr>
                                        <w:sz w:val="24"/>
                                        <w:szCs w:val="24"/>
                                      </w:rPr>
                                    </w:pPr>
                                    <w:r w:rsidRPr="008E4924">
                                      <w:rPr>
                                        <w:rFonts w:ascii="Arial" w:hAnsi="Arial" w:cs="Arial"/>
                                        <w:b/>
                                        <w:bCs/>
                                        <w:kern w:val="0"/>
                                        <w14:ligatures w14:val="none"/>
                                      </w:rPr>
                                      <w:t>SERVICE IMPROVEMENT REPORT</w:t>
                                    </w:r>
                                  </w:p>
                                </w:sdtContent>
                              </w:sdt>
                            </w:tc>
                            <w:tc>
                              <w:tcPr>
                                <w:tcW w:w="2432" w:type="pct"/>
                                <w:vAlign w:val="center"/>
                              </w:tcPr>
                              <w:p w14:paraId="22748DCA" w14:textId="4B40D174" w:rsidR="0056750A" w:rsidRPr="008E4924" w:rsidRDefault="0056750A">
                                <w:pPr>
                                  <w:pStyle w:val="NoSpacing"/>
                                  <w:rPr>
                                    <w:rFonts w:ascii="Arial" w:hAnsi="Arial" w:cs="Arial"/>
                                    <w:caps/>
                                    <w:color w:val="ED7D31" w:themeColor="accent2"/>
                                    <w:sz w:val="26"/>
                                    <w:szCs w:val="26"/>
                                  </w:rPr>
                                </w:pPr>
                                <w:sdt>
                                  <w:sdtPr>
                                    <w:rPr>
                                      <w:rFonts w:ascii="Arial" w:hAnsi="Arial" w:cs="Arial"/>
                                      <w:caps/>
                                      <w:color w:val="1F3864" w:themeColor="accent1"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Pr="008E4924">
                                      <w:rPr>
                                        <w:rFonts w:ascii="Arial" w:hAnsi="Arial" w:cs="Arial"/>
                                        <w:caps/>
                                        <w:color w:val="1F3864" w:themeColor="accent1" w:themeShade="80"/>
                                        <w:sz w:val="26"/>
                                        <w:szCs w:val="26"/>
                                      </w:rPr>
                                      <w:t>Janvi iSHWARBHAI chauhan</w:t>
                                    </w:r>
                                  </w:sdtContent>
                                </w:sdt>
                              </w:p>
                              <w:p w14:paraId="6C703707" w14:textId="2F0BC1D5" w:rsidR="0056750A" w:rsidRPr="008E4924" w:rsidRDefault="0056750A" w:rsidP="00563E0B">
                                <w:pPr>
                                  <w:pStyle w:val="NoSpacing"/>
                                  <w:rPr>
                                    <w:rFonts w:ascii="Arial" w:hAnsi="Arial" w:cs="Arial"/>
                                  </w:rPr>
                                </w:pPr>
                                <w:sdt>
                                  <w:sdtPr>
                                    <w:rPr>
                                      <w:rFonts w:ascii="Arial" w:eastAsiaTheme="minorHAnsi" w:hAnsi="Arial" w:cs="Arial"/>
                                      <w:kern w:val="2"/>
                                      <w:lang w:val="en-IN"/>
                                      <w14:ligatures w14:val="standardContextua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E4924">
                                      <w:rPr>
                                        <w:rFonts w:ascii="Arial" w:eastAsiaTheme="minorHAnsi" w:hAnsi="Arial" w:cs="Arial"/>
                                        <w:kern w:val="2"/>
                                        <w:lang w:val="en-IN"/>
                                        <w14:ligatures w14:val="standardContextual"/>
                                      </w:rPr>
                                      <w:t>Student ID: 2431585</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 xml:space="preserve">Module: Quality Assurance and Service Improvements </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Module code: LCHS7006</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Lecturer: Shepherd Ziko</w:t>
                                    </w:r>
                                    <w:r w:rsidRPr="008E4924">
                                      <w:rPr>
                                        <w:rFonts w:ascii="Arial" w:eastAsiaTheme="minorHAnsi" w:hAnsi="Arial" w:cs="Arial"/>
                                        <w:kern w:val="2"/>
                                        <w:lang w:val="en-IN"/>
                                        <w14:ligatures w14:val="standardContextual"/>
                                      </w:rPr>
                                      <w:t xml:space="preserve">  </w:t>
                                    </w:r>
                                    <w:r w:rsidR="00563E0B" w:rsidRPr="008E4924">
                                      <w:rPr>
                                        <w:rFonts w:ascii="Arial" w:eastAsiaTheme="minorHAnsi" w:hAnsi="Arial" w:cs="Arial"/>
                                        <w:kern w:val="2"/>
                                        <w:lang w:val="en-IN"/>
                                        <w14:ligatures w14:val="standardContextual"/>
                                      </w:rPr>
                                      <w:t xml:space="preserve">                                   </w:t>
                                    </w:r>
                                    <w:r w:rsidRPr="008E4924">
                                      <w:rPr>
                                        <w:rFonts w:ascii="Arial" w:eastAsiaTheme="minorHAnsi" w:hAnsi="Arial" w:cs="Arial"/>
                                        <w:kern w:val="2"/>
                                        <w:lang w:val="en-IN"/>
                                        <w14:ligatures w14:val="standardContextual"/>
                                      </w:rPr>
                                      <w:t>Assignment Title: Service Improvement Report</w:t>
                                    </w:r>
                                  </w:sdtContent>
                                </w:sdt>
                              </w:p>
                            </w:tc>
                          </w:tr>
                          <w:tr w:rsidR="0056750A" w14:paraId="214C4722" w14:textId="77777777" w:rsidTr="0056750A">
                            <w:trPr>
                              <w:jc w:val="center"/>
                            </w:trPr>
                            <w:tc>
                              <w:tcPr>
                                <w:tcW w:w="2568" w:type="pct"/>
                                <w:vAlign w:val="center"/>
                              </w:tcPr>
                              <w:p w14:paraId="4EC784FC" w14:textId="77777777" w:rsidR="0056750A" w:rsidRDefault="0056750A">
                                <w:pPr>
                                  <w:jc w:val="right"/>
                                  <w:rPr>
                                    <w:noProof/>
                                  </w:rPr>
                                </w:pPr>
                              </w:p>
                            </w:tc>
                            <w:tc>
                              <w:tcPr>
                                <w:tcW w:w="2432" w:type="pct"/>
                                <w:vAlign w:val="center"/>
                              </w:tcPr>
                              <w:p w14:paraId="574586AC" w14:textId="77777777" w:rsidR="0056750A" w:rsidRPr="0056750A" w:rsidRDefault="0056750A">
                                <w:pPr>
                                  <w:pStyle w:val="NoSpacing"/>
                                  <w:rPr>
                                    <w:caps/>
                                    <w:color w:val="ED7D31" w:themeColor="accent2"/>
                                    <w:sz w:val="26"/>
                                    <w:szCs w:val="26"/>
                                  </w:rPr>
                                </w:pPr>
                              </w:p>
                            </w:tc>
                          </w:tr>
                          <w:tr w:rsidR="0056750A" w14:paraId="3C72B479" w14:textId="77777777" w:rsidTr="0056750A">
                            <w:trPr>
                              <w:jc w:val="center"/>
                            </w:trPr>
                            <w:tc>
                              <w:tcPr>
                                <w:tcW w:w="2568" w:type="pct"/>
                                <w:vAlign w:val="center"/>
                              </w:tcPr>
                              <w:p w14:paraId="28E865C2" w14:textId="77777777" w:rsidR="0056750A" w:rsidRDefault="0056750A">
                                <w:pPr>
                                  <w:jc w:val="right"/>
                                  <w:rPr>
                                    <w:noProof/>
                                  </w:rPr>
                                </w:pPr>
                              </w:p>
                            </w:tc>
                            <w:tc>
                              <w:tcPr>
                                <w:tcW w:w="2432" w:type="pct"/>
                                <w:vAlign w:val="center"/>
                              </w:tcPr>
                              <w:p w14:paraId="7694905A" w14:textId="77777777" w:rsidR="0056750A" w:rsidRPr="0056750A" w:rsidRDefault="0056750A">
                                <w:pPr>
                                  <w:pStyle w:val="NoSpacing"/>
                                  <w:rPr>
                                    <w:caps/>
                                    <w:color w:val="ED7D31" w:themeColor="accent2"/>
                                    <w:sz w:val="26"/>
                                    <w:szCs w:val="26"/>
                                  </w:rPr>
                                </w:pPr>
                              </w:p>
                            </w:tc>
                          </w:tr>
                        </w:tbl>
                        <w:p w14:paraId="06D9A925" w14:textId="77777777" w:rsidR="0056750A" w:rsidRDefault="0056750A"/>
                      </w:txbxContent>
                    </v:textbox>
                    <w10:wrap type="square" anchorx="margin" anchory="page"/>
                  </v:shape>
                </w:pict>
              </mc:Fallback>
            </mc:AlternateContent>
          </w:r>
          <w:r>
            <w:rPr>
              <w:noProof/>
            </w:rPr>
            <w:drawing>
              <wp:inline distT="0" distB="0" distL="0" distR="0" wp14:anchorId="32C8A4D0" wp14:editId="1B445460">
                <wp:extent cx="2324100" cy="662137"/>
                <wp:effectExtent l="0" t="0" r="0" b="5080"/>
                <wp:docPr id="2069516983" name="Picture 5"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16983" name="Picture 5" descr="A black text on a white backgrou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9101" cy="663562"/>
                        </a:xfrm>
                        <a:prstGeom prst="rect">
                          <a:avLst/>
                        </a:prstGeom>
                        <a:noFill/>
                        <a:ln>
                          <a:noFill/>
                        </a:ln>
                      </pic:spPr>
                    </pic:pic>
                  </a:graphicData>
                </a:graphic>
              </wp:inline>
            </w:drawing>
          </w:r>
          <w:r w:rsidR="0056750A">
            <w:rPr>
              <w:rFonts w:ascii="Times New Roman" w:hAnsi="Times New Roman" w:cs="Times New Roman"/>
            </w:rPr>
            <w:br w:type="page"/>
          </w:r>
        </w:p>
      </w:sdtContent>
    </w:sdt>
    <w:sdt>
      <w:sdtPr>
        <w:rPr>
          <w:rFonts w:ascii="Arial" w:hAnsi="Arial" w:cs="Arial"/>
        </w:rPr>
        <w:id w:val="1425081463"/>
        <w:docPartObj>
          <w:docPartGallery w:val="Table of Contents"/>
          <w:docPartUnique/>
        </w:docPartObj>
      </w:sdtPr>
      <w:sdtEndPr>
        <w:rPr>
          <w:rFonts w:eastAsiaTheme="minorHAnsi"/>
          <w:b/>
          <w:bCs/>
          <w:noProof/>
          <w:color w:val="auto"/>
          <w:kern w:val="2"/>
          <w:sz w:val="22"/>
          <w:szCs w:val="22"/>
          <w:lang w:val="en-IN"/>
          <w14:ligatures w14:val="standardContextual"/>
        </w:rPr>
      </w:sdtEndPr>
      <w:sdtContent>
        <w:p w14:paraId="7EDC1470" w14:textId="2F73BBB7" w:rsidR="00D439A6" w:rsidRPr="008E4924" w:rsidRDefault="00D439A6" w:rsidP="0061017A">
          <w:pPr>
            <w:pStyle w:val="TOCHeading"/>
            <w:spacing w:line="360" w:lineRule="auto"/>
            <w:rPr>
              <w:rFonts w:ascii="Arial" w:hAnsi="Arial" w:cs="Arial"/>
            </w:rPr>
          </w:pPr>
          <w:r w:rsidRPr="008E4924">
            <w:rPr>
              <w:rFonts w:ascii="Arial" w:hAnsi="Arial" w:cs="Arial"/>
            </w:rPr>
            <w:t>Contents</w:t>
          </w:r>
        </w:p>
        <w:p w14:paraId="51A83E55" w14:textId="4BACB5DE" w:rsidR="004A52C5" w:rsidRPr="008E4924" w:rsidRDefault="00D439A6">
          <w:pPr>
            <w:pStyle w:val="TOC1"/>
            <w:tabs>
              <w:tab w:val="right" w:leader="dot" w:pos="9016"/>
            </w:tabs>
            <w:rPr>
              <w:rFonts w:ascii="Arial" w:eastAsiaTheme="minorEastAsia" w:hAnsi="Arial" w:cs="Arial"/>
              <w:noProof/>
              <w:sz w:val="24"/>
              <w:szCs w:val="24"/>
              <w:lang w:eastAsia="en-IN" w:bidi="gu-IN"/>
            </w:rPr>
          </w:pPr>
          <w:r w:rsidRPr="008E4924">
            <w:rPr>
              <w:rFonts w:ascii="Arial" w:hAnsi="Arial" w:cs="Arial"/>
            </w:rPr>
            <w:fldChar w:fldCharType="begin"/>
          </w:r>
          <w:r w:rsidRPr="008E4924">
            <w:rPr>
              <w:rFonts w:ascii="Arial" w:hAnsi="Arial" w:cs="Arial"/>
            </w:rPr>
            <w:instrText xml:space="preserve"> TOC \o "1-3" \h \z \u </w:instrText>
          </w:r>
          <w:r w:rsidRPr="008E4924">
            <w:rPr>
              <w:rFonts w:ascii="Arial" w:hAnsi="Arial" w:cs="Arial"/>
            </w:rPr>
            <w:fldChar w:fldCharType="separate"/>
          </w:r>
          <w:hyperlink w:anchor="_Toc215828325" w:history="1">
            <w:r w:rsidR="004A52C5" w:rsidRPr="008E4924">
              <w:rPr>
                <w:rStyle w:val="Hyperlink"/>
                <w:rFonts w:ascii="Arial" w:hAnsi="Arial" w:cs="Arial"/>
                <w:b/>
                <w:bCs/>
                <w:noProof/>
              </w:rPr>
              <w:t>Leadership and Governance Failures in the Shrewsbury and Telford Maternity Scandal</w:t>
            </w:r>
            <w:r w:rsidR="004A52C5" w:rsidRPr="008E4924">
              <w:rPr>
                <w:rFonts w:ascii="Arial" w:hAnsi="Arial" w:cs="Arial"/>
                <w:noProof/>
                <w:webHidden/>
              </w:rPr>
              <w:tab/>
            </w:r>
            <w:r w:rsidR="004A52C5" w:rsidRPr="008E4924">
              <w:rPr>
                <w:rFonts w:ascii="Arial" w:hAnsi="Arial" w:cs="Arial"/>
                <w:noProof/>
                <w:webHidden/>
              </w:rPr>
              <w:fldChar w:fldCharType="begin"/>
            </w:r>
            <w:r w:rsidR="004A52C5" w:rsidRPr="008E4924">
              <w:rPr>
                <w:rFonts w:ascii="Arial" w:hAnsi="Arial" w:cs="Arial"/>
                <w:noProof/>
                <w:webHidden/>
              </w:rPr>
              <w:instrText xml:space="preserve"> PAGEREF _Toc215828325 \h </w:instrText>
            </w:r>
            <w:r w:rsidR="004A52C5" w:rsidRPr="008E4924">
              <w:rPr>
                <w:rFonts w:ascii="Arial" w:hAnsi="Arial" w:cs="Arial"/>
                <w:noProof/>
                <w:webHidden/>
              </w:rPr>
            </w:r>
            <w:r w:rsidR="004A52C5" w:rsidRPr="008E4924">
              <w:rPr>
                <w:rFonts w:ascii="Arial" w:hAnsi="Arial" w:cs="Arial"/>
                <w:noProof/>
                <w:webHidden/>
              </w:rPr>
              <w:fldChar w:fldCharType="separate"/>
            </w:r>
            <w:r w:rsidR="004A52C5" w:rsidRPr="008E4924">
              <w:rPr>
                <w:rFonts w:ascii="Arial" w:hAnsi="Arial" w:cs="Arial"/>
                <w:noProof/>
                <w:webHidden/>
              </w:rPr>
              <w:t>2</w:t>
            </w:r>
            <w:r w:rsidR="004A52C5" w:rsidRPr="008E4924">
              <w:rPr>
                <w:rFonts w:ascii="Arial" w:hAnsi="Arial" w:cs="Arial"/>
                <w:noProof/>
                <w:webHidden/>
              </w:rPr>
              <w:fldChar w:fldCharType="end"/>
            </w:r>
          </w:hyperlink>
        </w:p>
        <w:p w14:paraId="3E6C160D" w14:textId="4C55BBA6"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26" w:history="1">
            <w:r w:rsidRPr="008E4924">
              <w:rPr>
                <w:rStyle w:val="Hyperlink"/>
                <w:rFonts w:ascii="Arial" w:hAnsi="Arial" w:cs="Arial"/>
                <w:b/>
                <w:bCs/>
                <w:noProof/>
              </w:rPr>
              <w:t>1. Introduction</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_Toc215828326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2</w:t>
            </w:r>
            <w:r w:rsidRPr="008E4924">
              <w:rPr>
                <w:rFonts w:ascii="Arial" w:hAnsi="Arial" w:cs="Arial"/>
                <w:noProof/>
                <w:webHidden/>
              </w:rPr>
              <w:fldChar w:fldCharType="end"/>
            </w:r>
          </w:hyperlink>
        </w:p>
        <w:p w14:paraId="5396BC06" w14:textId="50D8C114"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27" w:history="1">
            <w:r w:rsidRPr="008E4924">
              <w:rPr>
                <w:rStyle w:val="Hyperlink"/>
                <w:rFonts w:ascii="Arial" w:hAnsi="Arial" w:cs="Arial"/>
                <w:b/>
                <w:bCs/>
                <w:noProof/>
              </w:rPr>
              <w:t>2. Main Body</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_Toc215828327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3</w:t>
            </w:r>
            <w:r w:rsidRPr="008E4924">
              <w:rPr>
                <w:rFonts w:ascii="Arial" w:hAnsi="Arial" w:cs="Arial"/>
                <w:noProof/>
                <w:webHidden/>
              </w:rPr>
              <w:fldChar w:fldCharType="end"/>
            </w:r>
          </w:hyperlink>
        </w:p>
        <w:p w14:paraId="58B82113" w14:textId="4A72F2F2"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28" w:history="1">
            <w:r w:rsidRPr="008E4924">
              <w:rPr>
                <w:rStyle w:val="Hyperlink"/>
                <w:rFonts w:ascii="Arial" w:hAnsi="Arial" w:cs="Arial"/>
                <w:b/>
                <w:bCs/>
                <w:noProof/>
              </w:rPr>
              <w:t>2.1 Leadership and Governance as a Quality Issue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_Toc215828328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3</w:t>
            </w:r>
            <w:r w:rsidRPr="008E4924">
              <w:rPr>
                <w:rFonts w:ascii="Arial" w:hAnsi="Arial" w:cs="Arial"/>
                <w:noProof/>
                <w:webHidden/>
              </w:rPr>
              <w:fldChar w:fldCharType="end"/>
            </w:r>
          </w:hyperlink>
        </w:p>
        <w:p w14:paraId="2AD9A926" w14:textId="24A3CF83"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29" w:history="1">
            <w:r w:rsidRPr="008E4924">
              <w:rPr>
                <w:rStyle w:val="Hyperlink"/>
                <w:rFonts w:ascii="Arial" w:hAnsi="Arial" w:cs="Arial"/>
                <w:b/>
                <w:bCs/>
                <w:noProof/>
              </w:rPr>
              <w:t>2.2 Fishbone Diagram (Ishikawa) Analysis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_Toc215828329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4</w:t>
            </w:r>
            <w:r w:rsidRPr="008E4924">
              <w:rPr>
                <w:rFonts w:ascii="Arial" w:hAnsi="Arial" w:cs="Arial"/>
                <w:noProof/>
                <w:webHidden/>
              </w:rPr>
              <w:fldChar w:fldCharType="end"/>
            </w:r>
          </w:hyperlink>
        </w:p>
        <w:p w14:paraId="7B3AE913" w14:textId="6B29DFD3"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0" w:history="1">
            <w:r w:rsidRPr="008E4924">
              <w:rPr>
                <w:rStyle w:val="Hyperlink"/>
                <w:rFonts w:ascii="Arial" w:hAnsi="Arial" w:cs="Arial"/>
                <w:noProof/>
              </w:rPr>
              <w:t>1. People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_Toc215828330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4</w:t>
            </w:r>
            <w:r w:rsidRPr="008E4924">
              <w:rPr>
                <w:rFonts w:ascii="Arial" w:hAnsi="Arial" w:cs="Arial"/>
                <w:noProof/>
                <w:webHidden/>
              </w:rPr>
              <w:fldChar w:fldCharType="end"/>
            </w:r>
          </w:hyperlink>
        </w:p>
        <w:p w14:paraId="1E0C68AD" w14:textId="04F047A0"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1" w:history="1">
            <w:r w:rsidRPr="008E4924">
              <w:rPr>
                <w:rStyle w:val="Hyperlink"/>
                <w:rFonts w:ascii="Arial" w:hAnsi="Arial" w:cs="Arial"/>
                <w:noProof/>
              </w:rPr>
              <w:t>2. Processes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_Toc215828331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4</w:t>
            </w:r>
            <w:r w:rsidRPr="008E4924">
              <w:rPr>
                <w:rFonts w:ascii="Arial" w:hAnsi="Arial" w:cs="Arial"/>
                <w:noProof/>
                <w:webHidden/>
              </w:rPr>
              <w:fldChar w:fldCharType="end"/>
            </w:r>
          </w:hyperlink>
        </w:p>
        <w:p w14:paraId="5D18888B" w14:textId="2637A921"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2" w:history="1">
            <w:r w:rsidRPr="008E4924">
              <w:rPr>
                <w:rStyle w:val="Hyperlink"/>
                <w:rFonts w:ascii="Arial" w:hAnsi="Arial" w:cs="Arial"/>
                <w:noProof/>
              </w:rPr>
              <w:t>3. Policies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_Toc215828332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5</w:t>
            </w:r>
            <w:r w:rsidRPr="008E4924">
              <w:rPr>
                <w:rFonts w:ascii="Arial" w:hAnsi="Arial" w:cs="Arial"/>
                <w:noProof/>
                <w:webHidden/>
              </w:rPr>
              <w:fldChar w:fldCharType="end"/>
            </w:r>
          </w:hyperlink>
        </w:p>
        <w:p w14:paraId="113B1238" w14:textId="42A60490"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3" w:history="1">
            <w:r w:rsidRPr="008E4924">
              <w:rPr>
                <w:rStyle w:val="Hyperlink"/>
                <w:rFonts w:ascii="Arial" w:hAnsi="Arial" w:cs="Arial"/>
                <w:noProof/>
              </w:rPr>
              <w:t>4. Communication</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_Toc215828333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5</w:t>
            </w:r>
            <w:r w:rsidRPr="008E4924">
              <w:rPr>
                <w:rFonts w:ascii="Arial" w:hAnsi="Arial" w:cs="Arial"/>
                <w:noProof/>
                <w:webHidden/>
              </w:rPr>
              <w:fldChar w:fldCharType="end"/>
            </w:r>
          </w:hyperlink>
        </w:p>
        <w:p w14:paraId="22369A07" w14:textId="731370E6"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4" w:history="1">
            <w:r w:rsidRPr="008E4924">
              <w:rPr>
                <w:rStyle w:val="Hyperlink"/>
                <w:rFonts w:ascii="Arial" w:hAnsi="Arial" w:cs="Arial"/>
                <w:noProof/>
              </w:rPr>
              <w:t>5. Culture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_Toc215828334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5</w:t>
            </w:r>
            <w:r w:rsidRPr="008E4924">
              <w:rPr>
                <w:rFonts w:ascii="Arial" w:hAnsi="Arial" w:cs="Arial"/>
                <w:noProof/>
                <w:webHidden/>
              </w:rPr>
              <w:fldChar w:fldCharType="end"/>
            </w:r>
          </w:hyperlink>
        </w:p>
        <w:p w14:paraId="23BFD46A" w14:textId="4A1959D4"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5" w:history="1">
            <w:r w:rsidRPr="008E4924">
              <w:rPr>
                <w:rStyle w:val="Hyperlink"/>
                <w:rFonts w:ascii="Arial" w:hAnsi="Arial" w:cs="Arial"/>
                <w:noProof/>
              </w:rPr>
              <w:t>6. Equipment/Resources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_Toc215828335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5</w:t>
            </w:r>
            <w:r w:rsidRPr="008E4924">
              <w:rPr>
                <w:rFonts w:ascii="Arial" w:hAnsi="Arial" w:cs="Arial"/>
                <w:noProof/>
                <w:webHidden/>
              </w:rPr>
              <w:fldChar w:fldCharType="end"/>
            </w:r>
          </w:hyperlink>
        </w:p>
        <w:p w14:paraId="1144A021" w14:textId="65534BA7"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36" w:history="1">
            <w:r w:rsidRPr="008E4924">
              <w:rPr>
                <w:rStyle w:val="Hyperlink"/>
                <w:rFonts w:ascii="Arial" w:hAnsi="Arial" w:cs="Arial"/>
                <w:b/>
                <w:bCs/>
                <w:noProof/>
              </w:rPr>
              <w:t>2.3 Expanded 5 Whys Analysis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_Toc215828336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6</w:t>
            </w:r>
            <w:r w:rsidRPr="008E4924">
              <w:rPr>
                <w:rFonts w:ascii="Arial" w:hAnsi="Arial" w:cs="Arial"/>
                <w:noProof/>
                <w:webHidden/>
              </w:rPr>
              <w:fldChar w:fldCharType="end"/>
            </w:r>
          </w:hyperlink>
        </w:p>
        <w:p w14:paraId="10BFDF9E" w14:textId="19E1A4A6"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37" w:history="1">
            <w:r w:rsidRPr="008E4924">
              <w:rPr>
                <w:rStyle w:val="Hyperlink"/>
                <w:rFonts w:ascii="Arial" w:hAnsi="Arial" w:cs="Arial"/>
                <w:b/>
                <w:bCs/>
                <w:noProof/>
              </w:rPr>
              <w:t>2.4 Donabedian Structure–Process–Outcome Model</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_Toc215828337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6</w:t>
            </w:r>
            <w:r w:rsidRPr="008E4924">
              <w:rPr>
                <w:rFonts w:ascii="Arial" w:hAnsi="Arial" w:cs="Arial"/>
                <w:noProof/>
                <w:webHidden/>
              </w:rPr>
              <w:fldChar w:fldCharType="end"/>
            </w:r>
          </w:hyperlink>
        </w:p>
        <w:p w14:paraId="2BF26AC5" w14:textId="5392AAC7"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8" w:history="1">
            <w:r w:rsidRPr="008E4924">
              <w:rPr>
                <w:rStyle w:val="Hyperlink"/>
                <w:rFonts w:ascii="Arial" w:hAnsi="Arial" w:cs="Arial"/>
                <w:noProof/>
              </w:rPr>
              <w:t>Structure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_Toc215828338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6</w:t>
            </w:r>
            <w:r w:rsidRPr="008E4924">
              <w:rPr>
                <w:rFonts w:ascii="Arial" w:hAnsi="Arial" w:cs="Arial"/>
                <w:noProof/>
                <w:webHidden/>
              </w:rPr>
              <w:fldChar w:fldCharType="end"/>
            </w:r>
          </w:hyperlink>
        </w:p>
        <w:p w14:paraId="0DF6CE27" w14:textId="0E7B60AF"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39" w:history="1">
            <w:r w:rsidRPr="008E4924">
              <w:rPr>
                <w:rStyle w:val="Hyperlink"/>
                <w:rFonts w:ascii="Arial" w:hAnsi="Arial" w:cs="Arial"/>
                <w:noProof/>
              </w:rPr>
              <w:t>Process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_Toc215828339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6</w:t>
            </w:r>
            <w:r w:rsidRPr="008E4924">
              <w:rPr>
                <w:rFonts w:ascii="Arial" w:hAnsi="Arial" w:cs="Arial"/>
                <w:noProof/>
                <w:webHidden/>
              </w:rPr>
              <w:fldChar w:fldCharType="end"/>
            </w:r>
          </w:hyperlink>
        </w:p>
        <w:p w14:paraId="504F65B0" w14:textId="5566EEA6"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0" w:history="1">
            <w:r w:rsidRPr="008E4924">
              <w:rPr>
                <w:rStyle w:val="Hyperlink"/>
                <w:rFonts w:ascii="Arial" w:hAnsi="Arial" w:cs="Arial"/>
                <w:noProof/>
              </w:rPr>
              <w:t>Outcome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_Toc215828340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10FD01A2" w14:textId="332E1BF8"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41" w:history="1">
            <w:r w:rsidRPr="008E4924">
              <w:rPr>
                <w:rStyle w:val="Hyperlink"/>
                <w:rFonts w:ascii="Arial" w:hAnsi="Arial" w:cs="Arial"/>
                <w:b/>
                <w:bCs/>
                <w:noProof/>
              </w:rPr>
              <w:t>2.5 SWOT Analysis of Leadership and Governance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_Toc215828341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55345E85" w14:textId="47E72160"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2" w:history="1">
            <w:r w:rsidRPr="008E4924">
              <w:rPr>
                <w:rStyle w:val="Hyperlink"/>
                <w:rFonts w:ascii="Arial" w:hAnsi="Arial" w:cs="Arial"/>
                <w:noProof/>
              </w:rPr>
              <w:t>Strengths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_Toc215828342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551AF6C5" w14:textId="345B03B5"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3" w:history="1">
            <w:r w:rsidRPr="008E4924">
              <w:rPr>
                <w:rStyle w:val="Hyperlink"/>
                <w:rFonts w:ascii="Arial" w:hAnsi="Arial" w:cs="Arial"/>
                <w:noProof/>
              </w:rPr>
              <w:t>Weaknesses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_Toc215828343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0679D756" w14:textId="6FCA3A38"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4" w:history="1">
            <w:r w:rsidRPr="008E4924">
              <w:rPr>
                <w:rStyle w:val="Hyperlink"/>
                <w:rFonts w:ascii="Arial" w:hAnsi="Arial" w:cs="Arial"/>
                <w:noProof/>
              </w:rPr>
              <w:t>Opportunities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_Toc215828344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0B46A3B6" w14:textId="73CC5378"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5" w:history="1">
            <w:r w:rsidRPr="008E4924">
              <w:rPr>
                <w:rStyle w:val="Hyperlink"/>
                <w:rFonts w:ascii="Arial" w:hAnsi="Arial" w:cs="Arial"/>
                <w:noProof/>
              </w:rPr>
              <w:t>Threats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_Toc215828345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300329B3" w14:textId="410C564D"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46" w:history="1">
            <w:r w:rsidRPr="008E4924">
              <w:rPr>
                <w:rStyle w:val="Hyperlink"/>
                <w:rFonts w:ascii="Arial" w:hAnsi="Arial" w:cs="Arial"/>
                <w:b/>
                <w:bCs/>
                <w:noProof/>
              </w:rPr>
              <w:t>2.6 Synthesis of Evidence</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_Toc215828346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7</w:t>
            </w:r>
            <w:r w:rsidRPr="008E4924">
              <w:rPr>
                <w:rFonts w:ascii="Arial" w:hAnsi="Arial" w:cs="Arial"/>
                <w:noProof/>
                <w:webHidden/>
              </w:rPr>
              <w:fldChar w:fldCharType="end"/>
            </w:r>
          </w:hyperlink>
        </w:p>
        <w:p w14:paraId="046394CB" w14:textId="69FBA4CA"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47" w:history="1">
            <w:r w:rsidRPr="008E4924">
              <w:rPr>
                <w:rStyle w:val="Hyperlink"/>
                <w:rFonts w:ascii="Arial" w:hAnsi="Arial" w:cs="Arial"/>
                <w:b/>
                <w:bCs/>
                <w:noProof/>
              </w:rPr>
              <w:t>3. Recommendations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_Toc215828347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8</w:t>
            </w:r>
            <w:r w:rsidRPr="008E4924">
              <w:rPr>
                <w:rFonts w:ascii="Arial" w:hAnsi="Arial" w:cs="Arial"/>
                <w:noProof/>
                <w:webHidden/>
              </w:rPr>
              <w:fldChar w:fldCharType="end"/>
            </w:r>
          </w:hyperlink>
        </w:p>
        <w:p w14:paraId="7B4FDE46" w14:textId="40E95F5B"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8" w:history="1">
            <w:r w:rsidRPr="008E4924">
              <w:rPr>
                <w:rStyle w:val="Hyperlink"/>
                <w:rFonts w:ascii="Arial" w:hAnsi="Arial" w:cs="Arial"/>
                <w:noProof/>
              </w:rPr>
              <w:t>3.1 Overview</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_Toc215828348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8</w:t>
            </w:r>
            <w:r w:rsidRPr="008E4924">
              <w:rPr>
                <w:rFonts w:ascii="Arial" w:hAnsi="Arial" w:cs="Arial"/>
                <w:noProof/>
                <w:webHidden/>
              </w:rPr>
              <w:fldChar w:fldCharType="end"/>
            </w:r>
          </w:hyperlink>
        </w:p>
        <w:p w14:paraId="420F1BEA" w14:textId="029E0E5F"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49" w:history="1">
            <w:r w:rsidRPr="008E4924">
              <w:rPr>
                <w:rStyle w:val="Hyperlink"/>
                <w:rFonts w:ascii="Arial" w:hAnsi="Arial" w:cs="Arial"/>
                <w:noProof/>
              </w:rPr>
              <w:t>3.2 Recommendation 1: Establish a Competency-Based Leadership Framework</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_Toc215828349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8</w:t>
            </w:r>
            <w:r w:rsidRPr="008E4924">
              <w:rPr>
                <w:rFonts w:ascii="Arial" w:hAnsi="Arial" w:cs="Arial"/>
                <w:noProof/>
                <w:webHidden/>
              </w:rPr>
              <w:fldChar w:fldCharType="end"/>
            </w:r>
          </w:hyperlink>
        </w:p>
        <w:p w14:paraId="58AEBCD8" w14:textId="25E43591"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0" w:history="1">
            <w:r w:rsidRPr="008E4924">
              <w:rPr>
                <w:rStyle w:val="Hyperlink"/>
                <w:rFonts w:ascii="Arial" w:hAnsi="Arial" w:cs="Arial"/>
                <w:noProof/>
              </w:rPr>
              <w:t>3.3 Recommendation 2: Implement a Proactive Governance and Risk Management System</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_Toc215828350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9</w:t>
            </w:r>
            <w:r w:rsidRPr="008E4924">
              <w:rPr>
                <w:rFonts w:ascii="Arial" w:hAnsi="Arial" w:cs="Arial"/>
                <w:noProof/>
                <w:webHidden/>
              </w:rPr>
              <w:fldChar w:fldCharType="end"/>
            </w:r>
          </w:hyperlink>
        </w:p>
        <w:p w14:paraId="428F8655" w14:textId="5BE5E1F4"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1" w:history="1">
            <w:r w:rsidRPr="008E4924">
              <w:rPr>
                <w:rStyle w:val="Hyperlink"/>
                <w:rFonts w:ascii="Arial" w:hAnsi="Arial" w:cs="Arial"/>
                <w:noProof/>
              </w:rPr>
              <w:t>3.4 Recommendation 3: Strengthen Board-to-Ward Communication and Accountability</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_Toc215828351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9</w:t>
            </w:r>
            <w:r w:rsidRPr="008E4924">
              <w:rPr>
                <w:rFonts w:ascii="Arial" w:hAnsi="Arial" w:cs="Arial"/>
                <w:noProof/>
                <w:webHidden/>
              </w:rPr>
              <w:fldChar w:fldCharType="end"/>
            </w:r>
          </w:hyperlink>
        </w:p>
        <w:p w14:paraId="172138E2" w14:textId="144BD31A"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2" w:history="1">
            <w:r w:rsidRPr="008E4924">
              <w:rPr>
                <w:rStyle w:val="Hyperlink"/>
                <w:rFonts w:ascii="Arial" w:hAnsi="Arial" w:cs="Arial"/>
                <w:noProof/>
              </w:rPr>
              <w:t>3.5 Recommendation 4: Establish a Just Culture and Psychological Safety</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_Toc215828352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10</w:t>
            </w:r>
            <w:r w:rsidRPr="008E4924">
              <w:rPr>
                <w:rFonts w:ascii="Arial" w:hAnsi="Arial" w:cs="Arial"/>
                <w:noProof/>
                <w:webHidden/>
              </w:rPr>
              <w:fldChar w:fldCharType="end"/>
            </w:r>
          </w:hyperlink>
        </w:p>
        <w:p w14:paraId="708FECF2" w14:textId="3F956135"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3" w:history="1">
            <w:r w:rsidRPr="008E4924">
              <w:rPr>
                <w:rStyle w:val="Hyperlink"/>
                <w:rFonts w:ascii="Arial" w:hAnsi="Arial" w:cs="Arial"/>
                <w:noProof/>
              </w:rPr>
              <w:t>3.6 Recommendation 5: Improve Workforce Capacity and Training</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_Toc215828353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11</w:t>
            </w:r>
            <w:r w:rsidRPr="008E4924">
              <w:rPr>
                <w:rFonts w:ascii="Arial" w:hAnsi="Arial" w:cs="Arial"/>
                <w:noProof/>
                <w:webHidden/>
              </w:rPr>
              <w:fldChar w:fldCharType="end"/>
            </w:r>
          </w:hyperlink>
        </w:p>
        <w:p w14:paraId="5C81FE9E" w14:textId="19EE862E"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4" w:history="1">
            <w:r w:rsidRPr="008E4924">
              <w:rPr>
                <w:rStyle w:val="Hyperlink"/>
                <w:rFonts w:ascii="Arial" w:hAnsi="Arial" w:cs="Arial"/>
                <w:noProof/>
              </w:rPr>
              <w:t>3.7 Recommendation 6: Embed NICE Guidelines and National Policy Compliance into Leadership Accountability Structures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_Toc215828354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11</w:t>
            </w:r>
            <w:r w:rsidRPr="008E4924">
              <w:rPr>
                <w:rFonts w:ascii="Arial" w:hAnsi="Arial" w:cs="Arial"/>
                <w:noProof/>
                <w:webHidden/>
              </w:rPr>
              <w:fldChar w:fldCharType="end"/>
            </w:r>
          </w:hyperlink>
        </w:p>
        <w:p w14:paraId="0211D33C" w14:textId="4B67350C" w:rsidR="004A52C5" w:rsidRPr="008E4924" w:rsidRDefault="004A52C5">
          <w:pPr>
            <w:pStyle w:val="TOC3"/>
            <w:tabs>
              <w:tab w:val="right" w:leader="dot" w:pos="9016"/>
            </w:tabs>
            <w:rPr>
              <w:rFonts w:ascii="Arial" w:eastAsiaTheme="minorEastAsia" w:hAnsi="Arial" w:cs="Arial"/>
              <w:noProof/>
              <w:sz w:val="24"/>
              <w:szCs w:val="24"/>
              <w:lang w:eastAsia="en-IN" w:bidi="gu-IN"/>
            </w:rPr>
          </w:pPr>
          <w:hyperlink w:anchor="_Toc215828355" w:history="1">
            <w:r w:rsidRPr="008E4924">
              <w:rPr>
                <w:rStyle w:val="Hyperlink"/>
                <w:rFonts w:ascii="Arial" w:hAnsi="Arial" w:cs="Arial"/>
                <w:noProof/>
              </w:rPr>
              <w:t>3.8 Recommendation 7: Introduce Regular External Review and Regulatory Alignment</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_Toc215828355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11</w:t>
            </w:r>
            <w:r w:rsidRPr="008E4924">
              <w:rPr>
                <w:rFonts w:ascii="Arial" w:hAnsi="Arial" w:cs="Arial"/>
                <w:noProof/>
                <w:webHidden/>
              </w:rPr>
              <w:fldChar w:fldCharType="end"/>
            </w:r>
          </w:hyperlink>
        </w:p>
        <w:p w14:paraId="00E1647D" w14:textId="0B5CF66A"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56" w:history="1">
            <w:r w:rsidRPr="008E4924">
              <w:rPr>
                <w:rStyle w:val="Hyperlink"/>
                <w:rFonts w:ascii="Arial" w:hAnsi="Arial" w:cs="Arial"/>
                <w:b/>
                <w:bCs/>
                <w:noProof/>
              </w:rPr>
              <w:t>4. Conclusion</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_Toc215828356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12</w:t>
            </w:r>
            <w:r w:rsidRPr="008E4924">
              <w:rPr>
                <w:rFonts w:ascii="Arial" w:hAnsi="Arial" w:cs="Arial"/>
                <w:noProof/>
                <w:webHidden/>
              </w:rPr>
              <w:fldChar w:fldCharType="end"/>
            </w:r>
          </w:hyperlink>
        </w:p>
        <w:p w14:paraId="61D8D206" w14:textId="48093658" w:rsidR="004A52C5" w:rsidRPr="008E4924" w:rsidRDefault="004A52C5">
          <w:pPr>
            <w:pStyle w:val="TOC2"/>
            <w:tabs>
              <w:tab w:val="right" w:leader="dot" w:pos="9016"/>
            </w:tabs>
            <w:rPr>
              <w:rFonts w:ascii="Arial" w:eastAsiaTheme="minorEastAsia" w:hAnsi="Arial" w:cs="Arial"/>
              <w:noProof/>
              <w:sz w:val="24"/>
              <w:szCs w:val="24"/>
              <w:lang w:eastAsia="en-IN" w:bidi="gu-IN"/>
            </w:rPr>
          </w:pPr>
          <w:hyperlink w:anchor="_Toc215828357" w:history="1">
            <w:r w:rsidRPr="008E4924">
              <w:rPr>
                <w:rStyle w:val="Hyperlink"/>
                <w:rFonts w:ascii="Arial" w:hAnsi="Arial" w:cs="Arial"/>
                <w:b/>
                <w:bCs/>
                <w:noProof/>
              </w:rPr>
              <w:t>References:</w:t>
            </w:r>
            <w:r w:rsidRPr="008E4924">
              <w:rPr>
                <w:rFonts w:ascii="Arial" w:hAnsi="Arial" w:cs="Arial"/>
                <w:noProof/>
                <w:webHidden/>
              </w:rPr>
              <w:tab/>
            </w:r>
            <w:r w:rsidRPr="008E4924">
              <w:rPr>
                <w:rFonts w:ascii="Arial" w:hAnsi="Arial" w:cs="Arial"/>
                <w:noProof/>
                <w:webHidden/>
              </w:rPr>
              <w:fldChar w:fldCharType="begin"/>
            </w:r>
            <w:r w:rsidRPr="008E4924">
              <w:rPr>
                <w:rFonts w:ascii="Arial" w:hAnsi="Arial" w:cs="Arial"/>
                <w:noProof/>
                <w:webHidden/>
              </w:rPr>
              <w:instrText xml:space="preserve"> PAGEREF _Toc215828357 \h </w:instrText>
            </w:r>
            <w:r w:rsidRPr="008E4924">
              <w:rPr>
                <w:rFonts w:ascii="Arial" w:hAnsi="Arial" w:cs="Arial"/>
                <w:noProof/>
                <w:webHidden/>
              </w:rPr>
            </w:r>
            <w:r w:rsidRPr="008E4924">
              <w:rPr>
                <w:rFonts w:ascii="Arial" w:hAnsi="Arial" w:cs="Arial"/>
                <w:noProof/>
                <w:webHidden/>
              </w:rPr>
              <w:fldChar w:fldCharType="separate"/>
            </w:r>
            <w:r w:rsidRPr="008E4924">
              <w:rPr>
                <w:rFonts w:ascii="Arial" w:hAnsi="Arial" w:cs="Arial"/>
                <w:noProof/>
                <w:webHidden/>
              </w:rPr>
              <w:t>12</w:t>
            </w:r>
            <w:r w:rsidRPr="008E4924">
              <w:rPr>
                <w:rFonts w:ascii="Arial" w:hAnsi="Arial" w:cs="Arial"/>
                <w:noProof/>
                <w:webHidden/>
              </w:rPr>
              <w:fldChar w:fldCharType="end"/>
            </w:r>
          </w:hyperlink>
        </w:p>
        <w:p w14:paraId="1FE25A9E" w14:textId="55FE0D02" w:rsidR="0094251F" w:rsidRPr="008E4924" w:rsidRDefault="00D439A6" w:rsidP="0061017A">
          <w:pPr>
            <w:spacing w:line="360" w:lineRule="auto"/>
            <w:rPr>
              <w:rFonts w:ascii="Arial" w:hAnsi="Arial" w:cs="Arial"/>
              <w:b/>
              <w:bCs/>
              <w:noProof/>
            </w:rPr>
          </w:pPr>
          <w:r w:rsidRPr="008E4924">
            <w:rPr>
              <w:rFonts w:ascii="Arial" w:hAnsi="Arial" w:cs="Arial"/>
              <w:b/>
              <w:bCs/>
              <w:noProof/>
            </w:rPr>
            <w:lastRenderedPageBreak/>
            <w:fldChar w:fldCharType="end"/>
          </w:r>
        </w:p>
      </w:sdtContent>
    </w:sdt>
    <w:p w14:paraId="14CB11CC" w14:textId="0F85ED04" w:rsidR="001222A6" w:rsidRPr="001222A6" w:rsidRDefault="001222A6" w:rsidP="00FE047B">
      <w:pPr>
        <w:spacing w:line="360" w:lineRule="auto"/>
        <w:rPr>
          <w:rFonts w:ascii="Arial" w:hAnsi="Arial" w:cs="Arial"/>
        </w:rPr>
      </w:pPr>
      <w:r w:rsidRPr="001222A6">
        <w:rPr>
          <w:rFonts w:ascii="Arial" w:hAnsi="Arial" w:cs="Arial"/>
          <w:b/>
          <w:bCs/>
        </w:rPr>
        <w:t>SERVICE IMPROVEMENT REPORT</w:t>
      </w:r>
    </w:p>
    <w:p w14:paraId="545E92EE" w14:textId="208B5F87" w:rsidR="001222A6" w:rsidRPr="008E4924" w:rsidRDefault="001222A6" w:rsidP="00FE047B">
      <w:pPr>
        <w:pStyle w:val="Heading1"/>
        <w:spacing w:line="360" w:lineRule="auto"/>
        <w:jc w:val="both"/>
        <w:rPr>
          <w:rFonts w:ascii="Arial" w:hAnsi="Arial" w:cs="Arial"/>
          <w:b/>
          <w:bCs/>
        </w:rPr>
      </w:pPr>
      <w:bookmarkStart w:id="0" w:name="_Toc215828325"/>
      <w:r w:rsidRPr="008E4924">
        <w:rPr>
          <w:rFonts w:ascii="Arial" w:hAnsi="Arial" w:cs="Arial"/>
          <w:b/>
          <w:bCs/>
        </w:rPr>
        <w:t>Leadership and Governance Failures in the Shrewsbury and Telford Maternity Scandal</w:t>
      </w:r>
      <w:bookmarkEnd w:id="0"/>
    </w:p>
    <w:p w14:paraId="4B3799EA" w14:textId="32F3606F" w:rsidR="001222A6" w:rsidRPr="008E4924" w:rsidRDefault="001222A6" w:rsidP="00FE047B">
      <w:pPr>
        <w:pStyle w:val="Heading2"/>
        <w:spacing w:line="360" w:lineRule="auto"/>
        <w:rPr>
          <w:rFonts w:ascii="Arial" w:hAnsi="Arial" w:cs="Arial"/>
          <w:b/>
          <w:bCs/>
        </w:rPr>
      </w:pPr>
      <w:bookmarkStart w:id="1" w:name="_Toc215828326"/>
      <w:r w:rsidRPr="008E4924">
        <w:rPr>
          <w:rFonts w:ascii="Arial" w:hAnsi="Arial" w:cs="Arial"/>
          <w:b/>
          <w:bCs/>
        </w:rPr>
        <w:t>1. Introduction</w:t>
      </w:r>
      <w:bookmarkEnd w:id="1"/>
      <w:r w:rsidRPr="008E4924">
        <w:rPr>
          <w:rFonts w:ascii="Arial" w:hAnsi="Arial" w:cs="Arial"/>
          <w:b/>
          <w:bCs/>
        </w:rPr>
        <w:t xml:space="preserve"> </w:t>
      </w:r>
    </w:p>
    <w:p w14:paraId="178BA607" w14:textId="3BF62EF1" w:rsidR="0094251F" w:rsidRPr="008E4924" w:rsidRDefault="0094251F" w:rsidP="00FE047B">
      <w:pPr>
        <w:spacing w:line="360" w:lineRule="auto"/>
        <w:jc w:val="both"/>
        <w:rPr>
          <w:rFonts w:ascii="Arial" w:hAnsi="Arial" w:cs="Arial"/>
        </w:rPr>
      </w:pPr>
      <w:r w:rsidRPr="0094251F">
        <w:rPr>
          <w:rFonts w:ascii="Arial" w:hAnsi="Arial" w:cs="Arial"/>
        </w:rPr>
        <w:t xml:space="preserve">Leadership and governance failures are recognised as major contributors to quality lapses within health systems, with the Shrewsbury and Telford Hospital NHS Trust (STFT) </w:t>
      </w:r>
      <w:r w:rsidR="00D26D87" w:rsidRPr="00D26D87">
        <w:rPr>
          <w:rFonts w:ascii="Arial" w:hAnsi="Arial" w:cs="Arial"/>
        </w:rPr>
        <w:t>perinatal care</w:t>
      </w:r>
      <w:r w:rsidR="00D26D87">
        <w:rPr>
          <w:rFonts w:ascii="Arial" w:hAnsi="Arial" w:cs="Arial"/>
        </w:rPr>
        <w:t xml:space="preserve"> </w:t>
      </w:r>
      <w:r w:rsidRPr="0094251F">
        <w:rPr>
          <w:rFonts w:ascii="Arial" w:hAnsi="Arial" w:cs="Arial"/>
        </w:rPr>
        <w:t>scandal representing one of the most serious failures in NHS history. The Ockenden Report (2022) showed that systemic leadership dysfunction at STFT allowed unsafe maternity practices to persist for over two decades, resulting in preventable maternal and neonatal harm. These failings occurred across multiple organisational levels, including Board oversight, clinical governance structures, and frontline management (Ockenden, 2022). Senior leaders repeatedly ignored warning signs raised by families, staff, and external reviewers, reflecting wider evidence that weak governance and poor accountability contribute to adverse maternity outcomes (NHS England, 2019).</w:t>
      </w:r>
    </w:p>
    <w:p w14:paraId="636D2BEA" w14:textId="6DACB798" w:rsidR="0094251F" w:rsidRPr="0094251F" w:rsidRDefault="00FE047B" w:rsidP="00FE047B">
      <w:pPr>
        <w:spacing w:line="360" w:lineRule="auto"/>
        <w:jc w:val="both"/>
        <w:rPr>
          <w:rFonts w:ascii="Arial" w:hAnsi="Arial" w:cs="Arial"/>
        </w:rPr>
      </w:pPr>
      <w:r w:rsidRPr="008E4924">
        <w:rPr>
          <w:rFonts w:ascii="Arial" w:hAnsi="Arial" w:cs="Arial"/>
          <w:noProof/>
        </w:rPr>
        <mc:AlternateContent>
          <mc:Choice Requires="wps">
            <w:drawing>
              <wp:anchor distT="0" distB="0" distL="114300" distR="114300" simplePos="0" relativeHeight="251660288" behindDoc="0" locked="0" layoutInCell="1" allowOverlap="1" wp14:anchorId="160C3B75" wp14:editId="558A89ED">
                <wp:simplePos x="0" y="0"/>
                <wp:positionH relativeFrom="margin">
                  <wp:align>left</wp:align>
                </wp:positionH>
                <wp:positionV relativeFrom="paragraph">
                  <wp:posOffset>1767840</wp:posOffset>
                </wp:positionV>
                <wp:extent cx="2286000" cy="444500"/>
                <wp:effectExtent l="0" t="0" r="0" b="0"/>
                <wp:wrapSquare wrapText="bothSides"/>
                <wp:docPr id="1162049512" name="Text Box 1"/>
                <wp:cNvGraphicFramePr/>
                <a:graphic xmlns:a="http://schemas.openxmlformats.org/drawingml/2006/main">
                  <a:graphicData uri="http://schemas.microsoft.com/office/word/2010/wordprocessingShape">
                    <wps:wsp>
                      <wps:cNvSpPr txBox="1"/>
                      <wps:spPr>
                        <a:xfrm>
                          <a:off x="0" y="0"/>
                          <a:ext cx="2286000" cy="444500"/>
                        </a:xfrm>
                        <a:prstGeom prst="rect">
                          <a:avLst/>
                        </a:prstGeom>
                        <a:solidFill>
                          <a:prstClr val="white"/>
                        </a:solidFill>
                        <a:ln>
                          <a:noFill/>
                        </a:ln>
                      </wps:spPr>
                      <wps:txbx>
                        <w:txbxContent>
                          <w:p w14:paraId="774B0F24" w14:textId="7560C83D" w:rsidR="00FE047B" w:rsidRPr="00426C86" w:rsidRDefault="00FE047B" w:rsidP="00FE047B">
                            <w:pPr>
                              <w:pStyle w:val="Caption"/>
                              <w:rPr>
                                <w:rFonts w:ascii="Arial" w:hAnsi="Arial" w:cs="Arial"/>
                                <w:noProof/>
                                <w:sz w:val="22"/>
                                <w:szCs w:val="22"/>
                              </w:rPr>
                            </w:pPr>
                            <w:r w:rsidRPr="00426C86">
                              <w:rPr>
                                <w:rFonts w:ascii="Arial" w:hAnsi="Arial" w:cs="Arial"/>
                              </w:rPr>
                              <w:t xml:space="preserve">Figure </w:t>
                            </w:r>
                            <w:r w:rsidRPr="00426C86">
                              <w:rPr>
                                <w:rFonts w:ascii="Arial" w:hAnsi="Arial" w:cs="Arial"/>
                              </w:rPr>
                              <w:fldChar w:fldCharType="begin"/>
                            </w:r>
                            <w:r w:rsidRPr="00426C86">
                              <w:rPr>
                                <w:rFonts w:ascii="Arial" w:hAnsi="Arial" w:cs="Arial"/>
                              </w:rPr>
                              <w:instrText xml:space="preserve"> SEQ Figure \* ARABIC </w:instrText>
                            </w:r>
                            <w:r w:rsidRPr="00426C86">
                              <w:rPr>
                                <w:rFonts w:ascii="Arial" w:hAnsi="Arial" w:cs="Arial"/>
                              </w:rPr>
                              <w:fldChar w:fldCharType="separate"/>
                            </w:r>
                            <w:r w:rsidRPr="00426C86">
                              <w:rPr>
                                <w:rFonts w:ascii="Arial" w:hAnsi="Arial" w:cs="Arial"/>
                                <w:noProof/>
                              </w:rPr>
                              <w:t>1</w:t>
                            </w:r>
                            <w:r w:rsidRPr="00426C86">
                              <w:rPr>
                                <w:rFonts w:ascii="Arial" w:hAnsi="Arial" w:cs="Arial"/>
                              </w:rPr>
                              <w:fldChar w:fldCharType="end"/>
                            </w:r>
                            <w:r w:rsidR="00563E0B" w:rsidRPr="00426C86">
                              <w:rPr>
                                <w:rFonts w:ascii="Arial" w:hAnsi="Arial" w:cs="Arial"/>
                              </w:rPr>
                              <w:t xml:space="preserve"> </w:t>
                            </w:r>
                            <w:r w:rsidRPr="00426C86">
                              <w:rPr>
                                <w:rFonts w:ascii="Arial" w:hAnsi="Arial" w:cs="Arial"/>
                                <w:lang w:val="en-US"/>
                              </w:rPr>
                              <w:t>Signage of Royal Shrewsbury Hospital (Shrewsbury and Telford Hospital NHS Trust,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0C3B75" id="Text Box 1" o:spid="_x0000_s1027" type="#_x0000_t202" style="position:absolute;left:0;text-align:left;margin-left:0;margin-top:139.2pt;width:180pt;height:3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" stroked="f">
                <v:textbox inset="0,0,0,0">
                  <w:txbxContent>
                    <w:p w14:paraId="774B0F24" w14:textId="7560C83D" w:rsidR="00FE047B" w:rsidRPr="00426C86" w:rsidRDefault="00FE047B" w:rsidP="00FE047B">
                      <w:pPr>
                        <w:pStyle w:val="Caption"/>
                        <w:rPr>
                          <w:rFonts w:ascii="Arial" w:hAnsi="Arial" w:cs="Arial"/>
                          <w:noProof/>
                          <w:sz w:val="22"/>
                          <w:szCs w:val="22"/>
                        </w:rPr>
                      </w:pPr>
                      <w:r w:rsidRPr="00426C86">
                        <w:rPr>
                          <w:rFonts w:ascii="Arial" w:hAnsi="Arial" w:cs="Arial"/>
                        </w:rPr>
                        <w:t xml:space="preserve">Figure </w:t>
                      </w:r>
                      <w:r w:rsidRPr="00426C86">
                        <w:rPr>
                          <w:rFonts w:ascii="Arial" w:hAnsi="Arial" w:cs="Arial"/>
                        </w:rPr>
                        <w:fldChar w:fldCharType="begin"/>
                      </w:r>
                      <w:r w:rsidRPr="00426C86">
                        <w:rPr>
                          <w:rFonts w:ascii="Arial" w:hAnsi="Arial" w:cs="Arial"/>
                        </w:rPr>
                        <w:instrText xml:space="preserve"> SEQ Figure \* ARABIC </w:instrText>
                      </w:r>
                      <w:r w:rsidRPr="00426C86">
                        <w:rPr>
                          <w:rFonts w:ascii="Arial" w:hAnsi="Arial" w:cs="Arial"/>
                        </w:rPr>
                        <w:fldChar w:fldCharType="separate"/>
                      </w:r>
                      <w:r w:rsidRPr="00426C86">
                        <w:rPr>
                          <w:rFonts w:ascii="Arial" w:hAnsi="Arial" w:cs="Arial"/>
                          <w:noProof/>
                        </w:rPr>
                        <w:t>1</w:t>
                      </w:r>
                      <w:r w:rsidRPr="00426C86">
                        <w:rPr>
                          <w:rFonts w:ascii="Arial" w:hAnsi="Arial" w:cs="Arial"/>
                        </w:rPr>
                        <w:fldChar w:fldCharType="end"/>
                      </w:r>
                      <w:r w:rsidR="00563E0B" w:rsidRPr="00426C86">
                        <w:rPr>
                          <w:rFonts w:ascii="Arial" w:hAnsi="Arial" w:cs="Arial"/>
                        </w:rPr>
                        <w:t xml:space="preserve"> </w:t>
                      </w:r>
                      <w:r w:rsidRPr="00426C86">
                        <w:rPr>
                          <w:rFonts w:ascii="Arial" w:hAnsi="Arial" w:cs="Arial"/>
                          <w:lang w:val="en-US"/>
                        </w:rPr>
                        <w:t>Signage of Royal Shrewsbury Hospital (Shrewsbury and Telford Hospital NHS Trust, n.d.).</w:t>
                      </w:r>
                    </w:p>
                  </w:txbxContent>
                </v:textbox>
                <w10:wrap type="square" anchorx="margin"/>
              </v:shape>
            </w:pict>
          </mc:Fallback>
        </mc:AlternateContent>
      </w:r>
      <w:r w:rsidRPr="008E4924">
        <w:rPr>
          <w:rFonts w:ascii="Arial" w:hAnsi="Arial" w:cs="Arial"/>
          <w:noProof/>
        </w:rPr>
        <w:drawing>
          <wp:anchor distT="0" distB="0" distL="114300" distR="114300" simplePos="0" relativeHeight="251658240" behindDoc="0" locked="0" layoutInCell="1" allowOverlap="1" wp14:anchorId="554B394A" wp14:editId="09FFBCC4">
            <wp:simplePos x="0" y="0"/>
            <wp:positionH relativeFrom="column">
              <wp:posOffset>0</wp:posOffset>
            </wp:positionH>
            <wp:positionV relativeFrom="paragraph">
              <wp:posOffset>482</wp:posOffset>
            </wp:positionV>
            <wp:extent cx="2286000" cy="1713230"/>
            <wp:effectExtent l="0" t="0" r="0" b="1270"/>
            <wp:wrapSquare wrapText="bothSides"/>
            <wp:docPr id="1450289501" name="Picture 4" descr="A blue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89501" name="Picture 4" descr="A blue and white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713230"/>
                    </a:xfrm>
                    <a:prstGeom prst="rect">
                      <a:avLst/>
                    </a:prstGeom>
                    <a:noFill/>
                    <a:ln>
                      <a:noFill/>
                    </a:ln>
                  </pic:spPr>
                </pic:pic>
              </a:graphicData>
            </a:graphic>
          </wp:anchor>
        </w:drawing>
      </w:r>
      <w:r w:rsidR="0094251F" w:rsidRPr="0094251F">
        <w:rPr>
          <w:rFonts w:ascii="Arial" w:hAnsi="Arial" w:cs="Arial"/>
        </w:rPr>
        <w:t>Leadership influences safety culture, communication, resource allocation, and adherence to clinical guidelines; therefore, leadership failures have profound impacts on care quality (Reason, 2000). National assessments by the Care Quality Commission (2022) highlight persistent leadership and governance gaps across maternity services, demonstrating that STFT was not an isolated case but an extreme example of systemic organisational weakness. Poor leadership has been closely linked to communication breakdowns, inadequate implementation of national guidelines, and the absence of effective incident learning systems</w:t>
      </w:r>
      <w:r w:rsidR="0094251F" w:rsidRPr="008E4924">
        <w:rPr>
          <w:rFonts w:ascii="Arial" w:hAnsi="Arial" w:cs="Arial"/>
        </w:rPr>
        <w:t xml:space="preserve"> </w:t>
      </w:r>
      <w:r w:rsidR="0094251F" w:rsidRPr="0094251F">
        <w:rPr>
          <w:rFonts w:ascii="Arial" w:hAnsi="Arial" w:cs="Arial"/>
        </w:rPr>
        <w:t>patterns repeatedly identified in the STFT inquiry (Ockenden, 2022).</w:t>
      </w:r>
    </w:p>
    <w:p w14:paraId="6E3A93E2" w14:textId="30855807" w:rsidR="0094251F" w:rsidRPr="0094251F" w:rsidRDefault="0094251F" w:rsidP="00FE047B">
      <w:pPr>
        <w:spacing w:line="360" w:lineRule="auto"/>
        <w:jc w:val="both"/>
        <w:rPr>
          <w:rFonts w:ascii="Arial" w:hAnsi="Arial" w:cs="Arial"/>
        </w:rPr>
      </w:pPr>
      <w:r w:rsidRPr="0094251F">
        <w:rPr>
          <w:rFonts w:ascii="Arial" w:hAnsi="Arial" w:cs="Arial"/>
        </w:rPr>
        <w:t xml:space="preserve">Donabedian’s (1988) model demonstrates that leadership directly shapes structural and process factors essential for safe care. At STFT, leadership failed to provide adequate staffing, ensure compliance with NICE maternity standards, or implement effective auditing and incident review systems (NICE, 2023; CQC, 2022). </w:t>
      </w:r>
    </w:p>
    <w:p w14:paraId="58484A2C" w14:textId="77777777" w:rsidR="0094251F" w:rsidRPr="0094251F" w:rsidRDefault="0094251F" w:rsidP="00FE047B">
      <w:pPr>
        <w:spacing w:line="360" w:lineRule="auto"/>
        <w:jc w:val="both"/>
        <w:rPr>
          <w:rFonts w:ascii="Arial" w:hAnsi="Arial" w:cs="Arial"/>
        </w:rPr>
      </w:pPr>
      <w:r w:rsidRPr="0094251F">
        <w:rPr>
          <w:rFonts w:ascii="Arial" w:hAnsi="Arial" w:cs="Arial"/>
        </w:rPr>
        <w:lastRenderedPageBreak/>
        <w:t>Research consistently shows that organisations with strong leadership achieve better safety cultures, clearer communication pathways, and more effective learning from harm (NHS England, 2018). In contrast, STFT cultivated a defensive and closed culture where staff concerns were minimised, whistle-blowers were discouraged, and external scrutiny was resisted (Ockenden, 2022). This contradicts the principles of transparency and proactive risk management outlined in national safety frameworks (NHS England, 2019).</w:t>
      </w:r>
    </w:p>
    <w:p w14:paraId="3D6C75EE" w14:textId="77777777" w:rsidR="00064E51" w:rsidRPr="008E4924" w:rsidRDefault="00064E51" w:rsidP="00064E51">
      <w:pPr>
        <w:spacing w:line="360" w:lineRule="auto"/>
        <w:jc w:val="both"/>
        <w:rPr>
          <w:rFonts w:ascii="Arial" w:hAnsi="Arial" w:cs="Arial"/>
        </w:rPr>
      </w:pPr>
      <w:r w:rsidRPr="008E4924">
        <w:rPr>
          <w:rFonts w:ascii="Arial" w:hAnsi="Arial" w:cs="Arial"/>
        </w:rPr>
        <w:t>This report therefore examines leadership and governance failures as the core quality issue underpinning harm at STFT (Ockenden, 2022). It applies the Fishbone Diagram, 5 Whys, Donabedian Model, and SWOT analysis to critically evaluate the root causes of these failings, drawing on national policy guidance and peer-reviewed evidence from NICE (2023), NHS England (2019), the Care Quality Commission (2022), and the World Health Organization (2019). The report concludes with evidence-based recommendations informed by PDSA, Lean, and Six Sigma methodologies, reflecting best practice for achieving sustainable improvements in leadership, governance, and maternity safety (IHI, n.d.; NHS England, 2018).</w:t>
      </w:r>
    </w:p>
    <w:p w14:paraId="18664FCE" w14:textId="3DC75CC3" w:rsidR="001222A6" w:rsidRPr="008E4924" w:rsidRDefault="001222A6" w:rsidP="00FE047B">
      <w:pPr>
        <w:pStyle w:val="Heading2"/>
        <w:spacing w:line="360" w:lineRule="auto"/>
        <w:jc w:val="both"/>
        <w:rPr>
          <w:rFonts w:ascii="Arial" w:hAnsi="Arial" w:cs="Arial"/>
          <w:b/>
          <w:bCs/>
        </w:rPr>
      </w:pPr>
      <w:bookmarkStart w:id="2" w:name="_Toc215828327"/>
      <w:r w:rsidRPr="008E4924">
        <w:rPr>
          <w:rFonts w:ascii="Arial" w:hAnsi="Arial" w:cs="Arial"/>
          <w:b/>
          <w:bCs/>
        </w:rPr>
        <w:t>2. Main Body</w:t>
      </w:r>
      <w:bookmarkEnd w:id="2"/>
      <w:r w:rsidRPr="008E4924">
        <w:rPr>
          <w:rFonts w:ascii="Arial" w:hAnsi="Arial" w:cs="Arial"/>
          <w:b/>
          <w:bCs/>
        </w:rPr>
        <w:t xml:space="preserve"> </w:t>
      </w:r>
    </w:p>
    <w:p w14:paraId="30925079" w14:textId="77777777" w:rsidR="00D439A6" w:rsidRPr="008E4924" w:rsidRDefault="00D439A6" w:rsidP="00FE047B">
      <w:pPr>
        <w:pStyle w:val="Heading2"/>
        <w:spacing w:line="360" w:lineRule="auto"/>
        <w:jc w:val="both"/>
        <w:rPr>
          <w:rFonts w:ascii="Arial" w:hAnsi="Arial" w:cs="Arial"/>
          <w:b/>
          <w:bCs/>
        </w:rPr>
      </w:pPr>
      <w:bookmarkStart w:id="3" w:name="_Toc215828328"/>
      <w:r w:rsidRPr="008E4924">
        <w:rPr>
          <w:rFonts w:ascii="Arial" w:hAnsi="Arial" w:cs="Arial"/>
          <w:b/>
          <w:bCs/>
        </w:rPr>
        <w:t>2.1 Leadership and Governance as a Quality Issue</w:t>
      </w:r>
      <w:bookmarkEnd w:id="3"/>
    </w:p>
    <w:p w14:paraId="7825FF5B" w14:textId="3934FF57" w:rsidR="00D439A6" w:rsidRPr="008E4924" w:rsidRDefault="00D439A6" w:rsidP="00FE047B">
      <w:pPr>
        <w:spacing w:line="360" w:lineRule="auto"/>
        <w:jc w:val="both"/>
        <w:rPr>
          <w:rFonts w:ascii="Arial" w:hAnsi="Arial" w:cs="Arial"/>
        </w:rPr>
      </w:pPr>
      <w:r w:rsidRPr="008E4924">
        <w:rPr>
          <w:rFonts w:ascii="Arial" w:hAnsi="Arial" w:cs="Arial"/>
        </w:rPr>
        <w:t xml:space="preserve">Leadership and governance failures </w:t>
      </w:r>
      <w:r w:rsidR="00D26D87" w:rsidRPr="00D26D87">
        <w:rPr>
          <w:rFonts w:ascii="Arial" w:hAnsi="Arial" w:cs="Arial"/>
        </w:rPr>
        <w:t>in the context of the Shrewsbury and Telford Hospital NHS Trust</w:t>
      </w:r>
      <w:r w:rsidR="00D26D87">
        <w:rPr>
          <w:rFonts w:ascii="Arial" w:hAnsi="Arial" w:cs="Arial"/>
        </w:rPr>
        <w:t xml:space="preserve"> </w:t>
      </w:r>
      <w:r w:rsidRPr="008E4924">
        <w:rPr>
          <w:rFonts w:ascii="Arial" w:hAnsi="Arial" w:cs="Arial"/>
        </w:rPr>
        <w:t>have been widely recognised as the primary systemic contributors to the long-standing safety issues identified in the Ockenden Review (2022). Evidence shows that senior leaders at STFT demonstrated ineffective oversight, limited strategic vision, and a persistent failure to respond to significant safety concerns raised consistently by families, midwives, and external bodies (Ockenden, 2022). The Care Quality Commission (2022) identified national gaps in maternity governance that were especially pronounced at STFT, where risk management processes such as</w:t>
      </w:r>
      <w:r w:rsidR="0061017A" w:rsidRPr="008E4924">
        <w:rPr>
          <w:rFonts w:ascii="Arial" w:hAnsi="Arial" w:cs="Arial"/>
        </w:rPr>
        <w:t>;</w:t>
      </w:r>
      <w:r w:rsidRPr="008E4924">
        <w:rPr>
          <w:rFonts w:ascii="Arial" w:hAnsi="Arial" w:cs="Arial"/>
        </w:rPr>
        <w:t xml:space="preserve"> serious incident reviews, mortality and morbidity meetings, and clinical audit cycles were inconsistently applied or entirely disregarded.</w:t>
      </w:r>
    </w:p>
    <w:p w14:paraId="64C2383F" w14:textId="77777777" w:rsidR="00D439A6" w:rsidRPr="008E4924" w:rsidRDefault="00D439A6" w:rsidP="00FE047B">
      <w:pPr>
        <w:spacing w:line="360" w:lineRule="auto"/>
        <w:jc w:val="both"/>
        <w:rPr>
          <w:rFonts w:ascii="Arial" w:hAnsi="Arial" w:cs="Arial"/>
        </w:rPr>
      </w:pPr>
      <w:r w:rsidRPr="008E4924">
        <w:rPr>
          <w:rFonts w:ascii="Arial" w:hAnsi="Arial" w:cs="Arial"/>
        </w:rPr>
        <w:t xml:space="preserve">Leadership incompetence also manifested through the Board’s inability to interrogate safety data meaningfully, resulting in inadequate board-to-ward communication and weak escalation systems (CQC, 2022). Research by West et al. (2015) highlights that high-performing healthcare organisations exhibit strong clinical leadership, effective challenge at Board level, and continuous monitoring of quality indicators; however, STFT showed the opposite, with senior leaders failing to question unusually low intervention rates and repeatedly reassuring themselves that services were safe despite evidence to the contrary (Ockenden, 2022). National maternity safety guidance, including the NHS Patient Safety Strategy (NHS England, </w:t>
      </w:r>
      <w:r w:rsidRPr="008E4924">
        <w:rPr>
          <w:rFonts w:ascii="Arial" w:hAnsi="Arial" w:cs="Arial"/>
        </w:rPr>
        <w:lastRenderedPageBreak/>
        <w:t>2019), emphasises leadership accountability for risk governance, incident reporting, and learning from harm, yet STFT consistently failed to deliver these core requirements.</w:t>
      </w:r>
    </w:p>
    <w:p w14:paraId="0DCAD4EE" w14:textId="4C1C77C3" w:rsidR="00D439A6" w:rsidRPr="008E4924" w:rsidRDefault="00D439A6" w:rsidP="00FE047B">
      <w:pPr>
        <w:spacing w:line="360" w:lineRule="auto"/>
        <w:jc w:val="both"/>
        <w:rPr>
          <w:rFonts w:ascii="Arial" w:hAnsi="Arial" w:cs="Arial"/>
        </w:rPr>
      </w:pPr>
      <w:r w:rsidRPr="008E4924">
        <w:rPr>
          <w:rFonts w:ascii="Arial" w:hAnsi="Arial" w:cs="Arial"/>
        </w:rPr>
        <w:t>A safety culture analysis further reveals that the Trust operated with a defensive and hierarchical culture where staff feared speaking up, which directly contradicts NHS England’s (2018) “Being Fair” guidance promoting openness, Just Culture, and psychological safety. Thus, leadership and governance failures were not incidental weaknesses but the central mechanism enabling repeated preventable harm over two decades.</w:t>
      </w:r>
      <w:r w:rsidR="00563E0B" w:rsidRPr="008E4924">
        <w:rPr>
          <w:rFonts w:ascii="Arial" w:eastAsia="Times New Roman" w:hAnsi="Arial" w:cs="Arial"/>
          <w:kern w:val="0"/>
          <w:sz w:val="24"/>
          <w:szCs w:val="24"/>
          <w:lang w:eastAsia="en-IN" w:bidi="gu-IN"/>
          <w14:ligatures w14:val="none"/>
        </w:rPr>
        <w:t xml:space="preserve"> </w:t>
      </w:r>
      <w:r w:rsidR="00563E0B" w:rsidRPr="008E4924">
        <w:rPr>
          <w:rFonts w:ascii="Arial" w:hAnsi="Arial" w:cs="Arial"/>
        </w:rPr>
        <w:t>(NHS England, 2018; Health Foundation, 2018).</w:t>
      </w:r>
    </w:p>
    <w:p w14:paraId="39575CFE" w14:textId="77777777" w:rsidR="00D439A6" w:rsidRPr="008E4924" w:rsidRDefault="00D439A6" w:rsidP="00FE047B">
      <w:pPr>
        <w:pStyle w:val="Heading2"/>
        <w:spacing w:line="360" w:lineRule="auto"/>
        <w:jc w:val="both"/>
        <w:rPr>
          <w:rFonts w:ascii="Arial" w:hAnsi="Arial" w:cs="Arial"/>
          <w:b/>
          <w:bCs/>
        </w:rPr>
      </w:pPr>
      <w:bookmarkStart w:id="4" w:name="_Toc215828329"/>
      <w:r w:rsidRPr="008E4924">
        <w:rPr>
          <w:rFonts w:ascii="Arial" w:hAnsi="Arial" w:cs="Arial"/>
          <w:b/>
          <w:bCs/>
        </w:rPr>
        <w:t>2.2 Fishbone Diagram (Ishikawa) Analysis</w:t>
      </w:r>
      <w:bookmarkEnd w:id="4"/>
    </w:p>
    <w:p w14:paraId="67974E65" w14:textId="77777777" w:rsidR="00D439A6" w:rsidRPr="008E4924" w:rsidRDefault="00D439A6" w:rsidP="00FE047B">
      <w:pPr>
        <w:spacing w:line="360" w:lineRule="auto"/>
        <w:jc w:val="both"/>
        <w:rPr>
          <w:rFonts w:ascii="Arial" w:hAnsi="Arial" w:cs="Arial"/>
        </w:rPr>
      </w:pPr>
      <w:r w:rsidRPr="008E4924">
        <w:rPr>
          <w:rFonts w:ascii="Arial" w:hAnsi="Arial" w:cs="Arial"/>
        </w:rPr>
        <w:t>Applying Ishikawa’s Fishbone Framework illustrates how leadership failures were interconnected across multiple domains, collectively resulting in unsafe maternity care.</w:t>
      </w:r>
    </w:p>
    <w:p w14:paraId="2C472B7D" w14:textId="77777777" w:rsidR="00A7080E" w:rsidRPr="008E4924" w:rsidRDefault="00A7080E" w:rsidP="00FE047B">
      <w:pPr>
        <w:keepNext/>
        <w:spacing w:line="360" w:lineRule="auto"/>
        <w:jc w:val="both"/>
        <w:rPr>
          <w:rFonts w:ascii="Arial" w:hAnsi="Arial" w:cs="Arial"/>
        </w:rPr>
      </w:pPr>
      <w:r w:rsidRPr="008E4924">
        <w:rPr>
          <w:rFonts w:ascii="Arial" w:hAnsi="Arial" w:cs="Arial"/>
          <w:noProof/>
        </w:rPr>
        <w:t xml:space="preserve"> </w:t>
      </w:r>
      <w:r w:rsidR="00B646ED" w:rsidRPr="008E4924">
        <w:rPr>
          <w:rFonts w:ascii="Arial" w:hAnsi="Arial" w:cs="Arial"/>
          <w:noProof/>
        </w:rPr>
        <w:drawing>
          <wp:inline distT="0" distB="0" distL="0" distR="0" wp14:anchorId="12850FE2" wp14:editId="309C14EF">
            <wp:extent cx="5731510" cy="2933480"/>
            <wp:effectExtent l="0" t="0" r="2540" b="635"/>
            <wp:docPr id="1142188227" name="Picture 3" descr="A diagram of a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88227" name="Picture 3" descr="A diagram of a fish&#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9" t="-1015" r="369" b="7175"/>
                    <a:stretch>
                      <a:fillRect/>
                    </a:stretch>
                  </pic:blipFill>
                  <pic:spPr bwMode="auto">
                    <a:xfrm>
                      <a:off x="0" y="0"/>
                      <a:ext cx="5731510" cy="2933480"/>
                    </a:xfrm>
                    <a:prstGeom prst="rect">
                      <a:avLst/>
                    </a:prstGeom>
                    <a:noFill/>
                    <a:ln>
                      <a:noFill/>
                    </a:ln>
                    <a:extLst>
                      <a:ext uri="{53640926-AAD7-44D8-BBD7-CCE9431645EC}">
                        <a14:shadowObscured xmlns:a14="http://schemas.microsoft.com/office/drawing/2010/main"/>
                      </a:ext>
                    </a:extLst>
                  </pic:spPr>
                </pic:pic>
              </a:graphicData>
            </a:graphic>
          </wp:inline>
        </w:drawing>
      </w:r>
    </w:p>
    <w:p w14:paraId="51F39836" w14:textId="21D8812E" w:rsidR="00B646ED" w:rsidRPr="008E4924" w:rsidRDefault="00A7080E" w:rsidP="00FE047B">
      <w:pPr>
        <w:pStyle w:val="Caption"/>
        <w:spacing w:line="360" w:lineRule="auto"/>
        <w:jc w:val="both"/>
        <w:rPr>
          <w:rFonts w:ascii="Arial" w:hAnsi="Arial" w:cs="Arial"/>
        </w:rPr>
      </w:pPr>
      <w:r w:rsidRPr="008E4924">
        <w:rPr>
          <w:rFonts w:ascii="Arial" w:hAnsi="Arial" w:cs="Arial"/>
        </w:rPr>
        <w:t xml:space="preserve">Figure </w:t>
      </w:r>
      <w:r w:rsidRPr="008E4924">
        <w:rPr>
          <w:rFonts w:ascii="Arial" w:hAnsi="Arial" w:cs="Arial"/>
        </w:rPr>
        <w:fldChar w:fldCharType="begin"/>
      </w:r>
      <w:r w:rsidRPr="008E4924">
        <w:rPr>
          <w:rFonts w:ascii="Arial" w:hAnsi="Arial" w:cs="Arial"/>
        </w:rPr>
        <w:instrText xml:space="preserve"> SEQ Figure \* ARABIC </w:instrText>
      </w:r>
      <w:r w:rsidRPr="008E4924">
        <w:rPr>
          <w:rFonts w:ascii="Arial" w:hAnsi="Arial" w:cs="Arial"/>
        </w:rPr>
        <w:fldChar w:fldCharType="separate"/>
      </w:r>
      <w:r w:rsidR="00FE047B" w:rsidRPr="008E4924">
        <w:rPr>
          <w:rFonts w:ascii="Arial" w:hAnsi="Arial" w:cs="Arial"/>
          <w:noProof/>
        </w:rPr>
        <w:t>2</w:t>
      </w:r>
      <w:r w:rsidRPr="008E4924">
        <w:rPr>
          <w:rFonts w:ascii="Arial" w:hAnsi="Arial" w:cs="Arial"/>
        </w:rPr>
        <w:fldChar w:fldCharType="end"/>
      </w:r>
      <w:r w:rsidRPr="008E4924">
        <w:rPr>
          <w:rFonts w:ascii="Arial" w:hAnsi="Arial" w:cs="Arial"/>
          <w:lang w:val="en-US"/>
        </w:rPr>
        <w:t xml:space="preserve"> Fishbone (Ishikawa) diagram template for root-cause analysis. (NHS England, 2011).</w:t>
      </w:r>
    </w:p>
    <w:p w14:paraId="32A75587" w14:textId="77777777" w:rsidR="00D439A6" w:rsidRPr="008E4924" w:rsidRDefault="00D439A6" w:rsidP="00FE047B">
      <w:pPr>
        <w:pStyle w:val="Heading3"/>
        <w:spacing w:line="360" w:lineRule="auto"/>
        <w:jc w:val="both"/>
        <w:rPr>
          <w:rFonts w:ascii="Arial" w:hAnsi="Arial" w:cs="Arial"/>
        </w:rPr>
      </w:pPr>
      <w:bookmarkStart w:id="5" w:name="_Toc215828330"/>
      <w:r w:rsidRPr="008E4924">
        <w:rPr>
          <w:rFonts w:ascii="Arial" w:hAnsi="Arial" w:cs="Arial"/>
        </w:rPr>
        <w:t>1. People</w:t>
      </w:r>
      <w:bookmarkEnd w:id="5"/>
    </w:p>
    <w:p w14:paraId="5888F7E7" w14:textId="77777777" w:rsidR="00D439A6" w:rsidRPr="008E4924" w:rsidRDefault="00D439A6" w:rsidP="00FE047B">
      <w:pPr>
        <w:spacing w:line="360" w:lineRule="auto"/>
        <w:jc w:val="both"/>
        <w:rPr>
          <w:rFonts w:ascii="Arial" w:hAnsi="Arial" w:cs="Arial"/>
        </w:rPr>
      </w:pPr>
      <w:r w:rsidRPr="008E4924">
        <w:rPr>
          <w:rFonts w:ascii="Arial" w:hAnsi="Arial" w:cs="Arial"/>
        </w:rPr>
        <w:t xml:space="preserve">At STFT, a major contributing factor was the limited maternity and governance expertise among senior leaders, which compromised their ability to evaluate clinical risks effectively (Ockenden, 2022). Leadership competency directly affects patient safety performance (NHS England, 2018), and the absence of clinically informed leadership resulted in poor decision-making and insufficient scrutiny of maternity outcomes. Staff concerns were routinely dismissed, generating a climate of fear and silence that suppressed essential safety feedback </w:t>
      </w:r>
      <w:r w:rsidRPr="008E4924">
        <w:rPr>
          <w:rFonts w:ascii="Arial" w:hAnsi="Arial" w:cs="Arial"/>
        </w:rPr>
        <w:lastRenderedPageBreak/>
        <w:t>(Ockenden, 2022). Research demonstrates that psychological safety is a fundamental component of high-quality maternity services (Health Foundation, 2018).</w:t>
      </w:r>
    </w:p>
    <w:p w14:paraId="199B4D49" w14:textId="77777777" w:rsidR="00D439A6" w:rsidRPr="008E4924" w:rsidRDefault="00D439A6" w:rsidP="00FE047B">
      <w:pPr>
        <w:pStyle w:val="Heading3"/>
        <w:spacing w:line="360" w:lineRule="auto"/>
        <w:jc w:val="both"/>
        <w:rPr>
          <w:rFonts w:ascii="Arial" w:hAnsi="Arial" w:cs="Arial"/>
        </w:rPr>
      </w:pPr>
      <w:bookmarkStart w:id="6" w:name="_Toc215828331"/>
      <w:r w:rsidRPr="008E4924">
        <w:rPr>
          <w:rFonts w:ascii="Arial" w:hAnsi="Arial" w:cs="Arial"/>
        </w:rPr>
        <w:t>2. Processes</w:t>
      </w:r>
      <w:bookmarkEnd w:id="6"/>
    </w:p>
    <w:p w14:paraId="75F0A05D" w14:textId="7B2B4D9A" w:rsidR="00D439A6" w:rsidRPr="008E4924" w:rsidRDefault="00D439A6" w:rsidP="00FE047B">
      <w:pPr>
        <w:spacing w:line="360" w:lineRule="auto"/>
        <w:jc w:val="both"/>
        <w:rPr>
          <w:rFonts w:ascii="Arial" w:hAnsi="Arial" w:cs="Arial"/>
        </w:rPr>
      </w:pPr>
      <w:r w:rsidRPr="008E4924">
        <w:rPr>
          <w:rFonts w:ascii="Arial" w:hAnsi="Arial" w:cs="Arial"/>
        </w:rPr>
        <w:t>Processes such as clinical audits, multidisciplinary mortality reviews, and risk assessments were weak, inconsistent, or entirely absent at STFT (CQC, 2022). Donabedian (1988) emphasises that robust processes</w:t>
      </w:r>
      <w:r w:rsidR="00752650" w:rsidRPr="008E4924">
        <w:rPr>
          <w:rFonts w:ascii="Arial" w:hAnsi="Arial" w:cs="Arial"/>
        </w:rPr>
        <w:t xml:space="preserve"> </w:t>
      </w:r>
      <w:r w:rsidRPr="008E4924">
        <w:rPr>
          <w:rFonts w:ascii="Arial" w:hAnsi="Arial" w:cs="Arial"/>
        </w:rPr>
        <w:t>such as</w:t>
      </w:r>
      <w:r w:rsidR="00752650" w:rsidRPr="008E4924">
        <w:rPr>
          <w:rFonts w:ascii="Arial" w:hAnsi="Arial" w:cs="Arial"/>
        </w:rPr>
        <w:t>;</w:t>
      </w:r>
      <w:r w:rsidRPr="008E4924">
        <w:rPr>
          <w:rFonts w:ascii="Arial" w:hAnsi="Arial" w:cs="Arial"/>
        </w:rPr>
        <w:t xml:space="preserve"> standardised monitoring, documentation, and escalation</w:t>
      </w:r>
      <w:r w:rsidR="00752650" w:rsidRPr="008E4924">
        <w:rPr>
          <w:rFonts w:ascii="Arial" w:hAnsi="Arial" w:cs="Arial"/>
        </w:rPr>
        <w:t xml:space="preserve"> </w:t>
      </w:r>
      <w:r w:rsidRPr="008E4924">
        <w:rPr>
          <w:rFonts w:ascii="Arial" w:hAnsi="Arial" w:cs="Arial"/>
        </w:rPr>
        <w:t xml:space="preserve">are essential to guarantee quality care. However, incident reporting systems at STFT showed chronic under-reporting, delayed review, and limited thematic analysis, which hindered learning from adverse events (CQC, 2022). </w:t>
      </w:r>
    </w:p>
    <w:p w14:paraId="2B450E7E" w14:textId="77777777" w:rsidR="00D439A6" w:rsidRPr="008E4924" w:rsidRDefault="00D439A6" w:rsidP="00FE047B">
      <w:pPr>
        <w:pStyle w:val="Heading3"/>
        <w:spacing w:line="360" w:lineRule="auto"/>
        <w:jc w:val="both"/>
        <w:rPr>
          <w:rFonts w:ascii="Arial" w:hAnsi="Arial" w:cs="Arial"/>
        </w:rPr>
      </w:pPr>
      <w:bookmarkStart w:id="7" w:name="_Toc215828332"/>
      <w:r w:rsidRPr="008E4924">
        <w:rPr>
          <w:rFonts w:ascii="Arial" w:hAnsi="Arial" w:cs="Arial"/>
        </w:rPr>
        <w:t>3. Policies</w:t>
      </w:r>
      <w:bookmarkEnd w:id="7"/>
    </w:p>
    <w:p w14:paraId="1349B13F" w14:textId="54C51824" w:rsidR="00D439A6" w:rsidRPr="008E4924" w:rsidRDefault="00D439A6" w:rsidP="00FE047B">
      <w:pPr>
        <w:spacing w:line="360" w:lineRule="auto"/>
        <w:jc w:val="both"/>
        <w:rPr>
          <w:rFonts w:ascii="Arial" w:hAnsi="Arial" w:cs="Arial"/>
        </w:rPr>
      </w:pPr>
      <w:r w:rsidRPr="008E4924">
        <w:rPr>
          <w:rFonts w:ascii="Arial" w:hAnsi="Arial" w:cs="Arial"/>
        </w:rPr>
        <w:t>Leadership failed to implement national guidelines, particularly NICE intrapartum care standards and the</w:t>
      </w:r>
      <w:r w:rsidR="00D26D87">
        <w:rPr>
          <w:rFonts w:ascii="Arial" w:hAnsi="Arial" w:cs="Arial"/>
        </w:rPr>
        <w:t xml:space="preserve"> </w:t>
      </w:r>
      <w:r w:rsidR="00D26D87" w:rsidRPr="00D26D87">
        <w:rPr>
          <w:rFonts w:ascii="Arial" w:hAnsi="Arial" w:cs="Arial"/>
        </w:rPr>
        <w:t>national perinatal safety bundle implemented to lower avoidable baby deaths (NICE, 2023; NHS England, 2019). Failure to follow mandated guidelines is widely acknowledged as</w:t>
      </w:r>
      <w:r w:rsidR="00D26D87">
        <w:rPr>
          <w:rFonts w:ascii="Arial" w:hAnsi="Arial" w:cs="Arial"/>
        </w:rPr>
        <w:t xml:space="preserve"> </w:t>
      </w:r>
      <w:r w:rsidRPr="008E4924">
        <w:rPr>
          <w:rFonts w:ascii="Arial" w:hAnsi="Arial" w:cs="Arial"/>
        </w:rPr>
        <w:t>a leadership failure because senior leaders are responsible for ensuring that evidence-based guidelines are embedded, monitored, and audited (NHS England, 2019). At STFT, national escalation protocols and fetal monitoring guidelines were inconsistently followed, directly contributing to poor outcomes (Ockenden, 2022).</w:t>
      </w:r>
    </w:p>
    <w:p w14:paraId="0D217D94" w14:textId="77777777" w:rsidR="00D439A6" w:rsidRPr="008E4924" w:rsidRDefault="00D439A6" w:rsidP="00FE047B">
      <w:pPr>
        <w:pStyle w:val="Heading3"/>
        <w:spacing w:line="360" w:lineRule="auto"/>
        <w:jc w:val="both"/>
        <w:rPr>
          <w:rFonts w:ascii="Arial" w:hAnsi="Arial" w:cs="Arial"/>
        </w:rPr>
      </w:pPr>
      <w:bookmarkStart w:id="8" w:name="_Toc215828333"/>
      <w:r w:rsidRPr="008E4924">
        <w:rPr>
          <w:rFonts w:ascii="Arial" w:hAnsi="Arial" w:cs="Arial"/>
        </w:rPr>
        <w:t>4. Communication</w:t>
      </w:r>
      <w:bookmarkEnd w:id="8"/>
    </w:p>
    <w:p w14:paraId="58DB5960" w14:textId="3DE549CB" w:rsidR="00D439A6" w:rsidRPr="008E4924" w:rsidRDefault="00D439A6" w:rsidP="00FE047B">
      <w:pPr>
        <w:spacing w:line="360" w:lineRule="auto"/>
        <w:jc w:val="both"/>
        <w:rPr>
          <w:rFonts w:ascii="Arial" w:hAnsi="Arial" w:cs="Arial"/>
        </w:rPr>
      </w:pPr>
      <w:r w:rsidRPr="008E4924">
        <w:rPr>
          <w:rFonts w:ascii="Arial" w:hAnsi="Arial" w:cs="Arial"/>
        </w:rPr>
        <w:t xml:space="preserve">Communication breakdowns between obstetricians, midwives, and governance teams were chronic, systemic, and deeply rooted in hierarchy (Ockenden, 2022). WHO (2019) identifies communication failures as a major global contributor to maternal death and morbidity, emphasising the importance of structured communication tools. </w:t>
      </w:r>
      <w:r w:rsidR="00563E0B" w:rsidRPr="008E4924">
        <w:rPr>
          <w:rFonts w:ascii="Arial" w:hAnsi="Arial" w:cs="Arial"/>
        </w:rPr>
        <w:t>At STFT, poor handovers, inadequate documentation, and failures to escalate concerns undermined clinical decision-making, contributing to unsafe maternity practices (Ockenden, 2022). Leadership failed to provide the systems, training, or cultural encouragement required for effective multidisciplinary communication, contrary to WHO (2019) recommendations on communication in maternity care and NHS England’s guidance on safety-critical communication processes (NHS England, 2019).</w:t>
      </w:r>
    </w:p>
    <w:p w14:paraId="7200A412" w14:textId="77777777" w:rsidR="00D439A6" w:rsidRPr="008E4924" w:rsidRDefault="00D439A6" w:rsidP="00FE047B">
      <w:pPr>
        <w:pStyle w:val="Heading3"/>
        <w:spacing w:line="360" w:lineRule="auto"/>
        <w:jc w:val="both"/>
        <w:rPr>
          <w:rFonts w:ascii="Arial" w:hAnsi="Arial" w:cs="Arial"/>
        </w:rPr>
      </w:pPr>
      <w:bookmarkStart w:id="9" w:name="_Toc215828334"/>
      <w:r w:rsidRPr="008E4924">
        <w:rPr>
          <w:rFonts w:ascii="Arial" w:hAnsi="Arial" w:cs="Arial"/>
        </w:rPr>
        <w:t>5. Culture</w:t>
      </w:r>
      <w:bookmarkEnd w:id="9"/>
    </w:p>
    <w:p w14:paraId="1DA32B78" w14:textId="77777777" w:rsidR="00D439A6" w:rsidRPr="008E4924" w:rsidRDefault="00D439A6" w:rsidP="00FE047B">
      <w:pPr>
        <w:spacing w:line="360" w:lineRule="auto"/>
        <w:jc w:val="both"/>
        <w:rPr>
          <w:rFonts w:ascii="Arial" w:hAnsi="Arial" w:cs="Arial"/>
        </w:rPr>
      </w:pPr>
      <w:r w:rsidRPr="008E4924">
        <w:rPr>
          <w:rFonts w:ascii="Arial" w:hAnsi="Arial" w:cs="Arial"/>
        </w:rPr>
        <w:t xml:space="preserve">A hierarchical, blame-oriented culture prevented open disclosure and learning from adverse events (Ockenden, 2022). NHS England’s (2018) Just Culture principles require leaders to distinguish between human error and system failure, yet STFT often attributed harm to </w:t>
      </w:r>
      <w:r w:rsidRPr="008E4924">
        <w:rPr>
          <w:rFonts w:ascii="Arial" w:hAnsi="Arial" w:cs="Arial"/>
        </w:rPr>
        <w:lastRenderedPageBreak/>
        <w:t>“individual mistakes,” ignoring systemic causes. Research shows that negative safety culture is one of the strongest predictors of persistent harm in maternity services (West et al., 2015).</w:t>
      </w:r>
    </w:p>
    <w:p w14:paraId="17C767D9" w14:textId="77777777" w:rsidR="00D439A6" w:rsidRPr="008E4924" w:rsidRDefault="00D439A6" w:rsidP="00FE047B">
      <w:pPr>
        <w:pStyle w:val="Heading3"/>
        <w:spacing w:line="360" w:lineRule="auto"/>
        <w:rPr>
          <w:rFonts w:ascii="Arial" w:hAnsi="Arial" w:cs="Arial"/>
        </w:rPr>
      </w:pPr>
      <w:bookmarkStart w:id="10" w:name="_Toc215828335"/>
      <w:r w:rsidRPr="008E4924">
        <w:rPr>
          <w:rFonts w:ascii="Arial" w:hAnsi="Arial" w:cs="Arial"/>
        </w:rPr>
        <w:t>6. Equipment/Resources</w:t>
      </w:r>
      <w:bookmarkEnd w:id="10"/>
    </w:p>
    <w:p w14:paraId="0670479D" w14:textId="2613C047" w:rsidR="00B47C0B" w:rsidRPr="008E4924" w:rsidRDefault="00B47C0B" w:rsidP="00064E51">
      <w:pPr>
        <w:spacing w:line="360" w:lineRule="auto"/>
        <w:jc w:val="both"/>
        <w:rPr>
          <w:rFonts w:ascii="Arial" w:hAnsi="Arial" w:cs="Arial"/>
        </w:rPr>
      </w:pPr>
      <w:r w:rsidRPr="008E4924">
        <w:rPr>
          <w:rFonts w:ascii="Arial" w:hAnsi="Arial" w:cs="Arial"/>
        </w:rPr>
        <w:t>Resource constraints, including midwifery shortages, poor training provision, and outdated fetal monitoring equipment, resulted from leadership’s failure to invest adequately in the maternity service (Ockenden, 2022).</w:t>
      </w:r>
      <w:r w:rsidR="0061017A" w:rsidRPr="008E4924">
        <w:rPr>
          <w:rFonts w:ascii="Arial" w:hAnsi="Arial" w:cs="Arial"/>
        </w:rPr>
        <w:t xml:space="preserve"> E</w:t>
      </w:r>
      <w:r w:rsidRPr="008E4924">
        <w:rPr>
          <w:rFonts w:ascii="Arial" w:hAnsi="Arial" w:cs="Arial"/>
        </w:rPr>
        <w:t>mphasises that adequate staffing levels, modern equipment, and consistent training are foundational requirements for safe maternity care, and that leadership has a central responsibility to ensure that resource allocation aligns with clinical and service needs (MBRRACE-UK, 2021; NHS England, 2019).</w:t>
      </w:r>
    </w:p>
    <w:p w14:paraId="1DD5B054" w14:textId="76827931" w:rsidR="00D439A6" w:rsidRPr="008E4924" w:rsidRDefault="00D439A6" w:rsidP="00FE047B">
      <w:pPr>
        <w:pStyle w:val="Heading2"/>
        <w:spacing w:line="360" w:lineRule="auto"/>
        <w:jc w:val="both"/>
        <w:rPr>
          <w:rFonts w:ascii="Arial" w:hAnsi="Arial" w:cs="Arial"/>
          <w:b/>
          <w:bCs/>
        </w:rPr>
      </w:pPr>
      <w:bookmarkStart w:id="11" w:name="_Toc215828336"/>
      <w:r w:rsidRPr="008E4924">
        <w:rPr>
          <w:rFonts w:ascii="Arial" w:hAnsi="Arial" w:cs="Arial"/>
          <w:b/>
          <w:bCs/>
        </w:rPr>
        <w:t>2.3 Expanded 5 Whys Analysis</w:t>
      </w:r>
      <w:bookmarkEnd w:id="11"/>
    </w:p>
    <w:p w14:paraId="29DA5B7C" w14:textId="77777777" w:rsidR="00D439A6" w:rsidRPr="008E4924" w:rsidRDefault="00D439A6" w:rsidP="00FE047B">
      <w:pPr>
        <w:spacing w:line="360" w:lineRule="auto"/>
        <w:jc w:val="both"/>
        <w:rPr>
          <w:rFonts w:ascii="Arial" w:hAnsi="Arial" w:cs="Arial"/>
        </w:rPr>
      </w:pPr>
      <w:r w:rsidRPr="008E4924">
        <w:rPr>
          <w:rFonts w:ascii="Arial" w:hAnsi="Arial" w:cs="Arial"/>
        </w:rPr>
        <w:t>The 5 Whys Analysis reveals deeper systemic explanations behind the leadership failures:</w:t>
      </w:r>
    </w:p>
    <w:p w14:paraId="38F47D23" w14:textId="77777777" w:rsidR="00D439A6" w:rsidRPr="008E4924" w:rsidRDefault="00D439A6" w:rsidP="00FE047B">
      <w:pPr>
        <w:spacing w:line="360" w:lineRule="auto"/>
        <w:rPr>
          <w:rFonts w:ascii="Arial" w:hAnsi="Arial" w:cs="Arial"/>
        </w:rPr>
      </w:pPr>
      <w:r w:rsidRPr="008E4924">
        <w:rPr>
          <w:rFonts w:ascii="Arial" w:hAnsi="Arial" w:cs="Arial"/>
          <w:b/>
          <w:bCs/>
        </w:rPr>
        <w:t>Why did preventable harm occur?</w:t>
      </w:r>
      <w:r w:rsidRPr="008E4924">
        <w:rPr>
          <w:rFonts w:ascii="Arial" w:hAnsi="Arial" w:cs="Arial"/>
          <w:b/>
          <w:bCs/>
        </w:rPr>
        <w:br/>
      </w:r>
      <w:r w:rsidRPr="008E4924">
        <w:rPr>
          <w:rFonts w:ascii="Arial" w:hAnsi="Arial" w:cs="Arial"/>
        </w:rPr>
        <w:t>Because unsafe clinical practices persisted unchallenged for many years, reflecting systemic acceptance of substandard care (Ockenden, 2022).</w:t>
      </w:r>
    </w:p>
    <w:p w14:paraId="1671806F" w14:textId="77777777" w:rsidR="00D439A6" w:rsidRPr="008E4924" w:rsidRDefault="00D439A6" w:rsidP="00FE047B">
      <w:pPr>
        <w:spacing w:line="360" w:lineRule="auto"/>
        <w:rPr>
          <w:rFonts w:ascii="Arial" w:hAnsi="Arial" w:cs="Arial"/>
        </w:rPr>
      </w:pPr>
      <w:r w:rsidRPr="008E4924">
        <w:rPr>
          <w:rFonts w:ascii="Arial" w:hAnsi="Arial" w:cs="Arial"/>
          <w:b/>
          <w:bCs/>
        </w:rPr>
        <w:t>Why were unsafe practices not addressed?</w:t>
      </w:r>
      <w:r w:rsidRPr="008E4924">
        <w:rPr>
          <w:rFonts w:ascii="Arial" w:hAnsi="Arial" w:cs="Arial"/>
          <w:b/>
          <w:bCs/>
        </w:rPr>
        <w:br/>
      </w:r>
      <w:r w:rsidRPr="008E4924">
        <w:rPr>
          <w:rFonts w:ascii="Arial" w:hAnsi="Arial" w:cs="Arial"/>
        </w:rPr>
        <w:t>Because governance and oversight processes failed to identify, escalate, or act on recurring risks due to incomplete audits and ineffective incident reporting (CQC, 2022).</w:t>
      </w:r>
    </w:p>
    <w:p w14:paraId="1B58D833" w14:textId="77777777" w:rsidR="00D439A6" w:rsidRPr="008E4924" w:rsidRDefault="00D439A6" w:rsidP="00FE047B">
      <w:pPr>
        <w:spacing w:line="360" w:lineRule="auto"/>
        <w:rPr>
          <w:rFonts w:ascii="Arial" w:hAnsi="Arial" w:cs="Arial"/>
        </w:rPr>
      </w:pPr>
      <w:r w:rsidRPr="008E4924">
        <w:rPr>
          <w:rFonts w:ascii="Arial" w:hAnsi="Arial" w:cs="Arial"/>
          <w:b/>
          <w:bCs/>
        </w:rPr>
        <w:t>Why did governance mechanisms fail?</w:t>
      </w:r>
      <w:r w:rsidRPr="008E4924">
        <w:rPr>
          <w:rFonts w:ascii="Arial" w:hAnsi="Arial" w:cs="Arial"/>
        </w:rPr>
        <w:br/>
        <w:t>Because leadership did not prioritise safety governance, did not critically review performance data, and did not foster a culture that valued learning from harm (NHS England, 2019).</w:t>
      </w:r>
    </w:p>
    <w:p w14:paraId="3A6AE702" w14:textId="77777777" w:rsidR="00D439A6" w:rsidRPr="008E4924" w:rsidRDefault="00D439A6" w:rsidP="00FE047B">
      <w:pPr>
        <w:spacing w:line="360" w:lineRule="auto"/>
        <w:rPr>
          <w:rFonts w:ascii="Arial" w:hAnsi="Arial" w:cs="Arial"/>
        </w:rPr>
      </w:pPr>
      <w:r w:rsidRPr="008E4924">
        <w:rPr>
          <w:rFonts w:ascii="Arial" w:hAnsi="Arial" w:cs="Arial"/>
          <w:b/>
          <w:bCs/>
        </w:rPr>
        <w:t>Why did leadership not prioritise safety?</w:t>
      </w:r>
      <w:r w:rsidRPr="008E4924">
        <w:rPr>
          <w:rFonts w:ascii="Arial" w:hAnsi="Arial" w:cs="Arial"/>
        </w:rPr>
        <w:br/>
        <w:t>Because leaders lacked maternity expertise, were disconnected from frontline realities, and operated through a culture characterised by defensiveness and denial (Ockenden, 2022).</w:t>
      </w:r>
    </w:p>
    <w:p w14:paraId="322D0055" w14:textId="77777777" w:rsidR="00D439A6" w:rsidRPr="008E4924" w:rsidRDefault="00D439A6" w:rsidP="00FE047B">
      <w:pPr>
        <w:spacing w:line="360" w:lineRule="auto"/>
        <w:rPr>
          <w:rFonts w:ascii="Arial" w:hAnsi="Arial" w:cs="Arial"/>
        </w:rPr>
      </w:pPr>
      <w:r w:rsidRPr="008E4924">
        <w:rPr>
          <w:rFonts w:ascii="Arial" w:hAnsi="Arial" w:cs="Arial"/>
          <w:b/>
          <w:bCs/>
        </w:rPr>
        <w:t>Why did this culture persist?</w:t>
      </w:r>
      <w:r w:rsidRPr="008E4924">
        <w:rPr>
          <w:rFonts w:ascii="Arial" w:hAnsi="Arial" w:cs="Arial"/>
        </w:rPr>
        <w:br/>
        <w:t>Because external scrutiny was weak, recommendations from past reviews were ignored, and whistle-blower concerns were marginalised, reinforcing an entrenched resistance to transparency (Reason, 2000).</w:t>
      </w:r>
    </w:p>
    <w:p w14:paraId="56BACCCB" w14:textId="4B0EB6A0" w:rsidR="00D439A6" w:rsidRPr="008E4924" w:rsidRDefault="00D439A6" w:rsidP="00FE047B">
      <w:pPr>
        <w:pStyle w:val="Heading2"/>
        <w:spacing w:line="360" w:lineRule="auto"/>
        <w:jc w:val="both"/>
        <w:rPr>
          <w:rFonts w:ascii="Arial" w:hAnsi="Arial" w:cs="Arial"/>
          <w:b/>
          <w:bCs/>
        </w:rPr>
      </w:pPr>
      <w:bookmarkStart w:id="12" w:name="_Toc215828337"/>
      <w:r w:rsidRPr="008E4924">
        <w:rPr>
          <w:rFonts w:ascii="Arial" w:hAnsi="Arial" w:cs="Arial"/>
          <w:b/>
          <w:bCs/>
        </w:rPr>
        <w:t>2.4 Donabedian Structure</w:t>
      </w:r>
      <w:r w:rsidR="00426C86">
        <w:rPr>
          <w:rFonts w:ascii="Arial" w:hAnsi="Arial" w:cs="Arial"/>
          <w:b/>
          <w:bCs/>
        </w:rPr>
        <w:t xml:space="preserve"> </w:t>
      </w:r>
      <w:r w:rsidRPr="008E4924">
        <w:rPr>
          <w:rFonts w:ascii="Arial" w:hAnsi="Arial" w:cs="Arial"/>
          <w:b/>
          <w:bCs/>
        </w:rPr>
        <w:t>–</w:t>
      </w:r>
      <w:r w:rsidR="00426C86">
        <w:rPr>
          <w:rFonts w:ascii="Arial" w:hAnsi="Arial" w:cs="Arial"/>
          <w:b/>
          <w:bCs/>
        </w:rPr>
        <w:t xml:space="preserve"> </w:t>
      </w:r>
      <w:r w:rsidRPr="008E4924">
        <w:rPr>
          <w:rFonts w:ascii="Arial" w:hAnsi="Arial" w:cs="Arial"/>
          <w:b/>
          <w:bCs/>
        </w:rPr>
        <w:t>Process</w:t>
      </w:r>
      <w:r w:rsidR="00426C86">
        <w:rPr>
          <w:rFonts w:ascii="Arial" w:hAnsi="Arial" w:cs="Arial"/>
          <w:b/>
          <w:bCs/>
        </w:rPr>
        <w:t xml:space="preserve"> </w:t>
      </w:r>
      <w:r w:rsidRPr="008E4924">
        <w:rPr>
          <w:rFonts w:ascii="Arial" w:hAnsi="Arial" w:cs="Arial"/>
          <w:b/>
          <w:bCs/>
        </w:rPr>
        <w:t>–</w:t>
      </w:r>
      <w:r w:rsidR="00426C86">
        <w:rPr>
          <w:rFonts w:ascii="Arial" w:hAnsi="Arial" w:cs="Arial"/>
          <w:b/>
          <w:bCs/>
        </w:rPr>
        <w:t xml:space="preserve"> </w:t>
      </w:r>
      <w:r w:rsidRPr="008E4924">
        <w:rPr>
          <w:rFonts w:ascii="Arial" w:hAnsi="Arial" w:cs="Arial"/>
          <w:b/>
          <w:bCs/>
        </w:rPr>
        <w:t>Outcome Model</w:t>
      </w:r>
      <w:bookmarkEnd w:id="12"/>
    </w:p>
    <w:p w14:paraId="574F7E35" w14:textId="77777777" w:rsidR="00D439A6" w:rsidRPr="008E4924" w:rsidRDefault="00D439A6" w:rsidP="00FE047B">
      <w:pPr>
        <w:pStyle w:val="Heading3"/>
        <w:spacing w:line="360" w:lineRule="auto"/>
        <w:jc w:val="both"/>
        <w:rPr>
          <w:rFonts w:ascii="Arial" w:hAnsi="Arial" w:cs="Arial"/>
        </w:rPr>
      </w:pPr>
      <w:bookmarkStart w:id="13" w:name="_Toc215828338"/>
      <w:r w:rsidRPr="008E4924">
        <w:rPr>
          <w:rFonts w:ascii="Arial" w:hAnsi="Arial" w:cs="Arial"/>
        </w:rPr>
        <w:t>Structure</w:t>
      </w:r>
      <w:bookmarkEnd w:id="13"/>
    </w:p>
    <w:p w14:paraId="1FA997C4" w14:textId="77777777" w:rsidR="00D439A6" w:rsidRPr="008E4924" w:rsidRDefault="00D439A6" w:rsidP="00FE047B">
      <w:pPr>
        <w:spacing w:line="360" w:lineRule="auto"/>
        <w:jc w:val="both"/>
        <w:rPr>
          <w:rFonts w:ascii="Arial" w:hAnsi="Arial" w:cs="Arial"/>
        </w:rPr>
      </w:pPr>
      <w:r w:rsidRPr="008E4924">
        <w:rPr>
          <w:rFonts w:ascii="Arial" w:hAnsi="Arial" w:cs="Arial"/>
        </w:rPr>
        <w:t xml:space="preserve">STFT exhibited multiple structural weaknesses, including inadequate staffing levels, insufficient training, poor governance infrastructure, and outdated clinical equipment </w:t>
      </w:r>
      <w:r w:rsidRPr="008E4924">
        <w:rPr>
          <w:rFonts w:ascii="Arial" w:hAnsi="Arial" w:cs="Arial"/>
        </w:rPr>
        <w:lastRenderedPageBreak/>
        <w:t>(Ockenden, 2022). Donabedian (1988) stresses that structures form the foundation upon which safe care processes are built. STFT leadership failed to ensure minimum safe staffing, despite national reports emphasising workforce adequacy as a determinant of safer maternity care (MBRRACE-UK, 2021).</w:t>
      </w:r>
    </w:p>
    <w:p w14:paraId="482FEBE1" w14:textId="77777777" w:rsidR="00D439A6" w:rsidRPr="008E4924" w:rsidRDefault="00D439A6" w:rsidP="00FE047B">
      <w:pPr>
        <w:pStyle w:val="Heading3"/>
        <w:spacing w:line="360" w:lineRule="auto"/>
        <w:jc w:val="both"/>
        <w:rPr>
          <w:rFonts w:ascii="Arial" w:hAnsi="Arial" w:cs="Arial"/>
        </w:rPr>
      </w:pPr>
      <w:bookmarkStart w:id="14" w:name="_Toc215828339"/>
      <w:r w:rsidRPr="008E4924">
        <w:rPr>
          <w:rFonts w:ascii="Arial" w:hAnsi="Arial" w:cs="Arial"/>
        </w:rPr>
        <w:t>Process</w:t>
      </w:r>
      <w:bookmarkEnd w:id="14"/>
    </w:p>
    <w:p w14:paraId="717900FC" w14:textId="77777777" w:rsidR="00D439A6" w:rsidRPr="008E4924" w:rsidRDefault="00D439A6" w:rsidP="00FE047B">
      <w:pPr>
        <w:spacing w:line="360" w:lineRule="auto"/>
        <w:jc w:val="both"/>
        <w:rPr>
          <w:rFonts w:ascii="Arial" w:hAnsi="Arial" w:cs="Arial"/>
        </w:rPr>
      </w:pPr>
      <w:r w:rsidRPr="008E4924">
        <w:rPr>
          <w:rFonts w:ascii="Arial" w:hAnsi="Arial" w:cs="Arial"/>
        </w:rPr>
        <w:t>Unsafe processes at STFT included poor fetal monitoring, inconsistent escalation pathways, lack of adherence to NICE guidelines, weak documentation, and absence of multidisciplinary communication standards (NICE, 2023). NHS England’s Patient Safety Strategy (2019) notes that safe processes depend heavily on leadership commitment to quality improvement and governance.</w:t>
      </w:r>
    </w:p>
    <w:p w14:paraId="4A27B31D" w14:textId="77777777" w:rsidR="00D439A6" w:rsidRPr="008E4924" w:rsidRDefault="00D439A6" w:rsidP="00FE047B">
      <w:pPr>
        <w:pStyle w:val="Heading3"/>
        <w:spacing w:line="360" w:lineRule="auto"/>
        <w:jc w:val="both"/>
        <w:rPr>
          <w:rFonts w:ascii="Arial" w:hAnsi="Arial" w:cs="Arial"/>
        </w:rPr>
      </w:pPr>
      <w:bookmarkStart w:id="15" w:name="_Toc215828340"/>
      <w:r w:rsidRPr="008E4924">
        <w:rPr>
          <w:rFonts w:ascii="Arial" w:hAnsi="Arial" w:cs="Arial"/>
        </w:rPr>
        <w:t>Outcome</w:t>
      </w:r>
      <w:bookmarkEnd w:id="15"/>
    </w:p>
    <w:p w14:paraId="15C50AC5" w14:textId="5EC426ED" w:rsidR="00D439A6" w:rsidRPr="008E4924" w:rsidRDefault="00D439A6" w:rsidP="00FE047B">
      <w:pPr>
        <w:spacing w:line="360" w:lineRule="auto"/>
        <w:jc w:val="both"/>
        <w:rPr>
          <w:rFonts w:ascii="Arial" w:hAnsi="Arial" w:cs="Arial"/>
        </w:rPr>
      </w:pPr>
      <w:r w:rsidRPr="008E4924">
        <w:rPr>
          <w:rFonts w:ascii="Arial" w:hAnsi="Arial" w:cs="Arial"/>
        </w:rPr>
        <w:t xml:space="preserve">These structural and process failures translated into severe negative outcomes, including avoidable maternal deaths, stillbirths, neonatal hypoxic injuries, and long-term psychological trauma for families (Ockenden, 2022). </w:t>
      </w:r>
    </w:p>
    <w:p w14:paraId="433AEB3A" w14:textId="77777777" w:rsidR="00D439A6" w:rsidRPr="008E4924" w:rsidRDefault="00D439A6" w:rsidP="00FE047B">
      <w:pPr>
        <w:pStyle w:val="Heading2"/>
        <w:spacing w:line="360" w:lineRule="auto"/>
        <w:jc w:val="both"/>
        <w:rPr>
          <w:rFonts w:ascii="Arial" w:hAnsi="Arial" w:cs="Arial"/>
          <w:b/>
          <w:bCs/>
        </w:rPr>
      </w:pPr>
      <w:bookmarkStart w:id="16" w:name="_Toc215828341"/>
      <w:r w:rsidRPr="008E4924">
        <w:rPr>
          <w:rFonts w:ascii="Arial" w:hAnsi="Arial" w:cs="Arial"/>
          <w:b/>
          <w:bCs/>
        </w:rPr>
        <w:t>2.5 SWOT Analysis of Leadership and Governance</w:t>
      </w:r>
      <w:bookmarkEnd w:id="16"/>
    </w:p>
    <w:p w14:paraId="465EEABC" w14:textId="77777777" w:rsidR="00D439A6" w:rsidRPr="008E4924" w:rsidRDefault="00D439A6" w:rsidP="00FE047B">
      <w:pPr>
        <w:pStyle w:val="Heading3"/>
        <w:spacing w:line="360" w:lineRule="auto"/>
        <w:jc w:val="both"/>
        <w:rPr>
          <w:rFonts w:ascii="Arial" w:hAnsi="Arial" w:cs="Arial"/>
        </w:rPr>
      </w:pPr>
      <w:bookmarkStart w:id="17" w:name="_Toc215828342"/>
      <w:r w:rsidRPr="008E4924">
        <w:rPr>
          <w:rFonts w:ascii="Arial" w:hAnsi="Arial" w:cs="Arial"/>
        </w:rPr>
        <w:t>Strengths</w:t>
      </w:r>
      <w:bookmarkEnd w:id="17"/>
    </w:p>
    <w:p w14:paraId="425FFFE5" w14:textId="77777777" w:rsidR="00D439A6" w:rsidRPr="008E4924" w:rsidRDefault="00D439A6" w:rsidP="00FE047B">
      <w:pPr>
        <w:spacing w:line="360" w:lineRule="auto"/>
        <w:jc w:val="both"/>
        <w:rPr>
          <w:rFonts w:ascii="Arial" w:hAnsi="Arial" w:cs="Arial"/>
        </w:rPr>
      </w:pPr>
      <w:r w:rsidRPr="008E4924">
        <w:rPr>
          <w:rFonts w:ascii="Arial" w:hAnsi="Arial" w:cs="Arial"/>
        </w:rPr>
        <w:t>National maternity transformation programmes, such as Better Births and Saving Babies’ Lives, offer a strong framework for improvement (NHS England, 2019). Tools like MBRRACE-UK reports provide robust benchmarking for leadership to monitor outcomes and drive quality improvements (MBRRACE-UK, 2021).</w:t>
      </w:r>
    </w:p>
    <w:p w14:paraId="77E8C69C" w14:textId="77777777" w:rsidR="00D439A6" w:rsidRPr="008E4924" w:rsidRDefault="00D439A6" w:rsidP="00FE047B">
      <w:pPr>
        <w:pStyle w:val="Heading3"/>
        <w:spacing w:line="360" w:lineRule="auto"/>
        <w:jc w:val="both"/>
        <w:rPr>
          <w:rFonts w:ascii="Arial" w:hAnsi="Arial" w:cs="Arial"/>
        </w:rPr>
      </w:pPr>
      <w:bookmarkStart w:id="18" w:name="_Toc215828343"/>
      <w:r w:rsidRPr="008E4924">
        <w:rPr>
          <w:rFonts w:ascii="Arial" w:hAnsi="Arial" w:cs="Arial"/>
        </w:rPr>
        <w:t>Weaknesses</w:t>
      </w:r>
      <w:bookmarkEnd w:id="18"/>
    </w:p>
    <w:p w14:paraId="38184762" w14:textId="77777777" w:rsidR="00D439A6" w:rsidRPr="008E4924" w:rsidRDefault="00D439A6" w:rsidP="00FE047B">
      <w:pPr>
        <w:spacing w:line="360" w:lineRule="auto"/>
        <w:jc w:val="both"/>
        <w:rPr>
          <w:rFonts w:ascii="Arial" w:hAnsi="Arial" w:cs="Arial"/>
        </w:rPr>
      </w:pPr>
      <w:r w:rsidRPr="008E4924">
        <w:rPr>
          <w:rFonts w:ascii="Arial" w:hAnsi="Arial" w:cs="Arial"/>
        </w:rPr>
        <w:t>Leadership lacked clinical expertise, resulting in poor decisions and weak scrutiny of safety performance (Ockenden, 2022). Incident reporting was inadequate, and risk management systems were poorly implemented (CQC, 2022). WHO (2019) highlights that poor communication cultures contribute to harm, a major weakness at STFT.</w:t>
      </w:r>
    </w:p>
    <w:p w14:paraId="1677460F" w14:textId="77777777" w:rsidR="00D439A6" w:rsidRPr="008E4924" w:rsidRDefault="00D439A6" w:rsidP="00FE047B">
      <w:pPr>
        <w:pStyle w:val="Heading3"/>
        <w:spacing w:line="360" w:lineRule="auto"/>
        <w:jc w:val="both"/>
        <w:rPr>
          <w:rFonts w:ascii="Arial" w:hAnsi="Arial" w:cs="Arial"/>
        </w:rPr>
      </w:pPr>
      <w:bookmarkStart w:id="19" w:name="_Toc215828344"/>
      <w:r w:rsidRPr="008E4924">
        <w:rPr>
          <w:rFonts w:ascii="Arial" w:hAnsi="Arial" w:cs="Arial"/>
        </w:rPr>
        <w:t>Opportunities</w:t>
      </w:r>
      <w:bookmarkEnd w:id="19"/>
    </w:p>
    <w:p w14:paraId="78C75D8D" w14:textId="261648B6" w:rsidR="00D439A6" w:rsidRPr="008E4924" w:rsidRDefault="00D439A6" w:rsidP="00FE047B">
      <w:pPr>
        <w:spacing w:line="360" w:lineRule="auto"/>
        <w:jc w:val="both"/>
        <w:rPr>
          <w:rFonts w:ascii="Arial" w:hAnsi="Arial" w:cs="Arial"/>
        </w:rPr>
      </w:pPr>
      <w:r w:rsidRPr="008E4924">
        <w:rPr>
          <w:rFonts w:ascii="Arial" w:hAnsi="Arial" w:cs="Arial"/>
        </w:rPr>
        <w:t xml:space="preserve">Just Culture principles and PSIRF offer opportunities to rebuild trust, improve incident reporting, and enhance organisational learning (NHS England, 2020). Leadership development programmes and clinical leadership training can address skills gaps (West et al., 2015). </w:t>
      </w:r>
    </w:p>
    <w:p w14:paraId="135CDB98" w14:textId="77777777" w:rsidR="00D439A6" w:rsidRPr="008E4924" w:rsidRDefault="00D439A6" w:rsidP="00FE047B">
      <w:pPr>
        <w:pStyle w:val="Heading3"/>
        <w:spacing w:line="360" w:lineRule="auto"/>
        <w:jc w:val="both"/>
        <w:rPr>
          <w:rFonts w:ascii="Arial" w:hAnsi="Arial" w:cs="Arial"/>
        </w:rPr>
      </w:pPr>
      <w:bookmarkStart w:id="20" w:name="_Toc215828345"/>
      <w:r w:rsidRPr="008E4924">
        <w:rPr>
          <w:rFonts w:ascii="Arial" w:hAnsi="Arial" w:cs="Arial"/>
        </w:rPr>
        <w:lastRenderedPageBreak/>
        <w:t>Threats</w:t>
      </w:r>
      <w:bookmarkEnd w:id="20"/>
    </w:p>
    <w:p w14:paraId="60BB0EF9" w14:textId="3FF03633" w:rsidR="00D439A6" w:rsidRPr="008E4924" w:rsidRDefault="00D439A6" w:rsidP="00FE047B">
      <w:pPr>
        <w:spacing w:line="360" w:lineRule="auto"/>
        <w:jc w:val="both"/>
        <w:rPr>
          <w:rFonts w:ascii="Arial" w:hAnsi="Arial" w:cs="Arial"/>
        </w:rPr>
      </w:pPr>
      <w:r w:rsidRPr="008E4924">
        <w:rPr>
          <w:rFonts w:ascii="Arial" w:hAnsi="Arial" w:cs="Arial"/>
        </w:rPr>
        <w:t xml:space="preserve">Staff shortages, increasing clinical workload, and burnout pose significant risks to the sustainability of improvements (NHS England, 2019). Rising litigation costs reduce available funding for service improvement (NHS Resolution, 2023). </w:t>
      </w:r>
    </w:p>
    <w:p w14:paraId="033A597A" w14:textId="77777777" w:rsidR="00D439A6" w:rsidRPr="008E4924" w:rsidRDefault="00D439A6" w:rsidP="00FE047B">
      <w:pPr>
        <w:pStyle w:val="Heading2"/>
        <w:spacing w:line="360" w:lineRule="auto"/>
        <w:jc w:val="both"/>
        <w:rPr>
          <w:rFonts w:ascii="Arial" w:hAnsi="Arial" w:cs="Arial"/>
          <w:b/>
          <w:bCs/>
        </w:rPr>
      </w:pPr>
      <w:bookmarkStart w:id="21" w:name="_Toc215828346"/>
      <w:r w:rsidRPr="008E4924">
        <w:rPr>
          <w:rFonts w:ascii="Arial" w:hAnsi="Arial" w:cs="Arial"/>
          <w:b/>
          <w:bCs/>
        </w:rPr>
        <w:t>2.6 Synthesis of Evidence</w:t>
      </w:r>
      <w:bookmarkEnd w:id="21"/>
    </w:p>
    <w:p w14:paraId="22706F19" w14:textId="77777777" w:rsidR="00B47C0B" w:rsidRPr="008E4924" w:rsidRDefault="00B47C0B" w:rsidP="00B47C0B">
      <w:pPr>
        <w:spacing w:line="360" w:lineRule="auto"/>
        <w:jc w:val="both"/>
        <w:rPr>
          <w:rFonts w:ascii="Arial" w:hAnsi="Arial" w:cs="Arial"/>
        </w:rPr>
      </w:pPr>
      <w:r w:rsidRPr="008E4924">
        <w:rPr>
          <w:rFonts w:ascii="Arial" w:hAnsi="Arial" w:cs="Arial"/>
        </w:rPr>
        <w:t>Across all analytical frameworks, leadership failure emerges as the pivotal systemic weakness driving safety issues at STFT (Ockenden, 2022). The Fishbone and 5 Whys analyses show that ineffective leadership allowed policy non-compliance, poor communication, and a hostile culture to persist unchallenged, consistent with national findings that weak leadership undermines maternity safety (NHS England, 2019; CQC, 2022). Donabedian’s model clearly demonstrates that leadership failures weakened structures and processes, producing catastrophic outcomes in care quality (Donabedian, 1988). The SWOT analysis further identifies leadership as the central weakness that undermined opportunities for improvement, reflecting wider evidence that organisational culture, accountability, and governance are shaped by leadership behaviour (WHO, 2019; Health Foundation, 2018). The combined evidence reinforces that sustainable change in maternity safety is impossible without fundamental leadership and governance reform (NICE, 2023; Ockenden, 2022).</w:t>
      </w:r>
    </w:p>
    <w:p w14:paraId="793B35ED" w14:textId="06205BDA" w:rsidR="00752650" w:rsidRPr="008E4924" w:rsidRDefault="00752650" w:rsidP="00FE047B">
      <w:pPr>
        <w:pStyle w:val="Heading2"/>
        <w:rPr>
          <w:rFonts w:ascii="Arial" w:hAnsi="Arial" w:cs="Arial"/>
          <w:b/>
          <w:bCs/>
        </w:rPr>
      </w:pPr>
      <w:bookmarkStart w:id="22" w:name="_Toc215828347"/>
      <w:r w:rsidRPr="008E4924">
        <w:rPr>
          <w:rFonts w:ascii="Arial" w:hAnsi="Arial" w:cs="Arial"/>
          <w:b/>
          <w:bCs/>
        </w:rPr>
        <w:t>3. Recommendations</w:t>
      </w:r>
      <w:bookmarkEnd w:id="22"/>
      <w:r w:rsidRPr="008E4924">
        <w:rPr>
          <w:rFonts w:ascii="Arial" w:hAnsi="Arial" w:cs="Arial"/>
          <w:b/>
          <w:bCs/>
        </w:rPr>
        <w:t xml:space="preserve"> </w:t>
      </w:r>
    </w:p>
    <w:p w14:paraId="6F90CC31" w14:textId="77777777" w:rsidR="00752650" w:rsidRPr="008E4924" w:rsidRDefault="00752650" w:rsidP="00FE047B">
      <w:pPr>
        <w:pStyle w:val="Heading3"/>
        <w:rPr>
          <w:rFonts w:ascii="Arial" w:hAnsi="Arial" w:cs="Arial"/>
        </w:rPr>
      </w:pPr>
      <w:bookmarkStart w:id="23" w:name="_Toc215828348"/>
      <w:r w:rsidRPr="008E4924">
        <w:rPr>
          <w:rFonts w:ascii="Arial" w:hAnsi="Arial" w:cs="Arial"/>
        </w:rPr>
        <w:t>3.1 Overview</w:t>
      </w:r>
      <w:bookmarkEnd w:id="23"/>
    </w:p>
    <w:p w14:paraId="463928F7" w14:textId="77777777" w:rsidR="00B646ED" w:rsidRPr="008E4924" w:rsidRDefault="00B646ED" w:rsidP="00FE047B">
      <w:pPr>
        <w:spacing w:line="360" w:lineRule="auto"/>
        <w:jc w:val="both"/>
        <w:rPr>
          <w:rFonts w:ascii="Arial" w:hAnsi="Arial" w:cs="Arial"/>
        </w:rPr>
      </w:pPr>
      <w:r w:rsidRPr="008E4924">
        <w:rPr>
          <w:rFonts w:ascii="Arial" w:hAnsi="Arial" w:cs="Arial"/>
        </w:rPr>
        <w:t>Improving leadership and governance in maternity services requires a coordinated, system-wide approach that strengthens culture, accountability, and continuous quality improvement. Reviews such as the Ockenden Report (2022) highlight that leadership reform is essential to preventing harm and rebuilding public trust. NHS England (2019) emphasises that sustainable improvement depends on competent leadership, robust risk governance, and a strong safety culture supported by proven quality improvement methodologies like PDSA, Lean, and Six Sigma. Similarly, the World Health Organization (2019) stresses that leadership engagement, clear communication, and adherence to clinical guidelines are vital for safe maternity care. The following recommendations therefore present a comprehensive, evidence-based strategy to strengthen leadership and governance across maternity services.</w:t>
      </w:r>
    </w:p>
    <w:p w14:paraId="76525A84" w14:textId="131275AD" w:rsidR="00752650" w:rsidRPr="008E4924" w:rsidRDefault="00752650" w:rsidP="00FE047B">
      <w:pPr>
        <w:pStyle w:val="Heading3"/>
        <w:rPr>
          <w:rFonts w:ascii="Arial" w:hAnsi="Arial" w:cs="Arial"/>
        </w:rPr>
      </w:pPr>
      <w:bookmarkStart w:id="24" w:name="_Toc215828349"/>
      <w:r w:rsidRPr="008E4924">
        <w:rPr>
          <w:rFonts w:ascii="Arial" w:hAnsi="Arial" w:cs="Arial"/>
        </w:rPr>
        <w:t>3.2 Recommendation 1: Establish a Competency-Based Leadership Framework</w:t>
      </w:r>
      <w:bookmarkEnd w:id="24"/>
    </w:p>
    <w:p w14:paraId="50677D9A" w14:textId="385EDA49" w:rsidR="00752650" w:rsidRPr="008E4924" w:rsidRDefault="00752650" w:rsidP="00FE047B">
      <w:pPr>
        <w:spacing w:line="360" w:lineRule="auto"/>
        <w:jc w:val="both"/>
        <w:rPr>
          <w:rFonts w:ascii="Arial" w:hAnsi="Arial" w:cs="Arial"/>
        </w:rPr>
      </w:pPr>
      <w:r w:rsidRPr="008E4924">
        <w:rPr>
          <w:rFonts w:ascii="Arial" w:hAnsi="Arial" w:cs="Arial"/>
        </w:rPr>
        <w:t xml:space="preserve">A key priority is the development of a structured competency framework to ensure that senior leaders, Board members, and maternity managers possess the clinical, governance, and safety competencies required to oversee high-risk maternity services. NHS England (2018) </w:t>
      </w:r>
      <w:r w:rsidRPr="008E4924">
        <w:rPr>
          <w:rFonts w:ascii="Arial" w:hAnsi="Arial" w:cs="Arial"/>
        </w:rPr>
        <w:lastRenderedPageBreak/>
        <w:t>emphasises that leadership capability is fundamental to creating psychologically safe cultures and ensuring transparent responses to patient safety events. Evidence from the King’s Fund (West et al., 2015) shows that strong leadership behaviours</w:t>
      </w:r>
      <w:r w:rsidRPr="008E4924">
        <w:rPr>
          <w:rFonts w:ascii="Arial" w:hAnsi="Arial" w:cs="Arial"/>
        </w:rPr>
        <w:t xml:space="preserve"> </w:t>
      </w:r>
      <w:r w:rsidRPr="008E4924">
        <w:rPr>
          <w:rFonts w:ascii="Arial" w:hAnsi="Arial" w:cs="Arial"/>
        </w:rPr>
        <w:t>such as</w:t>
      </w:r>
      <w:r w:rsidRPr="008E4924">
        <w:rPr>
          <w:rFonts w:ascii="Arial" w:hAnsi="Arial" w:cs="Arial"/>
        </w:rPr>
        <w:t>;</w:t>
      </w:r>
      <w:r w:rsidRPr="008E4924">
        <w:rPr>
          <w:rFonts w:ascii="Arial" w:hAnsi="Arial" w:cs="Arial"/>
        </w:rPr>
        <w:t xml:space="preserve"> active listening, effective challenge, and data-informed decision-making</w:t>
      </w:r>
      <w:r w:rsidRPr="008E4924">
        <w:rPr>
          <w:rFonts w:ascii="Arial" w:hAnsi="Arial" w:cs="Arial"/>
        </w:rPr>
        <w:t xml:space="preserve"> </w:t>
      </w:r>
      <w:r w:rsidRPr="008E4924">
        <w:rPr>
          <w:rFonts w:ascii="Arial" w:hAnsi="Arial" w:cs="Arial"/>
        </w:rPr>
        <w:t>are directly associated with improved patient outcomes.</w:t>
      </w:r>
    </w:p>
    <w:p w14:paraId="2D4A5C55" w14:textId="77777777" w:rsidR="00752650" w:rsidRPr="008E4924" w:rsidRDefault="00752650" w:rsidP="00FE047B">
      <w:pPr>
        <w:spacing w:line="360" w:lineRule="auto"/>
        <w:jc w:val="both"/>
        <w:rPr>
          <w:rFonts w:ascii="Arial" w:hAnsi="Arial" w:cs="Arial"/>
        </w:rPr>
      </w:pPr>
      <w:r w:rsidRPr="008E4924">
        <w:rPr>
          <w:rFonts w:ascii="Arial" w:hAnsi="Arial" w:cs="Arial"/>
        </w:rPr>
        <w:t>A competency-based framework must include training in maternity safety, incident analysis, risk management, and national guideline implementation. This aligns with Ockenden’s (2022) recommendation that Boards must understand maternity risks to provide effective oversight. Leadership competency assessments should be mandatory and linked to ongoing professional development.</w:t>
      </w:r>
    </w:p>
    <w:p w14:paraId="18C4E520" w14:textId="77777777" w:rsidR="00752650" w:rsidRPr="008E4924" w:rsidRDefault="00752650" w:rsidP="00FE047B">
      <w:pPr>
        <w:spacing w:line="360" w:lineRule="auto"/>
        <w:rPr>
          <w:rFonts w:ascii="Arial" w:hAnsi="Arial" w:cs="Arial"/>
          <w:b/>
          <w:bCs/>
        </w:rPr>
      </w:pPr>
      <w:r w:rsidRPr="008E4924">
        <w:rPr>
          <w:rFonts w:ascii="Arial" w:hAnsi="Arial" w:cs="Arial"/>
          <w:b/>
          <w:bCs/>
        </w:rPr>
        <w:t>Implementation using PDSA</w:t>
      </w:r>
    </w:p>
    <w:p w14:paraId="5496B199" w14:textId="77777777" w:rsidR="00752650" w:rsidRPr="008E4924" w:rsidRDefault="00752650" w:rsidP="00FE047B">
      <w:pPr>
        <w:spacing w:line="360" w:lineRule="auto"/>
        <w:jc w:val="both"/>
        <w:rPr>
          <w:rFonts w:ascii="Arial" w:hAnsi="Arial" w:cs="Arial"/>
        </w:rPr>
      </w:pPr>
      <w:r w:rsidRPr="008E4924">
        <w:rPr>
          <w:rFonts w:ascii="Arial" w:hAnsi="Arial" w:cs="Arial"/>
          <w:b/>
          <w:bCs/>
        </w:rPr>
        <w:t>Plan</w:t>
      </w:r>
      <w:r w:rsidRPr="008E4924">
        <w:rPr>
          <w:rFonts w:ascii="Arial" w:hAnsi="Arial" w:cs="Arial"/>
        </w:rPr>
        <w:t>: Develop training aligned with the NHS Leadership Framework and national maternity safety guidance (NHS Leadership Academy, 2012; NHS England, 2019).</w:t>
      </w:r>
    </w:p>
    <w:p w14:paraId="34282488" w14:textId="77777777" w:rsidR="00752650" w:rsidRPr="008E4924" w:rsidRDefault="00752650" w:rsidP="00FE047B">
      <w:pPr>
        <w:spacing w:line="360" w:lineRule="auto"/>
        <w:jc w:val="both"/>
        <w:rPr>
          <w:rFonts w:ascii="Arial" w:hAnsi="Arial" w:cs="Arial"/>
        </w:rPr>
      </w:pPr>
      <w:r w:rsidRPr="008E4924">
        <w:rPr>
          <w:rFonts w:ascii="Arial" w:hAnsi="Arial" w:cs="Arial"/>
          <w:b/>
          <w:bCs/>
        </w:rPr>
        <w:t>Do</w:t>
      </w:r>
      <w:r w:rsidRPr="008E4924">
        <w:rPr>
          <w:rFonts w:ascii="Arial" w:hAnsi="Arial" w:cs="Arial"/>
        </w:rPr>
        <w:t>: Deliver training programmes, simulation workshops, and leadership shadowing sessions.</w:t>
      </w:r>
    </w:p>
    <w:p w14:paraId="030E491B" w14:textId="77777777" w:rsidR="00752650" w:rsidRPr="008E4924" w:rsidRDefault="00752650" w:rsidP="00FE047B">
      <w:pPr>
        <w:spacing w:line="360" w:lineRule="auto"/>
        <w:jc w:val="both"/>
        <w:rPr>
          <w:rFonts w:ascii="Arial" w:hAnsi="Arial" w:cs="Arial"/>
        </w:rPr>
      </w:pPr>
      <w:r w:rsidRPr="008E4924">
        <w:rPr>
          <w:rFonts w:ascii="Arial" w:hAnsi="Arial" w:cs="Arial"/>
          <w:b/>
          <w:bCs/>
        </w:rPr>
        <w:t>Study</w:t>
      </w:r>
      <w:r w:rsidRPr="008E4924">
        <w:rPr>
          <w:rFonts w:ascii="Arial" w:hAnsi="Arial" w:cs="Arial"/>
        </w:rPr>
        <w:t>: Assess improvements through audits, leadership self-assessments, and staff feedback surveys.</w:t>
      </w:r>
    </w:p>
    <w:p w14:paraId="5617402A" w14:textId="77777777" w:rsidR="00752650" w:rsidRPr="008E4924" w:rsidRDefault="00752650" w:rsidP="00FE047B">
      <w:pPr>
        <w:spacing w:line="360" w:lineRule="auto"/>
        <w:jc w:val="both"/>
        <w:rPr>
          <w:rFonts w:ascii="Arial" w:hAnsi="Arial" w:cs="Arial"/>
        </w:rPr>
      </w:pPr>
      <w:r w:rsidRPr="008E4924">
        <w:rPr>
          <w:rFonts w:ascii="Arial" w:hAnsi="Arial" w:cs="Arial"/>
          <w:b/>
          <w:bCs/>
        </w:rPr>
        <w:t>Act</w:t>
      </w:r>
      <w:r w:rsidRPr="008E4924">
        <w:rPr>
          <w:rFonts w:ascii="Arial" w:hAnsi="Arial" w:cs="Arial"/>
        </w:rPr>
        <w:t>: Embed effective elements into long-term leadership development pathways.</w:t>
      </w:r>
    </w:p>
    <w:p w14:paraId="49D96635" w14:textId="37FB9787" w:rsidR="00752650" w:rsidRPr="008E4924" w:rsidRDefault="00752650" w:rsidP="00FE047B">
      <w:pPr>
        <w:spacing w:line="360" w:lineRule="auto"/>
        <w:jc w:val="both"/>
        <w:rPr>
          <w:rFonts w:ascii="Arial" w:hAnsi="Arial" w:cs="Arial"/>
        </w:rPr>
      </w:pPr>
      <w:r w:rsidRPr="008E4924">
        <w:rPr>
          <w:rFonts w:ascii="Arial" w:hAnsi="Arial" w:cs="Arial"/>
        </w:rPr>
        <w:t>This structured cycle ensures continuous improvement and measurable capability enhancement.</w:t>
      </w:r>
    </w:p>
    <w:p w14:paraId="3432D62C" w14:textId="77777777" w:rsidR="00752650" w:rsidRPr="008E4924" w:rsidRDefault="00752650" w:rsidP="00FE047B">
      <w:pPr>
        <w:pStyle w:val="Heading3"/>
        <w:rPr>
          <w:rFonts w:ascii="Arial" w:hAnsi="Arial" w:cs="Arial"/>
        </w:rPr>
      </w:pPr>
      <w:bookmarkStart w:id="25" w:name="_Toc215828350"/>
      <w:r w:rsidRPr="008E4924">
        <w:rPr>
          <w:rFonts w:ascii="Arial" w:hAnsi="Arial" w:cs="Arial"/>
        </w:rPr>
        <w:t>3.3 Recommendation 2: Implement a Proactive Governance and Risk Management System</w:t>
      </w:r>
      <w:bookmarkEnd w:id="25"/>
    </w:p>
    <w:p w14:paraId="360FA637" w14:textId="77777777" w:rsidR="00B47C0B" w:rsidRPr="00B47C0B" w:rsidRDefault="00B47C0B" w:rsidP="00B47C0B">
      <w:pPr>
        <w:spacing w:line="360" w:lineRule="auto"/>
        <w:jc w:val="both"/>
        <w:rPr>
          <w:rFonts w:ascii="Arial" w:hAnsi="Arial" w:cs="Arial"/>
        </w:rPr>
      </w:pPr>
      <w:r w:rsidRPr="00B47C0B">
        <w:rPr>
          <w:rFonts w:ascii="Arial" w:hAnsi="Arial" w:cs="Arial"/>
        </w:rPr>
        <w:t>Strengthening risk governance is essential to preventing recurrence of failures, as effective oversight structures are central to safe maternity care (NHS England, 2019). NHS England (2020) notes that effective governance systems require robust incident reporting, real-time data monitoring, and transparent learning processes to identify risks early and support timely intervention. Ockenden (2022) identified significant failures in STFT’s incident analysis and risk escalation pathways, demonstrating the need for structured governance tools such as maternity safety dashboards, proactive escalation systems, and multidisciplinary governance meetings. This aligns with wider regulatory findings that weak incident investigation processes and poor learning mechanisms contribute to repeated harm in maternity services (CQC, 2022; Health Foundation, 2018).</w:t>
      </w:r>
    </w:p>
    <w:p w14:paraId="11685B08" w14:textId="77777777" w:rsidR="00B47C0B" w:rsidRPr="00B47C0B" w:rsidRDefault="00B47C0B" w:rsidP="00B47C0B">
      <w:pPr>
        <w:spacing w:line="360" w:lineRule="auto"/>
        <w:jc w:val="both"/>
        <w:rPr>
          <w:rFonts w:ascii="Arial" w:hAnsi="Arial" w:cs="Arial"/>
        </w:rPr>
      </w:pPr>
      <w:r w:rsidRPr="00B47C0B">
        <w:rPr>
          <w:rFonts w:ascii="Arial" w:hAnsi="Arial" w:cs="Arial"/>
        </w:rPr>
        <w:t xml:space="preserve">Quality improvement science also supports Six Sigma as an effective methodology for reducing process variation, identifying root causes, and improving reliability in complex clinical </w:t>
      </w:r>
      <w:r w:rsidRPr="00B47C0B">
        <w:rPr>
          <w:rFonts w:ascii="Arial" w:hAnsi="Arial" w:cs="Arial"/>
        </w:rPr>
        <w:lastRenderedPageBreak/>
        <w:t>systems, particularly in high-risk environments such as maternity care (Institute for Healthcare Improvement, n.d.; NHS England, 2018).</w:t>
      </w:r>
    </w:p>
    <w:p w14:paraId="22EE012A" w14:textId="77777777" w:rsidR="00752650" w:rsidRPr="008E4924" w:rsidRDefault="00752650" w:rsidP="00FE047B">
      <w:pPr>
        <w:rPr>
          <w:rFonts w:ascii="Arial" w:hAnsi="Arial" w:cs="Arial"/>
          <w:b/>
          <w:bCs/>
        </w:rPr>
      </w:pPr>
      <w:r w:rsidRPr="008E4924">
        <w:rPr>
          <w:rFonts w:ascii="Arial" w:hAnsi="Arial" w:cs="Arial"/>
          <w:b/>
          <w:bCs/>
        </w:rPr>
        <w:t>Six Sigma (DMAIC) Approach</w:t>
      </w:r>
    </w:p>
    <w:p w14:paraId="1FAF63E8" w14:textId="77777777" w:rsidR="00752650" w:rsidRPr="008E4924" w:rsidRDefault="00752650" w:rsidP="00FE047B">
      <w:pPr>
        <w:spacing w:line="360" w:lineRule="auto"/>
        <w:jc w:val="both"/>
        <w:rPr>
          <w:rFonts w:ascii="Arial" w:hAnsi="Arial" w:cs="Arial"/>
        </w:rPr>
      </w:pPr>
      <w:r w:rsidRPr="008E4924">
        <w:rPr>
          <w:rFonts w:ascii="Arial" w:hAnsi="Arial" w:cs="Arial"/>
          <w:b/>
          <w:bCs/>
        </w:rPr>
        <w:t>Define</w:t>
      </w:r>
      <w:r w:rsidRPr="008E4924">
        <w:rPr>
          <w:rFonts w:ascii="Arial" w:hAnsi="Arial" w:cs="Arial"/>
        </w:rPr>
        <w:t>: Identify governance failures such as inadequate incident reporting and delayed risk reviews.</w:t>
      </w:r>
    </w:p>
    <w:p w14:paraId="26986D43" w14:textId="77777777" w:rsidR="00752650" w:rsidRPr="008E4924" w:rsidRDefault="00752650" w:rsidP="00FE047B">
      <w:pPr>
        <w:spacing w:line="360" w:lineRule="auto"/>
        <w:jc w:val="both"/>
        <w:rPr>
          <w:rFonts w:ascii="Arial" w:hAnsi="Arial" w:cs="Arial"/>
        </w:rPr>
      </w:pPr>
      <w:r w:rsidRPr="008E4924">
        <w:rPr>
          <w:rFonts w:ascii="Arial" w:hAnsi="Arial" w:cs="Arial"/>
          <w:b/>
          <w:bCs/>
        </w:rPr>
        <w:t>Measure</w:t>
      </w:r>
      <w:r w:rsidRPr="008E4924">
        <w:rPr>
          <w:rFonts w:ascii="Arial" w:hAnsi="Arial" w:cs="Arial"/>
        </w:rPr>
        <w:t>: Audit reporting timeliness, incident categorisation accuracy, and learning implementation rates.</w:t>
      </w:r>
    </w:p>
    <w:p w14:paraId="40A45CBC" w14:textId="77777777" w:rsidR="00752650" w:rsidRPr="008E4924" w:rsidRDefault="00752650" w:rsidP="00FE047B">
      <w:pPr>
        <w:spacing w:line="360" w:lineRule="auto"/>
        <w:jc w:val="both"/>
        <w:rPr>
          <w:rFonts w:ascii="Arial" w:hAnsi="Arial" w:cs="Arial"/>
        </w:rPr>
      </w:pPr>
      <w:r w:rsidRPr="008E4924">
        <w:rPr>
          <w:rFonts w:ascii="Arial" w:hAnsi="Arial" w:cs="Arial"/>
          <w:b/>
          <w:bCs/>
        </w:rPr>
        <w:t>Analyse</w:t>
      </w:r>
      <w:r w:rsidRPr="008E4924">
        <w:rPr>
          <w:rFonts w:ascii="Arial" w:hAnsi="Arial" w:cs="Arial"/>
        </w:rPr>
        <w:t>: Identify process bottlenecks, communication breakdowns, and recurrent safety themes.</w:t>
      </w:r>
    </w:p>
    <w:p w14:paraId="7C867761" w14:textId="542560DA" w:rsidR="00752650" w:rsidRPr="008E4924" w:rsidRDefault="00752650" w:rsidP="00FE047B">
      <w:pPr>
        <w:spacing w:line="360" w:lineRule="auto"/>
        <w:jc w:val="both"/>
        <w:rPr>
          <w:rFonts w:ascii="Arial" w:hAnsi="Arial" w:cs="Arial"/>
        </w:rPr>
      </w:pPr>
      <w:r w:rsidRPr="008E4924">
        <w:rPr>
          <w:rFonts w:ascii="Arial" w:hAnsi="Arial" w:cs="Arial"/>
          <w:b/>
          <w:bCs/>
        </w:rPr>
        <w:t>Improve</w:t>
      </w:r>
      <w:r w:rsidRPr="008E4924">
        <w:rPr>
          <w:rFonts w:ascii="Arial" w:hAnsi="Arial" w:cs="Arial"/>
        </w:rPr>
        <w:t>:</w:t>
      </w:r>
      <w:r w:rsidR="00B47C0B" w:rsidRPr="008E4924">
        <w:rPr>
          <w:rFonts w:ascii="Arial" w:hAnsi="Arial" w:cs="Arial"/>
        </w:rPr>
        <w:t xml:space="preserve"> </w:t>
      </w:r>
      <w:r w:rsidRPr="008E4924">
        <w:rPr>
          <w:rFonts w:ascii="Arial" w:hAnsi="Arial" w:cs="Arial"/>
        </w:rPr>
        <w:t>Implement automated reporting tools, standardised investigation templates, and multidisciplinary safety reviews.</w:t>
      </w:r>
    </w:p>
    <w:p w14:paraId="4D9EB155" w14:textId="77777777" w:rsidR="00752650" w:rsidRPr="008E4924" w:rsidRDefault="00752650" w:rsidP="00FE047B">
      <w:pPr>
        <w:spacing w:line="360" w:lineRule="auto"/>
        <w:jc w:val="both"/>
        <w:rPr>
          <w:rFonts w:ascii="Arial" w:hAnsi="Arial" w:cs="Arial"/>
        </w:rPr>
      </w:pPr>
      <w:r w:rsidRPr="008E4924">
        <w:rPr>
          <w:rFonts w:ascii="Arial" w:hAnsi="Arial" w:cs="Arial"/>
          <w:b/>
          <w:bCs/>
        </w:rPr>
        <w:t>Control:</w:t>
      </w:r>
      <w:r w:rsidRPr="008E4924">
        <w:rPr>
          <w:rFonts w:ascii="Arial" w:hAnsi="Arial" w:cs="Arial"/>
        </w:rPr>
        <w:t xml:space="preserve"> Establish routine governance checks, dashboards, and quarterly Board-level reviews.</w:t>
      </w:r>
    </w:p>
    <w:p w14:paraId="6BAFBC7A" w14:textId="1218C5D4" w:rsidR="00752650" w:rsidRPr="008E4924" w:rsidRDefault="00752650" w:rsidP="00FE047B">
      <w:pPr>
        <w:spacing w:line="360" w:lineRule="auto"/>
        <w:jc w:val="both"/>
        <w:rPr>
          <w:rFonts w:ascii="Arial" w:hAnsi="Arial" w:cs="Arial"/>
        </w:rPr>
      </w:pPr>
      <w:r w:rsidRPr="008E4924">
        <w:rPr>
          <w:rFonts w:ascii="Arial" w:hAnsi="Arial" w:cs="Arial"/>
        </w:rPr>
        <w:t>This structured approach promotes measurable, sustainable governance improvement.</w:t>
      </w:r>
    </w:p>
    <w:p w14:paraId="4FDE761A" w14:textId="77777777" w:rsidR="00752650" w:rsidRPr="008E4924" w:rsidRDefault="00752650" w:rsidP="00FE047B">
      <w:pPr>
        <w:pStyle w:val="Heading3"/>
        <w:rPr>
          <w:rFonts w:ascii="Arial" w:hAnsi="Arial" w:cs="Arial"/>
        </w:rPr>
      </w:pPr>
      <w:bookmarkStart w:id="26" w:name="_Toc215828351"/>
      <w:r w:rsidRPr="008E4924">
        <w:rPr>
          <w:rFonts w:ascii="Arial" w:hAnsi="Arial" w:cs="Arial"/>
        </w:rPr>
        <w:t>3.4 Recommendation 3: Strengthen Board-to-Ward Communication and Accountability</w:t>
      </w:r>
      <w:bookmarkEnd w:id="26"/>
    </w:p>
    <w:p w14:paraId="3CD299FA" w14:textId="78E1ECC0" w:rsidR="00B47C0B" w:rsidRPr="00B47C0B" w:rsidRDefault="00B47C0B" w:rsidP="00B47C0B">
      <w:pPr>
        <w:spacing w:line="360" w:lineRule="auto"/>
        <w:jc w:val="both"/>
        <w:rPr>
          <w:rFonts w:ascii="Arial" w:hAnsi="Arial" w:cs="Arial"/>
        </w:rPr>
      </w:pPr>
      <w:r w:rsidRPr="00B47C0B">
        <w:rPr>
          <w:rFonts w:ascii="Arial" w:hAnsi="Arial" w:cs="Arial"/>
        </w:rPr>
        <w:t>Effective communication between senior leadership and frontline clinical teams is essential for safe maternity care, as clear information flow directly influences decision-making and escalation processes in high-risk settings (NHS England, 2019). WHO (2019) stresses that structured communication reduces clinical errors and enhances team functioning, particularly in high-acuity environments such as maternity services.</w:t>
      </w:r>
      <w:r w:rsidR="0061017A" w:rsidRPr="008E4924">
        <w:rPr>
          <w:rFonts w:ascii="Arial" w:hAnsi="Arial" w:cs="Arial"/>
        </w:rPr>
        <w:t xml:space="preserve"> </w:t>
      </w:r>
      <w:r w:rsidRPr="00B47C0B">
        <w:rPr>
          <w:rFonts w:ascii="Arial" w:hAnsi="Arial" w:cs="Arial"/>
        </w:rPr>
        <w:t>Evidence from the Care Quality Commission (2022) similarly highlights that ineffective communication between leadership and clinical staff is a recurring weakness in unsafe maternity units.</w:t>
      </w:r>
    </w:p>
    <w:p w14:paraId="7669E6DB" w14:textId="77777777" w:rsidR="00B47C0B" w:rsidRPr="00B47C0B" w:rsidRDefault="00B47C0B" w:rsidP="00B47C0B">
      <w:pPr>
        <w:spacing w:line="360" w:lineRule="auto"/>
        <w:jc w:val="both"/>
        <w:rPr>
          <w:rFonts w:ascii="Arial" w:hAnsi="Arial" w:cs="Arial"/>
        </w:rPr>
      </w:pPr>
      <w:r w:rsidRPr="00B47C0B">
        <w:rPr>
          <w:rFonts w:ascii="Arial" w:hAnsi="Arial" w:cs="Arial"/>
        </w:rPr>
        <w:t>To address these issues, leadership should implement daily safety huddles, monthly multidisciplinary governance meetings, and structured escalation pathways to enhance situational awareness and accountability (NHS England, 2020). These measures support real-time decision-making, enable prompt identification of deteriorating conditions, and promote transparent communication from “ward to Board,” aligning with national expectations for proactive safety governance (NHS England, 2019).</w:t>
      </w:r>
    </w:p>
    <w:p w14:paraId="2F4009C9" w14:textId="77777777" w:rsidR="00752650" w:rsidRPr="008E4924" w:rsidRDefault="00752650" w:rsidP="00FE047B">
      <w:pPr>
        <w:spacing w:line="360" w:lineRule="auto"/>
        <w:jc w:val="both"/>
        <w:rPr>
          <w:rFonts w:ascii="Arial" w:hAnsi="Arial" w:cs="Arial"/>
          <w:b/>
          <w:bCs/>
        </w:rPr>
      </w:pPr>
      <w:r w:rsidRPr="008E4924">
        <w:rPr>
          <w:rFonts w:ascii="Arial" w:hAnsi="Arial" w:cs="Arial"/>
          <w:b/>
          <w:bCs/>
        </w:rPr>
        <w:t>Lean Methodology</w:t>
      </w:r>
    </w:p>
    <w:p w14:paraId="71049869" w14:textId="75ED4C6C" w:rsidR="00752650" w:rsidRPr="008E4924" w:rsidRDefault="00752650" w:rsidP="00FE047B">
      <w:pPr>
        <w:spacing w:line="360" w:lineRule="auto"/>
        <w:jc w:val="both"/>
        <w:rPr>
          <w:rFonts w:ascii="Arial" w:hAnsi="Arial" w:cs="Arial"/>
        </w:rPr>
      </w:pPr>
      <w:r w:rsidRPr="008E4924">
        <w:rPr>
          <w:rFonts w:ascii="Arial" w:hAnsi="Arial" w:cs="Arial"/>
        </w:rPr>
        <w:t xml:space="preserve">Lean principles focus on eliminating waste, reducing delays, and improving communication flow (NHS England, 2018). Standardised communication </w:t>
      </w:r>
      <w:r w:rsidR="00D26D87" w:rsidRPr="00D26D87">
        <w:rPr>
          <w:rFonts w:ascii="Arial" w:hAnsi="Arial" w:cs="Arial"/>
        </w:rPr>
        <w:t xml:space="preserve">formal communication systems such </w:t>
      </w:r>
      <w:r w:rsidR="00D26D87" w:rsidRPr="00D26D87">
        <w:rPr>
          <w:rFonts w:ascii="Arial" w:hAnsi="Arial" w:cs="Arial"/>
        </w:rPr>
        <w:lastRenderedPageBreak/>
        <w:t>as the SBAR structure</w:t>
      </w:r>
      <w:r w:rsidR="00D26D87">
        <w:rPr>
          <w:rFonts w:ascii="Arial" w:hAnsi="Arial" w:cs="Arial"/>
        </w:rPr>
        <w:t xml:space="preserve"> </w:t>
      </w:r>
      <w:r w:rsidRPr="008E4924">
        <w:rPr>
          <w:rFonts w:ascii="Arial" w:hAnsi="Arial" w:cs="Arial"/>
        </w:rPr>
        <w:t>should be embedded across maternity units to ensure consistency and clarity. This supports efficient escalation and strengthens shared mental models within teams.</w:t>
      </w:r>
    </w:p>
    <w:p w14:paraId="5857ED87" w14:textId="77777777" w:rsidR="00752650" w:rsidRPr="008E4924" w:rsidRDefault="00752650" w:rsidP="00FE047B">
      <w:pPr>
        <w:pStyle w:val="Heading3"/>
        <w:rPr>
          <w:rFonts w:ascii="Arial" w:hAnsi="Arial" w:cs="Arial"/>
        </w:rPr>
      </w:pPr>
      <w:bookmarkStart w:id="27" w:name="_Toc215828352"/>
      <w:r w:rsidRPr="008E4924">
        <w:rPr>
          <w:rFonts w:ascii="Arial" w:hAnsi="Arial" w:cs="Arial"/>
        </w:rPr>
        <w:t>3.5 Recommendation 4: Establish a Just Culture and Psychological Safety</w:t>
      </w:r>
      <w:bookmarkEnd w:id="27"/>
    </w:p>
    <w:p w14:paraId="43B508E1" w14:textId="77777777" w:rsidR="00B47C0B" w:rsidRPr="008E4924" w:rsidRDefault="00B47C0B" w:rsidP="00FE047B">
      <w:pPr>
        <w:spacing w:line="360" w:lineRule="auto"/>
        <w:jc w:val="both"/>
        <w:rPr>
          <w:rFonts w:ascii="Arial" w:hAnsi="Arial" w:cs="Arial"/>
        </w:rPr>
      </w:pPr>
      <w:r w:rsidRPr="008E4924">
        <w:rPr>
          <w:rFonts w:ascii="Arial" w:hAnsi="Arial" w:cs="Arial"/>
        </w:rPr>
        <w:t xml:space="preserve">A Just Culture is fundamental to improving maternity safety, as it promotes open disclosure, enhances staff confidence in reporting concerns, and supports meaningful organisational learning (NHS England, 2018). NHS England’s </w:t>
      </w:r>
      <w:r w:rsidRPr="008E4924">
        <w:rPr>
          <w:rFonts w:ascii="Arial" w:hAnsi="Arial" w:cs="Arial"/>
          <w:i/>
          <w:iCs/>
        </w:rPr>
        <w:t>Being Fair</w:t>
      </w:r>
      <w:r w:rsidRPr="008E4924">
        <w:rPr>
          <w:rFonts w:ascii="Arial" w:hAnsi="Arial" w:cs="Arial"/>
        </w:rPr>
        <w:t xml:space="preserve"> Framework (2018) emphasises the importance of balancing individual accountability with fairness, ensuring that staff are treated consistently while systemic issues are identified and addressed through transparent learning processes. Evidence from the Ockenden Review (2022) demonstrates that STFT’s defensive and hierarchical culture silenced whistle-blowers and discouraged transparency, directly contributing to prolonged harm and limiting organisational learning. This aligns with broader research showing that punitive cultures undermine safety reporting, reduce staff engagement, and inhibit the development of resilient maternity services (Health Foundation, 2018; West et al., 2015).</w:t>
      </w:r>
    </w:p>
    <w:p w14:paraId="7AA877B3" w14:textId="06AD5C27" w:rsidR="00752650" w:rsidRPr="008E4924" w:rsidRDefault="00752650" w:rsidP="00FE047B">
      <w:pPr>
        <w:spacing w:line="360" w:lineRule="auto"/>
        <w:jc w:val="both"/>
        <w:rPr>
          <w:rFonts w:ascii="Arial" w:hAnsi="Arial" w:cs="Arial"/>
          <w:b/>
          <w:bCs/>
        </w:rPr>
      </w:pPr>
      <w:r w:rsidRPr="008E4924">
        <w:rPr>
          <w:rFonts w:ascii="Arial" w:hAnsi="Arial" w:cs="Arial"/>
          <w:b/>
          <w:bCs/>
        </w:rPr>
        <w:t>Practical Actions</w:t>
      </w:r>
    </w:p>
    <w:p w14:paraId="2C0506E3" w14:textId="77777777" w:rsidR="00752650" w:rsidRPr="008E4924" w:rsidRDefault="00752650" w:rsidP="00FE047B">
      <w:pPr>
        <w:pStyle w:val="ListParagraph"/>
        <w:numPr>
          <w:ilvl w:val="0"/>
          <w:numId w:val="24"/>
        </w:numPr>
        <w:spacing w:line="360" w:lineRule="auto"/>
        <w:jc w:val="both"/>
        <w:rPr>
          <w:rFonts w:ascii="Arial" w:hAnsi="Arial" w:cs="Arial"/>
        </w:rPr>
      </w:pPr>
      <w:r w:rsidRPr="008E4924">
        <w:rPr>
          <w:rFonts w:ascii="Arial" w:hAnsi="Arial" w:cs="Arial"/>
        </w:rPr>
        <w:t>Introduce confidential reporting systems and anonymous digital reporting tools.</w:t>
      </w:r>
    </w:p>
    <w:p w14:paraId="57E60BDA" w14:textId="77777777" w:rsidR="00752650" w:rsidRPr="008E4924" w:rsidRDefault="00752650" w:rsidP="00FE047B">
      <w:pPr>
        <w:pStyle w:val="ListParagraph"/>
        <w:numPr>
          <w:ilvl w:val="0"/>
          <w:numId w:val="24"/>
        </w:numPr>
        <w:spacing w:line="360" w:lineRule="auto"/>
        <w:jc w:val="both"/>
        <w:rPr>
          <w:rFonts w:ascii="Arial" w:hAnsi="Arial" w:cs="Arial"/>
        </w:rPr>
      </w:pPr>
      <w:r w:rsidRPr="008E4924">
        <w:rPr>
          <w:rFonts w:ascii="Arial" w:hAnsi="Arial" w:cs="Arial"/>
        </w:rPr>
        <w:t>Implement team-based reflective learning sessions following the PSIRF model (NHS England, 2020).</w:t>
      </w:r>
    </w:p>
    <w:p w14:paraId="2F619EC9" w14:textId="77777777" w:rsidR="00752650" w:rsidRPr="008E4924" w:rsidRDefault="00752650" w:rsidP="00FE047B">
      <w:pPr>
        <w:pStyle w:val="ListParagraph"/>
        <w:numPr>
          <w:ilvl w:val="0"/>
          <w:numId w:val="24"/>
        </w:numPr>
        <w:spacing w:line="360" w:lineRule="auto"/>
        <w:jc w:val="both"/>
        <w:rPr>
          <w:rFonts w:ascii="Arial" w:hAnsi="Arial" w:cs="Arial"/>
        </w:rPr>
      </w:pPr>
      <w:r w:rsidRPr="008E4924">
        <w:rPr>
          <w:rFonts w:ascii="Arial" w:hAnsi="Arial" w:cs="Arial"/>
        </w:rPr>
        <w:t>Provide training on psychological safety, human factors, and compassionate leadership.</w:t>
      </w:r>
    </w:p>
    <w:p w14:paraId="4F1550C5" w14:textId="77777777" w:rsidR="00752650" w:rsidRPr="008E4924" w:rsidRDefault="00752650" w:rsidP="00FE047B">
      <w:pPr>
        <w:pStyle w:val="ListParagraph"/>
        <w:numPr>
          <w:ilvl w:val="0"/>
          <w:numId w:val="24"/>
        </w:numPr>
        <w:spacing w:line="360" w:lineRule="auto"/>
        <w:jc w:val="both"/>
        <w:rPr>
          <w:rFonts w:ascii="Arial" w:hAnsi="Arial" w:cs="Arial"/>
        </w:rPr>
      </w:pPr>
      <w:r w:rsidRPr="008E4924">
        <w:rPr>
          <w:rFonts w:ascii="Arial" w:hAnsi="Arial" w:cs="Arial"/>
        </w:rPr>
        <w:t>Incorporate Just Culture behaviours into managerial appraisals and performance metrics.</w:t>
      </w:r>
    </w:p>
    <w:p w14:paraId="4B12B02A" w14:textId="162613F0" w:rsidR="00752650" w:rsidRPr="008E4924" w:rsidRDefault="00752650" w:rsidP="00FE047B">
      <w:pPr>
        <w:pStyle w:val="ListParagraph"/>
        <w:numPr>
          <w:ilvl w:val="0"/>
          <w:numId w:val="24"/>
        </w:numPr>
        <w:spacing w:line="360" w:lineRule="auto"/>
        <w:jc w:val="both"/>
        <w:rPr>
          <w:rFonts w:ascii="Arial" w:hAnsi="Arial" w:cs="Arial"/>
        </w:rPr>
      </w:pPr>
      <w:r w:rsidRPr="008E4924">
        <w:rPr>
          <w:rFonts w:ascii="Arial" w:hAnsi="Arial" w:cs="Arial"/>
        </w:rPr>
        <w:t>This supports sustained cultural transformation and promotes shared responsibility for safety.</w:t>
      </w:r>
    </w:p>
    <w:p w14:paraId="26FD0FDB" w14:textId="77777777" w:rsidR="00752650" w:rsidRPr="008E4924" w:rsidRDefault="00752650" w:rsidP="00FE047B">
      <w:pPr>
        <w:pStyle w:val="Heading3"/>
        <w:rPr>
          <w:rFonts w:ascii="Arial" w:hAnsi="Arial" w:cs="Arial"/>
        </w:rPr>
      </w:pPr>
      <w:bookmarkStart w:id="28" w:name="_Toc215828353"/>
      <w:r w:rsidRPr="008E4924">
        <w:rPr>
          <w:rFonts w:ascii="Arial" w:hAnsi="Arial" w:cs="Arial"/>
        </w:rPr>
        <w:t>3.6 Recommendation 5: Improve Workforce Capacity and Training</w:t>
      </w:r>
      <w:bookmarkEnd w:id="28"/>
    </w:p>
    <w:p w14:paraId="5555FACE" w14:textId="77777777" w:rsidR="00752650" w:rsidRPr="008E4924" w:rsidRDefault="00752650" w:rsidP="00FE047B">
      <w:pPr>
        <w:spacing w:line="360" w:lineRule="auto"/>
        <w:jc w:val="both"/>
        <w:rPr>
          <w:rFonts w:ascii="Arial" w:hAnsi="Arial" w:cs="Arial"/>
        </w:rPr>
      </w:pPr>
      <w:r w:rsidRPr="008E4924">
        <w:rPr>
          <w:rFonts w:ascii="Arial" w:hAnsi="Arial" w:cs="Arial"/>
        </w:rPr>
        <w:t>Workforce deficiencies were a major factor contributing to failings at STFT, including inadequate midwifery staffing, limited obstetric supervision, and insufficient training in fetal monitoring (Ockenden, 2022). MBRRACE-UK (2021) emphasises that adequate staffing and training are essential to reducing preventable perinatal deaths.</w:t>
      </w:r>
    </w:p>
    <w:p w14:paraId="5E839E28" w14:textId="77777777" w:rsidR="00752650" w:rsidRPr="008E4924" w:rsidRDefault="00752650" w:rsidP="00FE047B">
      <w:pPr>
        <w:spacing w:line="360" w:lineRule="auto"/>
        <w:jc w:val="both"/>
        <w:rPr>
          <w:rFonts w:ascii="Arial" w:hAnsi="Arial" w:cs="Arial"/>
          <w:b/>
          <w:bCs/>
        </w:rPr>
      </w:pPr>
      <w:r w:rsidRPr="008E4924">
        <w:rPr>
          <w:rFonts w:ascii="Arial" w:hAnsi="Arial" w:cs="Arial"/>
          <w:b/>
          <w:bCs/>
        </w:rPr>
        <w:t>Implementation Approach</w:t>
      </w:r>
    </w:p>
    <w:p w14:paraId="7A573EE4" w14:textId="77777777" w:rsidR="00752650" w:rsidRPr="008E4924" w:rsidRDefault="00752650" w:rsidP="00FE047B">
      <w:pPr>
        <w:pStyle w:val="ListParagraph"/>
        <w:numPr>
          <w:ilvl w:val="0"/>
          <w:numId w:val="23"/>
        </w:numPr>
        <w:spacing w:line="360" w:lineRule="auto"/>
        <w:jc w:val="both"/>
        <w:rPr>
          <w:rFonts w:ascii="Arial" w:hAnsi="Arial" w:cs="Arial"/>
        </w:rPr>
      </w:pPr>
      <w:r w:rsidRPr="008E4924">
        <w:rPr>
          <w:rFonts w:ascii="Arial" w:hAnsi="Arial" w:cs="Arial"/>
        </w:rPr>
        <w:t>Conduct a comprehensive workforce gap analysis to determine safe staffing levels.</w:t>
      </w:r>
    </w:p>
    <w:p w14:paraId="0014B348" w14:textId="77777777" w:rsidR="00752650" w:rsidRPr="008E4924" w:rsidRDefault="00752650" w:rsidP="00FE047B">
      <w:pPr>
        <w:pStyle w:val="ListParagraph"/>
        <w:numPr>
          <w:ilvl w:val="0"/>
          <w:numId w:val="23"/>
        </w:numPr>
        <w:spacing w:line="360" w:lineRule="auto"/>
        <w:jc w:val="both"/>
        <w:rPr>
          <w:rFonts w:ascii="Arial" w:hAnsi="Arial" w:cs="Arial"/>
        </w:rPr>
      </w:pPr>
      <w:r w:rsidRPr="008E4924">
        <w:rPr>
          <w:rFonts w:ascii="Arial" w:hAnsi="Arial" w:cs="Arial"/>
        </w:rPr>
        <w:t>Introduce simulation-based training for obstetric emergencies, aligning with national recommendations.</w:t>
      </w:r>
    </w:p>
    <w:p w14:paraId="352E8DC6" w14:textId="77777777" w:rsidR="00752650" w:rsidRPr="008E4924" w:rsidRDefault="00752650" w:rsidP="00FE047B">
      <w:pPr>
        <w:pStyle w:val="ListParagraph"/>
        <w:numPr>
          <w:ilvl w:val="0"/>
          <w:numId w:val="23"/>
        </w:numPr>
        <w:spacing w:line="360" w:lineRule="auto"/>
        <w:jc w:val="both"/>
        <w:rPr>
          <w:rFonts w:ascii="Arial" w:hAnsi="Arial" w:cs="Arial"/>
        </w:rPr>
      </w:pPr>
      <w:r w:rsidRPr="008E4924">
        <w:rPr>
          <w:rFonts w:ascii="Arial" w:hAnsi="Arial" w:cs="Arial"/>
        </w:rPr>
        <w:lastRenderedPageBreak/>
        <w:t>Establish mandatory annual competency assessments, including cardiotocography interpretation and clinical escalation pathways.</w:t>
      </w:r>
    </w:p>
    <w:p w14:paraId="5601BCBF" w14:textId="77777777" w:rsidR="00752650" w:rsidRPr="008E4924" w:rsidRDefault="00752650" w:rsidP="00FE047B">
      <w:pPr>
        <w:pStyle w:val="ListParagraph"/>
        <w:numPr>
          <w:ilvl w:val="0"/>
          <w:numId w:val="23"/>
        </w:numPr>
        <w:spacing w:line="360" w:lineRule="auto"/>
        <w:jc w:val="both"/>
        <w:rPr>
          <w:rFonts w:ascii="Arial" w:hAnsi="Arial" w:cs="Arial"/>
        </w:rPr>
      </w:pPr>
      <w:r w:rsidRPr="008E4924">
        <w:rPr>
          <w:rFonts w:ascii="Arial" w:hAnsi="Arial" w:cs="Arial"/>
        </w:rPr>
        <w:t>Monitor training compliance using digital dashboards and link outcomes to service improvements.</w:t>
      </w:r>
    </w:p>
    <w:p w14:paraId="35A3C3F7" w14:textId="04EB1B90" w:rsidR="00752650" w:rsidRPr="008E4924" w:rsidRDefault="00752650" w:rsidP="00FE047B">
      <w:pPr>
        <w:pStyle w:val="ListParagraph"/>
        <w:numPr>
          <w:ilvl w:val="0"/>
          <w:numId w:val="23"/>
        </w:numPr>
        <w:spacing w:line="360" w:lineRule="auto"/>
        <w:jc w:val="both"/>
        <w:rPr>
          <w:rFonts w:ascii="Arial" w:hAnsi="Arial" w:cs="Arial"/>
        </w:rPr>
      </w:pPr>
      <w:r w:rsidRPr="008E4924">
        <w:rPr>
          <w:rFonts w:ascii="Arial" w:hAnsi="Arial" w:cs="Arial"/>
        </w:rPr>
        <w:t>Ensuring workforce capability reduces clinical variation and enhances reliability of care.</w:t>
      </w:r>
    </w:p>
    <w:p w14:paraId="66A1B012" w14:textId="77777777" w:rsidR="00752650" w:rsidRPr="008E4924" w:rsidRDefault="00752650" w:rsidP="00FE047B">
      <w:pPr>
        <w:pStyle w:val="Heading3"/>
        <w:rPr>
          <w:rFonts w:ascii="Arial" w:hAnsi="Arial" w:cs="Arial"/>
        </w:rPr>
      </w:pPr>
      <w:bookmarkStart w:id="29" w:name="_Toc215828354"/>
      <w:r w:rsidRPr="008E4924">
        <w:rPr>
          <w:rFonts w:ascii="Arial" w:hAnsi="Arial" w:cs="Arial"/>
        </w:rPr>
        <w:t>3.7 Recommendation 6: Embed NICE Guidelines and National Policy Compliance into Leadership Accountability Structures</w:t>
      </w:r>
      <w:bookmarkEnd w:id="29"/>
    </w:p>
    <w:p w14:paraId="63EC9E78" w14:textId="4F6BE3B4" w:rsidR="00752650" w:rsidRPr="008E4924" w:rsidRDefault="00752650" w:rsidP="00FE047B">
      <w:pPr>
        <w:spacing w:line="360" w:lineRule="auto"/>
        <w:jc w:val="both"/>
        <w:rPr>
          <w:rFonts w:ascii="Arial" w:hAnsi="Arial" w:cs="Arial"/>
        </w:rPr>
      </w:pPr>
      <w:r w:rsidRPr="008E4924">
        <w:rPr>
          <w:rFonts w:ascii="Arial" w:hAnsi="Arial" w:cs="Arial"/>
        </w:rPr>
        <w:t xml:space="preserve">Leadership must ensure full adherence to NICE NG235 intrapartum care guidance and </w:t>
      </w:r>
      <w:r w:rsidR="00C1304F" w:rsidRPr="00C1304F">
        <w:rPr>
          <w:rFonts w:ascii="Arial" w:hAnsi="Arial" w:cs="Arial"/>
        </w:rPr>
        <w:t>the national improvement bundle developed to reduce avoidable perinatal mortality</w:t>
      </w:r>
      <w:r w:rsidR="00C1304F">
        <w:rPr>
          <w:rFonts w:ascii="Arial" w:hAnsi="Arial" w:cs="Arial"/>
        </w:rPr>
        <w:t xml:space="preserve"> </w:t>
      </w:r>
      <w:r w:rsidRPr="008E4924">
        <w:rPr>
          <w:rFonts w:ascii="Arial" w:hAnsi="Arial" w:cs="Arial"/>
        </w:rPr>
        <w:t xml:space="preserve">which are </w:t>
      </w:r>
      <w:r w:rsidR="00C1304F" w:rsidRPr="00C1304F">
        <w:rPr>
          <w:rFonts w:ascii="Arial" w:hAnsi="Arial" w:cs="Arial"/>
        </w:rPr>
        <w:t>grounded in scientific evidence</w:t>
      </w:r>
      <w:r w:rsidR="00C1304F">
        <w:rPr>
          <w:rFonts w:ascii="Arial" w:hAnsi="Arial" w:cs="Arial"/>
        </w:rPr>
        <w:t xml:space="preserve"> </w:t>
      </w:r>
      <w:r w:rsidRPr="008E4924">
        <w:rPr>
          <w:rFonts w:ascii="Arial" w:hAnsi="Arial" w:cs="Arial"/>
        </w:rPr>
        <w:t xml:space="preserve">frameworks for reducing perinatal harm (NICE, 2023; NHS England, 2019). </w:t>
      </w:r>
    </w:p>
    <w:p w14:paraId="07884C12" w14:textId="77777777" w:rsidR="00752650" w:rsidRPr="008E4924" w:rsidRDefault="00752650" w:rsidP="00FE047B">
      <w:pPr>
        <w:spacing w:line="360" w:lineRule="auto"/>
        <w:jc w:val="both"/>
        <w:rPr>
          <w:rFonts w:ascii="Arial" w:hAnsi="Arial" w:cs="Arial"/>
          <w:b/>
          <w:bCs/>
        </w:rPr>
      </w:pPr>
      <w:r w:rsidRPr="008E4924">
        <w:rPr>
          <w:rFonts w:ascii="Arial" w:hAnsi="Arial" w:cs="Arial"/>
          <w:b/>
          <w:bCs/>
        </w:rPr>
        <w:t>Monitoring Tools</w:t>
      </w:r>
    </w:p>
    <w:p w14:paraId="12DB064A" w14:textId="77777777" w:rsidR="00752650" w:rsidRPr="008E4924" w:rsidRDefault="00752650" w:rsidP="00FE047B">
      <w:pPr>
        <w:pStyle w:val="ListParagraph"/>
        <w:numPr>
          <w:ilvl w:val="0"/>
          <w:numId w:val="22"/>
        </w:numPr>
        <w:spacing w:line="360" w:lineRule="auto"/>
        <w:jc w:val="both"/>
        <w:rPr>
          <w:rFonts w:ascii="Arial" w:hAnsi="Arial" w:cs="Arial"/>
        </w:rPr>
      </w:pPr>
      <w:r w:rsidRPr="008E4924">
        <w:rPr>
          <w:rFonts w:ascii="Arial" w:hAnsi="Arial" w:cs="Arial"/>
        </w:rPr>
        <w:t>Quarterly audit cycles mapped to NICE quality statements.</w:t>
      </w:r>
    </w:p>
    <w:p w14:paraId="778CFDC0" w14:textId="77777777" w:rsidR="00752650" w:rsidRPr="008E4924" w:rsidRDefault="00752650" w:rsidP="00FE047B">
      <w:pPr>
        <w:pStyle w:val="ListParagraph"/>
        <w:numPr>
          <w:ilvl w:val="0"/>
          <w:numId w:val="22"/>
        </w:numPr>
        <w:spacing w:line="360" w:lineRule="auto"/>
        <w:jc w:val="both"/>
        <w:rPr>
          <w:rFonts w:ascii="Arial" w:hAnsi="Arial" w:cs="Arial"/>
        </w:rPr>
      </w:pPr>
      <w:r w:rsidRPr="008E4924">
        <w:rPr>
          <w:rFonts w:ascii="Arial" w:hAnsi="Arial" w:cs="Arial"/>
        </w:rPr>
        <w:t>Maternity dashboard indicators reviewed monthly at Board level.</w:t>
      </w:r>
    </w:p>
    <w:p w14:paraId="76EFA9C7" w14:textId="77777777" w:rsidR="00752650" w:rsidRPr="008E4924" w:rsidRDefault="00752650" w:rsidP="00FE047B">
      <w:pPr>
        <w:pStyle w:val="ListParagraph"/>
        <w:numPr>
          <w:ilvl w:val="0"/>
          <w:numId w:val="22"/>
        </w:numPr>
        <w:spacing w:line="360" w:lineRule="auto"/>
        <w:jc w:val="both"/>
        <w:rPr>
          <w:rFonts w:ascii="Arial" w:hAnsi="Arial" w:cs="Arial"/>
        </w:rPr>
      </w:pPr>
      <w:r w:rsidRPr="008E4924">
        <w:rPr>
          <w:rFonts w:ascii="Arial" w:hAnsi="Arial" w:cs="Arial"/>
        </w:rPr>
        <w:t>Escalation triggers for non-compliance, requiring documented action plans.</w:t>
      </w:r>
    </w:p>
    <w:p w14:paraId="3F4643D0" w14:textId="09D85C43" w:rsidR="00752650" w:rsidRPr="008E4924" w:rsidRDefault="00752650" w:rsidP="00FE047B">
      <w:pPr>
        <w:pStyle w:val="ListParagraph"/>
        <w:numPr>
          <w:ilvl w:val="0"/>
          <w:numId w:val="22"/>
        </w:numPr>
        <w:spacing w:line="360" w:lineRule="auto"/>
        <w:jc w:val="both"/>
        <w:rPr>
          <w:rFonts w:ascii="Arial" w:hAnsi="Arial" w:cs="Arial"/>
        </w:rPr>
      </w:pPr>
      <w:r w:rsidRPr="008E4924">
        <w:rPr>
          <w:rFonts w:ascii="Arial" w:hAnsi="Arial" w:cs="Arial"/>
        </w:rPr>
        <w:t>Integrating guideline adherence into leadership accountability structures ensures consistent, safe practice.</w:t>
      </w:r>
    </w:p>
    <w:p w14:paraId="05A45C08" w14:textId="77777777" w:rsidR="00752650" w:rsidRPr="008E4924" w:rsidRDefault="00752650" w:rsidP="00FE047B">
      <w:pPr>
        <w:pStyle w:val="Heading3"/>
        <w:rPr>
          <w:rFonts w:ascii="Arial" w:hAnsi="Arial" w:cs="Arial"/>
        </w:rPr>
      </w:pPr>
      <w:bookmarkStart w:id="30" w:name="_Toc215828355"/>
      <w:r w:rsidRPr="008E4924">
        <w:rPr>
          <w:rFonts w:ascii="Arial" w:hAnsi="Arial" w:cs="Arial"/>
        </w:rPr>
        <w:t>3.8 Recommendation 7: Introduce Regular External Review and Regulatory Alignment</w:t>
      </w:r>
      <w:bookmarkEnd w:id="30"/>
    </w:p>
    <w:p w14:paraId="612759C5" w14:textId="77777777" w:rsidR="00B47C0B" w:rsidRPr="008E4924" w:rsidRDefault="00B47C0B" w:rsidP="00FE047B">
      <w:pPr>
        <w:spacing w:line="360" w:lineRule="auto"/>
        <w:jc w:val="both"/>
        <w:rPr>
          <w:rFonts w:ascii="Arial" w:hAnsi="Arial" w:cs="Arial"/>
        </w:rPr>
      </w:pPr>
      <w:r w:rsidRPr="008E4924">
        <w:rPr>
          <w:rFonts w:ascii="Arial" w:hAnsi="Arial" w:cs="Arial"/>
        </w:rPr>
        <w:t>External scrutiny is vital for maintaining leadership accountability and preventing recurrence of governance failures, as independent oversight strengthens transparency and drives organisational learning (NHS England, 2019). The Care Quality Commission (2024) highlights that regular independent inspections, clear reporting, and external validation of governance processes are essential for improving maternity services nationally. Ockenden (2022) emphasised that STFT’s failure to act on previous external reviews and recommendations allowed unsafe practices to persist for many years, demonstrating how weak external challenge can contribute to systemic harm. This is supported by wider evidence showing that sustained external review is a key mechanism for strengthening governance resilience and preventing repeated safety failures (Health Foundation, 2018; CQC, 2022).</w:t>
      </w:r>
    </w:p>
    <w:p w14:paraId="6892134A" w14:textId="594C5A0C" w:rsidR="00752650" w:rsidRPr="008E4924" w:rsidRDefault="00752650" w:rsidP="00FE047B">
      <w:pPr>
        <w:spacing w:line="360" w:lineRule="auto"/>
        <w:jc w:val="both"/>
        <w:rPr>
          <w:rFonts w:ascii="Arial" w:hAnsi="Arial" w:cs="Arial"/>
          <w:b/>
          <w:bCs/>
        </w:rPr>
      </w:pPr>
      <w:r w:rsidRPr="008E4924">
        <w:rPr>
          <w:rFonts w:ascii="Arial" w:hAnsi="Arial" w:cs="Arial"/>
          <w:b/>
          <w:bCs/>
        </w:rPr>
        <w:t>Steps</w:t>
      </w:r>
    </w:p>
    <w:p w14:paraId="46FAF099" w14:textId="77777777" w:rsidR="00752650" w:rsidRPr="008E4924" w:rsidRDefault="00752650" w:rsidP="00FE047B">
      <w:pPr>
        <w:pStyle w:val="ListParagraph"/>
        <w:numPr>
          <w:ilvl w:val="0"/>
          <w:numId w:val="21"/>
        </w:numPr>
        <w:spacing w:line="360" w:lineRule="auto"/>
        <w:jc w:val="both"/>
        <w:rPr>
          <w:rFonts w:ascii="Arial" w:hAnsi="Arial" w:cs="Arial"/>
        </w:rPr>
      </w:pPr>
      <w:r w:rsidRPr="008E4924">
        <w:rPr>
          <w:rFonts w:ascii="Arial" w:hAnsi="Arial" w:cs="Arial"/>
        </w:rPr>
        <w:t>Schedule annual independent clinical governance reviews led by expert external panels.</w:t>
      </w:r>
    </w:p>
    <w:p w14:paraId="23ECFAF2" w14:textId="77777777" w:rsidR="00752650" w:rsidRPr="008E4924" w:rsidRDefault="00752650" w:rsidP="00FE047B">
      <w:pPr>
        <w:pStyle w:val="ListParagraph"/>
        <w:numPr>
          <w:ilvl w:val="0"/>
          <w:numId w:val="21"/>
        </w:numPr>
        <w:spacing w:line="360" w:lineRule="auto"/>
        <w:jc w:val="both"/>
        <w:rPr>
          <w:rFonts w:ascii="Arial" w:hAnsi="Arial" w:cs="Arial"/>
        </w:rPr>
      </w:pPr>
      <w:r w:rsidRPr="008E4924">
        <w:rPr>
          <w:rFonts w:ascii="Arial" w:hAnsi="Arial" w:cs="Arial"/>
        </w:rPr>
        <w:t>Publish review findings and action plans transparently for public accountability.</w:t>
      </w:r>
    </w:p>
    <w:p w14:paraId="5563D5D4" w14:textId="77777777" w:rsidR="00752650" w:rsidRPr="008E4924" w:rsidRDefault="00752650" w:rsidP="00FE047B">
      <w:pPr>
        <w:pStyle w:val="ListParagraph"/>
        <w:numPr>
          <w:ilvl w:val="0"/>
          <w:numId w:val="21"/>
        </w:numPr>
        <w:spacing w:line="360" w:lineRule="auto"/>
        <w:jc w:val="both"/>
        <w:rPr>
          <w:rFonts w:ascii="Arial" w:hAnsi="Arial" w:cs="Arial"/>
        </w:rPr>
      </w:pPr>
      <w:r w:rsidRPr="008E4924">
        <w:rPr>
          <w:rFonts w:ascii="Arial" w:hAnsi="Arial" w:cs="Arial"/>
        </w:rPr>
        <w:lastRenderedPageBreak/>
        <w:t>Ensure action plans are monitored quarterly by an external advisory group to maintain momentum.</w:t>
      </w:r>
    </w:p>
    <w:p w14:paraId="720EFD87" w14:textId="77777777" w:rsidR="00752650" w:rsidRPr="008E4924" w:rsidRDefault="00752650" w:rsidP="00FE047B">
      <w:pPr>
        <w:pStyle w:val="ListParagraph"/>
        <w:numPr>
          <w:ilvl w:val="0"/>
          <w:numId w:val="21"/>
        </w:numPr>
        <w:spacing w:line="360" w:lineRule="auto"/>
        <w:jc w:val="both"/>
        <w:rPr>
          <w:rFonts w:ascii="Arial" w:hAnsi="Arial" w:cs="Arial"/>
        </w:rPr>
      </w:pPr>
      <w:r w:rsidRPr="008E4924">
        <w:rPr>
          <w:rFonts w:ascii="Arial" w:hAnsi="Arial" w:cs="Arial"/>
        </w:rPr>
        <w:t>External oversight strengthens governance resilience and reinforces organisational trustworthiness.</w:t>
      </w:r>
    </w:p>
    <w:p w14:paraId="3E8F607E" w14:textId="61A52995" w:rsidR="001222A6" w:rsidRPr="008E4924" w:rsidRDefault="001222A6" w:rsidP="00FE047B">
      <w:pPr>
        <w:pStyle w:val="Heading2"/>
        <w:spacing w:line="360" w:lineRule="auto"/>
        <w:rPr>
          <w:rFonts w:ascii="Arial" w:hAnsi="Arial" w:cs="Arial"/>
          <w:b/>
          <w:bCs/>
        </w:rPr>
      </w:pPr>
      <w:bookmarkStart w:id="31" w:name="_Toc215828356"/>
      <w:r w:rsidRPr="008E4924">
        <w:rPr>
          <w:rFonts w:ascii="Arial" w:hAnsi="Arial" w:cs="Arial"/>
          <w:b/>
          <w:bCs/>
        </w:rPr>
        <w:t>4. Conclusion</w:t>
      </w:r>
      <w:bookmarkEnd w:id="31"/>
      <w:r w:rsidRPr="008E4924">
        <w:rPr>
          <w:rFonts w:ascii="Arial" w:hAnsi="Arial" w:cs="Arial"/>
          <w:b/>
          <w:bCs/>
        </w:rPr>
        <w:t xml:space="preserve"> </w:t>
      </w:r>
    </w:p>
    <w:p w14:paraId="27CFFD93" w14:textId="03073068" w:rsidR="0094251F" w:rsidRPr="0094251F" w:rsidRDefault="0094251F" w:rsidP="00FE047B">
      <w:pPr>
        <w:spacing w:line="360" w:lineRule="auto"/>
        <w:jc w:val="both"/>
        <w:rPr>
          <w:rFonts w:ascii="Arial" w:hAnsi="Arial" w:cs="Arial"/>
        </w:rPr>
      </w:pPr>
      <w:r w:rsidRPr="0094251F">
        <w:rPr>
          <w:rFonts w:ascii="Arial" w:hAnsi="Arial" w:cs="Arial"/>
        </w:rPr>
        <w:t xml:space="preserve">Leadership and governance failures were the central </w:t>
      </w:r>
      <w:r w:rsidR="00C1304F">
        <w:rPr>
          <w:rFonts w:ascii="Arial" w:hAnsi="Arial" w:cs="Arial"/>
        </w:rPr>
        <w:t>r</w:t>
      </w:r>
      <w:r w:rsidR="00C1304F" w:rsidRPr="00C1304F">
        <w:rPr>
          <w:rFonts w:ascii="Arial" w:hAnsi="Arial" w:cs="Arial"/>
        </w:rPr>
        <w:t>oot issues that led to the significant maternity service failures at Shrewsbury and Telford Hospital NHS Trust. Analysis employing the</w:t>
      </w:r>
      <w:r w:rsidR="00C1304F" w:rsidRPr="00C1304F">
        <w:rPr>
          <w:rFonts w:ascii="Arial" w:hAnsi="Arial" w:cs="Arial"/>
        </w:rPr>
        <w:t xml:space="preserve"> </w:t>
      </w:r>
      <w:r w:rsidRPr="0094251F">
        <w:rPr>
          <w:rFonts w:ascii="Arial" w:hAnsi="Arial" w:cs="Arial"/>
        </w:rPr>
        <w:t>Fishbone Diagram, 5 Whys, Donabedian Model, and SWOT consistently highlighted that systemic leadership dysfunction enabled unsafe practices, poor communication, weak risk management, and inadequate implementation of national policies. The Ockenden Review (2022) confirmed long-standing failures of oversight and accountability, demonstrating a prolonged disregard for warning signs and patient safety concerns. Evidence from NHS England (2019), NICE (2023), and the Care Quality Commission (2022) reinforces the need for stronger governance structures, improved leadership competency, and meaningful cultural change across maternity services.</w:t>
      </w:r>
    </w:p>
    <w:p w14:paraId="713FBF39" w14:textId="77777777" w:rsidR="0094251F" w:rsidRPr="0094251F" w:rsidRDefault="0094251F" w:rsidP="00FE047B">
      <w:pPr>
        <w:spacing w:line="360" w:lineRule="auto"/>
        <w:jc w:val="both"/>
        <w:rPr>
          <w:rFonts w:ascii="Arial" w:hAnsi="Arial" w:cs="Arial"/>
        </w:rPr>
      </w:pPr>
      <w:r w:rsidRPr="0094251F">
        <w:rPr>
          <w:rFonts w:ascii="Arial" w:hAnsi="Arial" w:cs="Arial"/>
        </w:rPr>
        <w:t>The recommendations informed by PDSA, Lean, and Six Sigma methodologies offer clear, structured strategies to strengthen leadership capability, embed robust risk governance, promote Just Culture, improve communication pathways, and ensure full compliance with national guidelines. These actions are essential for restoring public trust and preventing future avoidable harm.</w:t>
      </w:r>
    </w:p>
    <w:p w14:paraId="678A3346" w14:textId="49BB20A9" w:rsidR="00782C83" w:rsidRPr="001222A6" w:rsidRDefault="0094251F" w:rsidP="00FE047B">
      <w:pPr>
        <w:spacing w:line="360" w:lineRule="auto"/>
        <w:jc w:val="both"/>
        <w:rPr>
          <w:rFonts w:ascii="Arial" w:hAnsi="Arial" w:cs="Arial"/>
        </w:rPr>
      </w:pPr>
      <w:r w:rsidRPr="0094251F">
        <w:rPr>
          <w:rFonts w:ascii="Arial" w:hAnsi="Arial" w:cs="Arial"/>
        </w:rPr>
        <w:t>Ultimately, the STFT scandal underscores that effective leadership is the foundation of safe, high-quality maternity care. Sustainable improvement depends on leaders who are transparent, accountable, and committed to continuous learning. By implementing the proposed reforms, health organisations can build resilient governance systems capable of delivering safe, compassionate, and reliable care for all mothers and babies.</w:t>
      </w:r>
    </w:p>
    <w:p w14:paraId="2349B50C" w14:textId="07465FBD" w:rsidR="00C06476" w:rsidRPr="008E4924" w:rsidRDefault="001222A6" w:rsidP="00D439A6">
      <w:pPr>
        <w:pStyle w:val="Heading2"/>
        <w:rPr>
          <w:rFonts w:ascii="Arial" w:hAnsi="Arial" w:cs="Arial"/>
          <w:b/>
          <w:bCs/>
        </w:rPr>
      </w:pPr>
      <w:bookmarkStart w:id="32" w:name="_Toc215828357"/>
      <w:r w:rsidRPr="008E4924">
        <w:rPr>
          <w:rFonts w:ascii="Arial" w:hAnsi="Arial" w:cs="Arial"/>
          <w:b/>
          <w:bCs/>
        </w:rPr>
        <w:t>References</w:t>
      </w:r>
      <w:r w:rsidR="00A7080E" w:rsidRPr="008E4924">
        <w:rPr>
          <w:rFonts w:ascii="Arial" w:hAnsi="Arial" w:cs="Arial"/>
          <w:b/>
          <w:bCs/>
        </w:rPr>
        <w:t>:</w:t>
      </w:r>
      <w:bookmarkEnd w:id="32"/>
    </w:p>
    <w:p w14:paraId="0DF06DB4" w14:textId="29700EB1"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Baines, R., et al. (2015)</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‘Evaluating the impact of patient-safety interventions: a retrospective review’, </w:t>
      </w:r>
      <w:r w:rsidRPr="00C1304F">
        <w:rPr>
          <w:rFonts w:ascii="Arial" w:eastAsia="Times New Roman" w:hAnsi="Arial" w:cs="Arial"/>
          <w:i/>
          <w:iCs/>
          <w:kern w:val="0"/>
          <w:sz w:val="24"/>
          <w:szCs w:val="24"/>
          <w:lang w:eastAsia="en-IN" w:bidi="gu-IN"/>
          <w14:ligatures w14:val="none"/>
        </w:rPr>
        <w:t>BMJ Quality &amp; Safety</w:t>
      </w:r>
      <w:r w:rsidRPr="00C1304F">
        <w:rPr>
          <w:rFonts w:ascii="Arial" w:eastAsia="Times New Roman" w:hAnsi="Arial" w:cs="Arial"/>
          <w:kern w:val="0"/>
          <w:sz w:val="24"/>
          <w:szCs w:val="24"/>
          <w:lang w:eastAsia="en-IN" w:bidi="gu-IN"/>
          <w14:ligatures w14:val="none"/>
        </w:rPr>
        <w:t xml:space="preserve">, 24(9), pp. 561–571. Available at: </w:t>
      </w:r>
      <w:hyperlink r:id="rId12" w:tgtFrame="_new" w:history="1">
        <w:r w:rsidRPr="00C1304F">
          <w:rPr>
            <w:rStyle w:val="Hyperlink"/>
            <w:rFonts w:ascii="Arial" w:eastAsia="Times New Roman" w:hAnsi="Arial" w:cs="Arial"/>
            <w:kern w:val="0"/>
            <w:sz w:val="24"/>
            <w:szCs w:val="24"/>
            <w:lang w:eastAsia="en-IN" w:bidi="gu-IN"/>
            <w14:ligatures w14:val="none"/>
          </w:rPr>
          <w:t>https://qualitysafety.bmj.com/content/24/9/561</w:t>
        </w:r>
      </w:hyperlink>
      <w:r w:rsidRPr="00C1304F">
        <w:rPr>
          <w:rFonts w:ascii="Arial" w:eastAsia="Times New Roman" w:hAnsi="Arial" w:cs="Arial"/>
          <w:kern w:val="0"/>
          <w:sz w:val="24"/>
          <w:szCs w:val="24"/>
          <w:lang w:eastAsia="en-IN" w:bidi="gu-IN"/>
          <w14:ligatures w14:val="none"/>
        </w:rPr>
        <w:t xml:space="preserve"> (Accessed: 5 December 2025).</w:t>
      </w:r>
    </w:p>
    <w:p w14:paraId="1F923C04" w14:textId="60EA87C5"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Care Quality Commission (CQC) (2022)</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Report of the inspection of Shrewsbury and Telford Hospital NHS Trust maternity services</w:t>
      </w:r>
      <w:r w:rsidRPr="00C1304F">
        <w:rPr>
          <w:rFonts w:ascii="Arial" w:eastAsia="Times New Roman" w:hAnsi="Arial" w:cs="Arial"/>
          <w:kern w:val="0"/>
          <w:sz w:val="24"/>
          <w:szCs w:val="24"/>
          <w:lang w:eastAsia="en-IN" w:bidi="gu-IN"/>
          <w14:ligatures w14:val="none"/>
        </w:rPr>
        <w:t xml:space="preserve">. London: CQC. Available at: </w:t>
      </w:r>
      <w:hyperlink r:id="rId13" w:tgtFrame="_new" w:history="1">
        <w:r w:rsidRPr="00C1304F">
          <w:rPr>
            <w:rStyle w:val="Hyperlink"/>
            <w:rFonts w:ascii="Arial" w:eastAsia="Times New Roman" w:hAnsi="Arial" w:cs="Arial"/>
            <w:kern w:val="0"/>
            <w:sz w:val="24"/>
            <w:szCs w:val="24"/>
            <w:lang w:eastAsia="en-IN" w:bidi="gu-IN"/>
            <w14:ligatures w14:val="none"/>
          </w:rPr>
          <w:t>https://www.cqc.org.uk/news/releases/cqc-publishes-</w:t>
        </w:r>
        <w:r w:rsidRPr="00C1304F">
          <w:rPr>
            <w:rStyle w:val="Hyperlink"/>
            <w:rFonts w:ascii="Arial" w:eastAsia="Times New Roman" w:hAnsi="Arial" w:cs="Arial"/>
            <w:kern w:val="0"/>
            <w:sz w:val="24"/>
            <w:szCs w:val="24"/>
            <w:lang w:eastAsia="en-IN" w:bidi="gu-IN"/>
            <w14:ligatures w14:val="none"/>
          </w:rPr>
          <w:lastRenderedPageBreak/>
          <w:t>inspection-report-shrewsbury-telford-hospital-nhs-trust</w:t>
        </w:r>
      </w:hyperlink>
      <w:r w:rsidRPr="00C1304F">
        <w:rPr>
          <w:rFonts w:ascii="Arial" w:eastAsia="Times New Roman" w:hAnsi="Arial" w:cs="Arial"/>
          <w:kern w:val="0"/>
          <w:sz w:val="24"/>
          <w:szCs w:val="24"/>
          <w:lang w:eastAsia="en-IN" w:bidi="gu-IN"/>
          <w14:ligatures w14:val="none"/>
        </w:rPr>
        <w:t xml:space="preserve"> (Accessed: 5 December 2025).</w:t>
      </w:r>
    </w:p>
    <w:p w14:paraId="48151FAC" w14:textId="38451A57"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Care Quality Commission (CQC) (2024)</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Maternity care in England: national review 2022–2024</w:t>
      </w:r>
      <w:r w:rsidRPr="00C1304F">
        <w:rPr>
          <w:rFonts w:ascii="Arial" w:eastAsia="Times New Roman" w:hAnsi="Arial" w:cs="Arial"/>
          <w:kern w:val="0"/>
          <w:sz w:val="24"/>
          <w:szCs w:val="24"/>
          <w:lang w:eastAsia="en-IN" w:bidi="gu-IN"/>
          <w14:ligatures w14:val="none"/>
        </w:rPr>
        <w:t xml:space="preserve">. London: Care Quality Commission. Available at: </w:t>
      </w:r>
      <w:hyperlink r:id="rId14" w:tgtFrame="_new" w:history="1">
        <w:r w:rsidRPr="00C1304F">
          <w:rPr>
            <w:rStyle w:val="Hyperlink"/>
            <w:rFonts w:ascii="Arial" w:eastAsia="Times New Roman" w:hAnsi="Arial" w:cs="Arial"/>
            <w:kern w:val="0"/>
            <w:sz w:val="24"/>
            <w:szCs w:val="24"/>
            <w:lang w:eastAsia="en-IN" w:bidi="gu-IN"/>
            <w14:ligatures w14:val="none"/>
          </w:rPr>
          <w:t>https://www.cqc.org.uk/publications/maternity-services-2022-2024</w:t>
        </w:r>
      </w:hyperlink>
      <w:r w:rsidRPr="00C1304F">
        <w:rPr>
          <w:rFonts w:ascii="Arial" w:eastAsia="Times New Roman" w:hAnsi="Arial" w:cs="Arial"/>
          <w:kern w:val="0"/>
          <w:sz w:val="24"/>
          <w:szCs w:val="24"/>
          <w:lang w:eastAsia="en-IN" w:bidi="gu-IN"/>
          <w14:ligatures w14:val="none"/>
        </w:rPr>
        <w:t xml:space="preserve"> (Accessed: 5 December 2025).</w:t>
      </w:r>
    </w:p>
    <w:p w14:paraId="6D6CE87E" w14:textId="7288E4BE"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Chou, D., et al. (2015)</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‘Strategies to eliminate preventable maternal and newborn deaths’, </w:t>
      </w:r>
      <w:r w:rsidRPr="00C1304F">
        <w:rPr>
          <w:rFonts w:ascii="Arial" w:eastAsia="Times New Roman" w:hAnsi="Arial" w:cs="Arial"/>
          <w:i/>
          <w:iCs/>
          <w:kern w:val="0"/>
          <w:sz w:val="24"/>
          <w:szCs w:val="24"/>
          <w:lang w:eastAsia="en-IN" w:bidi="gu-IN"/>
          <w14:ligatures w14:val="none"/>
        </w:rPr>
        <w:t>BMJ</w:t>
      </w:r>
      <w:r w:rsidRPr="00C1304F">
        <w:rPr>
          <w:rFonts w:ascii="Arial" w:eastAsia="Times New Roman" w:hAnsi="Arial" w:cs="Arial"/>
          <w:kern w:val="0"/>
          <w:sz w:val="24"/>
          <w:szCs w:val="24"/>
          <w:lang w:eastAsia="en-IN" w:bidi="gu-IN"/>
          <w14:ligatures w14:val="none"/>
        </w:rPr>
        <w:t xml:space="preserve">, 351:h4255. Available at: </w:t>
      </w:r>
      <w:hyperlink r:id="rId15" w:tgtFrame="_new" w:history="1">
        <w:r w:rsidRPr="00C1304F">
          <w:rPr>
            <w:rStyle w:val="Hyperlink"/>
            <w:rFonts w:ascii="Arial" w:eastAsia="Times New Roman" w:hAnsi="Arial" w:cs="Arial"/>
            <w:kern w:val="0"/>
            <w:sz w:val="24"/>
            <w:szCs w:val="24"/>
            <w:lang w:eastAsia="en-IN" w:bidi="gu-IN"/>
            <w14:ligatures w14:val="none"/>
          </w:rPr>
          <w:t>https://www.bmj.com/content/351/bmj.h4255</w:t>
        </w:r>
      </w:hyperlink>
      <w:r w:rsidRPr="00C1304F">
        <w:rPr>
          <w:rFonts w:ascii="Arial" w:eastAsia="Times New Roman" w:hAnsi="Arial" w:cs="Arial"/>
          <w:kern w:val="0"/>
          <w:sz w:val="24"/>
          <w:szCs w:val="24"/>
          <w:lang w:eastAsia="en-IN" w:bidi="gu-IN"/>
          <w14:ligatures w14:val="none"/>
        </w:rPr>
        <w:t xml:space="preserve"> (Accessed: 5 December 2025).</w:t>
      </w:r>
    </w:p>
    <w:p w14:paraId="2FE40216" w14:textId="606559FD"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Donabedian, A. (1988)</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‘Assessing quality of health care: key principles’, </w:t>
      </w:r>
      <w:r w:rsidRPr="00C1304F">
        <w:rPr>
          <w:rFonts w:ascii="Arial" w:eastAsia="Times New Roman" w:hAnsi="Arial" w:cs="Arial"/>
          <w:i/>
          <w:iCs/>
          <w:kern w:val="0"/>
          <w:sz w:val="24"/>
          <w:szCs w:val="24"/>
          <w:lang w:eastAsia="en-IN" w:bidi="gu-IN"/>
          <w14:ligatures w14:val="none"/>
        </w:rPr>
        <w:t>Journal of the American Medical Association</w:t>
      </w:r>
      <w:r w:rsidRPr="00C1304F">
        <w:rPr>
          <w:rFonts w:ascii="Arial" w:eastAsia="Times New Roman" w:hAnsi="Arial" w:cs="Arial"/>
          <w:kern w:val="0"/>
          <w:sz w:val="24"/>
          <w:szCs w:val="24"/>
          <w:lang w:eastAsia="en-IN" w:bidi="gu-IN"/>
          <w14:ligatures w14:val="none"/>
        </w:rPr>
        <w:t xml:space="preserve">, 260(12), pp. 1743–1748. Available at: </w:t>
      </w:r>
      <w:hyperlink r:id="rId16" w:tgtFrame="_new" w:history="1">
        <w:r w:rsidRPr="00C1304F">
          <w:rPr>
            <w:rStyle w:val="Hyperlink"/>
            <w:rFonts w:ascii="Arial" w:eastAsia="Times New Roman" w:hAnsi="Arial" w:cs="Arial"/>
            <w:kern w:val="0"/>
            <w:sz w:val="24"/>
            <w:szCs w:val="24"/>
            <w:lang w:eastAsia="en-IN" w:bidi="gu-IN"/>
            <w14:ligatures w14:val="none"/>
          </w:rPr>
          <w:t>https://jamanetwork.com/journals/jama/fullarticle/374139</w:t>
        </w:r>
      </w:hyperlink>
      <w:r w:rsidRPr="00C1304F">
        <w:rPr>
          <w:rFonts w:ascii="Arial" w:eastAsia="Times New Roman" w:hAnsi="Arial" w:cs="Arial"/>
          <w:kern w:val="0"/>
          <w:sz w:val="24"/>
          <w:szCs w:val="24"/>
          <w:lang w:eastAsia="en-IN" w:bidi="gu-IN"/>
          <w14:ligatures w14:val="none"/>
        </w:rPr>
        <w:t xml:space="preserve"> (Accessed: 5 December 2025).</w:t>
      </w:r>
    </w:p>
    <w:p w14:paraId="45804D61" w14:textId="1014AFB6"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Health Foundation (2018)</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Leadership and safety culture in healthcare: understanding the links</w:t>
      </w:r>
      <w:r w:rsidRPr="00C1304F">
        <w:rPr>
          <w:rFonts w:ascii="Arial" w:eastAsia="Times New Roman" w:hAnsi="Arial" w:cs="Arial"/>
          <w:kern w:val="0"/>
          <w:sz w:val="24"/>
          <w:szCs w:val="24"/>
          <w:lang w:eastAsia="en-IN" w:bidi="gu-IN"/>
          <w14:ligatures w14:val="none"/>
        </w:rPr>
        <w:t xml:space="preserve">. London: The Health Foundation. Available at: </w:t>
      </w:r>
      <w:hyperlink r:id="rId17" w:tgtFrame="_new" w:history="1">
        <w:r w:rsidRPr="00C1304F">
          <w:rPr>
            <w:rStyle w:val="Hyperlink"/>
            <w:rFonts w:ascii="Arial" w:eastAsia="Times New Roman" w:hAnsi="Arial" w:cs="Arial"/>
            <w:kern w:val="0"/>
            <w:sz w:val="24"/>
            <w:szCs w:val="24"/>
            <w:lang w:eastAsia="en-IN" w:bidi="gu-IN"/>
            <w14:ligatures w14:val="none"/>
          </w:rPr>
          <w:t>https://www.health.org.uk/publications/whats-leadership-got-to-do-with-it</w:t>
        </w:r>
      </w:hyperlink>
      <w:r w:rsidRPr="00C1304F">
        <w:rPr>
          <w:rFonts w:ascii="Arial" w:eastAsia="Times New Roman" w:hAnsi="Arial" w:cs="Arial"/>
          <w:kern w:val="0"/>
          <w:sz w:val="24"/>
          <w:szCs w:val="24"/>
          <w:lang w:eastAsia="en-IN" w:bidi="gu-IN"/>
          <w14:ligatures w14:val="none"/>
        </w:rPr>
        <w:t xml:space="preserve"> (Accessed: 5 December 2025).</w:t>
      </w:r>
    </w:p>
    <w:p w14:paraId="766165ED" w14:textId="29714E69"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Institute for Healthcare Improvement (IHI) (n.d.)</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Using the Model for Improvement and PDSA cycles</w:t>
      </w:r>
      <w:r w:rsidRPr="00C1304F">
        <w:rPr>
          <w:rFonts w:ascii="Arial" w:eastAsia="Times New Roman" w:hAnsi="Arial" w:cs="Arial"/>
          <w:kern w:val="0"/>
          <w:sz w:val="24"/>
          <w:szCs w:val="24"/>
          <w:lang w:eastAsia="en-IN" w:bidi="gu-IN"/>
          <w14:ligatures w14:val="none"/>
        </w:rPr>
        <w:t xml:space="preserve">. Boston, MA: IHI. Available at: </w:t>
      </w:r>
      <w:hyperlink r:id="rId18" w:tgtFrame="_new" w:history="1">
        <w:r w:rsidRPr="00C1304F">
          <w:rPr>
            <w:rStyle w:val="Hyperlink"/>
            <w:rFonts w:ascii="Arial" w:eastAsia="Times New Roman" w:hAnsi="Arial" w:cs="Arial"/>
            <w:kern w:val="0"/>
            <w:sz w:val="24"/>
            <w:szCs w:val="24"/>
            <w:lang w:eastAsia="en-IN" w:bidi="gu-IN"/>
            <w14:ligatures w14:val="none"/>
          </w:rPr>
          <w:t>https://www.ihi.org/library/model-for-improvement</w:t>
        </w:r>
      </w:hyperlink>
      <w:r w:rsidRPr="00C1304F">
        <w:rPr>
          <w:rFonts w:ascii="Arial" w:eastAsia="Times New Roman" w:hAnsi="Arial" w:cs="Arial"/>
          <w:kern w:val="0"/>
          <w:sz w:val="24"/>
          <w:szCs w:val="24"/>
          <w:lang w:eastAsia="en-IN" w:bidi="gu-IN"/>
          <w14:ligatures w14:val="none"/>
        </w:rPr>
        <w:t xml:space="preserve"> (Accessed: 5 December 2025).</w:t>
      </w:r>
    </w:p>
    <w:p w14:paraId="1190341B" w14:textId="1FD03BE3"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Institute of Medicine (IOM) (2000)</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To Err Is Human: Constructing a Safer Health System</w:t>
      </w:r>
      <w:r w:rsidRPr="00C1304F">
        <w:rPr>
          <w:rFonts w:ascii="Arial" w:eastAsia="Times New Roman" w:hAnsi="Arial" w:cs="Arial"/>
          <w:kern w:val="0"/>
          <w:sz w:val="24"/>
          <w:szCs w:val="24"/>
          <w:lang w:eastAsia="en-IN" w:bidi="gu-IN"/>
          <w14:ligatures w14:val="none"/>
        </w:rPr>
        <w:t xml:space="preserve">. Washington, DC: National Academies Press. Available at: </w:t>
      </w:r>
      <w:hyperlink r:id="rId19" w:tgtFrame="_new" w:history="1">
        <w:r w:rsidRPr="00C1304F">
          <w:rPr>
            <w:rStyle w:val="Hyperlink"/>
            <w:rFonts w:ascii="Arial" w:eastAsia="Times New Roman" w:hAnsi="Arial" w:cs="Arial"/>
            <w:kern w:val="0"/>
            <w:sz w:val="24"/>
            <w:szCs w:val="24"/>
            <w:lang w:eastAsia="en-IN" w:bidi="gu-IN"/>
            <w14:ligatures w14:val="none"/>
          </w:rPr>
          <w:t>https://www.ncbi.nlm.nih.gov/books/NBK225182/</w:t>
        </w:r>
      </w:hyperlink>
      <w:r w:rsidRPr="00C1304F">
        <w:rPr>
          <w:rFonts w:ascii="Arial" w:eastAsia="Times New Roman" w:hAnsi="Arial" w:cs="Arial"/>
          <w:kern w:val="0"/>
          <w:sz w:val="24"/>
          <w:szCs w:val="24"/>
          <w:lang w:eastAsia="en-IN" w:bidi="gu-IN"/>
          <w14:ligatures w14:val="none"/>
        </w:rPr>
        <w:t xml:space="preserve"> (Accessed: 5 December 2025).</w:t>
      </w:r>
    </w:p>
    <w:p w14:paraId="1B9AD4C1" w14:textId="128C3FBB"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Jolivet, R.R., et al. (2018)</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‘Monitoring frameworks for ending preventable maternal mortality (EPMM) Phase II’, </w:t>
      </w:r>
      <w:r w:rsidRPr="00C1304F">
        <w:rPr>
          <w:rFonts w:ascii="Arial" w:eastAsia="Times New Roman" w:hAnsi="Arial" w:cs="Arial"/>
          <w:i/>
          <w:iCs/>
          <w:kern w:val="0"/>
          <w:sz w:val="24"/>
          <w:szCs w:val="24"/>
          <w:lang w:eastAsia="en-IN" w:bidi="gu-IN"/>
          <w14:ligatures w14:val="none"/>
        </w:rPr>
        <w:t>BMC Pregnancy and Childbirth</w:t>
      </w:r>
      <w:r w:rsidRPr="00C1304F">
        <w:rPr>
          <w:rFonts w:ascii="Arial" w:eastAsia="Times New Roman" w:hAnsi="Arial" w:cs="Arial"/>
          <w:kern w:val="0"/>
          <w:sz w:val="24"/>
          <w:szCs w:val="24"/>
          <w:lang w:eastAsia="en-IN" w:bidi="gu-IN"/>
          <w14:ligatures w14:val="none"/>
        </w:rPr>
        <w:t xml:space="preserve">, 18, Article 250. Available at: </w:t>
      </w:r>
      <w:hyperlink r:id="rId20" w:tgtFrame="_new" w:history="1">
        <w:r w:rsidRPr="00C1304F">
          <w:rPr>
            <w:rStyle w:val="Hyperlink"/>
            <w:rFonts w:ascii="Arial" w:eastAsia="Times New Roman" w:hAnsi="Arial" w:cs="Arial"/>
            <w:kern w:val="0"/>
            <w:sz w:val="24"/>
            <w:szCs w:val="24"/>
            <w:lang w:eastAsia="en-IN" w:bidi="gu-IN"/>
            <w14:ligatures w14:val="none"/>
          </w:rPr>
          <w:t>https://www.ncbi.nlm.nih.gov/pmc/articles/PMC6019318/</w:t>
        </w:r>
      </w:hyperlink>
      <w:r w:rsidRPr="00C1304F">
        <w:rPr>
          <w:rFonts w:ascii="Arial" w:eastAsia="Times New Roman" w:hAnsi="Arial" w:cs="Arial"/>
          <w:kern w:val="0"/>
          <w:sz w:val="24"/>
          <w:szCs w:val="24"/>
          <w:lang w:eastAsia="en-IN" w:bidi="gu-IN"/>
          <w14:ligatures w14:val="none"/>
        </w:rPr>
        <w:t xml:space="preserve"> (Accessed: 5 December 2025).</w:t>
      </w:r>
    </w:p>
    <w:p w14:paraId="20987718" w14:textId="69E6503C"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King’s Fund, West, M., et al. (2015)</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Review of leadership and leadership development evidence in the NHS</w:t>
      </w:r>
      <w:r w:rsidRPr="00C1304F">
        <w:rPr>
          <w:rFonts w:ascii="Arial" w:eastAsia="Times New Roman" w:hAnsi="Arial" w:cs="Arial"/>
          <w:kern w:val="0"/>
          <w:sz w:val="24"/>
          <w:szCs w:val="24"/>
          <w:lang w:eastAsia="en-IN" w:bidi="gu-IN"/>
          <w14:ligatures w14:val="none"/>
        </w:rPr>
        <w:t xml:space="preserve">. London: The King’s Fund &amp; FMLM. Available at: </w:t>
      </w:r>
      <w:hyperlink r:id="rId21" w:tgtFrame="_new" w:history="1">
        <w:r w:rsidRPr="00C1304F">
          <w:rPr>
            <w:rStyle w:val="Hyperlink"/>
            <w:rFonts w:ascii="Arial" w:eastAsia="Times New Roman" w:hAnsi="Arial" w:cs="Arial"/>
            <w:kern w:val="0"/>
            <w:sz w:val="24"/>
            <w:szCs w:val="24"/>
            <w:lang w:eastAsia="en-IN" w:bidi="gu-IN"/>
            <w14:ligatures w14:val="none"/>
          </w:rPr>
          <w:t>https://www.kingsfund.org.uk/publications/leadership-and-leadership-development-health-care</w:t>
        </w:r>
      </w:hyperlink>
      <w:r w:rsidRPr="00C1304F">
        <w:rPr>
          <w:rFonts w:ascii="Arial" w:eastAsia="Times New Roman" w:hAnsi="Arial" w:cs="Arial"/>
          <w:kern w:val="0"/>
          <w:sz w:val="24"/>
          <w:szCs w:val="24"/>
          <w:lang w:eastAsia="en-IN" w:bidi="gu-IN"/>
          <w14:ligatures w14:val="none"/>
        </w:rPr>
        <w:t xml:space="preserve"> (Accessed: 5 December 2025).</w:t>
      </w:r>
    </w:p>
    <w:p w14:paraId="6D43745E" w14:textId="0AE2F1A4"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proofErr w:type="spellStart"/>
      <w:r w:rsidRPr="00C1304F">
        <w:rPr>
          <w:rFonts w:ascii="Arial" w:eastAsia="Times New Roman" w:hAnsi="Arial" w:cs="Arial"/>
          <w:b/>
          <w:bCs/>
          <w:kern w:val="0"/>
          <w:sz w:val="24"/>
          <w:szCs w:val="24"/>
          <w:lang w:eastAsia="en-IN" w:bidi="gu-IN"/>
          <w14:ligatures w14:val="none"/>
        </w:rPr>
        <w:lastRenderedPageBreak/>
        <w:t>Leape</w:t>
      </w:r>
      <w:proofErr w:type="spellEnd"/>
      <w:r w:rsidRPr="00C1304F">
        <w:rPr>
          <w:rFonts w:ascii="Arial" w:eastAsia="Times New Roman" w:hAnsi="Arial" w:cs="Arial"/>
          <w:b/>
          <w:bCs/>
          <w:kern w:val="0"/>
          <w:sz w:val="24"/>
          <w:szCs w:val="24"/>
          <w:lang w:eastAsia="en-IN" w:bidi="gu-IN"/>
          <w14:ligatures w14:val="none"/>
        </w:rPr>
        <w:t>, L.L. (2009)</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‘Understanding medical errors’, </w:t>
      </w:r>
      <w:r w:rsidRPr="00C1304F">
        <w:rPr>
          <w:rFonts w:ascii="Arial" w:eastAsia="Times New Roman" w:hAnsi="Arial" w:cs="Arial"/>
          <w:i/>
          <w:iCs/>
          <w:kern w:val="0"/>
          <w:sz w:val="24"/>
          <w:szCs w:val="24"/>
          <w:lang w:eastAsia="en-IN" w:bidi="gu-IN"/>
          <w14:ligatures w14:val="none"/>
        </w:rPr>
        <w:t xml:space="preserve">Clinica </w:t>
      </w:r>
      <w:proofErr w:type="spellStart"/>
      <w:r w:rsidRPr="00C1304F">
        <w:rPr>
          <w:rFonts w:ascii="Arial" w:eastAsia="Times New Roman" w:hAnsi="Arial" w:cs="Arial"/>
          <w:i/>
          <w:iCs/>
          <w:kern w:val="0"/>
          <w:sz w:val="24"/>
          <w:szCs w:val="24"/>
          <w:lang w:eastAsia="en-IN" w:bidi="gu-IN"/>
          <w14:ligatures w14:val="none"/>
        </w:rPr>
        <w:t>Chimica</w:t>
      </w:r>
      <w:proofErr w:type="spellEnd"/>
      <w:r w:rsidRPr="00C1304F">
        <w:rPr>
          <w:rFonts w:ascii="Arial" w:eastAsia="Times New Roman" w:hAnsi="Arial" w:cs="Arial"/>
          <w:i/>
          <w:iCs/>
          <w:kern w:val="0"/>
          <w:sz w:val="24"/>
          <w:szCs w:val="24"/>
          <w:lang w:eastAsia="en-IN" w:bidi="gu-IN"/>
          <w14:ligatures w14:val="none"/>
        </w:rPr>
        <w:t xml:space="preserve"> Acta</w:t>
      </w:r>
      <w:r w:rsidRPr="00C1304F">
        <w:rPr>
          <w:rFonts w:ascii="Arial" w:eastAsia="Times New Roman" w:hAnsi="Arial" w:cs="Arial"/>
          <w:kern w:val="0"/>
          <w:sz w:val="24"/>
          <w:szCs w:val="24"/>
          <w:lang w:eastAsia="en-IN" w:bidi="gu-IN"/>
          <w14:ligatures w14:val="none"/>
        </w:rPr>
        <w:t xml:space="preserve">, 404(1), pp. 2–5. Available at: </w:t>
      </w:r>
      <w:hyperlink r:id="rId22" w:tgtFrame="_new" w:history="1">
        <w:r w:rsidRPr="00C1304F">
          <w:rPr>
            <w:rStyle w:val="Hyperlink"/>
            <w:rFonts w:ascii="Arial" w:eastAsia="Times New Roman" w:hAnsi="Arial" w:cs="Arial"/>
            <w:kern w:val="0"/>
            <w:sz w:val="24"/>
            <w:szCs w:val="24"/>
            <w:lang w:eastAsia="en-IN" w:bidi="gu-IN"/>
            <w14:ligatures w14:val="none"/>
          </w:rPr>
          <w:t>https://pubmed.ncbi.nlm.nih.gov/19302989/</w:t>
        </w:r>
      </w:hyperlink>
      <w:r w:rsidRPr="00C1304F">
        <w:rPr>
          <w:rFonts w:ascii="Arial" w:eastAsia="Times New Roman" w:hAnsi="Arial" w:cs="Arial"/>
          <w:kern w:val="0"/>
          <w:sz w:val="24"/>
          <w:szCs w:val="24"/>
          <w:lang w:eastAsia="en-IN" w:bidi="gu-IN"/>
          <w14:ligatures w14:val="none"/>
        </w:rPr>
        <w:t xml:space="preserve"> (Accessed: 5 December 2025).</w:t>
      </w:r>
    </w:p>
    <w:p w14:paraId="0BBF9AE0" w14:textId="698C73C1"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MBRRACE-UK / National Perinatal Epidemiology Unit (NPEU) (2024)</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Surveillance report on perinatal mortality in the UK</w:t>
      </w:r>
      <w:r w:rsidRPr="00C1304F">
        <w:rPr>
          <w:rFonts w:ascii="Arial" w:eastAsia="Times New Roman" w:hAnsi="Arial" w:cs="Arial"/>
          <w:kern w:val="0"/>
          <w:sz w:val="24"/>
          <w:szCs w:val="24"/>
          <w:lang w:eastAsia="en-IN" w:bidi="gu-IN"/>
          <w14:ligatures w14:val="none"/>
        </w:rPr>
        <w:t xml:space="preserve">. Oxford: University of Oxford. Available at: </w:t>
      </w:r>
      <w:hyperlink r:id="rId23" w:tgtFrame="_new" w:history="1">
        <w:r w:rsidRPr="00C1304F">
          <w:rPr>
            <w:rStyle w:val="Hyperlink"/>
            <w:rFonts w:ascii="Arial" w:eastAsia="Times New Roman" w:hAnsi="Arial" w:cs="Arial"/>
            <w:kern w:val="0"/>
            <w:sz w:val="24"/>
            <w:szCs w:val="24"/>
            <w:lang w:eastAsia="en-IN" w:bidi="gu-IN"/>
            <w14:ligatures w14:val="none"/>
          </w:rPr>
          <w:t>https://www.npeu.ox.ac.uk/mbrrace-uk/reports/perinatal-mortality-surveillance</w:t>
        </w:r>
      </w:hyperlink>
      <w:r w:rsidRPr="00C1304F">
        <w:rPr>
          <w:rFonts w:ascii="Arial" w:eastAsia="Times New Roman" w:hAnsi="Arial" w:cs="Arial"/>
          <w:kern w:val="0"/>
          <w:sz w:val="24"/>
          <w:szCs w:val="24"/>
          <w:lang w:eastAsia="en-IN" w:bidi="gu-IN"/>
          <w14:ligatures w14:val="none"/>
        </w:rPr>
        <w:t xml:space="preserve"> (Accessed: 5 December 2025).</w:t>
      </w:r>
    </w:p>
    <w:p w14:paraId="6CB1E0D0" w14:textId="5AF053D4"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National Institute for Health and Care Excellence (NICE) (2023)</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 xml:space="preserve">NG235: Supporting women and babies during labour </w:t>
      </w:r>
      <w:r>
        <w:rPr>
          <w:rFonts w:ascii="Arial" w:eastAsia="Times New Roman" w:hAnsi="Arial" w:cs="Arial"/>
          <w:i/>
          <w:iCs/>
          <w:kern w:val="0"/>
          <w:sz w:val="24"/>
          <w:szCs w:val="24"/>
          <w:lang w:eastAsia="en-IN" w:bidi="gu-IN"/>
          <w14:ligatures w14:val="none"/>
        </w:rPr>
        <w:t>;</w:t>
      </w:r>
      <w:r w:rsidRPr="00C1304F">
        <w:rPr>
          <w:rFonts w:ascii="Arial" w:eastAsia="Times New Roman" w:hAnsi="Arial" w:cs="Arial"/>
          <w:i/>
          <w:iCs/>
          <w:kern w:val="0"/>
          <w:sz w:val="24"/>
          <w:szCs w:val="24"/>
          <w:lang w:eastAsia="en-IN" w:bidi="gu-IN"/>
          <w14:ligatures w14:val="none"/>
        </w:rPr>
        <w:t xml:space="preserve"> intrapartum guidance</w:t>
      </w:r>
      <w:r w:rsidRPr="00C1304F">
        <w:rPr>
          <w:rFonts w:ascii="Arial" w:eastAsia="Times New Roman" w:hAnsi="Arial" w:cs="Arial"/>
          <w:kern w:val="0"/>
          <w:sz w:val="24"/>
          <w:szCs w:val="24"/>
          <w:lang w:eastAsia="en-IN" w:bidi="gu-IN"/>
          <w14:ligatures w14:val="none"/>
        </w:rPr>
        <w:t xml:space="preserve">. London: NICE. Available at: </w:t>
      </w:r>
      <w:hyperlink r:id="rId24" w:tgtFrame="_new" w:history="1">
        <w:r w:rsidRPr="00C1304F">
          <w:rPr>
            <w:rStyle w:val="Hyperlink"/>
            <w:rFonts w:ascii="Arial" w:eastAsia="Times New Roman" w:hAnsi="Arial" w:cs="Arial"/>
            <w:kern w:val="0"/>
            <w:sz w:val="24"/>
            <w:szCs w:val="24"/>
            <w:lang w:eastAsia="en-IN" w:bidi="gu-IN"/>
            <w14:ligatures w14:val="none"/>
          </w:rPr>
          <w:t>https://www.nice.org.uk/guidance/ng235</w:t>
        </w:r>
      </w:hyperlink>
      <w:r w:rsidRPr="00C1304F">
        <w:rPr>
          <w:rFonts w:ascii="Arial" w:eastAsia="Times New Roman" w:hAnsi="Arial" w:cs="Arial"/>
          <w:kern w:val="0"/>
          <w:sz w:val="24"/>
          <w:szCs w:val="24"/>
          <w:lang w:eastAsia="en-IN" w:bidi="gu-IN"/>
          <w14:ligatures w14:val="none"/>
        </w:rPr>
        <w:t xml:space="preserve"> (Accessed: 5 December 2025).</w:t>
      </w:r>
    </w:p>
    <w:p w14:paraId="7F0A8910" w14:textId="2AE61197"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(2017)</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Lean methodology in the NHS: practical implementation guide</w:t>
      </w:r>
      <w:r w:rsidRPr="00C1304F">
        <w:rPr>
          <w:rFonts w:ascii="Arial" w:eastAsia="Times New Roman" w:hAnsi="Arial" w:cs="Arial"/>
          <w:kern w:val="0"/>
          <w:sz w:val="24"/>
          <w:szCs w:val="24"/>
          <w:lang w:eastAsia="en-IN" w:bidi="gu-IN"/>
          <w14:ligatures w14:val="none"/>
        </w:rPr>
        <w:t xml:space="preserve">. NHS Improvement Hub. Available at: </w:t>
      </w:r>
      <w:hyperlink r:id="rId25" w:tgtFrame="_new" w:history="1">
        <w:r w:rsidRPr="00C1304F">
          <w:rPr>
            <w:rStyle w:val="Hyperlink"/>
            <w:rFonts w:ascii="Arial" w:eastAsia="Times New Roman" w:hAnsi="Arial" w:cs="Arial"/>
            <w:kern w:val="0"/>
            <w:sz w:val="24"/>
            <w:szCs w:val="24"/>
            <w:lang w:eastAsia="en-IN" w:bidi="gu-IN"/>
            <w14:ligatures w14:val="none"/>
          </w:rPr>
          <w:t>https://www.england.nhs.uk/improvement-hub/wp-content/uploads/sites/44/2017/11/Going-Lean-in-the-NHS.pdf</w:t>
        </w:r>
      </w:hyperlink>
      <w:r w:rsidRPr="00C1304F">
        <w:rPr>
          <w:rFonts w:ascii="Arial" w:eastAsia="Times New Roman" w:hAnsi="Arial" w:cs="Arial"/>
          <w:kern w:val="0"/>
          <w:sz w:val="24"/>
          <w:szCs w:val="24"/>
          <w:lang w:eastAsia="en-IN" w:bidi="gu-IN"/>
          <w14:ligatures w14:val="none"/>
        </w:rPr>
        <w:t xml:space="preserve"> (Accessed: 5 December 2025).</w:t>
      </w:r>
    </w:p>
    <w:p w14:paraId="5239349B" w14:textId="17E0D94B"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(2018a)</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Being Fair: A guide to promoting Just Culture in patient safety</w:t>
      </w:r>
      <w:r w:rsidRPr="00C1304F">
        <w:rPr>
          <w:rFonts w:ascii="Arial" w:eastAsia="Times New Roman" w:hAnsi="Arial" w:cs="Arial"/>
          <w:kern w:val="0"/>
          <w:sz w:val="24"/>
          <w:szCs w:val="24"/>
          <w:lang w:eastAsia="en-IN" w:bidi="gu-IN"/>
          <w14:ligatures w14:val="none"/>
        </w:rPr>
        <w:t xml:space="preserve">. London: NHS England. Available at: </w:t>
      </w:r>
      <w:hyperlink r:id="rId26" w:tgtFrame="_new" w:history="1">
        <w:r w:rsidRPr="00C1304F">
          <w:rPr>
            <w:rStyle w:val="Hyperlink"/>
            <w:rFonts w:ascii="Arial" w:eastAsia="Times New Roman" w:hAnsi="Arial" w:cs="Arial"/>
            <w:kern w:val="0"/>
            <w:sz w:val="24"/>
            <w:szCs w:val="24"/>
            <w:lang w:eastAsia="en-IN" w:bidi="gu-IN"/>
            <w14:ligatures w14:val="none"/>
          </w:rPr>
          <w:t>https://www.england.nhs.uk/patient-safety/patient-safety-culture/being-fair-tool/</w:t>
        </w:r>
      </w:hyperlink>
      <w:r w:rsidRPr="00C1304F">
        <w:rPr>
          <w:rFonts w:ascii="Arial" w:eastAsia="Times New Roman" w:hAnsi="Arial" w:cs="Arial"/>
          <w:kern w:val="0"/>
          <w:sz w:val="24"/>
          <w:szCs w:val="24"/>
          <w:lang w:eastAsia="en-IN" w:bidi="gu-IN"/>
          <w14:ligatures w14:val="none"/>
        </w:rPr>
        <w:t xml:space="preserve"> (Accessed: 5 December 2025).</w:t>
      </w:r>
    </w:p>
    <w:p w14:paraId="77A3F9A5" w14:textId="772A4021"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(2018b)</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Bringing Lean to Life: Tools for improving flow in healthcare</w:t>
      </w:r>
      <w:r w:rsidRPr="00C1304F">
        <w:rPr>
          <w:rFonts w:ascii="Arial" w:eastAsia="Times New Roman" w:hAnsi="Arial" w:cs="Arial"/>
          <w:kern w:val="0"/>
          <w:sz w:val="24"/>
          <w:szCs w:val="24"/>
          <w:lang w:eastAsia="en-IN" w:bidi="gu-IN"/>
          <w14:ligatures w14:val="none"/>
        </w:rPr>
        <w:t xml:space="preserve">. London: NHS Improvement Hub. Available at: </w:t>
      </w:r>
      <w:hyperlink r:id="rId27" w:tgtFrame="_new" w:history="1">
        <w:r w:rsidRPr="00C1304F">
          <w:rPr>
            <w:rStyle w:val="Hyperlink"/>
            <w:rFonts w:ascii="Arial" w:eastAsia="Times New Roman" w:hAnsi="Arial" w:cs="Arial"/>
            <w:kern w:val="0"/>
            <w:sz w:val="24"/>
            <w:szCs w:val="24"/>
            <w:lang w:eastAsia="en-IN" w:bidi="gu-IN"/>
            <w14:ligatures w14:val="none"/>
          </w:rPr>
          <w:t>https://www.england.nhs.uk/improvement-hub/wp-content/uploads/sites/44/2017/11/Bringing-Lean-to-Life.pdf</w:t>
        </w:r>
      </w:hyperlink>
      <w:r w:rsidRPr="00C1304F">
        <w:rPr>
          <w:rFonts w:ascii="Arial" w:eastAsia="Times New Roman" w:hAnsi="Arial" w:cs="Arial"/>
          <w:kern w:val="0"/>
          <w:sz w:val="24"/>
          <w:szCs w:val="24"/>
          <w:lang w:eastAsia="en-IN" w:bidi="gu-IN"/>
          <w14:ligatures w14:val="none"/>
        </w:rPr>
        <w:t xml:space="preserve"> (Accessed: 5 December 2025).</w:t>
      </w:r>
    </w:p>
    <w:p w14:paraId="68AD18E3" w14:textId="0CF72F98"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(2019a)</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Saving Babies’ Lives Care Bundle (Version 2)</w:t>
      </w:r>
      <w:r w:rsidRPr="00C1304F">
        <w:rPr>
          <w:rFonts w:ascii="Arial" w:eastAsia="Times New Roman" w:hAnsi="Arial" w:cs="Arial"/>
          <w:kern w:val="0"/>
          <w:sz w:val="24"/>
          <w:szCs w:val="24"/>
          <w:lang w:eastAsia="en-IN" w:bidi="gu-IN"/>
          <w14:ligatures w14:val="none"/>
        </w:rPr>
        <w:t>. London: NHS England. Available at:</w:t>
      </w:r>
      <w:r w:rsidRPr="00C1304F">
        <w:rPr>
          <w:rFonts w:ascii="Arial" w:eastAsia="Times New Roman" w:hAnsi="Arial" w:cs="Arial"/>
          <w:kern w:val="0"/>
          <w:sz w:val="24"/>
          <w:szCs w:val="24"/>
          <w:lang w:eastAsia="en-IN" w:bidi="gu-IN"/>
          <w14:ligatures w14:val="none"/>
        </w:rPr>
        <w:br/>
      </w:r>
      <w:hyperlink r:id="rId28" w:tgtFrame="_new" w:history="1">
        <w:r w:rsidRPr="00C1304F">
          <w:rPr>
            <w:rStyle w:val="Hyperlink"/>
            <w:rFonts w:ascii="Arial" w:eastAsia="Times New Roman" w:hAnsi="Arial" w:cs="Arial"/>
            <w:kern w:val="0"/>
            <w:sz w:val="24"/>
            <w:szCs w:val="24"/>
            <w:lang w:eastAsia="en-IN" w:bidi="gu-IN"/>
            <w14:ligatures w14:val="none"/>
          </w:rPr>
          <w:t>https://www.england.nhs.uk/publication/saving-babies-lives-version-two-a-care-bundle-for-reducing-perinatal-mortality</w:t>
        </w:r>
      </w:hyperlink>
      <w:r w:rsidRPr="00C1304F">
        <w:rPr>
          <w:rFonts w:ascii="Arial" w:eastAsia="Times New Roman" w:hAnsi="Arial" w:cs="Arial"/>
          <w:kern w:val="0"/>
          <w:sz w:val="24"/>
          <w:szCs w:val="24"/>
          <w:lang w:eastAsia="en-IN" w:bidi="gu-IN"/>
          <w14:ligatures w14:val="none"/>
        </w:rPr>
        <w:br/>
        <w:t>(Accessed: 5 December 2025).</w:t>
      </w:r>
    </w:p>
    <w:p w14:paraId="53A0B6AC" w14:textId="76672236"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(2019b)</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The NHS Patient Safety Strategy: Improving culture and systems</w:t>
      </w:r>
      <w:r w:rsidRPr="00C1304F">
        <w:rPr>
          <w:rFonts w:ascii="Arial" w:eastAsia="Times New Roman" w:hAnsi="Arial" w:cs="Arial"/>
          <w:kern w:val="0"/>
          <w:sz w:val="24"/>
          <w:szCs w:val="24"/>
          <w:lang w:eastAsia="en-IN" w:bidi="gu-IN"/>
          <w14:ligatures w14:val="none"/>
        </w:rPr>
        <w:t xml:space="preserve">. London: NHS England. Available at: </w:t>
      </w:r>
      <w:hyperlink r:id="rId29" w:tgtFrame="_new" w:history="1">
        <w:r w:rsidRPr="00C1304F">
          <w:rPr>
            <w:rStyle w:val="Hyperlink"/>
            <w:rFonts w:ascii="Arial" w:eastAsia="Times New Roman" w:hAnsi="Arial" w:cs="Arial"/>
            <w:kern w:val="0"/>
            <w:sz w:val="24"/>
            <w:szCs w:val="24"/>
            <w:lang w:eastAsia="en-IN" w:bidi="gu-IN"/>
            <w14:ligatures w14:val="none"/>
          </w:rPr>
          <w:t>https://www.england.nhs.uk/patient-safety/the-nhs-patient-safety-strategy/</w:t>
        </w:r>
      </w:hyperlink>
      <w:r w:rsidRPr="00C1304F">
        <w:rPr>
          <w:rFonts w:ascii="Arial" w:eastAsia="Times New Roman" w:hAnsi="Arial" w:cs="Arial"/>
          <w:kern w:val="0"/>
          <w:sz w:val="24"/>
          <w:szCs w:val="24"/>
          <w:lang w:eastAsia="en-IN" w:bidi="gu-IN"/>
          <w14:ligatures w14:val="none"/>
        </w:rPr>
        <w:t xml:space="preserve"> (Accessed: 5 December 2025).</w:t>
      </w:r>
    </w:p>
    <w:p w14:paraId="578CC823" w14:textId="053BF00A"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lastRenderedPageBreak/>
        <w:t>NHS England (2020)</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PSIRF: Patient Safety Incident Response Framework</w:t>
      </w:r>
      <w:r w:rsidRPr="00C1304F">
        <w:rPr>
          <w:rFonts w:ascii="Arial" w:eastAsia="Times New Roman" w:hAnsi="Arial" w:cs="Arial"/>
          <w:kern w:val="0"/>
          <w:sz w:val="24"/>
          <w:szCs w:val="24"/>
          <w:lang w:eastAsia="en-IN" w:bidi="gu-IN"/>
          <w14:ligatures w14:val="none"/>
        </w:rPr>
        <w:t xml:space="preserve">. London: NHS England. Available at: </w:t>
      </w:r>
      <w:hyperlink r:id="rId30" w:tgtFrame="_new" w:history="1">
        <w:r w:rsidRPr="00C1304F">
          <w:rPr>
            <w:rStyle w:val="Hyperlink"/>
            <w:rFonts w:ascii="Arial" w:eastAsia="Times New Roman" w:hAnsi="Arial" w:cs="Arial"/>
            <w:kern w:val="0"/>
            <w:sz w:val="24"/>
            <w:szCs w:val="24"/>
            <w:lang w:eastAsia="en-IN" w:bidi="gu-IN"/>
            <w14:ligatures w14:val="none"/>
          </w:rPr>
          <w:t>https://www.england.nhs.uk/patient-safety/patient-safety-insight/incident-response-framework/</w:t>
        </w:r>
      </w:hyperlink>
      <w:r w:rsidRPr="00C1304F">
        <w:rPr>
          <w:rFonts w:ascii="Arial" w:eastAsia="Times New Roman" w:hAnsi="Arial" w:cs="Arial"/>
          <w:kern w:val="0"/>
          <w:sz w:val="24"/>
          <w:szCs w:val="24"/>
          <w:lang w:eastAsia="en-IN" w:bidi="gu-IN"/>
          <w14:ligatures w14:val="none"/>
        </w:rPr>
        <w:t xml:space="preserve"> (Accessed: 5 December 2025).</w:t>
      </w:r>
    </w:p>
    <w:p w14:paraId="4EE6D6E2" w14:textId="7E8DD1A3"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England (2023)</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Technical guidance for the Saving Babies’ Lives Care Bundle (v3) and Core Competency Framework (v2)</w:t>
      </w:r>
      <w:r w:rsidRPr="00C1304F">
        <w:rPr>
          <w:rFonts w:ascii="Arial" w:eastAsia="Times New Roman" w:hAnsi="Arial" w:cs="Arial"/>
          <w:kern w:val="0"/>
          <w:sz w:val="24"/>
          <w:szCs w:val="24"/>
          <w:lang w:eastAsia="en-IN" w:bidi="gu-IN"/>
          <w14:ligatures w14:val="none"/>
        </w:rPr>
        <w:t xml:space="preserve">. London: NHS England. Available at: </w:t>
      </w:r>
      <w:hyperlink r:id="rId31" w:tgtFrame="_new" w:history="1">
        <w:r w:rsidRPr="00C1304F">
          <w:rPr>
            <w:rStyle w:val="Hyperlink"/>
            <w:rFonts w:ascii="Arial" w:eastAsia="Times New Roman" w:hAnsi="Arial" w:cs="Arial"/>
            <w:kern w:val="0"/>
            <w:sz w:val="24"/>
            <w:szCs w:val="24"/>
            <w:lang w:eastAsia="en-IN" w:bidi="gu-IN"/>
            <w14:ligatures w14:val="none"/>
          </w:rPr>
          <w:t>https://www.england.nhs.uk/long-read/publication-of-delivery-plan-technical-guidance-saving-babies-lives-care-bundle-v3-and-core-competency-framework-v2/</w:t>
        </w:r>
      </w:hyperlink>
      <w:r w:rsidRPr="00C1304F">
        <w:rPr>
          <w:rFonts w:ascii="Arial" w:eastAsia="Times New Roman" w:hAnsi="Arial" w:cs="Arial"/>
          <w:kern w:val="0"/>
          <w:sz w:val="24"/>
          <w:szCs w:val="24"/>
          <w:lang w:eastAsia="en-IN" w:bidi="gu-IN"/>
          <w14:ligatures w14:val="none"/>
        </w:rPr>
        <w:t xml:space="preserve"> (Accessed: 5 December 2025).</w:t>
      </w:r>
    </w:p>
    <w:p w14:paraId="08CE72B9" w14:textId="14A4EBC3"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Leadership Academy (2012)</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NHS Leadership Framework: Principles and Competencies</w:t>
      </w:r>
      <w:r w:rsidRPr="00C1304F">
        <w:rPr>
          <w:rFonts w:ascii="Arial" w:eastAsia="Times New Roman" w:hAnsi="Arial" w:cs="Arial"/>
          <w:kern w:val="0"/>
          <w:sz w:val="24"/>
          <w:szCs w:val="24"/>
          <w:lang w:eastAsia="en-IN" w:bidi="gu-IN"/>
          <w14:ligatures w14:val="none"/>
        </w:rPr>
        <w:t xml:space="preserve">. Coventry: NHS Leadership Academy. Available at: </w:t>
      </w:r>
      <w:hyperlink r:id="rId32" w:tgtFrame="_new" w:history="1">
        <w:r w:rsidRPr="00C1304F">
          <w:rPr>
            <w:rStyle w:val="Hyperlink"/>
            <w:rFonts w:ascii="Arial" w:eastAsia="Times New Roman" w:hAnsi="Arial" w:cs="Arial"/>
            <w:kern w:val="0"/>
            <w:sz w:val="24"/>
            <w:szCs w:val="24"/>
            <w:lang w:eastAsia="en-IN" w:bidi="gu-IN"/>
            <w14:ligatures w14:val="none"/>
          </w:rPr>
          <w:t>https://www.leadershipacademy.nhs.uk/wp-content/uploads/2012/11/NHSLeadership-Framework-LeadershipFramework.pdf</w:t>
        </w:r>
      </w:hyperlink>
      <w:r w:rsidRPr="00C1304F">
        <w:rPr>
          <w:rFonts w:ascii="Arial" w:eastAsia="Times New Roman" w:hAnsi="Arial" w:cs="Arial"/>
          <w:kern w:val="0"/>
          <w:sz w:val="24"/>
          <w:szCs w:val="24"/>
          <w:lang w:eastAsia="en-IN" w:bidi="gu-IN"/>
          <w14:ligatures w14:val="none"/>
        </w:rPr>
        <w:t xml:space="preserve"> (Accessed: 5 December 2025).</w:t>
      </w:r>
    </w:p>
    <w:p w14:paraId="7313D5C8" w14:textId="2C93572F"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Resolution (2019)</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Being Fair: Supporting a learning culture in the NHS following patient safety incidents</w:t>
      </w:r>
      <w:r w:rsidRPr="00C1304F">
        <w:rPr>
          <w:rFonts w:ascii="Arial" w:eastAsia="Times New Roman" w:hAnsi="Arial" w:cs="Arial"/>
          <w:kern w:val="0"/>
          <w:sz w:val="24"/>
          <w:szCs w:val="24"/>
          <w:lang w:eastAsia="en-IN" w:bidi="gu-IN"/>
          <w14:ligatures w14:val="none"/>
        </w:rPr>
        <w:t xml:space="preserve">. London: NHS Resolution. Available at: </w:t>
      </w:r>
      <w:hyperlink r:id="rId33" w:tgtFrame="_new" w:history="1">
        <w:r w:rsidRPr="00C1304F">
          <w:rPr>
            <w:rStyle w:val="Hyperlink"/>
            <w:rFonts w:ascii="Arial" w:eastAsia="Times New Roman" w:hAnsi="Arial" w:cs="Arial"/>
            <w:kern w:val="0"/>
            <w:sz w:val="24"/>
            <w:szCs w:val="24"/>
            <w:lang w:eastAsia="en-IN" w:bidi="gu-IN"/>
            <w14:ligatures w14:val="none"/>
          </w:rPr>
          <w:t>https://resolution.nhs.uk/wp-content/uploads/2019/07/NHS-Resolution-Being-Fair-Report.pdf</w:t>
        </w:r>
      </w:hyperlink>
      <w:r w:rsidRPr="00C1304F">
        <w:rPr>
          <w:rFonts w:ascii="Arial" w:eastAsia="Times New Roman" w:hAnsi="Arial" w:cs="Arial"/>
          <w:kern w:val="0"/>
          <w:sz w:val="24"/>
          <w:szCs w:val="24"/>
          <w:lang w:eastAsia="en-IN" w:bidi="gu-IN"/>
          <w14:ligatures w14:val="none"/>
        </w:rPr>
        <w:t xml:space="preserve"> (Accessed: 5 December 2025).</w:t>
      </w:r>
    </w:p>
    <w:p w14:paraId="5AFD4ACC" w14:textId="7E8A3048"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NHS Resolution (2023)</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Annual Accounts and Report 2022/23</w:t>
      </w:r>
      <w:r w:rsidRPr="00C1304F">
        <w:rPr>
          <w:rFonts w:ascii="Arial" w:eastAsia="Times New Roman" w:hAnsi="Arial" w:cs="Arial"/>
          <w:kern w:val="0"/>
          <w:sz w:val="24"/>
          <w:szCs w:val="24"/>
          <w:lang w:eastAsia="en-IN" w:bidi="gu-IN"/>
          <w14:ligatures w14:val="none"/>
        </w:rPr>
        <w:t xml:space="preserve">. London: NHS Resolution. Available at: </w:t>
      </w:r>
      <w:hyperlink r:id="rId34" w:tgtFrame="_new" w:history="1">
        <w:r w:rsidRPr="00C1304F">
          <w:rPr>
            <w:rStyle w:val="Hyperlink"/>
            <w:rFonts w:ascii="Arial" w:eastAsia="Times New Roman" w:hAnsi="Arial" w:cs="Arial"/>
            <w:kern w:val="0"/>
            <w:sz w:val="24"/>
            <w:szCs w:val="24"/>
            <w:lang w:eastAsia="en-IN" w:bidi="gu-IN"/>
            <w14:ligatures w14:val="none"/>
          </w:rPr>
          <w:t>https://www.resolution.nhs.uk/publications/annual-reports/</w:t>
        </w:r>
      </w:hyperlink>
      <w:r w:rsidRPr="00C1304F">
        <w:rPr>
          <w:rFonts w:ascii="Arial" w:eastAsia="Times New Roman" w:hAnsi="Arial" w:cs="Arial"/>
          <w:kern w:val="0"/>
          <w:sz w:val="24"/>
          <w:szCs w:val="24"/>
          <w:lang w:eastAsia="en-IN" w:bidi="gu-IN"/>
          <w14:ligatures w14:val="none"/>
        </w:rPr>
        <w:t xml:space="preserve"> (Accessed: 5 December 2025).</w:t>
      </w:r>
    </w:p>
    <w:p w14:paraId="3149B7EC" w14:textId="5E8B9FBB"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Ockenden, D. (2022)</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Final report of the independent review of maternity services at Shrewsbury and Telford Hospital NHS Trust</w:t>
      </w:r>
      <w:r w:rsidRPr="00C1304F">
        <w:rPr>
          <w:rFonts w:ascii="Arial" w:eastAsia="Times New Roman" w:hAnsi="Arial" w:cs="Arial"/>
          <w:kern w:val="0"/>
          <w:sz w:val="24"/>
          <w:szCs w:val="24"/>
          <w:lang w:eastAsia="en-IN" w:bidi="gu-IN"/>
          <w14:ligatures w14:val="none"/>
        </w:rPr>
        <w:t xml:space="preserve">. London: HMSO. Available at: </w:t>
      </w:r>
      <w:hyperlink r:id="rId35" w:tgtFrame="_new" w:history="1">
        <w:r w:rsidRPr="00C1304F">
          <w:rPr>
            <w:rStyle w:val="Hyperlink"/>
            <w:rFonts w:ascii="Arial" w:eastAsia="Times New Roman" w:hAnsi="Arial" w:cs="Arial"/>
            <w:kern w:val="0"/>
            <w:sz w:val="24"/>
            <w:szCs w:val="24"/>
            <w:lang w:eastAsia="en-IN" w:bidi="gu-IN"/>
            <w14:ligatures w14:val="none"/>
          </w:rPr>
          <w:t>https://www.gov.uk/government/publications/final-report-of-the-ockenden-review</w:t>
        </w:r>
      </w:hyperlink>
      <w:r w:rsidRPr="00C1304F">
        <w:rPr>
          <w:rFonts w:ascii="Arial" w:eastAsia="Times New Roman" w:hAnsi="Arial" w:cs="Arial"/>
          <w:kern w:val="0"/>
          <w:sz w:val="24"/>
          <w:szCs w:val="24"/>
          <w:lang w:eastAsia="en-IN" w:bidi="gu-IN"/>
          <w14:ligatures w14:val="none"/>
        </w:rPr>
        <w:t xml:space="preserve"> (Accessed: 5 December 2025).</w:t>
      </w:r>
    </w:p>
    <w:p w14:paraId="7421B68B" w14:textId="45A67081"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Ockenden, D. (2022)</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Independent Maternity Review (Full PDF Report)</w:t>
      </w:r>
      <w:r w:rsidRPr="00C1304F">
        <w:rPr>
          <w:rFonts w:ascii="Arial" w:eastAsia="Times New Roman" w:hAnsi="Arial" w:cs="Arial"/>
          <w:kern w:val="0"/>
          <w:sz w:val="24"/>
          <w:szCs w:val="24"/>
          <w:lang w:eastAsia="en-IN" w:bidi="gu-IN"/>
          <w14:ligatures w14:val="none"/>
        </w:rPr>
        <w:t xml:space="preserve">. Available at: </w:t>
      </w:r>
      <w:hyperlink r:id="rId36" w:tgtFrame="_new" w:history="1">
        <w:r w:rsidRPr="00C1304F">
          <w:rPr>
            <w:rStyle w:val="Hyperlink"/>
            <w:rFonts w:ascii="Arial" w:eastAsia="Times New Roman" w:hAnsi="Arial" w:cs="Arial"/>
            <w:kern w:val="0"/>
            <w:sz w:val="24"/>
            <w:szCs w:val="24"/>
            <w:lang w:eastAsia="en-IN" w:bidi="gu-IN"/>
            <w14:ligatures w14:val="none"/>
          </w:rPr>
          <w:t>https://www.ockendenmaternityreview.org.uk/wp-content/uploads/2022/03/FINAL_INDEPENDENT_MATERNITY_REVIEW_OF_MATERNITY_SERVICES_REPORT.pdf</w:t>
        </w:r>
      </w:hyperlink>
      <w:r w:rsidRPr="00C1304F">
        <w:rPr>
          <w:rFonts w:ascii="Arial" w:eastAsia="Times New Roman" w:hAnsi="Arial" w:cs="Arial"/>
          <w:kern w:val="0"/>
          <w:sz w:val="24"/>
          <w:szCs w:val="24"/>
          <w:lang w:eastAsia="en-IN" w:bidi="gu-IN"/>
          <w14:ligatures w14:val="none"/>
        </w:rPr>
        <w:t xml:space="preserve"> (Accessed: 5 December 2025).</w:t>
      </w:r>
    </w:p>
    <w:p w14:paraId="30510B17" w14:textId="25C9B594"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Pronovost, P., et al. (2006)</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‘Reducing catheter-related bloodstream infections in the ICU: results of an intervention’, </w:t>
      </w:r>
      <w:r w:rsidRPr="00C1304F">
        <w:rPr>
          <w:rFonts w:ascii="Arial" w:eastAsia="Times New Roman" w:hAnsi="Arial" w:cs="Arial"/>
          <w:i/>
          <w:iCs/>
          <w:kern w:val="0"/>
          <w:sz w:val="24"/>
          <w:szCs w:val="24"/>
          <w:lang w:eastAsia="en-IN" w:bidi="gu-IN"/>
          <w14:ligatures w14:val="none"/>
        </w:rPr>
        <w:t>New England Journal of Medicine</w:t>
      </w:r>
      <w:r w:rsidRPr="00C1304F">
        <w:rPr>
          <w:rFonts w:ascii="Arial" w:eastAsia="Times New Roman" w:hAnsi="Arial" w:cs="Arial"/>
          <w:kern w:val="0"/>
          <w:sz w:val="24"/>
          <w:szCs w:val="24"/>
          <w:lang w:eastAsia="en-IN" w:bidi="gu-IN"/>
          <w14:ligatures w14:val="none"/>
        </w:rPr>
        <w:t xml:space="preserve">, 355(26), pp. 2725–2732. Available at: </w:t>
      </w:r>
      <w:hyperlink r:id="rId37" w:tgtFrame="_new" w:history="1">
        <w:r w:rsidRPr="00C1304F">
          <w:rPr>
            <w:rStyle w:val="Hyperlink"/>
            <w:rFonts w:ascii="Arial" w:eastAsia="Times New Roman" w:hAnsi="Arial" w:cs="Arial"/>
            <w:kern w:val="0"/>
            <w:sz w:val="24"/>
            <w:szCs w:val="24"/>
            <w:lang w:eastAsia="en-IN" w:bidi="gu-IN"/>
            <w14:ligatures w14:val="none"/>
          </w:rPr>
          <w:t>https://www.nejm.org/doi/full/10.1056/NEJMoa061115</w:t>
        </w:r>
      </w:hyperlink>
      <w:r w:rsidRPr="00C1304F">
        <w:rPr>
          <w:rFonts w:ascii="Arial" w:eastAsia="Times New Roman" w:hAnsi="Arial" w:cs="Arial"/>
          <w:kern w:val="0"/>
          <w:sz w:val="24"/>
          <w:szCs w:val="24"/>
          <w:lang w:eastAsia="en-IN" w:bidi="gu-IN"/>
          <w14:ligatures w14:val="none"/>
        </w:rPr>
        <w:t xml:space="preserve"> (Accessed: 5 December 2025).</w:t>
      </w:r>
    </w:p>
    <w:p w14:paraId="50808828" w14:textId="39E60F95"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lastRenderedPageBreak/>
        <w:t>Royal College of Midwives (2022)</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RCM response to national maternity safety reviews</w:t>
      </w:r>
      <w:r w:rsidRPr="00C1304F">
        <w:rPr>
          <w:rFonts w:ascii="Arial" w:eastAsia="Times New Roman" w:hAnsi="Arial" w:cs="Arial"/>
          <w:kern w:val="0"/>
          <w:sz w:val="24"/>
          <w:szCs w:val="24"/>
          <w:lang w:eastAsia="en-IN" w:bidi="gu-IN"/>
          <w14:ligatures w14:val="none"/>
        </w:rPr>
        <w:t xml:space="preserve">. London: RCM. Available at: </w:t>
      </w:r>
      <w:hyperlink r:id="rId38" w:tgtFrame="_new" w:history="1">
        <w:r w:rsidRPr="00C1304F">
          <w:rPr>
            <w:rStyle w:val="Hyperlink"/>
            <w:rFonts w:ascii="Arial" w:eastAsia="Times New Roman" w:hAnsi="Arial" w:cs="Arial"/>
            <w:kern w:val="0"/>
            <w:sz w:val="24"/>
            <w:szCs w:val="24"/>
            <w:lang w:eastAsia="en-IN" w:bidi="gu-IN"/>
            <w14:ligatures w14:val="none"/>
          </w:rPr>
          <w:t>https://www.rcm.org.uk</w:t>
        </w:r>
      </w:hyperlink>
      <w:r w:rsidRPr="00C1304F">
        <w:rPr>
          <w:rFonts w:ascii="Arial" w:eastAsia="Times New Roman" w:hAnsi="Arial" w:cs="Arial"/>
          <w:kern w:val="0"/>
          <w:sz w:val="24"/>
          <w:szCs w:val="24"/>
          <w:lang w:eastAsia="en-IN" w:bidi="gu-IN"/>
          <w14:ligatures w14:val="none"/>
        </w:rPr>
        <w:t xml:space="preserve"> (Accessed: 5 December 2025).</w:t>
      </w:r>
    </w:p>
    <w:p w14:paraId="6DF4404B" w14:textId="0B187E31"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Royal College of Obstetricians and Gynaecologists (2017)</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RCOG review of maternity care at Shrewsbury and Telford Hospital NHS Trust</w:t>
      </w:r>
      <w:r w:rsidRPr="00C1304F">
        <w:rPr>
          <w:rFonts w:ascii="Arial" w:eastAsia="Times New Roman" w:hAnsi="Arial" w:cs="Arial"/>
          <w:kern w:val="0"/>
          <w:sz w:val="24"/>
          <w:szCs w:val="24"/>
          <w:lang w:eastAsia="en-IN" w:bidi="gu-IN"/>
          <w14:ligatures w14:val="none"/>
        </w:rPr>
        <w:t xml:space="preserve">. London: RCOG. Available at: </w:t>
      </w:r>
      <w:hyperlink r:id="rId39" w:tgtFrame="_new" w:history="1">
        <w:r w:rsidRPr="00C1304F">
          <w:rPr>
            <w:rStyle w:val="Hyperlink"/>
            <w:rFonts w:ascii="Arial" w:eastAsia="Times New Roman" w:hAnsi="Arial" w:cs="Arial"/>
            <w:kern w:val="0"/>
            <w:sz w:val="24"/>
            <w:szCs w:val="24"/>
            <w:lang w:eastAsia="en-IN" w:bidi="gu-IN"/>
            <w14:ligatures w14:val="none"/>
          </w:rPr>
          <w:t>https://www.rcog.org.uk</w:t>
        </w:r>
      </w:hyperlink>
      <w:r w:rsidRPr="00C1304F">
        <w:rPr>
          <w:rFonts w:ascii="Arial" w:eastAsia="Times New Roman" w:hAnsi="Arial" w:cs="Arial"/>
          <w:kern w:val="0"/>
          <w:sz w:val="24"/>
          <w:szCs w:val="24"/>
          <w:lang w:eastAsia="en-IN" w:bidi="gu-IN"/>
          <w14:ligatures w14:val="none"/>
        </w:rPr>
        <w:t xml:space="preserve"> (Accessed: 5 December 2025).</w:t>
      </w:r>
    </w:p>
    <w:p w14:paraId="4E536E50" w14:textId="2EC022D5"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Reason, J. (2000)</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‘Models of human error and their implications for management’, </w:t>
      </w:r>
      <w:r w:rsidRPr="00C1304F">
        <w:rPr>
          <w:rFonts w:ascii="Arial" w:eastAsia="Times New Roman" w:hAnsi="Arial" w:cs="Arial"/>
          <w:i/>
          <w:iCs/>
          <w:kern w:val="0"/>
          <w:sz w:val="24"/>
          <w:szCs w:val="24"/>
          <w:lang w:eastAsia="en-IN" w:bidi="gu-IN"/>
          <w14:ligatures w14:val="none"/>
        </w:rPr>
        <w:t>BMJ</w:t>
      </w:r>
      <w:r w:rsidRPr="00C1304F">
        <w:rPr>
          <w:rFonts w:ascii="Arial" w:eastAsia="Times New Roman" w:hAnsi="Arial" w:cs="Arial"/>
          <w:kern w:val="0"/>
          <w:sz w:val="24"/>
          <w:szCs w:val="24"/>
          <w:lang w:eastAsia="en-IN" w:bidi="gu-IN"/>
          <w14:ligatures w14:val="none"/>
        </w:rPr>
        <w:t xml:space="preserve">, 320(7237), pp. 768–770. Available at: </w:t>
      </w:r>
      <w:hyperlink r:id="rId40" w:tgtFrame="_new" w:history="1">
        <w:r w:rsidRPr="00C1304F">
          <w:rPr>
            <w:rStyle w:val="Hyperlink"/>
            <w:rFonts w:ascii="Arial" w:eastAsia="Times New Roman" w:hAnsi="Arial" w:cs="Arial"/>
            <w:kern w:val="0"/>
            <w:sz w:val="24"/>
            <w:szCs w:val="24"/>
            <w:lang w:eastAsia="en-IN" w:bidi="gu-IN"/>
            <w14:ligatures w14:val="none"/>
          </w:rPr>
          <w:t>https://www.bmj.com/content/320/7237/768</w:t>
        </w:r>
      </w:hyperlink>
      <w:r w:rsidRPr="00C1304F">
        <w:rPr>
          <w:rFonts w:ascii="Arial" w:eastAsia="Times New Roman" w:hAnsi="Arial" w:cs="Arial"/>
          <w:kern w:val="0"/>
          <w:sz w:val="24"/>
          <w:szCs w:val="24"/>
          <w:lang w:eastAsia="en-IN" w:bidi="gu-IN"/>
          <w14:ligatures w14:val="none"/>
        </w:rPr>
        <w:t xml:space="preserve"> (Accessed: 5 December 2025).</w:t>
      </w:r>
    </w:p>
    <w:p w14:paraId="35A8A7C7" w14:textId="3FCEBB74"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Schiff, G.D., et al. (2021)</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‘Historical perspectives on patient safety and implications for future practice’, </w:t>
      </w:r>
      <w:r w:rsidRPr="00C1304F">
        <w:rPr>
          <w:rFonts w:ascii="Arial" w:eastAsia="Times New Roman" w:hAnsi="Arial" w:cs="Arial"/>
          <w:i/>
          <w:iCs/>
          <w:kern w:val="0"/>
          <w:sz w:val="24"/>
          <w:szCs w:val="24"/>
          <w:lang w:eastAsia="en-IN" w:bidi="gu-IN"/>
          <w14:ligatures w14:val="none"/>
        </w:rPr>
        <w:t>BMJ Quality &amp; Safety</w:t>
      </w:r>
      <w:r w:rsidRPr="00C1304F">
        <w:rPr>
          <w:rFonts w:ascii="Arial" w:eastAsia="Times New Roman" w:hAnsi="Arial" w:cs="Arial"/>
          <w:kern w:val="0"/>
          <w:sz w:val="24"/>
          <w:szCs w:val="24"/>
          <w:lang w:eastAsia="en-IN" w:bidi="gu-IN"/>
          <w14:ligatures w14:val="none"/>
        </w:rPr>
        <w:t xml:space="preserve">. Available at: </w:t>
      </w:r>
      <w:hyperlink r:id="rId41" w:tgtFrame="_new" w:history="1">
        <w:r w:rsidRPr="00C1304F">
          <w:rPr>
            <w:rStyle w:val="Hyperlink"/>
            <w:rFonts w:ascii="Arial" w:eastAsia="Times New Roman" w:hAnsi="Arial" w:cs="Arial"/>
            <w:kern w:val="0"/>
            <w:sz w:val="24"/>
            <w:szCs w:val="24"/>
            <w:lang w:eastAsia="en-IN" w:bidi="gu-IN"/>
            <w14:ligatures w14:val="none"/>
          </w:rPr>
          <w:t>https://qualitysafety.bmj.com/content/</w:t>
        </w:r>
      </w:hyperlink>
      <w:r w:rsidRPr="00C1304F">
        <w:rPr>
          <w:rFonts w:ascii="Arial" w:eastAsia="Times New Roman" w:hAnsi="Arial" w:cs="Arial"/>
          <w:kern w:val="0"/>
          <w:sz w:val="24"/>
          <w:szCs w:val="24"/>
          <w:lang w:eastAsia="en-IN" w:bidi="gu-IN"/>
          <w14:ligatures w14:val="none"/>
        </w:rPr>
        <w:t xml:space="preserve"> (Accessed: 5 December 2025).</w:t>
      </w:r>
    </w:p>
    <w:p w14:paraId="22AD5C2F" w14:textId="07714B59"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Tabrizi, N.M., et al. (2021)</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kern w:val="0"/>
          <w:sz w:val="24"/>
          <w:szCs w:val="24"/>
          <w:lang w:eastAsia="en-IN" w:bidi="gu-IN"/>
          <w14:ligatures w14:val="none"/>
        </w:rPr>
        <w:t xml:space="preserve">‘Organisational learning and patient safety: qualitative insights’, </w:t>
      </w:r>
      <w:r w:rsidRPr="00C1304F">
        <w:rPr>
          <w:rFonts w:ascii="Arial" w:eastAsia="Times New Roman" w:hAnsi="Arial" w:cs="Arial"/>
          <w:i/>
          <w:iCs/>
          <w:kern w:val="0"/>
          <w:sz w:val="24"/>
          <w:szCs w:val="24"/>
          <w:lang w:eastAsia="en-IN" w:bidi="gu-IN"/>
          <w14:ligatures w14:val="none"/>
        </w:rPr>
        <w:t>BMJ Open</w:t>
      </w:r>
      <w:r w:rsidRPr="00C1304F">
        <w:rPr>
          <w:rFonts w:ascii="Arial" w:eastAsia="Times New Roman" w:hAnsi="Arial" w:cs="Arial"/>
          <w:kern w:val="0"/>
          <w:sz w:val="24"/>
          <w:szCs w:val="24"/>
          <w:lang w:eastAsia="en-IN" w:bidi="gu-IN"/>
          <w14:ligatures w14:val="none"/>
        </w:rPr>
        <w:t xml:space="preserve">, 11:e048036. Available at: </w:t>
      </w:r>
      <w:hyperlink r:id="rId42" w:tgtFrame="_new" w:history="1">
        <w:r w:rsidRPr="00C1304F">
          <w:rPr>
            <w:rStyle w:val="Hyperlink"/>
            <w:rFonts w:ascii="Arial" w:eastAsia="Times New Roman" w:hAnsi="Arial" w:cs="Arial"/>
            <w:kern w:val="0"/>
            <w:sz w:val="24"/>
            <w:szCs w:val="24"/>
            <w:lang w:eastAsia="en-IN" w:bidi="gu-IN"/>
            <w14:ligatures w14:val="none"/>
          </w:rPr>
          <w:t>https://bmjopen.bmj.com/content/11/8/e048036</w:t>
        </w:r>
      </w:hyperlink>
      <w:r w:rsidRPr="00C1304F">
        <w:rPr>
          <w:rFonts w:ascii="Arial" w:eastAsia="Times New Roman" w:hAnsi="Arial" w:cs="Arial"/>
          <w:kern w:val="0"/>
          <w:sz w:val="24"/>
          <w:szCs w:val="24"/>
          <w:lang w:eastAsia="en-IN" w:bidi="gu-IN"/>
          <w14:ligatures w14:val="none"/>
        </w:rPr>
        <w:t xml:space="preserve"> (Accessed: 5 December 2025).</w:t>
      </w:r>
    </w:p>
    <w:p w14:paraId="6FB64286" w14:textId="311C8798" w:rsidR="00C1304F" w:rsidRPr="00C1304F" w:rsidRDefault="00C1304F" w:rsidP="00C1304F">
      <w:pPr>
        <w:pStyle w:val="ListParagraph"/>
        <w:numPr>
          <w:ilvl w:val="0"/>
          <w:numId w:val="10"/>
        </w:numPr>
        <w:spacing w:line="360" w:lineRule="auto"/>
        <w:rPr>
          <w:rFonts w:ascii="Arial" w:eastAsia="Times New Roman" w:hAnsi="Arial" w:cs="Arial"/>
          <w:kern w:val="0"/>
          <w:sz w:val="24"/>
          <w:szCs w:val="24"/>
          <w:lang w:eastAsia="en-IN" w:bidi="gu-IN"/>
          <w14:ligatures w14:val="none"/>
        </w:rPr>
      </w:pPr>
      <w:r w:rsidRPr="00C1304F">
        <w:rPr>
          <w:rFonts w:ascii="Arial" w:eastAsia="Times New Roman" w:hAnsi="Arial" w:cs="Arial"/>
          <w:b/>
          <w:bCs/>
          <w:kern w:val="0"/>
          <w:sz w:val="24"/>
          <w:szCs w:val="24"/>
          <w:lang w:eastAsia="en-IN" w:bidi="gu-IN"/>
          <w14:ligatures w14:val="none"/>
        </w:rPr>
        <w:t>World Health Organization (WHO) (2015)</w:t>
      </w:r>
      <w:r>
        <w:rPr>
          <w:rFonts w:ascii="Arial" w:eastAsia="Times New Roman" w:hAnsi="Arial" w:cs="Arial"/>
          <w:kern w:val="0"/>
          <w:sz w:val="24"/>
          <w:szCs w:val="24"/>
          <w:lang w:eastAsia="en-IN" w:bidi="gu-IN"/>
          <w14:ligatures w14:val="none"/>
        </w:rPr>
        <w:t xml:space="preserve"> </w:t>
      </w:r>
      <w:r w:rsidRPr="00C1304F">
        <w:rPr>
          <w:rFonts w:ascii="Arial" w:eastAsia="Times New Roman" w:hAnsi="Arial" w:cs="Arial"/>
          <w:i/>
          <w:iCs/>
          <w:kern w:val="0"/>
          <w:sz w:val="24"/>
          <w:szCs w:val="24"/>
          <w:lang w:eastAsia="en-IN" w:bidi="gu-IN"/>
          <w14:ligatures w14:val="none"/>
        </w:rPr>
        <w:t>Ending Preventable Maternal Mortality: Strategic Guidance</w:t>
      </w:r>
      <w:r w:rsidRPr="00C1304F">
        <w:rPr>
          <w:rFonts w:ascii="Arial" w:eastAsia="Times New Roman" w:hAnsi="Arial" w:cs="Arial"/>
          <w:kern w:val="0"/>
          <w:sz w:val="24"/>
          <w:szCs w:val="24"/>
          <w:lang w:eastAsia="en-IN" w:bidi="gu-IN"/>
          <w14:ligatures w14:val="none"/>
        </w:rPr>
        <w:t xml:space="preserve">. Geneva: WHO. Available at: </w:t>
      </w:r>
      <w:hyperlink r:id="rId43" w:tgtFrame="_new" w:history="1">
        <w:r w:rsidRPr="00C1304F">
          <w:rPr>
            <w:rStyle w:val="Hyperlink"/>
            <w:rFonts w:ascii="Arial" w:eastAsia="Times New Roman" w:hAnsi="Arial" w:cs="Arial"/>
            <w:kern w:val="0"/>
            <w:sz w:val="24"/>
            <w:szCs w:val="24"/>
            <w:lang w:eastAsia="en-IN" w:bidi="gu-IN"/>
            <w14:ligatures w14:val="none"/>
          </w:rPr>
          <w:t>https://www.who.int/publications/i/item/9789241508483</w:t>
        </w:r>
      </w:hyperlink>
      <w:r w:rsidRPr="00C1304F">
        <w:rPr>
          <w:rFonts w:ascii="Arial" w:eastAsia="Times New Roman" w:hAnsi="Arial" w:cs="Arial"/>
          <w:kern w:val="0"/>
          <w:sz w:val="24"/>
          <w:szCs w:val="24"/>
          <w:lang w:eastAsia="en-IN" w:bidi="gu-IN"/>
          <w14:ligatures w14:val="none"/>
        </w:rPr>
        <w:t xml:space="preserve"> (Accessed: 5 D</w:t>
      </w:r>
      <w:r>
        <w:rPr>
          <w:rFonts w:ascii="Arial" w:eastAsia="Times New Roman" w:hAnsi="Arial" w:cs="Arial"/>
          <w:kern w:val="0"/>
          <w:sz w:val="24"/>
          <w:szCs w:val="24"/>
          <w:lang w:eastAsia="en-IN" w:bidi="gu-IN"/>
          <w14:ligatures w14:val="none"/>
        </w:rPr>
        <w:t>e</w:t>
      </w:r>
      <w:r w:rsidRPr="00C1304F">
        <w:rPr>
          <w:rFonts w:ascii="Arial" w:eastAsia="Times New Roman" w:hAnsi="Arial" w:cs="Arial"/>
          <w:kern w:val="0"/>
          <w:sz w:val="24"/>
          <w:szCs w:val="24"/>
          <w:lang w:eastAsia="en-IN" w:bidi="gu-IN"/>
          <w14:ligatures w14:val="none"/>
        </w:rPr>
        <w:t>cember 2025).</w:t>
      </w:r>
    </w:p>
    <w:p w14:paraId="4BE67926" w14:textId="790D7075" w:rsidR="0056750A" w:rsidRPr="00C1304F" w:rsidRDefault="0056750A" w:rsidP="00C1304F">
      <w:pPr>
        <w:spacing w:before="100" w:beforeAutospacing="1" w:after="100" w:afterAutospacing="1" w:line="360" w:lineRule="auto"/>
        <w:ind w:left="360"/>
        <w:rPr>
          <w:rFonts w:ascii="Arial" w:eastAsia="Times New Roman" w:hAnsi="Arial" w:cs="Arial"/>
          <w:kern w:val="0"/>
          <w:sz w:val="24"/>
          <w:szCs w:val="24"/>
          <w:lang w:eastAsia="en-IN" w:bidi="gu-IN"/>
          <w14:ligatures w14:val="none"/>
        </w:rPr>
      </w:pPr>
    </w:p>
    <w:sectPr w:rsidR="0056750A" w:rsidRPr="00C1304F" w:rsidSect="0056750A">
      <w:footerReference w:type="default" r:id="rId44"/>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9CF28" w14:textId="77777777" w:rsidR="00A466C6" w:rsidRDefault="00A466C6" w:rsidP="004A52C5">
      <w:pPr>
        <w:spacing w:after="0" w:line="240" w:lineRule="auto"/>
      </w:pPr>
      <w:r>
        <w:separator/>
      </w:r>
    </w:p>
  </w:endnote>
  <w:endnote w:type="continuationSeparator" w:id="0">
    <w:p w14:paraId="0E75A18D" w14:textId="77777777" w:rsidR="00A466C6" w:rsidRDefault="00A466C6" w:rsidP="004A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476452"/>
      <w:docPartObj>
        <w:docPartGallery w:val="Page Numbers (Bottom of Page)"/>
        <w:docPartUnique/>
      </w:docPartObj>
    </w:sdtPr>
    <w:sdtEndPr>
      <w:rPr>
        <w:noProof/>
      </w:rPr>
    </w:sdtEndPr>
    <w:sdtContent>
      <w:p w14:paraId="796C025B" w14:textId="71CAA6BF" w:rsidR="004A52C5" w:rsidRDefault="004A52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95447C" w14:textId="77777777" w:rsidR="004A52C5" w:rsidRDefault="004A5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A7ED5" w14:textId="77777777" w:rsidR="00A466C6" w:rsidRDefault="00A466C6" w:rsidP="004A52C5">
      <w:pPr>
        <w:spacing w:after="0" w:line="240" w:lineRule="auto"/>
      </w:pPr>
      <w:r>
        <w:separator/>
      </w:r>
    </w:p>
  </w:footnote>
  <w:footnote w:type="continuationSeparator" w:id="0">
    <w:p w14:paraId="446E20BA" w14:textId="77777777" w:rsidR="00A466C6" w:rsidRDefault="00A466C6" w:rsidP="004A5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4D4C"/>
    <w:multiLevelType w:val="multilevel"/>
    <w:tmpl w:val="2656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C098E"/>
    <w:multiLevelType w:val="multilevel"/>
    <w:tmpl w:val="95DA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07C73"/>
    <w:multiLevelType w:val="multilevel"/>
    <w:tmpl w:val="48FE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D0202"/>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BD39CA"/>
    <w:multiLevelType w:val="multilevel"/>
    <w:tmpl w:val="4F8E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11D20"/>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373C9E"/>
    <w:multiLevelType w:val="multilevel"/>
    <w:tmpl w:val="62E45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BA1007"/>
    <w:multiLevelType w:val="multilevel"/>
    <w:tmpl w:val="FAD6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968B0"/>
    <w:multiLevelType w:val="multilevel"/>
    <w:tmpl w:val="EC38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004ECE"/>
    <w:multiLevelType w:val="multilevel"/>
    <w:tmpl w:val="F69E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243BBA"/>
    <w:multiLevelType w:val="multilevel"/>
    <w:tmpl w:val="0C927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E068A2"/>
    <w:multiLevelType w:val="multilevel"/>
    <w:tmpl w:val="B090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FF6AB8"/>
    <w:multiLevelType w:val="multilevel"/>
    <w:tmpl w:val="CB48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AA0562"/>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89653B"/>
    <w:multiLevelType w:val="multilevel"/>
    <w:tmpl w:val="C126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E24ED"/>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F14D19"/>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3A585A"/>
    <w:multiLevelType w:val="multilevel"/>
    <w:tmpl w:val="58C26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5E25A2"/>
    <w:multiLevelType w:val="multilevel"/>
    <w:tmpl w:val="D52A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3F1FF5"/>
    <w:multiLevelType w:val="multilevel"/>
    <w:tmpl w:val="7790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6A22F6"/>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090ED9"/>
    <w:multiLevelType w:val="multilevel"/>
    <w:tmpl w:val="8F08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8A3196"/>
    <w:multiLevelType w:val="multilevel"/>
    <w:tmpl w:val="25AC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CF6D58"/>
    <w:multiLevelType w:val="multilevel"/>
    <w:tmpl w:val="4624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DE3C12"/>
    <w:multiLevelType w:val="multilevel"/>
    <w:tmpl w:val="1C60EF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302960">
    <w:abstractNumId w:val="10"/>
  </w:num>
  <w:num w:numId="2" w16cid:durableId="2005430199">
    <w:abstractNumId w:val="12"/>
  </w:num>
  <w:num w:numId="3" w16cid:durableId="1647971848">
    <w:abstractNumId w:val="0"/>
  </w:num>
  <w:num w:numId="4" w16cid:durableId="2077624229">
    <w:abstractNumId w:val="1"/>
  </w:num>
  <w:num w:numId="5" w16cid:durableId="2065062045">
    <w:abstractNumId w:val="22"/>
  </w:num>
  <w:num w:numId="6" w16cid:durableId="1635216637">
    <w:abstractNumId w:val="11"/>
  </w:num>
  <w:num w:numId="7" w16cid:durableId="1084834273">
    <w:abstractNumId w:val="21"/>
  </w:num>
  <w:num w:numId="8" w16cid:durableId="1374768670">
    <w:abstractNumId w:val="7"/>
  </w:num>
  <w:num w:numId="9" w16cid:durableId="10885563">
    <w:abstractNumId w:val="2"/>
  </w:num>
  <w:num w:numId="10" w16cid:durableId="764155764">
    <w:abstractNumId w:val="14"/>
  </w:num>
  <w:num w:numId="11" w16cid:durableId="1910580326">
    <w:abstractNumId w:val="17"/>
  </w:num>
  <w:num w:numId="12" w16cid:durableId="1503666114">
    <w:abstractNumId w:val="15"/>
  </w:num>
  <w:num w:numId="13" w16cid:durableId="416246036">
    <w:abstractNumId w:val="24"/>
  </w:num>
  <w:num w:numId="14" w16cid:durableId="1871721165">
    <w:abstractNumId w:val="6"/>
  </w:num>
  <w:num w:numId="15" w16cid:durableId="1022365368">
    <w:abstractNumId w:val="4"/>
  </w:num>
  <w:num w:numId="16" w16cid:durableId="1972978029">
    <w:abstractNumId w:val="19"/>
  </w:num>
  <w:num w:numId="17" w16cid:durableId="1492016722">
    <w:abstractNumId w:val="9"/>
  </w:num>
  <w:num w:numId="18" w16cid:durableId="378435971">
    <w:abstractNumId w:val="8"/>
  </w:num>
  <w:num w:numId="19" w16cid:durableId="1926760684">
    <w:abstractNumId w:val="18"/>
  </w:num>
  <w:num w:numId="20" w16cid:durableId="328216001">
    <w:abstractNumId w:val="23"/>
  </w:num>
  <w:num w:numId="21" w16cid:durableId="383335704">
    <w:abstractNumId w:val="5"/>
  </w:num>
  <w:num w:numId="22" w16cid:durableId="560679987">
    <w:abstractNumId w:val="3"/>
  </w:num>
  <w:num w:numId="23" w16cid:durableId="972562645">
    <w:abstractNumId w:val="16"/>
  </w:num>
  <w:num w:numId="24" w16cid:durableId="1181550337">
    <w:abstractNumId w:val="20"/>
  </w:num>
  <w:num w:numId="25" w16cid:durableId="2100717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2A6"/>
    <w:rsid w:val="00064E51"/>
    <w:rsid w:val="001222A6"/>
    <w:rsid w:val="00220DD8"/>
    <w:rsid w:val="002770BB"/>
    <w:rsid w:val="003441BB"/>
    <w:rsid w:val="003C75D1"/>
    <w:rsid w:val="00426C86"/>
    <w:rsid w:val="004540F2"/>
    <w:rsid w:val="00464C40"/>
    <w:rsid w:val="004A52C5"/>
    <w:rsid w:val="00563E0B"/>
    <w:rsid w:val="0056750A"/>
    <w:rsid w:val="0061017A"/>
    <w:rsid w:val="00752650"/>
    <w:rsid w:val="0075265D"/>
    <w:rsid w:val="00782C83"/>
    <w:rsid w:val="008B5785"/>
    <w:rsid w:val="008E4924"/>
    <w:rsid w:val="0094251F"/>
    <w:rsid w:val="00A466C6"/>
    <w:rsid w:val="00A7080E"/>
    <w:rsid w:val="00B47C0B"/>
    <w:rsid w:val="00B646ED"/>
    <w:rsid w:val="00C06476"/>
    <w:rsid w:val="00C1304F"/>
    <w:rsid w:val="00D26D87"/>
    <w:rsid w:val="00D439A6"/>
    <w:rsid w:val="00EB0D63"/>
    <w:rsid w:val="00ED0064"/>
    <w:rsid w:val="00F6509C"/>
    <w:rsid w:val="00FC55A3"/>
    <w:rsid w:val="00FE047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A23AC"/>
  <w15:chartTrackingRefBased/>
  <w15:docId w15:val="{D45D3729-2997-4B78-9C0C-E2FA0D33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2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22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222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222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22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2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2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222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222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222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22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2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2A6"/>
    <w:rPr>
      <w:rFonts w:eastAsiaTheme="majorEastAsia" w:cstheme="majorBidi"/>
      <w:color w:val="272727" w:themeColor="text1" w:themeTint="D8"/>
    </w:rPr>
  </w:style>
  <w:style w:type="paragraph" w:styleId="Title">
    <w:name w:val="Title"/>
    <w:basedOn w:val="Normal"/>
    <w:next w:val="Normal"/>
    <w:link w:val="TitleChar"/>
    <w:uiPriority w:val="10"/>
    <w:qFormat/>
    <w:rsid w:val="0012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2A6"/>
    <w:pPr>
      <w:spacing w:before="160"/>
      <w:jc w:val="center"/>
    </w:pPr>
    <w:rPr>
      <w:i/>
      <w:iCs/>
      <w:color w:val="404040" w:themeColor="text1" w:themeTint="BF"/>
    </w:rPr>
  </w:style>
  <w:style w:type="character" w:customStyle="1" w:styleId="QuoteChar">
    <w:name w:val="Quote Char"/>
    <w:basedOn w:val="DefaultParagraphFont"/>
    <w:link w:val="Quote"/>
    <w:uiPriority w:val="29"/>
    <w:rsid w:val="001222A6"/>
    <w:rPr>
      <w:i/>
      <w:iCs/>
      <w:color w:val="404040" w:themeColor="text1" w:themeTint="BF"/>
    </w:rPr>
  </w:style>
  <w:style w:type="paragraph" w:styleId="ListParagraph">
    <w:name w:val="List Paragraph"/>
    <w:basedOn w:val="Normal"/>
    <w:uiPriority w:val="34"/>
    <w:qFormat/>
    <w:rsid w:val="001222A6"/>
    <w:pPr>
      <w:ind w:left="720"/>
      <w:contextualSpacing/>
    </w:pPr>
  </w:style>
  <w:style w:type="character" w:styleId="IntenseEmphasis">
    <w:name w:val="Intense Emphasis"/>
    <w:basedOn w:val="DefaultParagraphFont"/>
    <w:uiPriority w:val="21"/>
    <w:qFormat/>
    <w:rsid w:val="001222A6"/>
    <w:rPr>
      <w:i/>
      <w:iCs/>
      <w:color w:val="2F5496" w:themeColor="accent1" w:themeShade="BF"/>
    </w:rPr>
  </w:style>
  <w:style w:type="paragraph" w:styleId="IntenseQuote">
    <w:name w:val="Intense Quote"/>
    <w:basedOn w:val="Normal"/>
    <w:next w:val="Normal"/>
    <w:link w:val="IntenseQuoteChar"/>
    <w:uiPriority w:val="30"/>
    <w:qFormat/>
    <w:rsid w:val="001222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22A6"/>
    <w:rPr>
      <w:i/>
      <w:iCs/>
      <w:color w:val="2F5496" w:themeColor="accent1" w:themeShade="BF"/>
    </w:rPr>
  </w:style>
  <w:style w:type="character" w:styleId="IntenseReference">
    <w:name w:val="Intense Reference"/>
    <w:basedOn w:val="DefaultParagraphFont"/>
    <w:uiPriority w:val="32"/>
    <w:qFormat/>
    <w:rsid w:val="001222A6"/>
    <w:rPr>
      <w:b/>
      <w:bCs/>
      <w:smallCaps/>
      <w:color w:val="2F5496" w:themeColor="accent1" w:themeShade="BF"/>
      <w:spacing w:val="5"/>
    </w:rPr>
  </w:style>
  <w:style w:type="character" w:styleId="Hyperlink">
    <w:name w:val="Hyperlink"/>
    <w:basedOn w:val="DefaultParagraphFont"/>
    <w:uiPriority w:val="99"/>
    <w:unhideWhenUsed/>
    <w:rsid w:val="00C06476"/>
    <w:rPr>
      <w:color w:val="0563C1" w:themeColor="hyperlink"/>
      <w:u w:val="single"/>
    </w:rPr>
  </w:style>
  <w:style w:type="character" w:styleId="UnresolvedMention">
    <w:name w:val="Unresolved Mention"/>
    <w:basedOn w:val="DefaultParagraphFont"/>
    <w:uiPriority w:val="99"/>
    <w:semiHidden/>
    <w:unhideWhenUsed/>
    <w:rsid w:val="00C06476"/>
    <w:rPr>
      <w:color w:val="605E5C"/>
      <w:shd w:val="clear" w:color="auto" w:fill="E1DFDD"/>
    </w:rPr>
  </w:style>
  <w:style w:type="paragraph" w:styleId="TOCHeading">
    <w:name w:val="TOC Heading"/>
    <w:basedOn w:val="Heading1"/>
    <w:next w:val="Normal"/>
    <w:uiPriority w:val="39"/>
    <w:unhideWhenUsed/>
    <w:qFormat/>
    <w:rsid w:val="00D439A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439A6"/>
    <w:pPr>
      <w:spacing w:after="100"/>
    </w:pPr>
  </w:style>
  <w:style w:type="paragraph" w:styleId="TOC2">
    <w:name w:val="toc 2"/>
    <w:basedOn w:val="Normal"/>
    <w:next w:val="Normal"/>
    <w:autoRedefine/>
    <w:uiPriority w:val="39"/>
    <w:unhideWhenUsed/>
    <w:rsid w:val="00D439A6"/>
    <w:pPr>
      <w:spacing w:after="100"/>
      <w:ind w:left="220"/>
    </w:pPr>
  </w:style>
  <w:style w:type="paragraph" w:styleId="TOC3">
    <w:name w:val="toc 3"/>
    <w:basedOn w:val="Normal"/>
    <w:next w:val="Normal"/>
    <w:autoRedefine/>
    <w:uiPriority w:val="39"/>
    <w:unhideWhenUsed/>
    <w:rsid w:val="00D439A6"/>
    <w:pPr>
      <w:spacing w:after="100"/>
      <w:ind w:left="440"/>
    </w:pPr>
  </w:style>
  <w:style w:type="paragraph" w:styleId="Caption">
    <w:name w:val="caption"/>
    <w:basedOn w:val="Normal"/>
    <w:next w:val="Normal"/>
    <w:uiPriority w:val="35"/>
    <w:unhideWhenUsed/>
    <w:qFormat/>
    <w:rsid w:val="00A7080E"/>
    <w:pPr>
      <w:spacing w:after="200" w:line="240" w:lineRule="auto"/>
    </w:pPr>
    <w:rPr>
      <w:i/>
      <w:iCs/>
      <w:color w:val="44546A" w:themeColor="text2"/>
      <w:sz w:val="18"/>
      <w:szCs w:val="18"/>
    </w:rPr>
  </w:style>
  <w:style w:type="paragraph" w:styleId="NoSpacing">
    <w:name w:val="No Spacing"/>
    <w:link w:val="NoSpacingChar"/>
    <w:uiPriority w:val="1"/>
    <w:qFormat/>
    <w:rsid w:val="0056750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6750A"/>
    <w:rPr>
      <w:rFonts w:eastAsiaTheme="minorEastAsia"/>
      <w:kern w:val="0"/>
      <w:lang w:val="en-US"/>
      <w14:ligatures w14:val="none"/>
    </w:rPr>
  </w:style>
  <w:style w:type="paragraph" w:styleId="NormalWeb">
    <w:name w:val="Normal (Web)"/>
    <w:basedOn w:val="Normal"/>
    <w:uiPriority w:val="99"/>
    <w:semiHidden/>
    <w:unhideWhenUsed/>
    <w:rsid w:val="00563E0B"/>
    <w:rPr>
      <w:rFonts w:ascii="Times New Roman" w:hAnsi="Times New Roman" w:cs="Times New Roman"/>
      <w:sz w:val="24"/>
      <w:szCs w:val="24"/>
    </w:rPr>
  </w:style>
  <w:style w:type="paragraph" w:styleId="Header">
    <w:name w:val="header"/>
    <w:basedOn w:val="Normal"/>
    <w:link w:val="HeaderChar"/>
    <w:uiPriority w:val="99"/>
    <w:unhideWhenUsed/>
    <w:rsid w:val="004A5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2C5"/>
  </w:style>
  <w:style w:type="paragraph" w:styleId="Footer">
    <w:name w:val="footer"/>
    <w:basedOn w:val="Normal"/>
    <w:link w:val="FooterChar"/>
    <w:uiPriority w:val="99"/>
    <w:unhideWhenUsed/>
    <w:rsid w:val="004A5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news/releases/cqc-publishes-inspection-report-shrewsbury-telford-hospital-nhs-trust" TargetMode="External"/><Relationship Id="rId18" Type="http://schemas.openxmlformats.org/officeDocument/2006/relationships/hyperlink" Target="https://www.ihi.org/library/model-for-improvement?utm_source=chatgpt.com" TargetMode="External"/><Relationship Id="rId26" Type="http://schemas.openxmlformats.org/officeDocument/2006/relationships/hyperlink" Target="https://www.england.nhs.uk/patient-safety/patient-safety-culture/being-fair-tool/?utm_source=chatgpt.com" TargetMode="External"/><Relationship Id="rId39" Type="http://schemas.openxmlformats.org/officeDocument/2006/relationships/hyperlink" Target="https://www.rcog.org.uk" TargetMode="External"/><Relationship Id="rId21" Type="http://schemas.openxmlformats.org/officeDocument/2006/relationships/hyperlink" Target="https://www.kingsfund.org.uk/publications/leadership-and-leadership-development-health-care" TargetMode="External"/><Relationship Id="rId34" Type="http://schemas.openxmlformats.org/officeDocument/2006/relationships/hyperlink" Target="https://www.resolution.nhs.uk/publications/annual-reports/" TargetMode="External"/><Relationship Id="rId42" Type="http://schemas.openxmlformats.org/officeDocument/2006/relationships/hyperlink" Target="https://bmjopen.bmj.com/content/11/8/e048036?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amanetwork.com/journals/jama/fullarticle/374139?utm_source=chatgpt.com" TargetMode="External"/><Relationship Id="rId29" Type="http://schemas.openxmlformats.org/officeDocument/2006/relationships/hyperlink" Target="https://www.england.nhs.uk/patient-safety/the-nhs-patient-safety-strategy/?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ice.org.uk/guidance/ng235?utm_source=chatgpt.com" TargetMode="External"/><Relationship Id="rId32" Type="http://schemas.openxmlformats.org/officeDocument/2006/relationships/hyperlink" Target="https://www.leadershipacademy.nhs.uk/wp-content/uploads/2012/11/NHSLeadership-Framework-LeadershipFramework.pdf?utm_source=chatgpt.com" TargetMode="External"/><Relationship Id="rId37" Type="http://schemas.openxmlformats.org/officeDocument/2006/relationships/hyperlink" Target="https://www.nejm.org/doi/full/10.1056/NEJMoa061115?utm_source=chatgpt.com" TargetMode="External"/><Relationship Id="rId40" Type="http://schemas.openxmlformats.org/officeDocument/2006/relationships/hyperlink" Target="https://www.bmj.com/content/320/7237/768?utm_source=chatgpt.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mj.com/content/351/bmj.h4255?utm_source=chatgpt.com" TargetMode="External"/><Relationship Id="rId23" Type="http://schemas.openxmlformats.org/officeDocument/2006/relationships/hyperlink" Target="https://www.npeu.ox.ac.uk/mbrrace-uk/reports/perinatal-mortality-surveillance?utm_source=chatgpt.com" TargetMode="External"/><Relationship Id="rId28" Type="http://schemas.openxmlformats.org/officeDocument/2006/relationships/hyperlink" Target="https://www.england.nhs.uk/publication/saving-babies-lives-version-two-a-care-bundle-for-reducing-perinatal-mortality" TargetMode="External"/><Relationship Id="rId36" Type="http://schemas.openxmlformats.org/officeDocument/2006/relationships/hyperlink" Target="https://www.ockendenmaternityreview.org.uk/wp-content/uploads/2022/03/FINAL_INDEPENDENT_MATERNITY_REVIEW_OF_MATERNITY_SERVICES_REPORT.pdf?utm_source=chatgpt.com" TargetMode="External"/><Relationship Id="rId10" Type="http://schemas.openxmlformats.org/officeDocument/2006/relationships/image" Target="media/image3.jpeg"/><Relationship Id="rId19" Type="http://schemas.openxmlformats.org/officeDocument/2006/relationships/hyperlink" Target="https://www.ncbi.nlm.nih.gov/books/NBK225182/?utm_source=chatgpt.com" TargetMode="External"/><Relationship Id="rId31" Type="http://schemas.openxmlformats.org/officeDocument/2006/relationships/hyperlink" Target="https://www.england.nhs.uk/long-read/publication-of-delivery-plan-technical-guidance-saving-babies-lives-care-bundle-v3-and-core-competency-framework-v2/?utm_source=chatgpt.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qc.org.uk/publications/maternity-services-2022-2024?utm_source=chatgpt.com" TargetMode="External"/><Relationship Id="rId22" Type="http://schemas.openxmlformats.org/officeDocument/2006/relationships/hyperlink" Target="https://pubmed.ncbi.nlm.nih.gov/19302989/?utm_source=chatgpt.com" TargetMode="External"/><Relationship Id="rId27" Type="http://schemas.openxmlformats.org/officeDocument/2006/relationships/hyperlink" Target="https://www.england.nhs.uk/improvement-hub/wp-content/uploads/sites/44/2017/11/Bringing-Lean-to-Life.pdf?utm_source=chatgpt.com" TargetMode="External"/><Relationship Id="rId30" Type="http://schemas.openxmlformats.org/officeDocument/2006/relationships/hyperlink" Target="https://www.england.nhs.uk/patient-safety/patient-safety-insight/incident-response-framework/?utm_source=chatgpt.com" TargetMode="External"/><Relationship Id="rId35" Type="http://schemas.openxmlformats.org/officeDocument/2006/relationships/hyperlink" Target="https://www.gov.uk/government/publications/final-report-of-the-ockenden-review?utm_source=chatgpt.com" TargetMode="External"/><Relationship Id="rId43" Type="http://schemas.openxmlformats.org/officeDocument/2006/relationships/hyperlink" Target="https://www.who.int/publications/i/item/9789241508483?utm_source=chatgpt.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qualitysafety.bmj.com/content/24/9/561?utm_source=chatgpt.com" TargetMode="External"/><Relationship Id="rId17" Type="http://schemas.openxmlformats.org/officeDocument/2006/relationships/hyperlink" Target="https://www.health.org.uk/publications/whats-leadership-got-to-do-with-it" TargetMode="External"/><Relationship Id="rId25" Type="http://schemas.openxmlformats.org/officeDocument/2006/relationships/hyperlink" Target="https://www.england.nhs.uk/improvement-hub/wp-content/uploads/sites/44/2017/11/Going-Lean-in-the-NHS.pdf?utm_source=chatgpt.com" TargetMode="External"/><Relationship Id="rId33" Type="http://schemas.openxmlformats.org/officeDocument/2006/relationships/hyperlink" Target="https://resolution.nhs.uk/wp-content/uploads/2019/07/NHS-Resolution-Being-Fair-Report.pdf?utm_source=chatgpt.com" TargetMode="External"/><Relationship Id="rId38" Type="http://schemas.openxmlformats.org/officeDocument/2006/relationships/hyperlink" Target="https://www.rcm.org.uk" TargetMode="External"/><Relationship Id="rId46" Type="http://schemas.openxmlformats.org/officeDocument/2006/relationships/theme" Target="theme/theme1.xml"/><Relationship Id="rId20" Type="http://schemas.openxmlformats.org/officeDocument/2006/relationships/hyperlink" Target="https://www.ncbi.nlm.nih.gov/pmc/articles/PMC6019318/" TargetMode="External"/><Relationship Id="rId41" Type="http://schemas.openxmlformats.org/officeDocument/2006/relationships/hyperlink" Target="https://qualitysafety.bmj.com/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82D4E-7D5E-410D-A4FD-879AB51B8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6064</Words>
  <Characters>34568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Leadership and Governance Failures in the Shrewsbury and Telford Maternity Scandal</vt:lpstr>
    </vt:vector>
  </TitlesOfParts>
  <Company/>
  <LinksUpToDate>false</LinksUpToDate>
  <CharactersWithSpaces>40551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Governance Failures in the Shrewsbury and Telford Maternity Scandal</dc:title>
  <dc:subject>SERVICE IMPROVEMENT REPORT</dc:subject>
  <dc:creator>Janvi iSHWARBHAI chauhan</dc:creator>
  <cp:keywords/>
  <dc:description/>
  <cp:lastModifiedBy>Janvi chauhan</cp:lastModifiedBy>
  <cp:revision>3</cp:revision>
  <dcterms:created xsi:type="dcterms:W3CDTF">2025-12-05T12:03:00Z</dcterms:created>
  <dcterms:modified xsi:type="dcterms:W3CDTF">2025-12-05T12:46:00Z</dcterms:modified>
  <cp:category>Student ID: 2431585                                           Module: Quality Assurance and Service Improvements | Module code: LCHS7006                         Lecturer: Shepherd Ziko                                     Assignment Title: Service Improvement Report</cp:category>
</cp:coreProperties>
</file>