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8EAD1" w14:textId="6024BDCB" w:rsidR="00501CC9" w:rsidRPr="004153F0" w:rsidRDefault="00501CC9" w:rsidP="00596036">
      <w:pPr>
        <w:spacing w:line="360" w:lineRule="auto"/>
        <w:rPr>
          <w:b/>
          <w:bCs/>
          <w:color w:val="000000" w:themeColor="text1"/>
          <w:sz w:val="32"/>
          <w:szCs w:val="32"/>
          <w:highlight w:val="white"/>
          <w:lang w:val="en-GB"/>
        </w:rPr>
      </w:pPr>
    </w:p>
    <w:p w14:paraId="635516D6" w14:textId="77777777" w:rsidR="00DF1824" w:rsidRPr="004153F0" w:rsidRDefault="00DF1824">
      <w:pPr>
        <w:spacing w:line="360" w:lineRule="auto"/>
        <w:jc w:val="center"/>
        <w:rPr>
          <w:b/>
          <w:bCs/>
          <w:color w:val="000000" w:themeColor="text1"/>
          <w:sz w:val="32"/>
          <w:szCs w:val="32"/>
          <w:highlight w:val="white"/>
          <w:lang w:val="en-GB"/>
        </w:rPr>
      </w:pPr>
    </w:p>
    <w:p w14:paraId="5259F173" w14:textId="77777777" w:rsidR="00DF1824" w:rsidRPr="004153F0" w:rsidRDefault="00DF1824">
      <w:pPr>
        <w:spacing w:line="360" w:lineRule="auto"/>
        <w:jc w:val="center"/>
        <w:rPr>
          <w:b/>
          <w:bCs/>
          <w:color w:val="000000" w:themeColor="text1"/>
          <w:sz w:val="32"/>
          <w:szCs w:val="32"/>
          <w:highlight w:val="white"/>
          <w:lang w:val="en-GB"/>
        </w:rPr>
      </w:pPr>
    </w:p>
    <w:p w14:paraId="42D12219" w14:textId="77777777" w:rsidR="00596036" w:rsidRPr="00596036" w:rsidRDefault="00596036" w:rsidP="00596036">
      <w:pPr>
        <w:spacing w:line="360" w:lineRule="auto"/>
        <w:rPr>
          <w:color w:val="000000" w:themeColor="text1"/>
          <w:sz w:val="40"/>
          <w:szCs w:val="40"/>
          <w:highlight w:val="white"/>
          <w:lang w:val="en-GB"/>
        </w:rPr>
      </w:pPr>
      <w:r w:rsidRPr="00596036">
        <w:rPr>
          <w:b/>
          <w:bCs/>
          <w:color w:val="000000" w:themeColor="text1"/>
          <w:sz w:val="40"/>
          <w:szCs w:val="40"/>
          <w:highlight w:val="white"/>
          <w:lang w:val="en-IN"/>
        </w:rPr>
        <w:t xml:space="preserve">Name: </w:t>
      </w:r>
      <w:r w:rsidRPr="00596036">
        <w:rPr>
          <w:color w:val="000000" w:themeColor="text1"/>
          <w:sz w:val="40"/>
          <w:szCs w:val="40"/>
          <w:highlight w:val="white"/>
          <w:lang w:val="en-IN"/>
        </w:rPr>
        <w:t>Shivani Patel</w:t>
      </w:r>
    </w:p>
    <w:p w14:paraId="7917FBDF" w14:textId="23625EE6" w:rsidR="00596036" w:rsidRPr="00596036" w:rsidRDefault="00596036" w:rsidP="00596036">
      <w:pPr>
        <w:spacing w:line="360" w:lineRule="auto"/>
        <w:rPr>
          <w:color w:val="000000" w:themeColor="text1"/>
          <w:sz w:val="40"/>
          <w:szCs w:val="40"/>
          <w:highlight w:val="white"/>
          <w:lang w:val="en-GB"/>
        </w:rPr>
      </w:pPr>
      <w:r w:rsidRPr="00596036">
        <w:rPr>
          <w:b/>
          <w:bCs/>
          <w:color w:val="000000" w:themeColor="text1"/>
          <w:sz w:val="40"/>
          <w:szCs w:val="40"/>
          <w:highlight w:val="white"/>
          <w:lang w:val="en-IN"/>
        </w:rPr>
        <w:t>S</w:t>
      </w:r>
      <w:r w:rsidRPr="00596036">
        <w:rPr>
          <w:b/>
          <w:bCs/>
          <w:color w:val="000000" w:themeColor="text1"/>
          <w:sz w:val="40"/>
          <w:szCs w:val="40"/>
          <w:highlight w:val="white"/>
          <w:lang w:val="en-IN"/>
        </w:rPr>
        <w:t xml:space="preserve">tudent Id: </w:t>
      </w:r>
      <w:r w:rsidRPr="00596036">
        <w:rPr>
          <w:color w:val="000000" w:themeColor="text1"/>
          <w:sz w:val="40"/>
          <w:szCs w:val="40"/>
          <w:highlight w:val="white"/>
          <w:lang w:val="en-IN"/>
        </w:rPr>
        <w:t>2508120</w:t>
      </w:r>
    </w:p>
    <w:p w14:paraId="2826A288" w14:textId="77777777" w:rsidR="00596036" w:rsidRPr="00596036" w:rsidRDefault="00596036" w:rsidP="00596036">
      <w:pPr>
        <w:spacing w:line="360" w:lineRule="auto"/>
        <w:rPr>
          <w:color w:val="000000" w:themeColor="text1"/>
          <w:sz w:val="40"/>
          <w:szCs w:val="40"/>
          <w:highlight w:val="white"/>
          <w:lang w:val="en-IN"/>
        </w:rPr>
      </w:pPr>
      <w:r w:rsidRPr="00596036">
        <w:rPr>
          <w:b/>
          <w:bCs/>
          <w:color w:val="000000" w:themeColor="text1"/>
          <w:sz w:val="40"/>
          <w:szCs w:val="40"/>
          <w:highlight w:val="white"/>
          <w:lang w:val="en-IN"/>
        </w:rPr>
        <w:t xml:space="preserve">Programme: </w:t>
      </w:r>
      <w:r w:rsidRPr="00596036">
        <w:rPr>
          <w:color w:val="000000" w:themeColor="text1"/>
          <w:sz w:val="40"/>
          <w:szCs w:val="40"/>
          <w:highlight w:val="white"/>
          <w:lang w:val="en-IN"/>
        </w:rPr>
        <w:t>MSc Public Health and Social Care in Practice</w:t>
      </w:r>
    </w:p>
    <w:p w14:paraId="6D361372" w14:textId="1056EA8C" w:rsidR="00596036" w:rsidRPr="00596036" w:rsidRDefault="00596036" w:rsidP="00596036">
      <w:pPr>
        <w:spacing w:line="360" w:lineRule="auto"/>
        <w:rPr>
          <w:color w:val="000000" w:themeColor="text1"/>
          <w:sz w:val="40"/>
          <w:szCs w:val="40"/>
          <w:highlight w:val="white"/>
          <w:lang w:val="en-IN"/>
        </w:rPr>
      </w:pPr>
      <w:r w:rsidRPr="00596036">
        <w:rPr>
          <w:b/>
          <w:bCs/>
          <w:color w:val="000000" w:themeColor="text1"/>
          <w:sz w:val="40"/>
          <w:szCs w:val="40"/>
          <w:highlight w:val="white"/>
          <w:lang w:val="en-IN"/>
        </w:rPr>
        <w:t xml:space="preserve">Module Code: </w:t>
      </w:r>
      <w:r w:rsidRPr="00596036">
        <w:rPr>
          <w:color w:val="000000" w:themeColor="text1"/>
          <w:sz w:val="40"/>
          <w:szCs w:val="40"/>
          <w:highlight w:val="white"/>
          <w:lang w:val="en-IN"/>
        </w:rPr>
        <w:t>LCHS700</w:t>
      </w:r>
      <w:r w:rsidRPr="00596036">
        <w:rPr>
          <w:color w:val="000000" w:themeColor="text1"/>
          <w:sz w:val="40"/>
          <w:szCs w:val="40"/>
          <w:highlight w:val="white"/>
          <w:lang w:val="en-IN"/>
        </w:rPr>
        <w:t>6</w:t>
      </w:r>
    </w:p>
    <w:p w14:paraId="4E94E6A9" w14:textId="2A46535D" w:rsidR="00596036" w:rsidRPr="00596036" w:rsidRDefault="00596036" w:rsidP="00596036">
      <w:pPr>
        <w:spacing w:line="360" w:lineRule="auto"/>
        <w:rPr>
          <w:color w:val="000000" w:themeColor="text1"/>
          <w:sz w:val="40"/>
          <w:szCs w:val="40"/>
          <w:highlight w:val="white"/>
          <w:lang w:val="en-IN"/>
        </w:rPr>
      </w:pPr>
      <w:r w:rsidRPr="00596036">
        <w:rPr>
          <w:b/>
          <w:bCs/>
          <w:color w:val="000000" w:themeColor="text1"/>
          <w:sz w:val="40"/>
          <w:szCs w:val="40"/>
          <w:highlight w:val="white"/>
          <w:lang w:val="en-IN"/>
        </w:rPr>
        <w:t>Module Title</w:t>
      </w:r>
      <w:r w:rsidRPr="00596036">
        <w:rPr>
          <w:color w:val="000000" w:themeColor="text1"/>
          <w:sz w:val="40"/>
          <w:szCs w:val="40"/>
          <w:highlight w:val="white"/>
          <w:lang w:val="en-IN"/>
        </w:rPr>
        <w:t xml:space="preserve">: </w:t>
      </w:r>
      <w:r w:rsidRPr="00596036">
        <w:rPr>
          <w:color w:val="000000" w:themeColor="text1"/>
          <w:sz w:val="40"/>
          <w:szCs w:val="40"/>
          <w:highlight w:val="white"/>
          <w:lang w:val="en-IN"/>
        </w:rPr>
        <w:t>Quality Assurance and Service Improvements</w:t>
      </w:r>
    </w:p>
    <w:p w14:paraId="4161D11D" w14:textId="7C1DA65A" w:rsidR="00596036" w:rsidRPr="00596036" w:rsidRDefault="00596036" w:rsidP="00596036">
      <w:pPr>
        <w:spacing w:line="360" w:lineRule="auto"/>
        <w:rPr>
          <w:color w:val="000000" w:themeColor="text1"/>
          <w:sz w:val="40"/>
          <w:szCs w:val="40"/>
          <w:highlight w:val="white"/>
          <w:lang w:val="en-IN"/>
        </w:rPr>
      </w:pPr>
      <w:r w:rsidRPr="00596036">
        <w:rPr>
          <w:b/>
          <w:bCs/>
          <w:color w:val="000000" w:themeColor="text1"/>
          <w:sz w:val="40"/>
          <w:szCs w:val="40"/>
          <w:highlight w:val="white"/>
          <w:lang w:val="en-IN"/>
        </w:rPr>
        <w:t>Assessment Title</w:t>
      </w:r>
      <w:r w:rsidRPr="00596036">
        <w:rPr>
          <w:color w:val="000000" w:themeColor="text1"/>
          <w:sz w:val="40"/>
          <w:szCs w:val="40"/>
          <w:highlight w:val="white"/>
          <w:lang w:val="en-IN"/>
        </w:rPr>
        <w:t>: Component 2:</w:t>
      </w:r>
      <w:r w:rsidRPr="00596036">
        <w:rPr>
          <w:color w:val="000000" w:themeColor="text1"/>
          <w:sz w:val="40"/>
          <w:szCs w:val="40"/>
          <w:highlight w:val="white"/>
          <w:lang w:val="en-IN"/>
        </w:rPr>
        <w:t xml:space="preserve"> Service Improvements Report</w:t>
      </w:r>
    </w:p>
    <w:p w14:paraId="60A018B4" w14:textId="5A533CBA" w:rsidR="00596036" w:rsidRPr="00596036" w:rsidRDefault="00596036" w:rsidP="00596036">
      <w:pPr>
        <w:spacing w:line="360" w:lineRule="auto"/>
        <w:rPr>
          <w:color w:val="000000" w:themeColor="text1"/>
          <w:sz w:val="40"/>
          <w:szCs w:val="40"/>
          <w:highlight w:val="white"/>
          <w:lang w:val="en-IN"/>
        </w:rPr>
      </w:pPr>
      <w:r w:rsidRPr="00596036">
        <w:rPr>
          <w:b/>
          <w:bCs/>
          <w:color w:val="000000" w:themeColor="text1"/>
          <w:sz w:val="40"/>
          <w:szCs w:val="40"/>
          <w:highlight w:val="white"/>
          <w:lang w:val="en-IN"/>
        </w:rPr>
        <w:t>Lecturer</w:t>
      </w:r>
      <w:r w:rsidRPr="00596036">
        <w:rPr>
          <w:color w:val="000000" w:themeColor="text1"/>
          <w:sz w:val="40"/>
          <w:szCs w:val="40"/>
          <w:highlight w:val="white"/>
          <w:lang w:val="en-IN"/>
        </w:rPr>
        <w:t>: Dr</w:t>
      </w:r>
      <w:r w:rsidRPr="00596036">
        <w:rPr>
          <w:color w:val="000000" w:themeColor="text1"/>
          <w:sz w:val="40"/>
          <w:szCs w:val="40"/>
          <w:highlight w:val="white"/>
          <w:lang w:val="en-IN"/>
        </w:rPr>
        <w:t xml:space="preserve"> Fahad khan</w:t>
      </w:r>
    </w:p>
    <w:p w14:paraId="78E0A30E" w14:textId="1740ED6B" w:rsidR="00596036" w:rsidRPr="00596036" w:rsidRDefault="00596036" w:rsidP="00596036">
      <w:pPr>
        <w:spacing w:line="360" w:lineRule="auto"/>
        <w:rPr>
          <w:color w:val="000000" w:themeColor="text1"/>
          <w:sz w:val="40"/>
          <w:szCs w:val="40"/>
          <w:highlight w:val="white"/>
          <w:lang w:val="en-IN"/>
        </w:rPr>
      </w:pPr>
      <w:r w:rsidRPr="00596036">
        <w:rPr>
          <w:b/>
          <w:bCs/>
          <w:color w:val="000000" w:themeColor="text1"/>
          <w:sz w:val="40"/>
          <w:szCs w:val="40"/>
          <w:highlight w:val="white"/>
          <w:lang w:val="en-IN"/>
        </w:rPr>
        <w:t xml:space="preserve">Submission Date: </w:t>
      </w:r>
      <w:r w:rsidRPr="00596036">
        <w:rPr>
          <w:color w:val="000000" w:themeColor="text1"/>
          <w:sz w:val="40"/>
          <w:szCs w:val="40"/>
          <w:highlight w:val="white"/>
          <w:lang w:val="en-IN"/>
        </w:rPr>
        <w:t>2</w:t>
      </w:r>
      <w:r w:rsidRPr="00596036">
        <w:rPr>
          <w:color w:val="000000" w:themeColor="text1"/>
          <w:sz w:val="40"/>
          <w:szCs w:val="40"/>
          <w:highlight w:val="white"/>
          <w:lang w:val="en-IN"/>
        </w:rPr>
        <w:t>9</w:t>
      </w:r>
      <w:r w:rsidRPr="00596036">
        <w:rPr>
          <w:color w:val="000000" w:themeColor="text1"/>
          <w:sz w:val="40"/>
          <w:szCs w:val="40"/>
          <w:highlight w:val="white"/>
          <w:lang w:val="en-IN"/>
        </w:rPr>
        <w:t xml:space="preserve"> July 2026</w:t>
      </w:r>
    </w:p>
    <w:p w14:paraId="4230EB8F" w14:textId="4D0C367F" w:rsidR="0053357E" w:rsidRPr="00596036" w:rsidRDefault="0053357E" w:rsidP="00596036">
      <w:pPr>
        <w:spacing w:line="360" w:lineRule="auto"/>
        <w:jc w:val="center"/>
        <w:rPr>
          <w:b/>
          <w:bCs/>
          <w:color w:val="000000" w:themeColor="text1"/>
          <w:sz w:val="40"/>
          <w:szCs w:val="40"/>
          <w:highlight w:val="white"/>
          <w:lang w:val="en-GB"/>
        </w:rPr>
      </w:pPr>
    </w:p>
    <w:p w14:paraId="564FB803" w14:textId="77777777" w:rsidR="0053357E" w:rsidRPr="00596036" w:rsidRDefault="0053357E">
      <w:pPr>
        <w:rPr>
          <w:b/>
          <w:bCs/>
          <w:color w:val="000000" w:themeColor="text1"/>
          <w:sz w:val="40"/>
          <w:szCs w:val="40"/>
          <w:highlight w:val="white"/>
          <w:lang w:val="en-GB"/>
        </w:rPr>
      </w:pPr>
      <w:r w:rsidRPr="00596036">
        <w:rPr>
          <w:b/>
          <w:bCs/>
          <w:color w:val="000000" w:themeColor="text1"/>
          <w:sz w:val="40"/>
          <w:szCs w:val="40"/>
          <w:highlight w:val="white"/>
          <w:lang w:val="en-GB"/>
        </w:rPr>
        <w:br w:type="page"/>
      </w:r>
    </w:p>
    <w:sdt>
      <w:sdtPr>
        <w:rPr>
          <w:rFonts w:ascii="Arial" w:eastAsia="Arial" w:hAnsi="Arial" w:cs="Arial"/>
          <w:b w:val="0"/>
          <w:bCs w:val="0"/>
          <w:color w:val="000000" w:themeColor="text1"/>
          <w:sz w:val="22"/>
          <w:szCs w:val="22"/>
          <w:lang w:val="en-GB" w:eastAsia="en-IN"/>
        </w:rPr>
        <w:id w:val="1038931518"/>
        <w:docPartObj>
          <w:docPartGallery w:val="Table of Contents"/>
          <w:docPartUnique/>
        </w:docPartObj>
      </w:sdtPr>
      <w:sdtEndPr>
        <w:rPr>
          <w:noProof/>
        </w:rPr>
      </w:sdtEndPr>
      <w:sdtContent>
        <w:p w14:paraId="4B533EB4" w14:textId="77777777" w:rsidR="0053357E" w:rsidRPr="004153F0" w:rsidRDefault="0053357E" w:rsidP="0053357E">
          <w:pPr>
            <w:pStyle w:val="TOCHeading"/>
            <w:spacing w:line="360" w:lineRule="auto"/>
            <w:jc w:val="center"/>
            <w:rPr>
              <w:rFonts w:ascii="Arial" w:hAnsi="Arial" w:cs="Arial"/>
              <w:color w:val="000000" w:themeColor="text1"/>
              <w:szCs w:val="22"/>
              <w:lang w:val="en-GB"/>
            </w:rPr>
          </w:pPr>
          <w:r w:rsidRPr="004153F0">
            <w:rPr>
              <w:rFonts w:ascii="Arial" w:hAnsi="Arial" w:cs="Arial"/>
              <w:color w:val="000000" w:themeColor="text1"/>
              <w:szCs w:val="22"/>
              <w:lang w:val="en-GB"/>
            </w:rPr>
            <w:t>Table of Contents</w:t>
          </w:r>
        </w:p>
        <w:p w14:paraId="539963A5" w14:textId="77777777" w:rsidR="0069379B" w:rsidRPr="004153F0" w:rsidRDefault="0053357E" w:rsidP="0069379B">
          <w:pPr>
            <w:pStyle w:val="TOC1"/>
            <w:tabs>
              <w:tab w:val="right" w:leader="dot" w:pos="9350"/>
            </w:tabs>
            <w:spacing w:line="360" w:lineRule="auto"/>
            <w:jc w:val="both"/>
            <w:rPr>
              <w:rFonts w:asciiTheme="minorHAnsi" w:eastAsiaTheme="minorEastAsia" w:hAnsiTheme="minorHAnsi" w:cstheme="minorBidi"/>
              <w:noProof/>
              <w:color w:val="000000" w:themeColor="text1"/>
              <w:lang w:val="en-GB"/>
            </w:rPr>
          </w:pPr>
          <w:r w:rsidRPr="004153F0">
            <w:rPr>
              <w:color w:val="000000" w:themeColor="text1"/>
              <w:lang w:val="en-GB"/>
            </w:rPr>
            <w:fldChar w:fldCharType="begin"/>
          </w:r>
          <w:r w:rsidRPr="004153F0">
            <w:rPr>
              <w:color w:val="000000" w:themeColor="text1"/>
              <w:lang w:val="en-GB"/>
            </w:rPr>
            <w:instrText xml:space="preserve"> TOC \o "1-3" \h \z \u </w:instrText>
          </w:r>
          <w:r w:rsidRPr="004153F0">
            <w:rPr>
              <w:color w:val="000000" w:themeColor="text1"/>
              <w:lang w:val="en-GB"/>
            </w:rPr>
            <w:fldChar w:fldCharType="separate"/>
          </w:r>
          <w:hyperlink w:anchor="_Toc233368509" w:history="1">
            <w:r w:rsidR="0069379B" w:rsidRPr="004153F0">
              <w:rPr>
                <w:rStyle w:val="Hyperlink"/>
                <w:noProof/>
                <w:color w:val="000000" w:themeColor="text1"/>
                <w:highlight w:val="white"/>
                <w:lang w:val="en-GB"/>
              </w:rPr>
              <w:t>1. Introduction</w:t>
            </w:r>
            <w:r w:rsidR="0069379B" w:rsidRPr="004153F0">
              <w:rPr>
                <w:noProof/>
                <w:webHidden/>
                <w:color w:val="000000" w:themeColor="text1"/>
                <w:lang w:val="en-GB"/>
              </w:rPr>
              <w:tab/>
            </w:r>
            <w:r w:rsidR="0069379B" w:rsidRPr="004153F0">
              <w:rPr>
                <w:noProof/>
                <w:webHidden/>
                <w:color w:val="000000" w:themeColor="text1"/>
                <w:lang w:val="en-GB"/>
              </w:rPr>
              <w:fldChar w:fldCharType="begin"/>
            </w:r>
            <w:r w:rsidR="0069379B" w:rsidRPr="004153F0">
              <w:rPr>
                <w:noProof/>
                <w:webHidden/>
                <w:color w:val="000000" w:themeColor="text1"/>
                <w:lang w:val="en-GB"/>
              </w:rPr>
              <w:instrText xml:space="preserve"> PAGEREF _Toc233368509 \h </w:instrText>
            </w:r>
            <w:r w:rsidR="0069379B" w:rsidRPr="004153F0">
              <w:rPr>
                <w:noProof/>
                <w:webHidden/>
                <w:color w:val="000000" w:themeColor="text1"/>
                <w:lang w:val="en-GB"/>
              </w:rPr>
            </w:r>
            <w:r w:rsidR="0069379B" w:rsidRPr="004153F0">
              <w:rPr>
                <w:noProof/>
                <w:webHidden/>
                <w:color w:val="000000" w:themeColor="text1"/>
                <w:lang w:val="en-GB"/>
              </w:rPr>
              <w:fldChar w:fldCharType="separate"/>
            </w:r>
            <w:r w:rsidR="0069379B" w:rsidRPr="004153F0">
              <w:rPr>
                <w:noProof/>
                <w:webHidden/>
                <w:color w:val="000000" w:themeColor="text1"/>
                <w:lang w:val="en-GB"/>
              </w:rPr>
              <w:t>3</w:t>
            </w:r>
            <w:r w:rsidR="0069379B" w:rsidRPr="004153F0">
              <w:rPr>
                <w:noProof/>
                <w:webHidden/>
                <w:color w:val="000000" w:themeColor="text1"/>
                <w:lang w:val="en-GB"/>
              </w:rPr>
              <w:fldChar w:fldCharType="end"/>
            </w:r>
          </w:hyperlink>
        </w:p>
        <w:p w14:paraId="3E908C21" w14:textId="77777777" w:rsidR="0069379B" w:rsidRPr="004153F0" w:rsidRDefault="0069379B" w:rsidP="0069379B">
          <w:pPr>
            <w:pStyle w:val="TOC1"/>
            <w:tabs>
              <w:tab w:val="right" w:leader="dot" w:pos="9350"/>
            </w:tabs>
            <w:spacing w:line="360" w:lineRule="auto"/>
            <w:jc w:val="both"/>
            <w:rPr>
              <w:rFonts w:asciiTheme="minorHAnsi" w:eastAsiaTheme="minorEastAsia" w:hAnsiTheme="minorHAnsi" w:cstheme="minorBidi"/>
              <w:noProof/>
              <w:color w:val="000000" w:themeColor="text1"/>
              <w:lang w:val="en-GB"/>
            </w:rPr>
          </w:pPr>
          <w:hyperlink w:anchor="_Toc233368510" w:history="1">
            <w:r w:rsidRPr="004153F0">
              <w:rPr>
                <w:rStyle w:val="Hyperlink"/>
                <w:noProof/>
                <w:color w:val="000000" w:themeColor="text1"/>
                <w:highlight w:val="white"/>
                <w:lang w:val="en-GB"/>
              </w:rPr>
              <w:t>2. Donabedian Model</w:t>
            </w:r>
            <w:r w:rsidRPr="004153F0">
              <w:rPr>
                <w:noProof/>
                <w:webHidden/>
                <w:color w:val="000000" w:themeColor="text1"/>
                <w:lang w:val="en-GB"/>
              </w:rPr>
              <w:tab/>
            </w:r>
            <w:r w:rsidRPr="004153F0">
              <w:rPr>
                <w:noProof/>
                <w:webHidden/>
                <w:color w:val="000000" w:themeColor="text1"/>
                <w:lang w:val="en-GB"/>
              </w:rPr>
              <w:fldChar w:fldCharType="begin"/>
            </w:r>
            <w:r w:rsidRPr="004153F0">
              <w:rPr>
                <w:noProof/>
                <w:webHidden/>
                <w:color w:val="000000" w:themeColor="text1"/>
                <w:lang w:val="en-GB"/>
              </w:rPr>
              <w:instrText xml:space="preserve"> PAGEREF _Toc233368510 \h </w:instrText>
            </w:r>
            <w:r w:rsidRPr="004153F0">
              <w:rPr>
                <w:noProof/>
                <w:webHidden/>
                <w:color w:val="000000" w:themeColor="text1"/>
                <w:lang w:val="en-GB"/>
              </w:rPr>
            </w:r>
            <w:r w:rsidRPr="004153F0">
              <w:rPr>
                <w:noProof/>
                <w:webHidden/>
                <w:color w:val="000000" w:themeColor="text1"/>
                <w:lang w:val="en-GB"/>
              </w:rPr>
              <w:fldChar w:fldCharType="separate"/>
            </w:r>
            <w:r w:rsidRPr="004153F0">
              <w:rPr>
                <w:noProof/>
                <w:webHidden/>
                <w:color w:val="000000" w:themeColor="text1"/>
                <w:lang w:val="en-GB"/>
              </w:rPr>
              <w:t>3</w:t>
            </w:r>
            <w:r w:rsidRPr="004153F0">
              <w:rPr>
                <w:noProof/>
                <w:webHidden/>
                <w:color w:val="000000" w:themeColor="text1"/>
                <w:lang w:val="en-GB"/>
              </w:rPr>
              <w:fldChar w:fldCharType="end"/>
            </w:r>
          </w:hyperlink>
        </w:p>
        <w:p w14:paraId="4A5CAA00" w14:textId="77777777" w:rsidR="0069379B" w:rsidRPr="004153F0" w:rsidRDefault="0069379B" w:rsidP="0069379B">
          <w:pPr>
            <w:pStyle w:val="TOC1"/>
            <w:tabs>
              <w:tab w:val="right" w:leader="dot" w:pos="9350"/>
            </w:tabs>
            <w:spacing w:line="360" w:lineRule="auto"/>
            <w:jc w:val="both"/>
            <w:rPr>
              <w:rFonts w:asciiTheme="minorHAnsi" w:eastAsiaTheme="minorEastAsia" w:hAnsiTheme="minorHAnsi" w:cstheme="minorBidi"/>
              <w:noProof/>
              <w:color w:val="000000" w:themeColor="text1"/>
              <w:lang w:val="en-GB"/>
            </w:rPr>
          </w:pPr>
          <w:hyperlink w:anchor="_Toc233368511" w:history="1">
            <w:r w:rsidRPr="004153F0">
              <w:rPr>
                <w:rStyle w:val="Hyperlink"/>
                <w:noProof/>
                <w:color w:val="000000" w:themeColor="text1"/>
                <w:highlight w:val="white"/>
                <w:lang w:val="en-GB"/>
              </w:rPr>
              <w:t>3. Fishbone Diagram</w:t>
            </w:r>
            <w:r w:rsidRPr="004153F0">
              <w:rPr>
                <w:noProof/>
                <w:webHidden/>
                <w:color w:val="000000" w:themeColor="text1"/>
                <w:lang w:val="en-GB"/>
              </w:rPr>
              <w:tab/>
            </w:r>
            <w:r w:rsidRPr="004153F0">
              <w:rPr>
                <w:noProof/>
                <w:webHidden/>
                <w:color w:val="000000" w:themeColor="text1"/>
                <w:lang w:val="en-GB"/>
              </w:rPr>
              <w:fldChar w:fldCharType="begin"/>
            </w:r>
            <w:r w:rsidRPr="004153F0">
              <w:rPr>
                <w:noProof/>
                <w:webHidden/>
                <w:color w:val="000000" w:themeColor="text1"/>
                <w:lang w:val="en-GB"/>
              </w:rPr>
              <w:instrText xml:space="preserve"> PAGEREF _Toc233368511 \h </w:instrText>
            </w:r>
            <w:r w:rsidRPr="004153F0">
              <w:rPr>
                <w:noProof/>
                <w:webHidden/>
                <w:color w:val="000000" w:themeColor="text1"/>
                <w:lang w:val="en-GB"/>
              </w:rPr>
            </w:r>
            <w:r w:rsidRPr="004153F0">
              <w:rPr>
                <w:noProof/>
                <w:webHidden/>
                <w:color w:val="000000" w:themeColor="text1"/>
                <w:lang w:val="en-GB"/>
              </w:rPr>
              <w:fldChar w:fldCharType="separate"/>
            </w:r>
            <w:r w:rsidRPr="004153F0">
              <w:rPr>
                <w:noProof/>
                <w:webHidden/>
                <w:color w:val="000000" w:themeColor="text1"/>
                <w:lang w:val="en-GB"/>
              </w:rPr>
              <w:t>5</w:t>
            </w:r>
            <w:r w:rsidRPr="004153F0">
              <w:rPr>
                <w:noProof/>
                <w:webHidden/>
                <w:color w:val="000000" w:themeColor="text1"/>
                <w:lang w:val="en-GB"/>
              </w:rPr>
              <w:fldChar w:fldCharType="end"/>
            </w:r>
          </w:hyperlink>
        </w:p>
        <w:p w14:paraId="5FF29DEF" w14:textId="77777777" w:rsidR="0069379B" w:rsidRPr="004153F0" w:rsidRDefault="0069379B" w:rsidP="0069379B">
          <w:pPr>
            <w:pStyle w:val="TOC1"/>
            <w:tabs>
              <w:tab w:val="right" w:leader="dot" w:pos="9350"/>
            </w:tabs>
            <w:spacing w:line="360" w:lineRule="auto"/>
            <w:jc w:val="both"/>
            <w:rPr>
              <w:rFonts w:asciiTheme="minorHAnsi" w:eastAsiaTheme="minorEastAsia" w:hAnsiTheme="minorHAnsi" w:cstheme="minorBidi"/>
              <w:noProof/>
              <w:color w:val="000000" w:themeColor="text1"/>
              <w:lang w:val="en-GB"/>
            </w:rPr>
          </w:pPr>
          <w:hyperlink w:anchor="_Toc233368512" w:history="1">
            <w:r w:rsidRPr="004153F0">
              <w:rPr>
                <w:rStyle w:val="Hyperlink"/>
                <w:noProof/>
                <w:color w:val="000000" w:themeColor="text1"/>
                <w:highlight w:val="white"/>
                <w:lang w:val="en-GB"/>
              </w:rPr>
              <w:t>4. SWOT analysis</w:t>
            </w:r>
            <w:r w:rsidRPr="004153F0">
              <w:rPr>
                <w:noProof/>
                <w:webHidden/>
                <w:color w:val="000000" w:themeColor="text1"/>
                <w:lang w:val="en-GB"/>
              </w:rPr>
              <w:tab/>
            </w:r>
            <w:r w:rsidRPr="004153F0">
              <w:rPr>
                <w:noProof/>
                <w:webHidden/>
                <w:color w:val="000000" w:themeColor="text1"/>
                <w:lang w:val="en-GB"/>
              </w:rPr>
              <w:fldChar w:fldCharType="begin"/>
            </w:r>
            <w:r w:rsidRPr="004153F0">
              <w:rPr>
                <w:noProof/>
                <w:webHidden/>
                <w:color w:val="000000" w:themeColor="text1"/>
                <w:lang w:val="en-GB"/>
              </w:rPr>
              <w:instrText xml:space="preserve"> PAGEREF _Toc233368512 \h </w:instrText>
            </w:r>
            <w:r w:rsidRPr="004153F0">
              <w:rPr>
                <w:noProof/>
                <w:webHidden/>
                <w:color w:val="000000" w:themeColor="text1"/>
                <w:lang w:val="en-GB"/>
              </w:rPr>
            </w:r>
            <w:r w:rsidRPr="004153F0">
              <w:rPr>
                <w:noProof/>
                <w:webHidden/>
                <w:color w:val="000000" w:themeColor="text1"/>
                <w:lang w:val="en-GB"/>
              </w:rPr>
              <w:fldChar w:fldCharType="separate"/>
            </w:r>
            <w:r w:rsidRPr="004153F0">
              <w:rPr>
                <w:noProof/>
                <w:webHidden/>
                <w:color w:val="000000" w:themeColor="text1"/>
                <w:lang w:val="en-GB"/>
              </w:rPr>
              <w:t>7</w:t>
            </w:r>
            <w:r w:rsidRPr="004153F0">
              <w:rPr>
                <w:noProof/>
                <w:webHidden/>
                <w:color w:val="000000" w:themeColor="text1"/>
                <w:lang w:val="en-GB"/>
              </w:rPr>
              <w:fldChar w:fldCharType="end"/>
            </w:r>
          </w:hyperlink>
        </w:p>
        <w:p w14:paraId="79A1D527" w14:textId="77777777" w:rsidR="0069379B" w:rsidRPr="004153F0" w:rsidRDefault="0069379B" w:rsidP="0069379B">
          <w:pPr>
            <w:pStyle w:val="TOC1"/>
            <w:tabs>
              <w:tab w:val="right" w:leader="dot" w:pos="9350"/>
            </w:tabs>
            <w:spacing w:line="360" w:lineRule="auto"/>
            <w:jc w:val="both"/>
            <w:rPr>
              <w:rFonts w:asciiTheme="minorHAnsi" w:eastAsiaTheme="minorEastAsia" w:hAnsiTheme="minorHAnsi" w:cstheme="minorBidi"/>
              <w:noProof/>
              <w:color w:val="000000" w:themeColor="text1"/>
              <w:lang w:val="en-GB"/>
            </w:rPr>
          </w:pPr>
          <w:hyperlink w:anchor="_Toc233368513" w:history="1">
            <w:r w:rsidRPr="004153F0">
              <w:rPr>
                <w:rStyle w:val="Hyperlink"/>
                <w:noProof/>
                <w:color w:val="000000" w:themeColor="text1"/>
                <w:highlight w:val="white"/>
                <w:lang w:val="en-GB"/>
              </w:rPr>
              <w:t>5. Recommendations</w:t>
            </w:r>
            <w:r w:rsidRPr="004153F0">
              <w:rPr>
                <w:noProof/>
                <w:webHidden/>
                <w:color w:val="000000" w:themeColor="text1"/>
                <w:lang w:val="en-GB"/>
              </w:rPr>
              <w:tab/>
            </w:r>
            <w:r w:rsidRPr="004153F0">
              <w:rPr>
                <w:noProof/>
                <w:webHidden/>
                <w:color w:val="000000" w:themeColor="text1"/>
                <w:lang w:val="en-GB"/>
              </w:rPr>
              <w:fldChar w:fldCharType="begin"/>
            </w:r>
            <w:r w:rsidRPr="004153F0">
              <w:rPr>
                <w:noProof/>
                <w:webHidden/>
                <w:color w:val="000000" w:themeColor="text1"/>
                <w:lang w:val="en-GB"/>
              </w:rPr>
              <w:instrText xml:space="preserve"> PAGEREF _Toc233368513 \h </w:instrText>
            </w:r>
            <w:r w:rsidRPr="004153F0">
              <w:rPr>
                <w:noProof/>
                <w:webHidden/>
                <w:color w:val="000000" w:themeColor="text1"/>
                <w:lang w:val="en-GB"/>
              </w:rPr>
            </w:r>
            <w:r w:rsidRPr="004153F0">
              <w:rPr>
                <w:noProof/>
                <w:webHidden/>
                <w:color w:val="000000" w:themeColor="text1"/>
                <w:lang w:val="en-GB"/>
              </w:rPr>
              <w:fldChar w:fldCharType="separate"/>
            </w:r>
            <w:r w:rsidRPr="004153F0">
              <w:rPr>
                <w:noProof/>
                <w:webHidden/>
                <w:color w:val="000000" w:themeColor="text1"/>
                <w:lang w:val="en-GB"/>
              </w:rPr>
              <w:t>8</w:t>
            </w:r>
            <w:r w:rsidRPr="004153F0">
              <w:rPr>
                <w:noProof/>
                <w:webHidden/>
                <w:color w:val="000000" w:themeColor="text1"/>
                <w:lang w:val="en-GB"/>
              </w:rPr>
              <w:fldChar w:fldCharType="end"/>
            </w:r>
          </w:hyperlink>
        </w:p>
        <w:p w14:paraId="507B389F" w14:textId="77777777" w:rsidR="0069379B" w:rsidRPr="004153F0" w:rsidRDefault="0069379B" w:rsidP="0069379B">
          <w:pPr>
            <w:pStyle w:val="TOC1"/>
            <w:tabs>
              <w:tab w:val="right" w:leader="dot" w:pos="9350"/>
            </w:tabs>
            <w:spacing w:line="360" w:lineRule="auto"/>
            <w:jc w:val="both"/>
            <w:rPr>
              <w:rFonts w:asciiTheme="minorHAnsi" w:eastAsiaTheme="minorEastAsia" w:hAnsiTheme="minorHAnsi" w:cstheme="minorBidi"/>
              <w:noProof/>
              <w:color w:val="000000" w:themeColor="text1"/>
              <w:lang w:val="en-GB"/>
            </w:rPr>
          </w:pPr>
          <w:hyperlink w:anchor="_Toc233368514" w:history="1">
            <w:r w:rsidRPr="004153F0">
              <w:rPr>
                <w:rStyle w:val="Hyperlink"/>
                <w:noProof/>
                <w:color w:val="000000" w:themeColor="text1"/>
                <w:highlight w:val="white"/>
                <w:lang w:val="en-GB"/>
              </w:rPr>
              <w:t>6. Benchmarking</w:t>
            </w:r>
            <w:r w:rsidRPr="004153F0">
              <w:rPr>
                <w:noProof/>
                <w:webHidden/>
                <w:color w:val="000000" w:themeColor="text1"/>
                <w:lang w:val="en-GB"/>
              </w:rPr>
              <w:tab/>
            </w:r>
            <w:r w:rsidRPr="004153F0">
              <w:rPr>
                <w:noProof/>
                <w:webHidden/>
                <w:color w:val="000000" w:themeColor="text1"/>
                <w:lang w:val="en-GB"/>
              </w:rPr>
              <w:fldChar w:fldCharType="begin"/>
            </w:r>
            <w:r w:rsidRPr="004153F0">
              <w:rPr>
                <w:noProof/>
                <w:webHidden/>
                <w:color w:val="000000" w:themeColor="text1"/>
                <w:lang w:val="en-GB"/>
              </w:rPr>
              <w:instrText xml:space="preserve"> PAGEREF _Toc233368514 \h </w:instrText>
            </w:r>
            <w:r w:rsidRPr="004153F0">
              <w:rPr>
                <w:noProof/>
                <w:webHidden/>
                <w:color w:val="000000" w:themeColor="text1"/>
                <w:lang w:val="en-GB"/>
              </w:rPr>
            </w:r>
            <w:r w:rsidRPr="004153F0">
              <w:rPr>
                <w:noProof/>
                <w:webHidden/>
                <w:color w:val="000000" w:themeColor="text1"/>
                <w:lang w:val="en-GB"/>
              </w:rPr>
              <w:fldChar w:fldCharType="separate"/>
            </w:r>
            <w:r w:rsidRPr="004153F0">
              <w:rPr>
                <w:noProof/>
                <w:webHidden/>
                <w:color w:val="000000" w:themeColor="text1"/>
                <w:lang w:val="en-GB"/>
              </w:rPr>
              <w:t>11</w:t>
            </w:r>
            <w:r w:rsidRPr="004153F0">
              <w:rPr>
                <w:noProof/>
                <w:webHidden/>
                <w:color w:val="000000" w:themeColor="text1"/>
                <w:lang w:val="en-GB"/>
              </w:rPr>
              <w:fldChar w:fldCharType="end"/>
            </w:r>
          </w:hyperlink>
        </w:p>
        <w:p w14:paraId="2238048E" w14:textId="77777777" w:rsidR="0069379B" w:rsidRPr="004153F0" w:rsidRDefault="0069379B" w:rsidP="0069379B">
          <w:pPr>
            <w:pStyle w:val="TOC1"/>
            <w:tabs>
              <w:tab w:val="right" w:leader="dot" w:pos="9350"/>
            </w:tabs>
            <w:spacing w:line="360" w:lineRule="auto"/>
            <w:jc w:val="both"/>
            <w:rPr>
              <w:rFonts w:asciiTheme="minorHAnsi" w:eastAsiaTheme="minorEastAsia" w:hAnsiTheme="minorHAnsi" w:cstheme="minorBidi"/>
              <w:noProof/>
              <w:color w:val="000000" w:themeColor="text1"/>
              <w:lang w:val="en-GB"/>
            </w:rPr>
          </w:pPr>
          <w:hyperlink w:anchor="_Toc233368515" w:history="1">
            <w:r w:rsidRPr="004153F0">
              <w:rPr>
                <w:rStyle w:val="Hyperlink"/>
                <w:noProof/>
                <w:color w:val="000000" w:themeColor="text1"/>
                <w:highlight w:val="white"/>
                <w:lang w:val="en-GB"/>
              </w:rPr>
              <w:t>7. Conclusion</w:t>
            </w:r>
            <w:r w:rsidRPr="004153F0">
              <w:rPr>
                <w:noProof/>
                <w:webHidden/>
                <w:color w:val="000000" w:themeColor="text1"/>
                <w:lang w:val="en-GB"/>
              </w:rPr>
              <w:tab/>
            </w:r>
            <w:r w:rsidRPr="004153F0">
              <w:rPr>
                <w:noProof/>
                <w:webHidden/>
                <w:color w:val="000000" w:themeColor="text1"/>
                <w:lang w:val="en-GB"/>
              </w:rPr>
              <w:fldChar w:fldCharType="begin"/>
            </w:r>
            <w:r w:rsidRPr="004153F0">
              <w:rPr>
                <w:noProof/>
                <w:webHidden/>
                <w:color w:val="000000" w:themeColor="text1"/>
                <w:lang w:val="en-GB"/>
              </w:rPr>
              <w:instrText xml:space="preserve"> PAGEREF _Toc233368515 \h </w:instrText>
            </w:r>
            <w:r w:rsidRPr="004153F0">
              <w:rPr>
                <w:noProof/>
                <w:webHidden/>
                <w:color w:val="000000" w:themeColor="text1"/>
                <w:lang w:val="en-GB"/>
              </w:rPr>
            </w:r>
            <w:r w:rsidRPr="004153F0">
              <w:rPr>
                <w:noProof/>
                <w:webHidden/>
                <w:color w:val="000000" w:themeColor="text1"/>
                <w:lang w:val="en-GB"/>
              </w:rPr>
              <w:fldChar w:fldCharType="separate"/>
            </w:r>
            <w:r w:rsidRPr="004153F0">
              <w:rPr>
                <w:noProof/>
                <w:webHidden/>
                <w:color w:val="000000" w:themeColor="text1"/>
                <w:lang w:val="en-GB"/>
              </w:rPr>
              <w:t>13</w:t>
            </w:r>
            <w:r w:rsidRPr="004153F0">
              <w:rPr>
                <w:noProof/>
                <w:webHidden/>
                <w:color w:val="000000" w:themeColor="text1"/>
                <w:lang w:val="en-GB"/>
              </w:rPr>
              <w:fldChar w:fldCharType="end"/>
            </w:r>
          </w:hyperlink>
        </w:p>
        <w:p w14:paraId="5A13786D" w14:textId="77777777" w:rsidR="0069379B" w:rsidRPr="004153F0" w:rsidRDefault="0069379B" w:rsidP="0069379B">
          <w:pPr>
            <w:pStyle w:val="TOC1"/>
            <w:tabs>
              <w:tab w:val="right" w:leader="dot" w:pos="9350"/>
            </w:tabs>
            <w:spacing w:line="360" w:lineRule="auto"/>
            <w:jc w:val="both"/>
            <w:rPr>
              <w:rFonts w:asciiTheme="minorHAnsi" w:eastAsiaTheme="minorEastAsia" w:hAnsiTheme="minorHAnsi" w:cstheme="minorBidi"/>
              <w:noProof/>
              <w:color w:val="000000" w:themeColor="text1"/>
              <w:lang w:val="en-GB"/>
            </w:rPr>
          </w:pPr>
          <w:hyperlink w:anchor="_Toc233368516" w:history="1">
            <w:r w:rsidRPr="004153F0">
              <w:rPr>
                <w:rStyle w:val="Hyperlink"/>
                <w:noProof/>
                <w:color w:val="000000" w:themeColor="text1"/>
                <w:highlight w:val="white"/>
                <w:lang w:val="en-GB"/>
              </w:rPr>
              <w:t>References</w:t>
            </w:r>
            <w:r w:rsidRPr="004153F0">
              <w:rPr>
                <w:noProof/>
                <w:webHidden/>
                <w:color w:val="000000" w:themeColor="text1"/>
                <w:lang w:val="en-GB"/>
              </w:rPr>
              <w:tab/>
            </w:r>
            <w:r w:rsidRPr="004153F0">
              <w:rPr>
                <w:noProof/>
                <w:webHidden/>
                <w:color w:val="000000" w:themeColor="text1"/>
                <w:lang w:val="en-GB"/>
              </w:rPr>
              <w:fldChar w:fldCharType="begin"/>
            </w:r>
            <w:r w:rsidRPr="004153F0">
              <w:rPr>
                <w:noProof/>
                <w:webHidden/>
                <w:color w:val="000000" w:themeColor="text1"/>
                <w:lang w:val="en-GB"/>
              </w:rPr>
              <w:instrText xml:space="preserve"> PAGEREF _Toc233368516 \h </w:instrText>
            </w:r>
            <w:r w:rsidRPr="004153F0">
              <w:rPr>
                <w:noProof/>
                <w:webHidden/>
                <w:color w:val="000000" w:themeColor="text1"/>
                <w:lang w:val="en-GB"/>
              </w:rPr>
            </w:r>
            <w:r w:rsidRPr="004153F0">
              <w:rPr>
                <w:noProof/>
                <w:webHidden/>
                <w:color w:val="000000" w:themeColor="text1"/>
                <w:lang w:val="en-GB"/>
              </w:rPr>
              <w:fldChar w:fldCharType="separate"/>
            </w:r>
            <w:r w:rsidRPr="004153F0">
              <w:rPr>
                <w:noProof/>
                <w:webHidden/>
                <w:color w:val="000000" w:themeColor="text1"/>
                <w:lang w:val="en-GB"/>
              </w:rPr>
              <w:t>14</w:t>
            </w:r>
            <w:r w:rsidRPr="004153F0">
              <w:rPr>
                <w:noProof/>
                <w:webHidden/>
                <w:color w:val="000000" w:themeColor="text1"/>
                <w:lang w:val="en-GB"/>
              </w:rPr>
              <w:fldChar w:fldCharType="end"/>
            </w:r>
          </w:hyperlink>
        </w:p>
        <w:p w14:paraId="37FFDA52" w14:textId="77777777" w:rsidR="0053357E" w:rsidRPr="004153F0" w:rsidRDefault="0053357E" w:rsidP="0053357E">
          <w:pPr>
            <w:spacing w:line="360" w:lineRule="auto"/>
            <w:jc w:val="both"/>
            <w:rPr>
              <w:color w:val="000000" w:themeColor="text1"/>
              <w:lang w:val="en-GB"/>
            </w:rPr>
          </w:pPr>
          <w:r w:rsidRPr="004153F0">
            <w:rPr>
              <w:b/>
              <w:bCs/>
              <w:noProof/>
              <w:color w:val="000000" w:themeColor="text1"/>
              <w:lang w:val="en-GB"/>
            </w:rPr>
            <w:fldChar w:fldCharType="end"/>
          </w:r>
        </w:p>
      </w:sdtContent>
    </w:sdt>
    <w:p w14:paraId="6D6744C4" w14:textId="77777777" w:rsidR="00501CC9" w:rsidRPr="004153F0" w:rsidRDefault="007344CF">
      <w:pPr>
        <w:spacing w:line="360" w:lineRule="auto"/>
        <w:jc w:val="center"/>
        <w:rPr>
          <w:b/>
          <w:bCs/>
          <w:color w:val="000000" w:themeColor="text1"/>
          <w:sz w:val="32"/>
          <w:szCs w:val="32"/>
          <w:highlight w:val="white"/>
          <w:lang w:val="en-GB"/>
        </w:rPr>
      </w:pPr>
      <w:r w:rsidRPr="004153F0">
        <w:rPr>
          <w:color w:val="000000" w:themeColor="text1"/>
          <w:lang w:val="en-GB"/>
        </w:rPr>
        <w:br w:type="page"/>
      </w:r>
    </w:p>
    <w:p w14:paraId="2DC61043" w14:textId="77777777" w:rsidR="00501CC9" w:rsidRPr="004153F0" w:rsidRDefault="007344CF" w:rsidP="00DB2C74">
      <w:pPr>
        <w:pStyle w:val="Heading1"/>
        <w:rPr>
          <w:color w:val="000000" w:themeColor="text1"/>
          <w:highlight w:val="white"/>
          <w:lang w:val="en-GB"/>
        </w:rPr>
      </w:pPr>
      <w:bookmarkStart w:id="0" w:name="_Toc233368509"/>
      <w:r w:rsidRPr="004153F0">
        <w:rPr>
          <w:color w:val="000000" w:themeColor="text1"/>
          <w:highlight w:val="white"/>
          <w:lang w:val="en-GB"/>
        </w:rPr>
        <w:t>1. Introduction</w:t>
      </w:r>
      <w:bookmarkEnd w:id="0"/>
    </w:p>
    <w:p w14:paraId="226A93F6" w14:textId="77777777" w:rsidR="00501CC9" w:rsidRPr="00004B45" w:rsidRDefault="007344CF">
      <w:pPr>
        <w:spacing w:line="360" w:lineRule="auto"/>
        <w:jc w:val="both"/>
        <w:rPr>
          <w:color w:val="000000" w:themeColor="text1"/>
          <w:highlight w:val="white"/>
          <w:lang w:val="en-GB"/>
        </w:rPr>
      </w:pPr>
      <w:r w:rsidRPr="00004B45">
        <w:rPr>
          <w:color w:val="000000" w:themeColor="text1"/>
          <w:highlight w:val="white"/>
          <w:lang w:val="en-GB"/>
        </w:rPr>
        <w:t xml:space="preserve">A case study evaluation is conducted on the Lucy Letby case at the Countess of Chester Hospital in 2015-16. Seven infants were killed, and seven others were set out to be killed under the care of </w:t>
      </w:r>
      <w:r w:rsidR="00621524" w:rsidRPr="00004B45">
        <w:rPr>
          <w:color w:val="000000" w:themeColor="text1"/>
          <w:highlight w:val="white"/>
          <w:lang w:val="en-GB"/>
        </w:rPr>
        <w:t>Nurse</w:t>
      </w:r>
      <w:r w:rsidRPr="00004B45">
        <w:rPr>
          <w:color w:val="000000" w:themeColor="text1"/>
          <w:highlight w:val="white"/>
          <w:lang w:val="en-GB"/>
        </w:rPr>
        <w:t xml:space="preserve"> Lucy Letby. The main challenge of this case is a severe systemic clinical governance and patient safety crisis in the neonatal care unit (Gill, 2026). Poor incident escalation, defensive management, and weak leadership delayed the identification and response to the intentional harm against the infants. </w:t>
      </w:r>
    </w:p>
    <w:p w14:paraId="6DBB11FE" w14:textId="77777777" w:rsidR="00501CC9" w:rsidRPr="00004B45" w:rsidRDefault="007344CF">
      <w:pPr>
        <w:spacing w:line="360" w:lineRule="auto"/>
        <w:jc w:val="both"/>
        <w:rPr>
          <w:color w:val="000000" w:themeColor="text1"/>
          <w:highlight w:val="white"/>
          <w:lang w:val="en-GB"/>
        </w:rPr>
      </w:pPr>
      <w:r w:rsidRPr="00004B45">
        <w:rPr>
          <w:color w:val="000000" w:themeColor="text1"/>
          <w:highlight w:val="white"/>
          <w:lang w:val="en-GB"/>
        </w:rPr>
        <w:t>Key stakeholders in this case involved the following:</w:t>
      </w:r>
    </w:p>
    <w:p w14:paraId="3CAE1E02" w14:textId="77777777" w:rsidR="00501CC9" w:rsidRPr="00004B45" w:rsidRDefault="007344CF">
      <w:pPr>
        <w:spacing w:line="360" w:lineRule="auto"/>
        <w:jc w:val="both"/>
        <w:rPr>
          <w:color w:val="000000" w:themeColor="text1"/>
          <w:highlight w:val="white"/>
          <w:lang w:val="en-GB"/>
        </w:rPr>
      </w:pPr>
      <w:r w:rsidRPr="00004B45">
        <w:rPr>
          <w:i/>
          <w:iCs/>
          <w:color w:val="000000" w:themeColor="text1"/>
          <w:highlight w:val="white"/>
          <w:lang w:val="en-GB"/>
        </w:rPr>
        <w:t xml:space="preserve">Patients and their families: </w:t>
      </w:r>
      <w:r w:rsidRPr="00004B45">
        <w:rPr>
          <w:color w:val="000000" w:themeColor="text1"/>
          <w:highlight w:val="white"/>
          <w:lang w:val="en-GB"/>
        </w:rPr>
        <w:t xml:space="preserve">Newborns were vulnerable and suffered from severe harm or death, followed by their traumatised families (Coffey, 2025). </w:t>
      </w:r>
    </w:p>
    <w:p w14:paraId="7EC1F961" w14:textId="77777777" w:rsidR="00501CC9" w:rsidRPr="00004B45" w:rsidRDefault="007344CF">
      <w:pPr>
        <w:spacing w:line="360" w:lineRule="auto"/>
        <w:jc w:val="both"/>
        <w:rPr>
          <w:color w:val="000000" w:themeColor="text1"/>
          <w:highlight w:val="white"/>
          <w:lang w:val="en-GB"/>
        </w:rPr>
      </w:pPr>
      <w:r w:rsidRPr="00004B45">
        <w:rPr>
          <w:i/>
          <w:iCs/>
          <w:color w:val="000000" w:themeColor="text1"/>
          <w:highlight w:val="white"/>
          <w:lang w:val="en-GB"/>
        </w:rPr>
        <w:t>Staff:</w:t>
      </w:r>
      <w:r w:rsidRPr="00004B45">
        <w:rPr>
          <w:color w:val="000000" w:themeColor="text1"/>
          <w:highlight w:val="white"/>
          <w:lang w:val="en-GB"/>
        </w:rPr>
        <w:t xml:space="preserve"> Doctors, frontline clinicians, and nurses experienced an inefficient staff ratio, suppressed whistleblowing, and safety concerns. </w:t>
      </w:r>
    </w:p>
    <w:p w14:paraId="72890974" w14:textId="77777777" w:rsidR="00501CC9" w:rsidRPr="00004B45" w:rsidRDefault="007344CF">
      <w:pPr>
        <w:spacing w:line="360" w:lineRule="auto"/>
        <w:jc w:val="both"/>
        <w:rPr>
          <w:color w:val="000000" w:themeColor="text1"/>
          <w:highlight w:val="white"/>
          <w:lang w:val="en-GB"/>
        </w:rPr>
      </w:pPr>
      <w:r w:rsidRPr="00004B45">
        <w:rPr>
          <w:i/>
          <w:iCs/>
          <w:color w:val="000000" w:themeColor="text1"/>
          <w:highlight w:val="white"/>
          <w:lang w:val="en-GB"/>
        </w:rPr>
        <w:t>Countess of Chester Hospital:</w:t>
      </w:r>
      <w:r w:rsidRPr="00004B45">
        <w:rPr>
          <w:color w:val="000000" w:themeColor="text1"/>
          <w:highlight w:val="white"/>
          <w:lang w:val="en-GB"/>
        </w:rPr>
        <w:t xml:space="preserve"> In this context, the broader NHS and Chester Hospital faced deep reputational and structural damage due to the collapsed safety challenges. </w:t>
      </w:r>
    </w:p>
    <w:p w14:paraId="0E3C93DD" w14:textId="77777777" w:rsidR="00501CC9" w:rsidRPr="00004B45" w:rsidRDefault="007344CF">
      <w:pPr>
        <w:spacing w:line="360" w:lineRule="auto"/>
        <w:jc w:val="both"/>
        <w:rPr>
          <w:color w:val="000000" w:themeColor="text1"/>
          <w:highlight w:val="white"/>
          <w:lang w:val="en-GB"/>
        </w:rPr>
      </w:pPr>
      <w:r w:rsidRPr="00004B45">
        <w:rPr>
          <w:color w:val="000000" w:themeColor="text1"/>
          <w:highlight w:val="white"/>
          <w:lang w:val="en-GB"/>
        </w:rPr>
        <w:t xml:space="preserve">The issue can be described using both quantitative and qualitative data. Quantitative data involves rising rates of neonatal mortality between 2015 and 2016, including 7 attempted murders and 7 infant deaths connected to nurse Lucy Letby (Gill, 2026). On the other hand, qualitative data include ineffective supervision of junior staff, testimonies regarding unsafe staffing, toxic denial culture, and overstretched workload that silenced whistleblowers. </w:t>
      </w:r>
    </w:p>
    <w:p w14:paraId="45014E57" w14:textId="77777777" w:rsidR="00501CC9" w:rsidRPr="00004B45" w:rsidRDefault="007344CF">
      <w:pPr>
        <w:spacing w:line="360" w:lineRule="auto"/>
        <w:jc w:val="both"/>
        <w:rPr>
          <w:color w:val="000000" w:themeColor="text1"/>
          <w:highlight w:val="white"/>
          <w:lang w:val="en-GB"/>
        </w:rPr>
      </w:pPr>
      <w:r w:rsidRPr="00004B45">
        <w:rPr>
          <w:color w:val="000000" w:themeColor="text1"/>
          <w:highlight w:val="white"/>
          <w:lang w:val="en-GB"/>
        </w:rPr>
        <w:t xml:space="preserve">Systemic failures allow toxic workers’ behaviours to hide through recruitment if they are not properly addressed. The implementation of non-proactive care models and clinical audits might leave vulnerable patients exposed to harm and delay external regulatory interventions. </w:t>
      </w:r>
    </w:p>
    <w:p w14:paraId="5E273D44" w14:textId="77777777" w:rsidR="00501CC9" w:rsidRPr="00004B45" w:rsidRDefault="007344CF">
      <w:pPr>
        <w:spacing w:line="360" w:lineRule="auto"/>
        <w:jc w:val="both"/>
        <w:rPr>
          <w:color w:val="000000" w:themeColor="text1"/>
          <w:highlight w:val="white"/>
          <w:lang w:val="en-GB"/>
        </w:rPr>
      </w:pPr>
      <w:r w:rsidRPr="00004B45">
        <w:rPr>
          <w:color w:val="000000" w:themeColor="text1"/>
          <w:highlight w:val="white"/>
          <w:lang w:val="en-GB"/>
        </w:rPr>
        <w:t xml:space="preserve">The Lucy Letby case has highlighted failure in achieving the national standard of zero preventable harm. It has also failed to meet the standard of 100% timely incident reporting, which directly counters patient-centred priorities and national quality standards set by the NHS (NHS England Digital, 2026). The case has especially undermined the fundamental enforcement of safe nurse-to-patient ratios and safeguarding cultures. </w:t>
      </w:r>
    </w:p>
    <w:p w14:paraId="6457C787" w14:textId="77777777" w:rsidR="00004B45" w:rsidRPr="00596036" w:rsidRDefault="00004B45">
      <w:pPr>
        <w:spacing w:line="360" w:lineRule="auto"/>
        <w:jc w:val="both"/>
        <w:rPr>
          <w:color w:val="000000" w:themeColor="text1"/>
          <w:sz w:val="24"/>
          <w:szCs w:val="24"/>
          <w:highlight w:val="white"/>
          <w:lang w:val="en-GB"/>
        </w:rPr>
      </w:pPr>
    </w:p>
    <w:p w14:paraId="2266357E" w14:textId="77777777" w:rsidR="00501CC9" w:rsidRPr="004153F0" w:rsidRDefault="007344CF" w:rsidP="00DB2C74">
      <w:pPr>
        <w:pStyle w:val="Heading1"/>
        <w:rPr>
          <w:color w:val="000000" w:themeColor="text1"/>
          <w:highlight w:val="white"/>
          <w:lang w:val="en-GB"/>
        </w:rPr>
      </w:pPr>
      <w:bookmarkStart w:id="1" w:name="_Toc233368510"/>
      <w:r w:rsidRPr="004153F0">
        <w:rPr>
          <w:color w:val="000000" w:themeColor="text1"/>
          <w:highlight w:val="white"/>
          <w:lang w:val="en-GB"/>
        </w:rPr>
        <w:t>2. Donabedian Model</w:t>
      </w:r>
      <w:bookmarkEnd w:id="1"/>
    </w:p>
    <w:p w14:paraId="461EE9CE" w14:textId="77777777" w:rsidR="00501CC9" w:rsidRPr="00004B45" w:rsidRDefault="007344CF">
      <w:pPr>
        <w:spacing w:line="360" w:lineRule="auto"/>
        <w:jc w:val="both"/>
        <w:rPr>
          <w:color w:val="000000" w:themeColor="text1"/>
          <w:highlight w:val="white"/>
          <w:lang w:val="en-GB"/>
        </w:rPr>
      </w:pPr>
      <w:r w:rsidRPr="00004B45">
        <w:rPr>
          <w:color w:val="000000" w:themeColor="text1"/>
          <w:highlight w:val="white"/>
          <w:lang w:val="en-GB"/>
        </w:rPr>
        <w:t xml:space="preserve">The application of the Donabedian Model can help highlight the deep and systemic failures within Chester Hospital, which caused a neonatal crisis. </w:t>
      </w:r>
    </w:p>
    <w:p w14:paraId="2AFC652B" w14:textId="77777777" w:rsidR="00926E36" w:rsidRPr="004153F0" w:rsidRDefault="00926E36" w:rsidP="00926E36">
      <w:pPr>
        <w:spacing w:line="360" w:lineRule="auto"/>
        <w:jc w:val="center"/>
        <w:rPr>
          <w:color w:val="000000" w:themeColor="text1"/>
          <w:highlight w:val="white"/>
          <w:lang w:val="en-GB"/>
        </w:rPr>
      </w:pPr>
      <w:r w:rsidRPr="004153F0">
        <w:rPr>
          <w:noProof/>
          <w:color w:val="000000" w:themeColor="text1"/>
          <w:lang w:val="en-GB"/>
        </w:rPr>
        <w:drawing>
          <wp:inline distT="0" distB="0" distL="0" distR="0" wp14:anchorId="7A7C480B" wp14:editId="0CE4BA0C">
            <wp:extent cx="5943600" cy="21278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2127885"/>
                    </a:xfrm>
                    <a:prstGeom prst="rect">
                      <a:avLst/>
                    </a:prstGeom>
                  </pic:spPr>
                </pic:pic>
              </a:graphicData>
            </a:graphic>
          </wp:inline>
        </w:drawing>
      </w:r>
    </w:p>
    <w:p w14:paraId="2FC1FA97" w14:textId="77777777" w:rsidR="00501CC9" w:rsidRPr="004153F0" w:rsidRDefault="007344CF">
      <w:pPr>
        <w:spacing w:line="360" w:lineRule="auto"/>
        <w:jc w:val="center"/>
        <w:rPr>
          <w:b/>
          <w:bCs/>
          <w:color w:val="000000" w:themeColor="text1"/>
          <w:highlight w:val="white"/>
          <w:lang w:val="en-GB"/>
        </w:rPr>
      </w:pPr>
      <w:r w:rsidRPr="004153F0">
        <w:rPr>
          <w:b/>
          <w:bCs/>
          <w:color w:val="000000" w:themeColor="text1"/>
          <w:highlight w:val="white"/>
          <w:lang w:val="en-GB"/>
        </w:rPr>
        <w:t xml:space="preserve">Figure 1: Three elements of the Donabedian Model </w:t>
      </w:r>
    </w:p>
    <w:p w14:paraId="3FB72FC6" w14:textId="77777777" w:rsidR="00501CC9" w:rsidRPr="00004B45" w:rsidRDefault="007344CF">
      <w:pPr>
        <w:spacing w:line="360" w:lineRule="auto"/>
        <w:jc w:val="center"/>
        <w:rPr>
          <w:color w:val="000000" w:themeColor="text1"/>
          <w:highlight w:val="white"/>
          <w:lang w:val="en-GB"/>
        </w:rPr>
      </w:pPr>
      <w:r w:rsidRPr="00004B45">
        <w:rPr>
          <w:color w:val="000000" w:themeColor="text1"/>
          <w:highlight w:val="white"/>
          <w:lang w:val="en-GB"/>
        </w:rPr>
        <w:t xml:space="preserve">(Source: Influenced by CQC, 2025; Nuffield Trust, 2024; Ghofrani </w:t>
      </w:r>
      <w:r w:rsidRPr="00004B45">
        <w:rPr>
          <w:i/>
          <w:iCs/>
          <w:color w:val="000000" w:themeColor="text1"/>
          <w:highlight w:val="white"/>
          <w:lang w:val="en-GB"/>
        </w:rPr>
        <w:t xml:space="preserve">et al. </w:t>
      </w:r>
      <w:r w:rsidRPr="00004B45">
        <w:rPr>
          <w:color w:val="000000" w:themeColor="text1"/>
          <w:highlight w:val="white"/>
          <w:lang w:val="en-GB"/>
        </w:rPr>
        <w:t>2024)</w:t>
      </w:r>
    </w:p>
    <w:p w14:paraId="71B08C41" w14:textId="77777777" w:rsidR="00501CC9" w:rsidRPr="00004B45" w:rsidRDefault="007344CF">
      <w:pPr>
        <w:spacing w:line="360" w:lineRule="auto"/>
        <w:jc w:val="both"/>
        <w:rPr>
          <w:b/>
          <w:bCs/>
          <w:color w:val="000000" w:themeColor="text1"/>
          <w:highlight w:val="white"/>
          <w:lang w:val="en-GB"/>
        </w:rPr>
      </w:pPr>
      <w:r w:rsidRPr="00004B45">
        <w:rPr>
          <w:b/>
          <w:bCs/>
          <w:color w:val="000000" w:themeColor="text1"/>
          <w:highlight w:val="white"/>
          <w:lang w:val="en-GB"/>
        </w:rPr>
        <w:t xml:space="preserve">Structure </w:t>
      </w:r>
    </w:p>
    <w:p w14:paraId="1D0184D7" w14:textId="77777777" w:rsidR="00501CC9" w:rsidRPr="00004B45" w:rsidRDefault="007344CF">
      <w:pPr>
        <w:spacing w:line="360" w:lineRule="auto"/>
        <w:jc w:val="both"/>
        <w:rPr>
          <w:color w:val="000000" w:themeColor="text1"/>
          <w:highlight w:val="white"/>
          <w:lang w:val="en-GB"/>
        </w:rPr>
      </w:pPr>
      <w:r w:rsidRPr="00004B45">
        <w:rPr>
          <w:color w:val="000000" w:themeColor="text1"/>
          <w:highlight w:val="white"/>
          <w:lang w:val="en-GB"/>
        </w:rPr>
        <w:t>The organisational and physical characteristics can be included in the structure, where healthcare occurs. Here, key structural failures involve:</w:t>
      </w:r>
    </w:p>
    <w:p w14:paraId="5E51DCE2" w14:textId="77777777" w:rsidR="00501CC9" w:rsidRPr="00004B45" w:rsidRDefault="007344CF">
      <w:pPr>
        <w:numPr>
          <w:ilvl w:val="0"/>
          <w:numId w:val="6"/>
        </w:numPr>
        <w:spacing w:line="360" w:lineRule="auto"/>
        <w:jc w:val="both"/>
        <w:rPr>
          <w:rFonts w:ascii="Times New Roman" w:eastAsia="Times New Roman" w:hAnsi="Times New Roman" w:cs="Times New Roman"/>
          <w:b/>
          <w:bCs/>
          <w:i/>
          <w:iCs/>
          <w:color w:val="000000" w:themeColor="text1"/>
          <w:highlight w:val="white"/>
          <w:lang w:val="en-GB"/>
        </w:rPr>
      </w:pPr>
      <w:r w:rsidRPr="00004B45">
        <w:rPr>
          <w:b/>
          <w:bCs/>
          <w:i/>
          <w:iCs/>
          <w:color w:val="000000" w:themeColor="text1"/>
          <w:highlight w:val="white"/>
          <w:lang w:val="en-GB"/>
        </w:rPr>
        <w:t xml:space="preserve">Policies and governance: </w:t>
      </w:r>
      <w:r w:rsidRPr="00004B45">
        <w:rPr>
          <w:color w:val="000000" w:themeColor="text1"/>
          <w:highlight w:val="white"/>
          <w:lang w:val="en-GB"/>
        </w:rPr>
        <w:t xml:space="preserve">The NHS was not heavily enforced locally, despite advocating safe staffing policies. The hospital had </w:t>
      </w:r>
      <w:r w:rsidR="00E968F3" w:rsidRPr="00004B45">
        <w:rPr>
          <w:color w:val="000000" w:themeColor="text1"/>
          <w:highlight w:val="white"/>
          <w:lang w:val="en-GB"/>
        </w:rPr>
        <w:t>weak</w:t>
      </w:r>
      <w:r w:rsidRPr="00004B45">
        <w:rPr>
          <w:color w:val="000000" w:themeColor="text1"/>
          <w:highlight w:val="white"/>
          <w:lang w:val="en-GB"/>
        </w:rPr>
        <w:t xml:space="preserve"> clinical structural governance that completely lacked an open and ethical whistleblowing policy for staff protection (CQC, 2025). </w:t>
      </w:r>
    </w:p>
    <w:p w14:paraId="0593AD76" w14:textId="77777777" w:rsidR="00501CC9" w:rsidRPr="00004B45" w:rsidRDefault="007344CF">
      <w:pPr>
        <w:numPr>
          <w:ilvl w:val="0"/>
          <w:numId w:val="6"/>
        </w:numPr>
        <w:spacing w:line="360" w:lineRule="auto"/>
        <w:jc w:val="both"/>
        <w:rPr>
          <w:rFonts w:ascii="Times New Roman" w:eastAsia="Times New Roman" w:hAnsi="Times New Roman" w:cs="Times New Roman"/>
          <w:b/>
          <w:bCs/>
          <w:i/>
          <w:iCs/>
          <w:color w:val="000000" w:themeColor="text1"/>
          <w:highlight w:val="white"/>
          <w:lang w:val="en-GB"/>
        </w:rPr>
      </w:pPr>
      <w:r w:rsidRPr="00004B45">
        <w:rPr>
          <w:b/>
          <w:bCs/>
          <w:i/>
          <w:iCs/>
          <w:color w:val="000000" w:themeColor="text1"/>
          <w:highlight w:val="white"/>
          <w:lang w:val="en-GB"/>
        </w:rPr>
        <w:t xml:space="preserve">Workforce and staffing: </w:t>
      </w:r>
      <w:r w:rsidRPr="00004B45">
        <w:rPr>
          <w:color w:val="000000" w:themeColor="text1"/>
          <w:highlight w:val="white"/>
          <w:lang w:val="en-GB"/>
        </w:rPr>
        <w:t xml:space="preserve">The hospital had an inadequate nurse-to-patient staffing ratio, along with a shortage of specialists and doctors. It resulted in workload, a highly pressurised environment, and fatigue among staff. </w:t>
      </w:r>
    </w:p>
    <w:p w14:paraId="0D7235CD" w14:textId="77777777" w:rsidR="00501CC9" w:rsidRPr="00004B45" w:rsidRDefault="007344CF">
      <w:pPr>
        <w:numPr>
          <w:ilvl w:val="0"/>
          <w:numId w:val="6"/>
        </w:numPr>
        <w:spacing w:line="360" w:lineRule="auto"/>
        <w:jc w:val="both"/>
        <w:rPr>
          <w:rFonts w:ascii="Times New Roman" w:eastAsia="Times New Roman" w:hAnsi="Times New Roman" w:cs="Times New Roman"/>
          <w:b/>
          <w:bCs/>
          <w:i/>
          <w:iCs/>
          <w:color w:val="000000" w:themeColor="text1"/>
          <w:highlight w:val="white"/>
          <w:lang w:val="en-GB"/>
        </w:rPr>
      </w:pPr>
      <w:r w:rsidRPr="00004B45">
        <w:rPr>
          <w:b/>
          <w:bCs/>
          <w:i/>
          <w:iCs/>
          <w:color w:val="000000" w:themeColor="text1"/>
          <w:highlight w:val="white"/>
          <w:lang w:val="en-GB"/>
        </w:rPr>
        <w:t xml:space="preserve">Vetting: </w:t>
      </w:r>
      <w:r w:rsidRPr="00004B45">
        <w:rPr>
          <w:color w:val="000000" w:themeColor="text1"/>
          <w:highlight w:val="white"/>
          <w:lang w:val="en-GB"/>
        </w:rPr>
        <w:t xml:space="preserve">Vetting and recruitment frameworks could not identify harmful intentions that allowed nurses to be placed with infants. </w:t>
      </w:r>
    </w:p>
    <w:p w14:paraId="7186BA35" w14:textId="77777777" w:rsidR="00501CC9" w:rsidRPr="00004B45" w:rsidRDefault="007344CF">
      <w:pPr>
        <w:spacing w:line="360" w:lineRule="auto"/>
        <w:jc w:val="both"/>
        <w:rPr>
          <w:b/>
          <w:bCs/>
          <w:color w:val="000000" w:themeColor="text1"/>
          <w:highlight w:val="white"/>
          <w:lang w:val="en-GB"/>
        </w:rPr>
      </w:pPr>
      <w:r w:rsidRPr="00004B45">
        <w:rPr>
          <w:b/>
          <w:bCs/>
          <w:color w:val="000000" w:themeColor="text1"/>
          <w:highlight w:val="white"/>
          <w:lang w:val="en-GB"/>
        </w:rPr>
        <w:t>Process</w:t>
      </w:r>
    </w:p>
    <w:p w14:paraId="58A2810F" w14:textId="77777777" w:rsidR="00501CC9" w:rsidRPr="00004B45" w:rsidRDefault="007344CF">
      <w:pPr>
        <w:spacing w:line="360" w:lineRule="auto"/>
        <w:jc w:val="both"/>
        <w:rPr>
          <w:color w:val="000000" w:themeColor="text1"/>
          <w:highlight w:val="white"/>
          <w:lang w:val="en-GB"/>
        </w:rPr>
      </w:pPr>
      <w:r w:rsidRPr="00004B45">
        <w:rPr>
          <w:color w:val="000000" w:themeColor="text1"/>
          <w:highlight w:val="white"/>
          <w:lang w:val="en-GB"/>
        </w:rPr>
        <w:t xml:space="preserve">Processes imply the actual diagnostics, treatment focus, and delivery of patient care, where major process breakdowns include the following: </w:t>
      </w:r>
    </w:p>
    <w:p w14:paraId="6D3DF563" w14:textId="77777777" w:rsidR="00501CC9" w:rsidRPr="00004B45" w:rsidRDefault="007344CF">
      <w:pPr>
        <w:numPr>
          <w:ilvl w:val="0"/>
          <w:numId w:val="2"/>
        </w:numPr>
        <w:spacing w:line="360" w:lineRule="auto"/>
        <w:jc w:val="both"/>
        <w:rPr>
          <w:rFonts w:ascii="Times New Roman" w:eastAsia="Times New Roman" w:hAnsi="Times New Roman" w:cs="Times New Roman"/>
          <w:b/>
          <w:bCs/>
          <w:i/>
          <w:iCs/>
          <w:color w:val="000000" w:themeColor="text1"/>
          <w:highlight w:val="white"/>
          <w:lang w:val="en-GB"/>
        </w:rPr>
      </w:pPr>
      <w:r w:rsidRPr="00004B45">
        <w:rPr>
          <w:b/>
          <w:bCs/>
          <w:i/>
          <w:iCs/>
          <w:color w:val="000000" w:themeColor="text1"/>
          <w:highlight w:val="white"/>
          <w:lang w:val="en-GB"/>
        </w:rPr>
        <w:t xml:space="preserve">Clinical supervision and management oversight: </w:t>
      </w:r>
      <w:r w:rsidRPr="00004B45">
        <w:rPr>
          <w:color w:val="000000" w:themeColor="text1"/>
          <w:highlight w:val="white"/>
          <w:lang w:val="en-GB"/>
        </w:rPr>
        <w:t xml:space="preserve">The Lucy Letby case represents poor junior staff supervision. Here, the executive leadership has projected defensiveness and a “culture of denial” that failed to act decisively to report issues to police or external regulatory bodies. </w:t>
      </w:r>
    </w:p>
    <w:p w14:paraId="7CFBC81A" w14:textId="77777777" w:rsidR="00501CC9" w:rsidRPr="00004B45" w:rsidRDefault="007344CF">
      <w:pPr>
        <w:numPr>
          <w:ilvl w:val="0"/>
          <w:numId w:val="2"/>
        </w:numPr>
        <w:spacing w:line="360" w:lineRule="auto"/>
        <w:jc w:val="both"/>
        <w:rPr>
          <w:rFonts w:ascii="Times New Roman" w:eastAsia="Times New Roman" w:hAnsi="Times New Roman" w:cs="Times New Roman"/>
          <w:b/>
          <w:bCs/>
          <w:i/>
          <w:iCs/>
          <w:color w:val="000000" w:themeColor="text1"/>
          <w:highlight w:val="white"/>
          <w:lang w:val="en-GB"/>
        </w:rPr>
      </w:pPr>
      <w:r w:rsidRPr="00004B45">
        <w:rPr>
          <w:b/>
          <w:bCs/>
          <w:i/>
          <w:iCs/>
          <w:color w:val="000000" w:themeColor="text1"/>
          <w:highlight w:val="white"/>
          <w:lang w:val="en-GB"/>
        </w:rPr>
        <w:t xml:space="preserve">Incident reporting and escalation: </w:t>
      </w:r>
      <w:r w:rsidRPr="00004B45">
        <w:rPr>
          <w:color w:val="000000" w:themeColor="text1"/>
          <w:highlight w:val="white"/>
          <w:lang w:val="en-GB"/>
        </w:rPr>
        <w:t xml:space="preserve">The case involves delayed escalation of unexplained and repeated incidents instead of immediate actions (Nuffield Trust, 2024). The hospital lacked in having proactive identification of early harm. </w:t>
      </w:r>
    </w:p>
    <w:p w14:paraId="6238986F" w14:textId="77777777" w:rsidR="00501CC9" w:rsidRPr="00004B45" w:rsidRDefault="007344CF">
      <w:pPr>
        <w:numPr>
          <w:ilvl w:val="0"/>
          <w:numId w:val="2"/>
        </w:numPr>
        <w:spacing w:line="360" w:lineRule="auto"/>
        <w:jc w:val="both"/>
        <w:rPr>
          <w:rFonts w:ascii="Times New Roman" w:eastAsia="Times New Roman" w:hAnsi="Times New Roman" w:cs="Times New Roman"/>
          <w:b/>
          <w:bCs/>
          <w:i/>
          <w:iCs/>
          <w:color w:val="000000" w:themeColor="text1"/>
          <w:highlight w:val="white"/>
          <w:lang w:val="en-GB"/>
        </w:rPr>
      </w:pPr>
      <w:r w:rsidRPr="00004B45">
        <w:rPr>
          <w:b/>
          <w:bCs/>
          <w:i/>
          <w:iCs/>
          <w:color w:val="000000" w:themeColor="text1"/>
          <w:highlight w:val="white"/>
          <w:lang w:val="en-GB"/>
        </w:rPr>
        <w:t xml:space="preserve">Communication: </w:t>
      </w:r>
      <w:r w:rsidRPr="00004B45">
        <w:rPr>
          <w:color w:val="000000" w:themeColor="text1"/>
          <w:highlight w:val="white"/>
          <w:lang w:val="en-GB"/>
        </w:rPr>
        <w:t xml:space="preserve">The hospital had an irregular audit practice and communication that affected the families of infants harmed, as they remained non-transparent. </w:t>
      </w:r>
    </w:p>
    <w:p w14:paraId="303CD86E" w14:textId="77777777" w:rsidR="00501CC9" w:rsidRPr="00004B45" w:rsidRDefault="007344CF">
      <w:pPr>
        <w:spacing w:line="360" w:lineRule="auto"/>
        <w:jc w:val="both"/>
        <w:rPr>
          <w:b/>
          <w:bCs/>
          <w:color w:val="000000" w:themeColor="text1"/>
          <w:highlight w:val="white"/>
          <w:lang w:val="en-GB"/>
        </w:rPr>
      </w:pPr>
      <w:r w:rsidRPr="00004B45">
        <w:rPr>
          <w:b/>
          <w:bCs/>
          <w:color w:val="000000" w:themeColor="text1"/>
          <w:highlight w:val="white"/>
          <w:lang w:val="en-GB"/>
        </w:rPr>
        <w:t xml:space="preserve">Outcome </w:t>
      </w:r>
    </w:p>
    <w:p w14:paraId="2947C256" w14:textId="77777777" w:rsidR="00501CC9" w:rsidRPr="00004B45" w:rsidRDefault="007344CF">
      <w:pPr>
        <w:spacing w:line="360" w:lineRule="auto"/>
        <w:jc w:val="both"/>
        <w:rPr>
          <w:color w:val="000000" w:themeColor="text1"/>
          <w:highlight w:val="white"/>
          <w:lang w:val="en-GB"/>
        </w:rPr>
      </w:pPr>
      <w:r w:rsidRPr="00004B45">
        <w:rPr>
          <w:color w:val="000000" w:themeColor="text1"/>
          <w:highlight w:val="white"/>
          <w:lang w:val="en-GB"/>
        </w:rPr>
        <w:t>Outcomes measure the immediate effect of healthcare on patient status, and this case has shown a catastrophic failure in the process and structure of the hospital.</w:t>
      </w:r>
    </w:p>
    <w:p w14:paraId="40F736EE" w14:textId="77777777" w:rsidR="00501CC9" w:rsidRPr="00004B45" w:rsidRDefault="007344CF">
      <w:pPr>
        <w:numPr>
          <w:ilvl w:val="0"/>
          <w:numId w:val="5"/>
        </w:numPr>
        <w:spacing w:line="360" w:lineRule="auto"/>
        <w:jc w:val="both"/>
        <w:rPr>
          <w:rFonts w:ascii="Times New Roman" w:eastAsia="Times New Roman" w:hAnsi="Times New Roman" w:cs="Times New Roman"/>
          <w:b/>
          <w:bCs/>
          <w:i/>
          <w:iCs/>
          <w:color w:val="000000" w:themeColor="text1"/>
          <w:highlight w:val="white"/>
          <w:lang w:val="en-GB"/>
        </w:rPr>
      </w:pPr>
      <w:r w:rsidRPr="00004B45">
        <w:rPr>
          <w:b/>
          <w:bCs/>
          <w:i/>
          <w:iCs/>
          <w:color w:val="000000" w:themeColor="text1"/>
          <w:highlight w:val="white"/>
          <w:lang w:val="en-GB"/>
        </w:rPr>
        <w:t xml:space="preserve">Safety incidents and mortality: </w:t>
      </w:r>
      <w:r w:rsidRPr="00004B45">
        <w:rPr>
          <w:color w:val="000000" w:themeColor="text1"/>
          <w:highlight w:val="white"/>
          <w:lang w:val="en-GB"/>
        </w:rPr>
        <w:t xml:space="preserve">The hospital had a huge spike in preventable harm that culminated in the tragic deaths of seven vulnerable infants. </w:t>
      </w:r>
    </w:p>
    <w:p w14:paraId="6703328F" w14:textId="77777777" w:rsidR="00501CC9" w:rsidRPr="00004B45" w:rsidRDefault="007344CF">
      <w:pPr>
        <w:numPr>
          <w:ilvl w:val="0"/>
          <w:numId w:val="5"/>
        </w:numPr>
        <w:spacing w:line="360" w:lineRule="auto"/>
        <w:jc w:val="both"/>
        <w:rPr>
          <w:rFonts w:ascii="Times New Roman" w:eastAsia="Times New Roman" w:hAnsi="Times New Roman" w:cs="Times New Roman"/>
          <w:b/>
          <w:bCs/>
          <w:i/>
          <w:iCs/>
          <w:color w:val="000000" w:themeColor="text1"/>
          <w:highlight w:val="white"/>
          <w:lang w:val="en-GB"/>
        </w:rPr>
      </w:pPr>
      <w:r w:rsidRPr="00004B45">
        <w:rPr>
          <w:b/>
          <w:bCs/>
          <w:i/>
          <w:iCs/>
          <w:color w:val="000000" w:themeColor="text1"/>
          <w:highlight w:val="white"/>
          <w:lang w:val="en-GB"/>
        </w:rPr>
        <w:t xml:space="preserve">Efficiency and equity: </w:t>
      </w:r>
      <w:r w:rsidRPr="00004B45">
        <w:rPr>
          <w:color w:val="000000" w:themeColor="text1"/>
          <w:highlight w:val="white"/>
          <w:lang w:val="en-GB"/>
        </w:rPr>
        <w:t xml:space="preserve">Exhausted staff failed to meet performance standards and wasted resources on their cover-ups. Regional equity was also compromised in this case as the Level 2 unit was compelled to deal with complex Level 3 care demands (LJMU, 2025). </w:t>
      </w:r>
    </w:p>
    <w:p w14:paraId="5EF2F372" w14:textId="69CD6802" w:rsidR="00004B45" w:rsidRDefault="007344CF" w:rsidP="00004B45">
      <w:pPr>
        <w:numPr>
          <w:ilvl w:val="0"/>
          <w:numId w:val="5"/>
        </w:numPr>
        <w:spacing w:line="360" w:lineRule="auto"/>
        <w:jc w:val="both"/>
        <w:rPr>
          <w:rFonts w:ascii="Times New Roman" w:eastAsia="Times New Roman" w:hAnsi="Times New Roman" w:cs="Times New Roman"/>
          <w:b/>
          <w:bCs/>
          <w:i/>
          <w:iCs/>
          <w:color w:val="000000" w:themeColor="text1"/>
          <w:highlight w:val="white"/>
          <w:lang w:val="en-GB"/>
        </w:rPr>
      </w:pPr>
      <w:r w:rsidRPr="00004B45">
        <w:rPr>
          <w:b/>
          <w:bCs/>
          <w:i/>
          <w:iCs/>
          <w:color w:val="000000" w:themeColor="text1"/>
          <w:highlight w:val="white"/>
          <w:lang w:val="en-GB"/>
        </w:rPr>
        <w:t xml:space="preserve">Standard gaps: </w:t>
      </w:r>
      <w:r w:rsidRPr="00004B45">
        <w:rPr>
          <w:color w:val="000000" w:themeColor="text1"/>
          <w:highlight w:val="white"/>
          <w:lang w:val="en-GB"/>
        </w:rPr>
        <w:t xml:space="preserve">There was a severe benchmark gap that emerged between the actual reactive performance of the hospital and the national standard of zero preventable harm. </w:t>
      </w:r>
    </w:p>
    <w:p w14:paraId="38981D6B" w14:textId="77777777" w:rsidR="00004B45" w:rsidRPr="00004B45" w:rsidRDefault="00004B45" w:rsidP="00004B45">
      <w:pPr>
        <w:spacing w:line="360" w:lineRule="auto"/>
        <w:ind w:left="720"/>
        <w:jc w:val="both"/>
        <w:rPr>
          <w:rFonts w:ascii="Times New Roman" w:eastAsia="Times New Roman" w:hAnsi="Times New Roman" w:cs="Times New Roman"/>
          <w:b/>
          <w:bCs/>
          <w:i/>
          <w:iCs/>
          <w:color w:val="000000" w:themeColor="text1"/>
          <w:highlight w:val="white"/>
          <w:lang w:val="en-GB"/>
        </w:rPr>
      </w:pPr>
    </w:p>
    <w:p w14:paraId="19C0169C" w14:textId="77777777" w:rsidR="00501CC9" w:rsidRPr="004153F0" w:rsidRDefault="007344CF" w:rsidP="00DB2C74">
      <w:pPr>
        <w:pStyle w:val="Heading1"/>
        <w:rPr>
          <w:color w:val="000000" w:themeColor="text1"/>
          <w:highlight w:val="white"/>
          <w:lang w:val="en-GB"/>
        </w:rPr>
      </w:pPr>
      <w:bookmarkStart w:id="2" w:name="_Toc233368511"/>
      <w:r w:rsidRPr="004153F0">
        <w:rPr>
          <w:color w:val="000000" w:themeColor="text1"/>
          <w:highlight w:val="white"/>
          <w:lang w:val="en-GB"/>
        </w:rPr>
        <w:t>3. Fishbone Diagram</w:t>
      </w:r>
      <w:bookmarkEnd w:id="2"/>
    </w:p>
    <w:p w14:paraId="79300B1A" w14:textId="77777777" w:rsidR="00501CC9" w:rsidRPr="004153F0" w:rsidRDefault="007344CF">
      <w:pPr>
        <w:spacing w:line="360" w:lineRule="auto"/>
        <w:jc w:val="center"/>
        <w:rPr>
          <w:b/>
          <w:bCs/>
          <w:color w:val="000000" w:themeColor="text1"/>
          <w:highlight w:val="white"/>
          <w:lang w:val="en-GB"/>
        </w:rPr>
      </w:pPr>
      <w:r w:rsidRPr="004153F0">
        <w:rPr>
          <w:b/>
          <w:bCs/>
          <w:noProof/>
          <w:color w:val="000000" w:themeColor="text1"/>
          <w:highlight w:val="white"/>
          <w:lang w:val="en-GB"/>
        </w:rPr>
        <w:drawing>
          <wp:inline distT="114300" distB="114300" distL="114300" distR="114300" wp14:anchorId="3DC20F23" wp14:editId="58CB9512">
            <wp:extent cx="5943600" cy="3529831"/>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t="10917"/>
                    <a:stretch>
                      <a:fillRect/>
                    </a:stretch>
                  </pic:blipFill>
                  <pic:spPr>
                    <a:xfrm>
                      <a:off x="0" y="0"/>
                      <a:ext cx="5943600" cy="3529831"/>
                    </a:xfrm>
                    <a:prstGeom prst="rect">
                      <a:avLst/>
                    </a:prstGeom>
                    <a:ln w="25400">
                      <a:solidFill>
                        <a:srgbClr val="000000"/>
                      </a:solidFill>
                      <a:prstDash val="solid"/>
                    </a:ln>
                  </pic:spPr>
                </pic:pic>
              </a:graphicData>
            </a:graphic>
          </wp:inline>
        </w:drawing>
      </w:r>
    </w:p>
    <w:p w14:paraId="4326E523" w14:textId="77777777" w:rsidR="00501CC9" w:rsidRPr="004153F0" w:rsidRDefault="007344CF">
      <w:pPr>
        <w:spacing w:line="360" w:lineRule="auto"/>
        <w:jc w:val="center"/>
        <w:rPr>
          <w:b/>
          <w:bCs/>
          <w:color w:val="000000" w:themeColor="text1"/>
          <w:highlight w:val="white"/>
          <w:lang w:val="en-GB"/>
        </w:rPr>
      </w:pPr>
      <w:r w:rsidRPr="004153F0">
        <w:rPr>
          <w:b/>
          <w:bCs/>
          <w:color w:val="000000" w:themeColor="text1"/>
          <w:highlight w:val="white"/>
          <w:lang w:val="en-GB"/>
        </w:rPr>
        <w:t xml:space="preserve">Figure 2: Fishbone Diagram for the root cause of the neonatal care crisis </w:t>
      </w:r>
    </w:p>
    <w:p w14:paraId="4631352C" w14:textId="77777777" w:rsidR="00501CC9" w:rsidRPr="004153F0" w:rsidRDefault="007344CF">
      <w:pPr>
        <w:spacing w:line="360" w:lineRule="auto"/>
        <w:jc w:val="center"/>
        <w:rPr>
          <w:color w:val="000000" w:themeColor="text1"/>
          <w:highlight w:val="white"/>
          <w:lang w:val="en-GB"/>
        </w:rPr>
      </w:pPr>
      <w:r w:rsidRPr="004153F0">
        <w:rPr>
          <w:color w:val="000000" w:themeColor="text1"/>
          <w:highlight w:val="white"/>
          <w:lang w:val="en-GB"/>
        </w:rPr>
        <w:t>(Source: Influenced by Ellis, 2024; Coffey, 2025)</w:t>
      </w:r>
    </w:p>
    <w:p w14:paraId="68D1C16F" w14:textId="77777777" w:rsidR="00501CC9" w:rsidRPr="00004B45" w:rsidRDefault="007344CF">
      <w:pPr>
        <w:spacing w:line="360" w:lineRule="auto"/>
        <w:jc w:val="both"/>
        <w:rPr>
          <w:color w:val="000000" w:themeColor="text1"/>
          <w:highlight w:val="white"/>
          <w:lang w:val="en-GB"/>
        </w:rPr>
      </w:pPr>
      <w:r w:rsidRPr="00004B45">
        <w:rPr>
          <w:color w:val="000000" w:themeColor="text1"/>
          <w:highlight w:val="white"/>
          <w:lang w:val="en-GB"/>
        </w:rPr>
        <w:t xml:space="preserve">Organisational failures of Chester Hospital can be systematically deconstructed using the Fishbone Diagram to categorise the root causes. </w:t>
      </w:r>
    </w:p>
    <w:p w14:paraId="51F6A11B" w14:textId="77777777" w:rsidR="00501CC9" w:rsidRPr="00004B45" w:rsidRDefault="007344CF">
      <w:pPr>
        <w:spacing w:line="360" w:lineRule="auto"/>
        <w:jc w:val="both"/>
        <w:rPr>
          <w:b/>
          <w:bCs/>
          <w:color w:val="000000" w:themeColor="text1"/>
          <w:highlight w:val="white"/>
          <w:lang w:val="en-GB"/>
        </w:rPr>
      </w:pPr>
      <w:r w:rsidRPr="00004B45">
        <w:rPr>
          <w:b/>
          <w:bCs/>
          <w:color w:val="000000" w:themeColor="text1"/>
          <w:highlight w:val="white"/>
          <w:lang w:val="en-GB"/>
        </w:rPr>
        <w:t>I. People (Workforce and leadership)</w:t>
      </w:r>
    </w:p>
    <w:p w14:paraId="7D8F6438" w14:textId="77777777" w:rsidR="00501CC9" w:rsidRPr="00004B45" w:rsidRDefault="007344CF">
      <w:pPr>
        <w:spacing w:line="360" w:lineRule="auto"/>
        <w:jc w:val="both"/>
        <w:rPr>
          <w:color w:val="000000" w:themeColor="text1"/>
          <w:highlight w:val="white"/>
          <w:lang w:val="en-GB"/>
        </w:rPr>
      </w:pPr>
      <w:r w:rsidRPr="00004B45">
        <w:rPr>
          <w:color w:val="000000" w:themeColor="text1"/>
          <w:highlight w:val="white"/>
          <w:lang w:val="en-GB"/>
        </w:rPr>
        <w:t xml:space="preserve">Frontline staff in this hospital were fatigued, overworked, and under immense pressure because of a severe nurse and doctor shortage. The leadership in this organisation lacked accountability, which shows a denial culture and defensiveness when anomalies showed up (Ellis, 2024). There was also a vetting gap and recruitment failure, which essentially restricted the capacity to identify abnormal clinical behaviours and potential harmful intent. </w:t>
      </w:r>
    </w:p>
    <w:p w14:paraId="0104A944" w14:textId="77777777" w:rsidR="00501CC9" w:rsidRPr="00004B45" w:rsidRDefault="007344CF">
      <w:pPr>
        <w:spacing w:line="360" w:lineRule="auto"/>
        <w:jc w:val="both"/>
        <w:rPr>
          <w:b/>
          <w:bCs/>
          <w:color w:val="000000" w:themeColor="text1"/>
          <w:highlight w:val="white"/>
          <w:lang w:val="en-GB"/>
        </w:rPr>
      </w:pPr>
      <w:r w:rsidRPr="00004B45">
        <w:rPr>
          <w:b/>
          <w:bCs/>
          <w:color w:val="000000" w:themeColor="text1"/>
          <w:highlight w:val="white"/>
          <w:lang w:val="en-GB"/>
        </w:rPr>
        <w:t>II. Process (Clinical operations)</w:t>
      </w:r>
    </w:p>
    <w:p w14:paraId="2ADE3EFE" w14:textId="77777777" w:rsidR="00501CC9" w:rsidRPr="00004B45" w:rsidRDefault="007344CF">
      <w:pPr>
        <w:spacing w:line="360" w:lineRule="auto"/>
        <w:jc w:val="both"/>
        <w:rPr>
          <w:color w:val="000000" w:themeColor="text1"/>
          <w:highlight w:val="white"/>
          <w:lang w:val="en-GB"/>
        </w:rPr>
      </w:pPr>
      <w:r w:rsidRPr="00004B45">
        <w:rPr>
          <w:color w:val="000000" w:themeColor="text1"/>
          <w:highlight w:val="white"/>
          <w:lang w:val="en-GB"/>
        </w:rPr>
        <w:t xml:space="preserve">The incident reporting system of Chester Hospital failed to register unexplained and repeated clinical collapses promptly. The hospital held irregular clinical practices, which means that the harm patterns and unusual mortality rate increase were ignored (Redley </w:t>
      </w:r>
      <w:r w:rsidRPr="00004B45">
        <w:rPr>
          <w:i/>
          <w:iCs/>
          <w:color w:val="000000" w:themeColor="text1"/>
          <w:highlight w:val="white"/>
          <w:lang w:val="en-GB"/>
        </w:rPr>
        <w:t xml:space="preserve">et al. </w:t>
      </w:r>
      <w:r w:rsidRPr="00004B45">
        <w:rPr>
          <w:color w:val="000000" w:themeColor="text1"/>
          <w:highlight w:val="white"/>
          <w:lang w:val="en-GB"/>
        </w:rPr>
        <w:t xml:space="preserve">2022). Junior staff lacked appropriate clinical supervision and guidance, where the management failed to recognise warning signs. </w:t>
      </w:r>
    </w:p>
    <w:p w14:paraId="2B234CF9" w14:textId="77777777" w:rsidR="00501CC9" w:rsidRPr="00004B45" w:rsidRDefault="007344CF">
      <w:pPr>
        <w:spacing w:line="360" w:lineRule="auto"/>
        <w:jc w:val="both"/>
        <w:rPr>
          <w:b/>
          <w:bCs/>
          <w:color w:val="000000" w:themeColor="text1"/>
          <w:highlight w:val="white"/>
          <w:lang w:val="en-GB"/>
        </w:rPr>
      </w:pPr>
      <w:r w:rsidRPr="00004B45">
        <w:rPr>
          <w:b/>
          <w:bCs/>
          <w:color w:val="000000" w:themeColor="text1"/>
          <w:highlight w:val="white"/>
          <w:lang w:val="en-GB"/>
        </w:rPr>
        <w:t>III. Policy (Governance frameworks)</w:t>
      </w:r>
    </w:p>
    <w:p w14:paraId="044CC25E" w14:textId="77777777" w:rsidR="00501CC9" w:rsidRPr="00004B45" w:rsidRDefault="007344CF">
      <w:pPr>
        <w:spacing w:line="360" w:lineRule="auto"/>
        <w:jc w:val="both"/>
        <w:rPr>
          <w:color w:val="000000" w:themeColor="text1"/>
          <w:highlight w:val="white"/>
          <w:lang w:val="en-GB"/>
        </w:rPr>
      </w:pPr>
      <w:r w:rsidRPr="00004B45">
        <w:rPr>
          <w:color w:val="000000" w:themeColor="text1"/>
          <w:highlight w:val="white"/>
          <w:lang w:val="en-GB"/>
        </w:rPr>
        <w:t xml:space="preserve">There was a mere advocacy of the National NHS staffing ratio, instead of a strict local enforcement that permitted routine understaffing. The hospital had a suppressed whistleblowing with insufficient ethical policy and a system of penalising staff in question (Chakravorty, 2023). Staff failed to raise their voices when unethical behaviours were seen among others. Besides, the mechanisms of internal governance failed to notify the police and regulatory bodies, which allowed the harm to continue. </w:t>
      </w:r>
    </w:p>
    <w:p w14:paraId="0FC93A13" w14:textId="77777777" w:rsidR="00501CC9" w:rsidRPr="00004B45" w:rsidRDefault="007344CF">
      <w:pPr>
        <w:spacing w:line="360" w:lineRule="auto"/>
        <w:jc w:val="both"/>
        <w:rPr>
          <w:b/>
          <w:bCs/>
          <w:color w:val="000000" w:themeColor="text1"/>
          <w:highlight w:val="white"/>
          <w:lang w:val="en-GB"/>
        </w:rPr>
      </w:pPr>
      <w:r w:rsidRPr="00004B45">
        <w:rPr>
          <w:b/>
          <w:bCs/>
          <w:color w:val="000000" w:themeColor="text1"/>
          <w:highlight w:val="white"/>
          <w:lang w:val="en-GB"/>
        </w:rPr>
        <w:t>IV. Environment (Workplace context)</w:t>
      </w:r>
    </w:p>
    <w:p w14:paraId="35C5A349" w14:textId="77777777" w:rsidR="00501CC9" w:rsidRPr="00004B45" w:rsidRDefault="007344CF">
      <w:pPr>
        <w:spacing w:line="360" w:lineRule="auto"/>
        <w:jc w:val="both"/>
        <w:rPr>
          <w:color w:val="000000" w:themeColor="text1"/>
          <w:highlight w:val="white"/>
          <w:lang w:val="en-GB"/>
        </w:rPr>
      </w:pPr>
      <w:r w:rsidRPr="00004B45">
        <w:rPr>
          <w:color w:val="000000" w:themeColor="text1"/>
          <w:highlight w:val="white"/>
          <w:lang w:val="en-GB"/>
        </w:rPr>
        <w:t xml:space="preserve">There was a perpetual system pressure in the neonatal unit that drove staff to work extensive overtime. The Level 2 care unit facility often needed to cater to care demands in Level 3 that caused unsafe regional disparity. </w:t>
      </w:r>
    </w:p>
    <w:p w14:paraId="7A160870" w14:textId="77777777" w:rsidR="00501CC9" w:rsidRPr="00004B45" w:rsidRDefault="007344CF">
      <w:pPr>
        <w:spacing w:line="360" w:lineRule="auto"/>
        <w:jc w:val="both"/>
        <w:rPr>
          <w:color w:val="000000" w:themeColor="text1"/>
          <w:highlight w:val="white"/>
          <w:lang w:val="en-GB"/>
        </w:rPr>
      </w:pPr>
      <w:r w:rsidRPr="00004B45">
        <w:rPr>
          <w:color w:val="000000" w:themeColor="text1"/>
          <w:highlight w:val="white"/>
          <w:lang w:val="en-GB"/>
        </w:rPr>
        <w:t>The root cause analysis can be deepened by applying the</w:t>
      </w:r>
      <w:r w:rsidRPr="00004B45">
        <w:rPr>
          <w:i/>
          <w:iCs/>
          <w:color w:val="000000" w:themeColor="text1"/>
          <w:highlight w:val="white"/>
          <w:lang w:val="en-GB"/>
        </w:rPr>
        <w:t xml:space="preserve"> 5 Whys</w:t>
      </w:r>
      <w:r w:rsidRPr="00004B45">
        <w:rPr>
          <w:color w:val="000000" w:themeColor="text1"/>
          <w:highlight w:val="white"/>
          <w:lang w:val="en-GB"/>
        </w:rPr>
        <w:t xml:space="preserve"> method, which helps in revealing how deeply integrated these structural elements were. </w:t>
      </w:r>
    </w:p>
    <w:p w14:paraId="3A4E9BD6" w14:textId="77777777" w:rsidR="00DB78E6" w:rsidRPr="00004B45" w:rsidRDefault="00DB78E6">
      <w:pPr>
        <w:spacing w:line="360" w:lineRule="auto"/>
        <w:jc w:val="both"/>
        <w:rPr>
          <w:color w:val="000000" w:themeColor="text1"/>
          <w:highlight w:val="white"/>
          <w:lang w:val="en-GB"/>
        </w:rPr>
      </w:pPr>
      <w:r w:rsidRPr="00004B45">
        <w:rPr>
          <w:color w:val="000000" w:themeColor="text1"/>
          <w:shd w:val="clear" w:color="auto" w:fill="FFFFFF"/>
          <w:lang w:val="en-GB"/>
        </w:rPr>
        <w:t>The fishbone analysis indicates that it is important to identify hidden systemic variables and assumptions for the hospital's risk assessment. Management personnel worked under the assumption that clinical professionals at Chester Hospital are raising alarms (</w:t>
      </w:r>
      <w:r w:rsidR="007721E9" w:rsidRPr="00004B45">
        <w:rPr>
          <w:color w:val="000000" w:themeColor="text1"/>
          <w:shd w:val="clear" w:color="auto" w:fill="FFFFFF"/>
          <w:lang w:val="en-GB"/>
        </w:rPr>
        <w:t>Mitchell, 2024</w:t>
      </w:r>
      <w:r w:rsidRPr="00004B45">
        <w:rPr>
          <w:color w:val="000000" w:themeColor="text1"/>
          <w:shd w:val="clear" w:color="auto" w:fill="FFFFFF"/>
          <w:lang w:val="en-GB"/>
        </w:rPr>
        <w:t>). It was also assumed that workers would raise their voices even during work with vulnerable newborns and routine operational pressure. This assumption prevented recognition of a deliberate pattern of harm. This has also created a cognitive bias that prevented the leadership of this organisation from connecting individual events into one cohesive systemic failure. In addition, data verification played a significant role in validating the root causes (</w:t>
      </w:r>
      <w:r w:rsidR="00221F61" w:rsidRPr="00004B45">
        <w:rPr>
          <w:color w:val="000000" w:themeColor="text1"/>
          <w:shd w:val="clear" w:color="auto" w:fill="FFFFFF"/>
          <w:lang w:val="en-GB"/>
        </w:rPr>
        <w:t xml:space="preserve">Sohrabi </w:t>
      </w:r>
      <w:r w:rsidR="00221F61" w:rsidRPr="00004B45">
        <w:rPr>
          <w:i/>
          <w:color w:val="000000" w:themeColor="text1"/>
          <w:shd w:val="clear" w:color="auto" w:fill="FFFFFF"/>
          <w:lang w:val="en-GB"/>
        </w:rPr>
        <w:t xml:space="preserve">et al. </w:t>
      </w:r>
      <w:r w:rsidR="00221F61" w:rsidRPr="00004B45">
        <w:rPr>
          <w:color w:val="000000" w:themeColor="text1"/>
          <w:shd w:val="clear" w:color="auto" w:fill="FFFFFF"/>
          <w:lang w:val="en-GB"/>
        </w:rPr>
        <w:t>2022</w:t>
      </w:r>
      <w:r w:rsidRPr="00004B45">
        <w:rPr>
          <w:color w:val="000000" w:themeColor="text1"/>
          <w:shd w:val="clear" w:color="auto" w:fill="FFFFFF"/>
          <w:lang w:val="en-GB"/>
        </w:rPr>
        <w:t>). HR data should have been cross-referenced, especially related to extreme overtime logs, high staff turnover, and insufficient nurse-to-patient ratios. In this way, the organisation failed to verify the high-workload environment, leading to the catastrophic incident</w:t>
      </w:r>
      <w:r w:rsidR="00221F61" w:rsidRPr="00004B45">
        <w:rPr>
          <w:color w:val="000000" w:themeColor="text1"/>
          <w:shd w:val="clear" w:color="auto" w:fill="FFFFFF"/>
          <w:lang w:val="en-GB"/>
        </w:rPr>
        <w:t xml:space="preserve"> (Aghighi </w:t>
      </w:r>
      <w:r w:rsidR="00221F61" w:rsidRPr="00004B45">
        <w:rPr>
          <w:i/>
          <w:color w:val="000000" w:themeColor="text1"/>
          <w:shd w:val="clear" w:color="auto" w:fill="FFFFFF"/>
          <w:lang w:val="en-GB"/>
        </w:rPr>
        <w:t xml:space="preserve">et al. </w:t>
      </w:r>
      <w:r w:rsidR="00221F61" w:rsidRPr="00004B45">
        <w:rPr>
          <w:color w:val="000000" w:themeColor="text1"/>
          <w:shd w:val="clear" w:color="auto" w:fill="FFFFFF"/>
          <w:lang w:val="en-GB"/>
        </w:rPr>
        <w:t>2022)</w:t>
      </w:r>
      <w:r w:rsidRPr="00004B45">
        <w:rPr>
          <w:color w:val="000000" w:themeColor="text1"/>
          <w:shd w:val="clear" w:color="auto" w:fill="FFFFFF"/>
          <w:lang w:val="en-GB"/>
        </w:rPr>
        <w:t>. Therefore, the case represents an interconnected failure of policy, process, and human deficiencies, which are the main challenges behind such massive failures.</w:t>
      </w:r>
    </w:p>
    <w:p w14:paraId="74BD30FD" w14:textId="77777777" w:rsidR="00501CC9" w:rsidRPr="00004B45" w:rsidRDefault="007344CF">
      <w:pPr>
        <w:spacing w:line="360" w:lineRule="auto"/>
        <w:jc w:val="both"/>
        <w:rPr>
          <w:b/>
          <w:bCs/>
          <w:i/>
          <w:iCs/>
          <w:color w:val="000000" w:themeColor="text1"/>
          <w:highlight w:val="white"/>
          <w:lang w:val="en-GB"/>
        </w:rPr>
      </w:pPr>
      <w:r w:rsidRPr="00004B45">
        <w:rPr>
          <w:b/>
          <w:bCs/>
          <w:i/>
          <w:iCs/>
          <w:color w:val="000000" w:themeColor="text1"/>
          <w:highlight w:val="white"/>
          <w:lang w:val="en-GB"/>
        </w:rPr>
        <w:t>1. Why did the infants suffer from preventable harm?</w:t>
      </w:r>
    </w:p>
    <w:p w14:paraId="190D485B" w14:textId="77777777" w:rsidR="00501CC9" w:rsidRPr="00004B45" w:rsidRDefault="00E968F3">
      <w:pPr>
        <w:spacing w:line="360" w:lineRule="auto"/>
        <w:jc w:val="both"/>
        <w:rPr>
          <w:color w:val="000000" w:themeColor="text1"/>
          <w:highlight w:val="white"/>
          <w:lang w:val="en-GB"/>
        </w:rPr>
      </w:pPr>
      <w:r w:rsidRPr="00004B45">
        <w:rPr>
          <w:color w:val="000000" w:themeColor="text1"/>
          <w:highlight w:val="white"/>
          <w:lang w:val="en-GB"/>
        </w:rPr>
        <w:t>O</w:t>
      </w:r>
      <w:r w:rsidR="007344CF" w:rsidRPr="00004B45">
        <w:rPr>
          <w:color w:val="000000" w:themeColor="text1"/>
          <w:highlight w:val="white"/>
          <w:lang w:val="en-GB"/>
        </w:rPr>
        <w:t xml:space="preserve">ne of the nurses went unrecognised for her behaviours and intentions on the neonatal unit for months. </w:t>
      </w:r>
    </w:p>
    <w:p w14:paraId="2D9D9B02" w14:textId="77777777" w:rsidR="00501CC9" w:rsidRPr="00004B45" w:rsidRDefault="007344CF">
      <w:pPr>
        <w:spacing w:line="360" w:lineRule="auto"/>
        <w:jc w:val="both"/>
        <w:rPr>
          <w:b/>
          <w:bCs/>
          <w:i/>
          <w:iCs/>
          <w:color w:val="000000" w:themeColor="text1"/>
          <w:highlight w:val="white"/>
          <w:lang w:val="en-GB"/>
        </w:rPr>
      </w:pPr>
      <w:r w:rsidRPr="00004B45">
        <w:rPr>
          <w:b/>
          <w:bCs/>
          <w:i/>
          <w:iCs/>
          <w:color w:val="000000" w:themeColor="text1"/>
          <w:highlight w:val="white"/>
          <w:lang w:val="en-GB"/>
        </w:rPr>
        <w:t>2. Why was the nurse not stopped earlier?</w:t>
      </w:r>
    </w:p>
    <w:p w14:paraId="12506E4D" w14:textId="77777777" w:rsidR="00501CC9" w:rsidRPr="00004B45" w:rsidRDefault="00E968F3">
      <w:pPr>
        <w:spacing w:line="360" w:lineRule="auto"/>
        <w:jc w:val="both"/>
        <w:rPr>
          <w:color w:val="000000" w:themeColor="text1"/>
          <w:highlight w:val="white"/>
          <w:lang w:val="en-GB"/>
        </w:rPr>
      </w:pPr>
      <w:r w:rsidRPr="00004B45">
        <w:rPr>
          <w:color w:val="000000" w:themeColor="text1"/>
          <w:highlight w:val="white"/>
          <w:lang w:val="en-GB"/>
        </w:rPr>
        <w:t>The</w:t>
      </w:r>
      <w:r w:rsidR="007344CF" w:rsidRPr="00004B45">
        <w:rPr>
          <w:color w:val="000000" w:themeColor="text1"/>
          <w:highlight w:val="white"/>
          <w:lang w:val="en-GB"/>
        </w:rPr>
        <w:t xml:space="preserve"> executive management failed to take immediate action on the clinical concerns raised by other workers. </w:t>
      </w:r>
    </w:p>
    <w:p w14:paraId="32A439E5" w14:textId="77777777" w:rsidR="00501CC9" w:rsidRPr="00004B45" w:rsidRDefault="007344CF">
      <w:pPr>
        <w:spacing w:line="360" w:lineRule="auto"/>
        <w:jc w:val="both"/>
        <w:rPr>
          <w:b/>
          <w:bCs/>
          <w:i/>
          <w:iCs/>
          <w:color w:val="000000" w:themeColor="text1"/>
          <w:highlight w:val="white"/>
          <w:lang w:val="en-GB"/>
        </w:rPr>
      </w:pPr>
      <w:r w:rsidRPr="00004B45">
        <w:rPr>
          <w:b/>
          <w:bCs/>
          <w:i/>
          <w:iCs/>
          <w:color w:val="000000" w:themeColor="text1"/>
          <w:highlight w:val="white"/>
          <w:lang w:val="en-GB"/>
        </w:rPr>
        <w:t>3. Why did management overlook clinical concerns?</w:t>
      </w:r>
    </w:p>
    <w:p w14:paraId="614DC953" w14:textId="77777777" w:rsidR="00501CC9" w:rsidRPr="00004B45" w:rsidRDefault="00E968F3">
      <w:pPr>
        <w:spacing w:line="360" w:lineRule="auto"/>
        <w:jc w:val="both"/>
        <w:rPr>
          <w:color w:val="000000" w:themeColor="text1"/>
          <w:highlight w:val="white"/>
          <w:lang w:val="en-GB"/>
        </w:rPr>
      </w:pPr>
      <w:r w:rsidRPr="00004B45">
        <w:rPr>
          <w:color w:val="000000" w:themeColor="text1"/>
          <w:highlight w:val="white"/>
          <w:lang w:val="en-GB"/>
        </w:rPr>
        <w:t>T</w:t>
      </w:r>
      <w:r w:rsidR="007344CF" w:rsidRPr="00004B45">
        <w:rPr>
          <w:color w:val="000000" w:themeColor="text1"/>
          <w:highlight w:val="white"/>
          <w:lang w:val="en-GB"/>
        </w:rPr>
        <w:t xml:space="preserve">he organisational culture could be characterised by defensiveness, denial, and lack of accountability. </w:t>
      </w:r>
    </w:p>
    <w:p w14:paraId="00316BC5" w14:textId="77777777" w:rsidR="00501CC9" w:rsidRPr="00004B45" w:rsidRDefault="007344CF">
      <w:pPr>
        <w:spacing w:line="360" w:lineRule="auto"/>
        <w:jc w:val="both"/>
        <w:rPr>
          <w:b/>
          <w:bCs/>
          <w:i/>
          <w:iCs/>
          <w:color w:val="000000" w:themeColor="text1"/>
          <w:highlight w:val="white"/>
          <w:lang w:val="en-GB"/>
        </w:rPr>
      </w:pPr>
      <w:r w:rsidRPr="00004B45">
        <w:rPr>
          <w:b/>
          <w:bCs/>
          <w:i/>
          <w:iCs/>
          <w:color w:val="000000" w:themeColor="text1"/>
          <w:highlight w:val="white"/>
          <w:lang w:val="en-GB"/>
        </w:rPr>
        <w:t xml:space="preserve">4. Why did the toxic workplace culture persist unchecked? </w:t>
      </w:r>
    </w:p>
    <w:p w14:paraId="0300064A" w14:textId="77777777" w:rsidR="00501CC9" w:rsidRPr="00004B45" w:rsidRDefault="00E968F3">
      <w:pPr>
        <w:spacing w:line="360" w:lineRule="auto"/>
        <w:jc w:val="both"/>
        <w:rPr>
          <w:color w:val="000000" w:themeColor="text1"/>
          <w:highlight w:val="white"/>
          <w:lang w:val="en-GB"/>
        </w:rPr>
      </w:pPr>
      <w:r w:rsidRPr="00004B45">
        <w:rPr>
          <w:color w:val="000000" w:themeColor="text1"/>
          <w:highlight w:val="white"/>
          <w:lang w:val="en-GB"/>
        </w:rPr>
        <w:t>T</w:t>
      </w:r>
      <w:r w:rsidR="007344CF" w:rsidRPr="00004B45">
        <w:rPr>
          <w:color w:val="000000" w:themeColor="text1"/>
          <w:highlight w:val="white"/>
          <w:lang w:val="en-GB"/>
        </w:rPr>
        <w:t xml:space="preserve">ransparent internal clinical audits and ethical whistleblowing systems were completely absent. </w:t>
      </w:r>
    </w:p>
    <w:p w14:paraId="32FDEE52" w14:textId="77777777" w:rsidR="00501CC9" w:rsidRPr="00004B45" w:rsidRDefault="007344CF">
      <w:pPr>
        <w:spacing w:line="360" w:lineRule="auto"/>
        <w:jc w:val="both"/>
        <w:rPr>
          <w:b/>
          <w:bCs/>
          <w:i/>
          <w:iCs/>
          <w:color w:val="000000" w:themeColor="text1"/>
          <w:highlight w:val="white"/>
          <w:lang w:val="en-GB"/>
        </w:rPr>
      </w:pPr>
      <w:r w:rsidRPr="00004B45">
        <w:rPr>
          <w:b/>
          <w:bCs/>
          <w:i/>
          <w:iCs/>
          <w:color w:val="000000" w:themeColor="text1"/>
          <w:highlight w:val="white"/>
          <w:lang w:val="en-GB"/>
        </w:rPr>
        <w:t>5. Why were the safety structures missing?</w:t>
      </w:r>
    </w:p>
    <w:p w14:paraId="52AC92CC" w14:textId="77777777" w:rsidR="00501CC9" w:rsidRDefault="00E968F3">
      <w:pPr>
        <w:spacing w:line="360" w:lineRule="auto"/>
        <w:jc w:val="both"/>
        <w:rPr>
          <w:color w:val="000000" w:themeColor="text1"/>
          <w:highlight w:val="white"/>
          <w:lang w:val="en-GB"/>
        </w:rPr>
      </w:pPr>
      <w:r w:rsidRPr="00004B45">
        <w:rPr>
          <w:color w:val="000000" w:themeColor="text1"/>
          <w:highlight w:val="white"/>
          <w:lang w:val="en-GB"/>
        </w:rPr>
        <w:t>T</w:t>
      </w:r>
      <w:r w:rsidR="007344CF" w:rsidRPr="00004B45">
        <w:rPr>
          <w:color w:val="000000" w:themeColor="text1"/>
          <w:highlight w:val="white"/>
          <w:lang w:val="en-GB"/>
        </w:rPr>
        <w:t xml:space="preserve">he risk management frameworks and clinical governance of the hospital collapsed. </w:t>
      </w:r>
    </w:p>
    <w:p w14:paraId="1D29082E" w14:textId="77777777" w:rsidR="00242C9A" w:rsidRPr="00004B45" w:rsidRDefault="00242C9A">
      <w:pPr>
        <w:spacing w:line="360" w:lineRule="auto"/>
        <w:jc w:val="both"/>
        <w:rPr>
          <w:color w:val="000000" w:themeColor="text1"/>
          <w:highlight w:val="white"/>
          <w:lang w:val="en-GB"/>
        </w:rPr>
      </w:pPr>
    </w:p>
    <w:p w14:paraId="41887FF4" w14:textId="77777777" w:rsidR="00501CC9" w:rsidRPr="004153F0" w:rsidRDefault="007344CF" w:rsidP="00DB2C74">
      <w:pPr>
        <w:pStyle w:val="Heading1"/>
        <w:rPr>
          <w:color w:val="000000" w:themeColor="text1"/>
          <w:highlight w:val="white"/>
          <w:lang w:val="en-GB"/>
        </w:rPr>
      </w:pPr>
      <w:bookmarkStart w:id="3" w:name="_Toc233368512"/>
      <w:r w:rsidRPr="004153F0">
        <w:rPr>
          <w:color w:val="000000" w:themeColor="text1"/>
          <w:highlight w:val="white"/>
          <w:lang w:val="en-GB"/>
        </w:rPr>
        <w:t>4. SWOT analysis</w:t>
      </w:r>
      <w:bookmarkEnd w:id="3"/>
    </w:p>
    <w:p w14:paraId="2CA17BB9" w14:textId="77777777" w:rsidR="00E65E1B" w:rsidRDefault="00E65E1B" w:rsidP="00E65E1B">
      <w:pPr>
        <w:spacing w:line="360" w:lineRule="auto"/>
        <w:jc w:val="both"/>
        <w:rPr>
          <w:color w:val="000000" w:themeColor="text1"/>
          <w:shd w:val="clear" w:color="auto" w:fill="FFFFFF"/>
          <w:lang w:val="en-GB"/>
        </w:rPr>
      </w:pPr>
      <w:r w:rsidRPr="00242C9A">
        <w:rPr>
          <w:color w:val="000000" w:themeColor="text1"/>
          <w:shd w:val="clear" w:color="auto" w:fill="FFFFFF"/>
          <w:lang w:val="en-GB"/>
        </w:rPr>
        <w:t>A SWOT analysis has been initiated in this context to bridge the gap between external strategic priorities and internal operational failures. This analysis can directly illustrate how the defensive management of the hospital and staffing issues crippled the clinical strengths. At the same time, this framework will offer a clear roadmap to attain national safety standards by overcoming external regulatory threats.</w:t>
      </w:r>
    </w:p>
    <w:p w14:paraId="4FFFCF7F" w14:textId="77777777" w:rsidR="00242C9A" w:rsidRDefault="00242C9A" w:rsidP="00E65E1B">
      <w:pPr>
        <w:spacing w:line="360" w:lineRule="auto"/>
        <w:jc w:val="both"/>
        <w:rPr>
          <w:color w:val="000000" w:themeColor="text1"/>
          <w:shd w:val="clear" w:color="auto" w:fill="FFFFFF"/>
          <w:lang w:val="en-GB"/>
        </w:rPr>
      </w:pPr>
    </w:p>
    <w:p w14:paraId="4DCE0D02" w14:textId="77777777" w:rsidR="00242C9A" w:rsidRDefault="00242C9A" w:rsidP="00E65E1B">
      <w:pPr>
        <w:spacing w:line="360" w:lineRule="auto"/>
        <w:jc w:val="both"/>
        <w:rPr>
          <w:color w:val="000000" w:themeColor="text1"/>
          <w:shd w:val="clear" w:color="auto" w:fill="FFFFFF"/>
          <w:lang w:val="en-GB"/>
        </w:rPr>
      </w:pPr>
    </w:p>
    <w:p w14:paraId="4E55B3AC" w14:textId="77777777" w:rsidR="00242C9A" w:rsidRDefault="00242C9A" w:rsidP="00E65E1B">
      <w:pPr>
        <w:spacing w:line="360" w:lineRule="auto"/>
        <w:jc w:val="both"/>
        <w:rPr>
          <w:color w:val="000000" w:themeColor="text1"/>
          <w:shd w:val="clear" w:color="auto" w:fill="FFFFFF"/>
          <w:lang w:val="en-GB"/>
        </w:rPr>
      </w:pPr>
    </w:p>
    <w:p w14:paraId="0751ECD4" w14:textId="77777777" w:rsidR="00242C9A" w:rsidRDefault="00242C9A" w:rsidP="00E65E1B">
      <w:pPr>
        <w:spacing w:line="360" w:lineRule="auto"/>
        <w:jc w:val="both"/>
        <w:rPr>
          <w:color w:val="000000" w:themeColor="text1"/>
          <w:shd w:val="clear" w:color="auto" w:fill="FFFFFF"/>
          <w:lang w:val="en-GB"/>
        </w:rPr>
      </w:pPr>
    </w:p>
    <w:p w14:paraId="62945838" w14:textId="77777777" w:rsidR="00242C9A" w:rsidRDefault="00242C9A" w:rsidP="00E65E1B">
      <w:pPr>
        <w:spacing w:line="360" w:lineRule="auto"/>
        <w:jc w:val="both"/>
        <w:rPr>
          <w:color w:val="000000" w:themeColor="text1"/>
          <w:shd w:val="clear" w:color="auto" w:fill="FFFFFF"/>
          <w:lang w:val="en-GB"/>
        </w:rPr>
      </w:pPr>
    </w:p>
    <w:p w14:paraId="3013D0D9" w14:textId="77777777" w:rsidR="00242C9A" w:rsidRDefault="00242C9A" w:rsidP="00E65E1B">
      <w:pPr>
        <w:spacing w:line="360" w:lineRule="auto"/>
        <w:jc w:val="both"/>
        <w:rPr>
          <w:color w:val="000000" w:themeColor="text1"/>
          <w:shd w:val="clear" w:color="auto" w:fill="FFFFFF"/>
          <w:lang w:val="en-GB"/>
        </w:rPr>
      </w:pPr>
    </w:p>
    <w:p w14:paraId="420843F5" w14:textId="77777777" w:rsidR="00242C9A" w:rsidRDefault="00242C9A" w:rsidP="00E65E1B">
      <w:pPr>
        <w:spacing w:line="360" w:lineRule="auto"/>
        <w:jc w:val="both"/>
        <w:rPr>
          <w:color w:val="000000" w:themeColor="text1"/>
          <w:shd w:val="clear" w:color="auto" w:fill="FFFFFF"/>
          <w:lang w:val="en-GB"/>
        </w:rPr>
      </w:pPr>
    </w:p>
    <w:p w14:paraId="44A5079D" w14:textId="77777777" w:rsidR="00242C9A" w:rsidRDefault="00242C9A" w:rsidP="00E65E1B">
      <w:pPr>
        <w:spacing w:line="360" w:lineRule="auto"/>
        <w:jc w:val="both"/>
        <w:rPr>
          <w:color w:val="000000" w:themeColor="text1"/>
          <w:shd w:val="clear" w:color="auto" w:fill="FFFFFF"/>
          <w:lang w:val="en-GB"/>
        </w:rPr>
      </w:pPr>
    </w:p>
    <w:p w14:paraId="4FFE7D98" w14:textId="77777777" w:rsidR="00242C9A" w:rsidRDefault="00242C9A" w:rsidP="00E65E1B">
      <w:pPr>
        <w:spacing w:line="360" w:lineRule="auto"/>
        <w:jc w:val="both"/>
        <w:rPr>
          <w:color w:val="000000" w:themeColor="text1"/>
          <w:shd w:val="clear" w:color="auto" w:fill="FFFFFF"/>
          <w:lang w:val="en-GB"/>
        </w:rPr>
      </w:pPr>
    </w:p>
    <w:p w14:paraId="343F1BC9" w14:textId="77777777" w:rsidR="00242C9A" w:rsidRPr="00242C9A" w:rsidRDefault="00242C9A" w:rsidP="00E65E1B">
      <w:pPr>
        <w:spacing w:line="360" w:lineRule="auto"/>
        <w:jc w:val="both"/>
        <w:rPr>
          <w:color w:val="000000" w:themeColor="text1"/>
          <w:highlight w:val="white"/>
          <w:lang w:val="en-GB"/>
        </w:rPr>
      </w:pPr>
    </w:p>
    <w:tbl>
      <w:tblPr>
        <w:tblStyle w:val="a"/>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01CC9" w:rsidRPr="004153F0" w14:paraId="50D6A6B8" w14:textId="77777777">
        <w:trPr>
          <w:jc w:val="center"/>
        </w:trPr>
        <w:tc>
          <w:tcPr>
            <w:tcW w:w="4680" w:type="dxa"/>
            <w:tcMar>
              <w:top w:w="100" w:type="dxa"/>
              <w:left w:w="100" w:type="dxa"/>
              <w:bottom w:w="100" w:type="dxa"/>
              <w:right w:w="100" w:type="dxa"/>
            </w:tcMar>
          </w:tcPr>
          <w:p w14:paraId="4A143801" w14:textId="77777777" w:rsidR="00501CC9" w:rsidRPr="004153F0" w:rsidRDefault="007344CF">
            <w:pPr>
              <w:widowControl w:val="0"/>
              <w:pBdr>
                <w:top w:val="nil"/>
                <w:left w:val="nil"/>
                <w:bottom w:val="nil"/>
                <w:right w:val="nil"/>
                <w:between w:val="nil"/>
              </w:pBdr>
              <w:spacing w:line="360" w:lineRule="auto"/>
              <w:rPr>
                <w:b/>
                <w:bCs/>
                <w:color w:val="000000" w:themeColor="text1"/>
                <w:highlight w:val="white"/>
                <w:lang w:val="en-GB"/>
              </w:rPr>
            </w:pPr>
            <w:r w:rsidRPr="004153F0">
              <w:rPr>
                <w:b/>
                <w:bCs/>
                <w:color w:val="000000" w:themeColor="text1"/>
                <w:highlight w:val="white"/>
                <w:lang w:val="en-GB"/>
              </w:rPr>
              <w:t xml:space="preserve">Strengths </w:t>
            </w:r>
          </w:p>
          <w:p w14:paraId="04B5695D" w14:textId="77777777" w:rsidR="00501CC9" w:rsidRPr="004153F0" w:rsidRDefault="007344CF">
            <w:pPr>
              <w:widowControl w:val="0"/>
              <w:numPr>
                <w:ilvl w:val="0"/>
                <w:numId w:val="8"/>
              </w:numPr>
              <w:pBdr>
                <w:top w:val="nil"/>
                <w:left w:val="nil"/>
                <w:bottom w:val="nil"/>
                <w:right w:val="nil"/>
                <w:between w:val="nil"/>
              </w:pBdr>
              <w:spacing w:line="360" w:lineRule="auto"/>
              <w:rPr>
                <w:color w:val="000000" w:themeColor="text1"/>
                <w:highlight w:val="white"/>
                <w:lang w:val="en-GB"/>
              </w:rPr>
            </w:pPr>
            <w:r w:rsidRPr="004153F0">
              <w:rPr>
                <w:color w:val="000000" w:themeColor="text1"/>
                <w:highlight w:val="white"/>
                <w:lang w:val="en-GB"/>
              </w:rPr>
              <w:t xml:space="preserve">Established a mandatory clinical training framework. </w:t>
            </w:r>
          </w:p>
          <w:p w14:paraId="3E97D6F2" w14:textId="77777777" w:rsidR="00501CC9" w:rsidRPr="004153F0" w:rsidRDefault="007344CF">
            <w:pPr>
              <w:widowControl w:val="0"/>
              <w:numPr>
                <w:ilvl w:val="0"/>
                <w:numId w:val="8"/>
              </w:numPr>
              <w:pBdr>
                <w:top w:val="nil"/>
                <w:left w:val="nil"/>
                <w:bottom w:val="nil"/>
                <w:right w:val="nil"/>
                <w:between w:val="nil"/>
              </w:pBdr>
              <w:spacing w:line="360" w:lineRule="auto"/>
              <w:rPr>
                <w:color w:val="000000" w:themeColor="text1"/>
                <w:highlight w:val="white"/>
                <w:lang w:val="en-GB"/>
              </w:rPr>
            </w:pPr>
            <w:r w:rsidRPr="004153F0">
              <w:rPr>
                <w:color w:val="000000" w:themeColor="text1"/>
                <w:highlight w:val="white"/>
                <w:lang w:val="en-GB"/>
              </w:rPr>
              <w:t xml:space="preserve">Clinical personnel should raise their voices for early patient safety concerns. </w:t>
            </w:r>
          </w:p>
        </w:tc>
        <w:tc>
          <w:tcPr>
            <w:tcW w:w="4680" w:type="dxa"/>
            <w:tcMar>
              <w:top w:w="100" w:type="dxa"/>
              <w:left w:w="100" w:type="dxa"/>
              <w:bottom w:w="100" w:type="dxa"/>
              <w:right w:w="100" w:type="dxa"/>
            </w:tcMar>
          </w:tcPr>
          <w:p w14:paraId="621DEAA9" w14:textId="77777777" w:rsidR="00501CC9" w:rsidRPr="004153F0" w:rsidRDefault="007344CF">
            <w:pPr>
              <w:widowControl w:val="0"/>
              <w:pBdr>
                <w:top w:val="nil"/>
                <w:left w:val="nil"/>
                <w:bottom w:val="nil"/>
                <w:right w:val="nil"/>
                <w:between w:val="nil"/>
              </w:pBdr>
              <w:spacing w:line="360" w:lineRule="auto"/>
              <w:rPr>
                <w:b/>
                <w:bCs/>
                <w:color w:val="000000" w:themeColor="text1"/>
                <w:highlight w:val="white"/>
                <w:lang w:val="en-GB"/>
              </w:rPr>
            </w:pPr>
            <w:r w:rsidRPr="004153F0">
              <w:rPr>
                <w:b/>
                <w:bCs/>
                <w:color w:val="000000" w:themeColor="text1"/>
                <w:highlight w:val="white"/>
                <w:lang w:val="en-GB"/>
              </w:rPr>
              <w:t xml:space="preserve">Weaknesses </w:t>
            </w:r>
          </w:p>
          <w:p w14:paraId="30C0530D" w14:textId="77777777" w:rsidR="00501CC9" w:rsidRPr="004153F0" w:rsidRDefault="007344CF">
            <w:pPr>
              <w:widowControl w:val="0"/>
              <w:numPr>
                <w:ilvl w:val="0"/>
                <w:numId w:val="3"/>
              </w:numPr>
              <w:pBdr>
                <w:top w:val="nil"/>
                <w:left w:val="nil"/>
                <w:bottom w:val="nil"/>
                <w:right w:val="nil"/>
                <w:between w:val="nil"/>
              </w:pBdr>
              <w:spacing w:line="360" w:lineRule="auto"/>
              <w:rPr>
                <w:color w:val="000000" w:themeColor="text1"/>
                <w:highlight w:val="white"/>
                <w:lang w:val="en-GB"/>
              </w:rPr>
            </w:pPr>
            <w:r w:rsidRPr="004153F0">
              <w:rPr>
                <w:color w:val="000000" w:themeColor="text1"/>
                <w:highlight w:val="white"/>
                <w:lang w:val="en-GB"/>
              </w:rPr>
              <w:t>Toxic denial culture, weak governance, and an insufficient whistleblowing system.</w:t>
            </w:r>
          </w:p>
          <w:p w14:paraId="5D3EE4A6" w14:textId="77777777" w:rsidR="00501CC9" w:rsidRPr="004153F0" w:rsidRDefault="007344CF">
            <w:pPr>
              <w:widowControl w:val="0"/>
              <w:numPr>
                <w:ilvl w:val="0"/>
                <w:numId w:val="3"/>
              </w:numPr>
              <w:pBdr>
                <w:top w:val="nil"/>
                <w:left w:val="nil"/>
                <w:bottom w:val="nil"/>
                <w:right w:val="nil"/>
                <w:between w:val="nil"/>
              </w:pBdr>
              <w:spacing w:line="360" w:lineRule="auto"/>
              <w:rPr>
                <w:color w:val="000000" w:themeColor="text1"/>
                <w:highlight w:val="white"/>
                <w:lang w:val="en-GB"/>
              </w:rPr>
            </w:pPr>
            <w:r w:rsidRPr="004153F0">
              <w:rPr>
                <w:color w:val="000000" w:themeColor="text1"/>
                <w:highlight w:val="white"/>
                <w:lang w:val="en-GB"/>
              </w:rPr>
              <w:t xml:space="preserve">Severe shortage of specialists, doctors, and nurse staffing ratios. </w:t>
            </w:r>
          </w:p>
        </w:tc>
      </w:tr>
      <w:tr w:rsidR="00501CC9" w:rsidRPr="004153F0" w14:paraId="5CFCD038" w14:textId="77777777">
        <w:trPr>
          <w:jc w:val="center"/>
        </w:trPr>
        <w:tc>
          <w:tcPr>
            <w:tcW w:w="4680" w:type="dxa"/>
            <w:tcMar>
              <w:top w:w="100" w:type="dxa"/>
              <w:left w:w="100" w:type="dxa"/>
              <w:bottom w:w="100" w:type="dxa"/>
              <w:right w:w="100" w:type="dxa"/>
            </w:tcMar>
          </w:tcPr>
          <w:p w14:paraId="55C6C8B1" w14:textId="77777777" w:rsidR="00501CC9" w:rsidRPr="004153F0" w:rsidRDefault="007344CF">
            <w:pPr>
              <w:widowControl w:val="0"/>
              <w:pBdr>
                <w:top w:val="nil"/>
                <w:left w:val="nil"/>
                <w:bottom w:val="nil"/>
                <w:right w:val="nil"/>
                <w:between w:val="nil"/>
              </w:pBdr>
              <w:spacing w:line="360" w:lineRule="auto"/>
              <w:rPr>
                <w:b/>
                <w:bCs/>
                <w:color w:val="000000" w:themeColor="text1"/>
                <w:highlight w:val="white"/>
                <w:lang w:val="en-GB"/>
              </w:rPr>
            </w:pPr>
            <w:r w:rsidRPr="004153F0">
              <w:rPr>
                <w:b/>
                <w:bCs/>
                <w:color w:val="000000" w:themeColor="text1"/>
                <w:highlight w:val="white"/>
                <w:lang w:val="en-GB"/>
              </w:rPr>
              <w:t xml:space="preserve">Opportunities </w:t>
            </w:r>
          </w:p>
          <w:p w14:paraId="460E2510" w14:textId="77777777" w:rsidR="00501CC9" w:rsidRPr="004153F0" w:rsidRDefault="007344CF">
            <w:pPr>
              <w:widowControl w:val="0"/>
              <w:numPr>
                <w:ilvl w:val="0"/>
                <w:numId w:val="1"/>
              </w:numPr>
              <w:pBdr>
                <w:top w:val="nil"/>
                <w:left w:val="nil"/>
                <w:bottom w:val="nil"/>
                <w:right w:val="nil"/>
                <w:between w:val="nil"/>
              </w:pBdr>
              <w:spacing w:line="360" w:lineRule="auto"/>
              <w:rPr>
                <w:color w:val="000000" w:themeColor="text1"/>
                <w:highlight w:val="white"/>
                <w:lang w:val="en-GB"/>
              </w:rPr>
            </w:pPr>
            <w:r w:rsidRPr="004153F0">
              <w:rPr>
                <w:color w:val="000000" w:themeColor="text1"/>
                <w:highlight w:val="white"/>
                <w:lang w:val="en-GB"/>
              </w:rPr>
              <w:t>Adopting complementary and advanced quality assurance frameworks.</w:t>
            </w:r>
          </w:p>
          <w:p w14:paraId="27B0ACD5" w14:textId="77777777" w:rsidR="00501CC9" w:rsidRPr="004153F0" w:rsidRDefault="007344CF">
            <w:pPr>
              <w:widowControl w:val="0"/>
              <w:numPr>
                <w:ilvl w:val="0"/>
                <w:numId w:val="1"/>
              </w:numPr>
              <w:pBdr>
                <w:top w:val="nil"/>
                <w:left w:val="nil"/>
                <w:bottom w:val="nil"/>
                <w:right w:val="nil"/>
                <w:between w:val="nil"/>
              </w:pBdr>
              <w:spacing w:line="360" w:lineRule="auto"/>
              <w:rPr>
                <w:color w:val="000000" w:themeColor="text1"/>
                <w:highlight w:val="white"/>
                <w:lang w:val="en-GB"/>
              </w:rPr>
            </w:pPr>
            <w:r w:rsidRPr="004153F0">
              <w:rPr>
                <w:color w:val="000000" w:themeColor="text1"/>
                <w:highlight w:val="white"/>
                <w:lang w:val="en-GB"/>
              </w:rPr>
              <w:t xml:space="preserve">Administering strict staffing policies, national quality priorities, and independent regulatory bodies. </w:t>
            </w:r>
          </w:p>
        </w:tc>
        <w:tc>
          <w:tcPr>
            <w:tcW w:w="4680" w:type="dxa"/>
            <w:tcMar>
              <w:top w:w="100" w:type="dxa"/>
              <w:left w:w="100" w:type="dxa"/>
              <w:bottom w:w="100" w:type="dxa"/>
              <w:right w:w="100" w:type="dxa"/>
            </w:tcMar>
          </w:tcPr>
          <w:p w14:paraId="3FE32EF0" w14:textId="77777777" w:rsidR="00501CC9" w:rsidRPr="004153F0" w:rsidRDefault="007344CF">
            <w:pPr>
              <w:widowControl w:val="0"/>
              <w:pBdr>
                <w:top w:val="nil"/>
                <w:left w:val="nil"/>
                <w:bottom w:val="nil"/>
                <w:right w:val="nil"/>
                <w:between w:val="nil"/>
              </w:pBdr>
              <w:spacing w:line="360" w:lineRule="auto"/>
              <w:rPr>
                <w:b/>
                <w:bCs/>
                <w:color w:val="000000" w:themeColor="text1"/>
                <w:highlight w:val="white"/>
                <w:lang w:val="en-GB"/>
              </w:rPr>
            </w:pPr>
            <w:r w:rsidRPr="004153F0">
              <w:rPr>
                <w:b/>
                <w:bCs/>
                <w:color w:val="000000" w:themeColor="text1"/>
                <w:highlight w:val="white"/>
                <w:lang w:val="en-GB"/>
              </w:rPr>
              <w:t>Threats</w:t>
            </w:r>
          </w:p>
          <w:p w14:paraId="098C7293" w14:textId="77777777" w:rsidR="00501CC9" w:rsidRPr="004153F0" w:rsidRDefault="007344CF">
            <w:pPr>
              <w:widowControl w:val="0"/>
              <w:numPr>
                <w:ilvl w:val="0"/>
                <w:numId w:val="4"/>
              </w:numPr>
              <w:pBdr>
                <w:top w:val="nil"/>
                <w:left w:val="nil"/>
                <w:bottom w:val="nil"/>
                <w:right w:val="nil"/>
                <w:between w:val="nil"/>
              </w:pBdr>
              <w:spacing w:line="360" w:lineRule="auto"/>
              <w:rPr>
                <w:color w:val="000000" w:themeColor="text1"/>
                <w:highlight w:val="white"/>
                <w:lang w:val="en-GB"/>
              </w:rPr>
            </w:pPr>
            <w:r w:rsidRPr="004153F0">
              <w:rPr>
                <w:color w:val="000000" w:themeColor="text1"/>
                <w:highlight w:val="white"/>
                <w:lang w:val="en-GB"/>
              </w:rPr>
              <w:t xml:space="preserve">Gaps in external regulation cause reactive and delayed intervention during crises. </w:t>
            </w:r>
          </w:p>
          <w:p w14:paraId="6C142C85" w14:textId="77777777" w:rsidR="00501CC9" w:rsidRPr="004153F0" w:rsidRDefault="007344CF">
            <w:pPr>
              <w:widowControl w:val="0"/>
              <w:numPr>
                <w:ilvl w:val="0"/>
                <w:numId w:val="4"/>
              </w:numPr>
              <w:pBdr>
                <w:top w:val="nil"/>
                <w:left w:val="nil"/>
                <w:bottom w:val="nil"/>
                <w:right w:val="nil"/>
                <w:between w:val="nil"/>
              </w:pBdr>
              <w:spacing w:line="360" w:lineRule="auto"/>
              <w:rPr>
                <w:color w:val="000000" w:themeColor="text1"/>
                <w:highlight w:val="white"/>
                <w:lang w:val="en-GB"/>
              </w:rPr>
            </w:pPr>
            <w:r w:rsidRPr="004153F0">
              <w:rPr>
                <w:color w:val="000000" w:themeColor="text1"/>
                <w:highlight w:val="white"/>
                <w:lang w:val="en-GB"/>
              </w:rPr>
              <w:t xml:space="preserve">Regional inequalities in neonatal care abilities. </w:t>
            </w:r>
          </w:p>
        </w:tc>
      </w:tr>
    </w:tbl>
    <w:p w14:paraId="69CCCF61" w14:textId="77777777" w:rsidR="00501CC9" w:rsidRPr="004153F0" w:rsidRDefault="007344CF">
      <w:pPr>
        <w:spacing w:line="360" w:lineRule="auto"/>
        <w:jc w:val="center"/>
        <w:rPr>
          <w:b/>
          <w:bCs/>
          <w:color w:val="000000" w:themeColor="text1"/>
          <w:highlight w:val="white"/>
          <w:lang w:val="en-GB"/>
        </w:rPr>
      </w:pPr>
      <w:r w:rsidRPr="004153F0">
        <w:rPr>
          <w:b/>
          <w:bCs/>
          <w:color w:val="000000" w:themeColor="text1"/>
          <w:highlight w:val="white"/>
          <w:lang w:val="en-GB"/>
        </w:rPr>
        <w:t>Table 1: SWOT of Chester Hospital</w:t>
      </w:r>
    </w:p>
    <w:p w14:paraId="713CB0AD" w14:textId="77777777" w:rsidR="00501CC9" w:rsidRPr="004153F0" w:rsidRDefault="007344CF">
      <w:pPr>
        <w:spacing w:line="360" w:lineRule="auto"/>
        <w:jc w:val="center"/>
        <w:rPr>
          <w:color w:val="000000" w:themeColor="text1"/>
          <w:highlight w:val="white"/>
          <w:lang w:val="en-GB"/>
        </w:rPr>
      </w:pPr>
      <w:r w:rsidRPr="004153F0">
        <w:rPr>
          <w:color w:val="000000" w:themeColor="text1"/>
          <w:highlight w:val="white"/>
          <w:lang w:val="en-GB"/>
        </w:rPr>
        <w:t>(Source: Influenced by Gill, 2026; Coffey, 2025; CQC, 2022)</w:t>
      </w:r>
    </w:p>
    <w:p w14:paraId="4052C107" w14:textId="77777777" w:rsidR="00501CC9" w:rsidRPr="004153F0" w:rsidRDefault="007344CF">
      <w:pPr>
        <w:spacing w:line="360" w:lineRule="auto"/>
        <w:jc w:val="both"/>
        <w:rPr>
          <w:color w:val="000000" w:themeColor="text1"/>
          <w:highlight w:val="white"/>
          <w:lang w:val="en-GB"/>
        </w:rPr>
      </w:pPr>
      <w:r w:rsidRPr="004153F0">
        <w:rPr>
          <w:color w:val="000000" w:themeColor="text1"/>
          <w:highlight w:val="white"/>
          <w:lang w:val="en-GB"/>
        </w:rPr>
        <w:t xml:space="preserve">Based on the SWOT analysis of Chester Hospital, the clinical frontline </w:t>
      </w:r>
      <w:r w:rsidR="008116DB" w:rsidRPr="004153F0">
        <w:rPr>
          <w:color w:val="000000" w:themeColor="text1"/>
          <w:highlight w:val="white"/>
          <w:lang w:val="en-GB"/>
        </w:rPr>
        <w:t>staffs are</w:t>
      </w:r>
      <w:r w:rsidRPr="004153F0">
        <w:rPr>
          <w:color w:val="000000" w:themeColor="text1"/>
          <w:highlight w:val="white"/>
          <w:lang w:val="en-GB"/>
        </w:rPr>
        <w:t xml:space="preserve"> the primary asset of this organisation. Such personnel demonstrated clinical insight, despite extreme pressure to recognise anomalies and patient protection (CQC, 2022). Their dedication can be combined with their willingness to complete clinical training to provide a secure clinical environment. </w:t>
      </w:r>
    </w:p>
    <w:p w14:paraId="41C3FDD6" w14:textId="77777777" w:rsidR="00501CC9" w:rsidRPr="004153F0" w:rsidRDefault="007344CF">
      <w:pPr>
        <w:spacing w:line="360" w:lineRule="auto"/>
        <w:jc w:val="both"/>
        <w:rPr>
          <w:color w:val="000000" w:themeColor="text1"/>
          <w:highlight w:val="white"/>
          <w:lang w:val="en-GB"/>
        </w:rPr>
      </w:pPr>
      <w:r w:rsidRPr="004153F0">
        <w:rPr>
          <w:color w:val="000000" w:themeColor="text1"/>
          <w:highlight w:val="white"/>
          <w:lang w:val="en-GB"/>
        </w:rPr>
        <w:t xml:space="preserve">Structural deficiencies of Chester Hospital represent barriers to improvement. There was compromised performance and fatigue among staff due to an insufficient nurse-to-patient staffing ratio and a chronic doctor shortage (Moscelli </w:t>
      </w:r>
      <w:r w:rsidRPr="004153F0">
        <w:rPr>
          <w:i/>
          <w:iCs/>
          <w:color w:val="000000" w:themeColor="text1"/>
          <w:highlight w:val="white"/>
          <w:lang w:val="en-GB"/>
        </w:rPr>
        <w:t xml:space="preserve">et al. </w:t>
      </w:r>
      <w:r w:rsidRPr="004153F0">
        <w:rPr>
          <w:color w:val="000000" w:themeColor="text1"/>
          <w:highlight w:val="white"/>
          <w:lang w:val="en-GB"/>
        </w:rPr>
        <w:t xml:space="preserve">2024). The denial culture in this organisation presents more challenging situations, exhibiting a lack of leadership accountability. The suppressed whistleblowing policies can also block changes until a reformed executive management is created. </w:t>
      </w:r>
    </w:p>
    <w:p w14:paraId="16EDE1D9" w14:textId="77777777" w:rsidR="00501CC9" w:rsidRPr="004153F0" w:rsidRDefault="007344CF">
      <w:pPr>
        <w:spacing w:line="360" w:lineRule="auto"/>
        <w:jc w:val="both"/>
        <w:rPr>
          <w:color w:val="000000" w:themeColor="text1"/>
          <w:highlight w:val="white"/>
          <w:lang w:val="en-GB"/>
        </w:rPr>
      </w:pPr>
      <w:r w:rsidRPr="004153F0">
        <w:rPr>
          <w:color w:val="000000" w:themeColor="text1"/>
          <w:highlight w:val="white"/>
          <w:lang w:val="en-GB"/>
        </w:rPr>
        <w:t xml:space="preserve">The hospital needs to leverage national NHS quality priorities to mandate zero preventable harm. The staffing ratio can be enforced by acknowledging robust frameworks of quality assurance (Beauvais </w:t>
      </w:r>
      <w:r w:rsidRPr="004153F0">
        <w:rPr>
          <w:i/>
          <w:iCs/>
          <w:color w:val="000000" w:themeColor="text1"/>
          <w:highlight w:val="white"/>
          <w:lang w:val="en-GB"/>
        </w:rPr>
        <w:t xml:space="preserve">et al. </w:t>
      </w:r>
      <w:r w:rsidRPr="004153F0">
        <w:rPr>
          <w:color w:val="000000" w:themeColor="text1"/>
          <w:highlight w:val="white"/>
          <w:lang w:val="en-GB"/>
        </w:rPr>
        <w:t xml:space="preserve">2024). It will offer a structured roadmap to shift the unit to a proactive patient-safe operation from a reactive crisis management. </w:t>
      </w:r>
    </w:p>
    <w:p w14:paraId="3EFDF2E9" w14:textId="77777777" w:rsidR="00501CC9" w:rsidRPr="004153F0" w:rsidRDefault="007344CF">
      <w:pPr>
        <w:spacing w:line="360" w:lineRule="auto"/>
        <w:jc w:val="both"/>
        <w:rPr>
          <w:color w:val="000000" w:themeColor="text1"/>
          <w:highlight w:val="white"/>
          <w:lang w:val="en-GB"/>
        </w:rPr>
      </w:pPr>
      <w:r w:rsidRPr="004153F0">
        <w:rPr>
          <w:color w:val="000000" w:themeColor="text1"/>
          <w:highlight w:val="white"/>
          <w:lang w:val="en-GB"/>
        </w:rPr>
        <w:t xml:space="preserve">The long-term stability of the organisation is threatened by constant regional inequalities in the specialist neonatal service. The stability is also affected by delayed interventions from the external regulatory bodies, such as the CQC.  </w:t>
      </w:r>
    </w:p>
    <w:p w14:paraId="2F5CAD83" w14:textId="77777777" w:rsidR="00501CC9" w:rsidRPr="004153F0" w:rsidRDefault="007344CF">
      <w:pPr>
        <w:spacing w:line="360" w:lineRule="auto"/>
        <w:jc w:val="both"/>
        <w:rPr>
          <w:color w:val="000000" w:themeColor="text1"/>
          <w:highlight w:val="white"/>
          <w:lang w:val="en-GB"/>
        </w:rPr>
      </w:pPr>
      <w:r w:rsidRPr="004153F0">
        <w:rPr>
          <w:color w:val="000000" w:themeColor="text1"/>
          <w:highlight w:val="white"/>
          <w:lang w:val="en-GB"/>
        </w:rPr>
        <w:t xml:space="preserve">In terms of action plan and prioritisation, insights from SWOT have highlighted that the most influential elements are essential to address the internal weaknesses. A two-pronged approach can be taken for prioritisation, immediate leadership replacement, and rapid enforcement of a safe staffing ratio (McFadden </w:t>
      </w:r>
      <w:r w:rsidRPr="004153F0">
        <w:rPr>
          <w:i/>
          <w:iCs/>
          <w:color w:val="000000" w:themeColor="text1"/>
          <w:highlight w:val="white"/>
          <w:lang w:val="en-GB"/>
        </w:rPr>
        <w:t xml:space="preserve">et al. </w:t>
      </w:r>
      <w:r w:rsidRPr="004153F0">
        <w:rPr>
          <w:color w:val="000000" w:themeColor="text1"/>
          <w:highlight w:val="white"/>
          <w:lang w:val="en-GB"/>
        </w:rPr>
        <w:t xml:space="preserve">2024). These internal vulnerabilities must be fixed for the hospital to empower its frontline staff and integrate national safety initiatives.  </w:t>
      </w:r>
    </w:p>
    <w:p w14:paraId="11793E67" w14:textId="77777777" w:rsidR="00501CC9" w:rsidRPr="004153F0" w:rsidRDefault="009927B5" w:rsidP="00DB2C74">
      <w:pPr>
        <w:pStyle w:val="Heading1"/>
        <w:rPr>
          <w:color w:val="000000" w:themeColor="text1"/>
          <w:highlight w:val="white"/>
          <w:lang w:val="en-GB"/>
        </w:rPr>
      </w:pPr>
      <w:bookmarkStart w:id="4" w:name="_Toc233368513"/>
      <w:r w:rsidRPr="004153F0">
        <w:rPr>
          <w:color w:val="000000" w:themeColor="text1"/>
          <w:highlight w:val="white"/>
          <w:lang w:val="en-GB"/>
        </w:rPr>
        <w:t>5</w:t>
      </w:r>
      <w:r w:rsidR="007344CF" w:rsidRPr="004153F0">
        <w:rPr>
          <w:color w:val="000000" w:themeColor="text1"/>
          <w:highlight w:val="white"/>
          <w:lang w:val="en-GB"/>
        </w:rPr>
        <w:t>. Recommendations</w:t>
      </w:r>
      <w:bookmarkEnd w:id="4"/>
    </w:p>
    <w:p w14:paraId="735BB7A7" w14:textId="77777777" w:rsidR="00501CC9" w:rsidRPr="004153F0" w:rsidRDefault="007344CF">
      <w:pPr>
        <w:spacing w:line="360" w:lineRule="auto"/>
        <w:jc w:val="both"/>
        <w:rPr>
          <w:color w:val="000000" w:themeColor="text1"/>
          <w:highlight w:val="white"/>
          <w:lang w:val="en-GB"/>
        </w:rPr>
      </w:pPr>
      <w:r w:rsidRPr="004153F0">
        <w:rPr>
          <w:color w:val="000000" w:themeColor="text1"/>
          <w:highlight w:val="white"/>
          <w:lang w:val="en-GB"/>
        </w:rPr>
        <w:t xml:space="preserve">The systemic failure of Chester Hospital can be addressed by following the strategic recommendations to build a patient-safe future. </w:t>
      </w:r>
    </w:p>
    <w:p w14:paraId="20A17163" w14:textId="77777777" w:rsidR="00501CC9" w:rsidRPr="004153F0" w:rsidRDefault="007344CF">
      <w:pPr>
        <w:spacing w:line="360" w:lineRule="auto"/>
        <w:jc w:val="both"/>
        <w:rPr>
          <w:b/>
          <w:bCs/>
          <w:color w:val="000000" w:themeColor="text1"/>
          <w:highlight w:val="white"/>
          <w:lang w:val="en-GB"/>
        </w:rPr>
      </w:pPr>
      <w:r w:rsidRPr="004153F0">
        <w:rPr>
          <w:b/>
          <w:bCs/>
          <w:color w:val="000000" w:themeColor="text1"/>
          <w:highlight w:val="white"/>
          <w:lang w:val="en-GB"/>
        </w:rPr>
        <w:t xml:space="preserve">Strategic recommendations </w:t>
      </w:r>
    </w:p>
    <w:p w14:paraId="6C87B635" w14:textId="77777777" w:rsidR="00501CC9" w:rsidRPr="004153F0" w:rsidRDefault="007344CF">
      <w:pPr>
        <w:numPr>
          <w:ilvl w:val="0"/>
          <w:numId w:val="7"/>
        </w:numPr>
        <w:spacing w:line="360" w:lineRule="auto"/>
        <w:jc w:val="both"/>
        <w:rPr>
          <w:i/>
          <w:iCs/>
          <w:color w:val="000000" w:themeColor="text1"/>
          <w:highlight w:val="white"/>
          <w:lang w:val="en-GB"/>
        </w:rPr>
      </w:pPr>
      <w:r w:rsidRPr="004153F0">
        <w:rPr>
          <w:i/>
          <w:iCs/>
          <w:color w:val="000000" w:themeColor="text1"/>
          <w:highlight w:val="white"/>
          <w:lang w:val="en-GB"/>
        </w:rPr>
        <w:t xml:space="preserve">Establish an independent escalation portal: </w:t>
      </w:r>
      <w:r w:rsidRPr="004153F0">
        <w:rPr>
          <w:color w:val="000000" w:themeColor="text1"/>
          <w:highlight w:val="white"/>
          <w:lang w:val="en-GB"/>
        </w:rPr>
        <w:t xml:space="preserve">The hospital can be suggested to deploy a digital, real-time incident reporting portal and a whistleblowing system. The implementation will be piloted by using the PDCA Cycle to ensure an immediate and transparent escalation (Elsehrawy </w:t>
      </w:r>
      <w:r w:rsidRPr="004153F0">
        <w:rPr>
          <w:i/>
          <w:iCs/>
          <w:color w:val="000000" w:themeColor="text1"/>
          <w:highlight w:val="white"/>
          <w:lang w:val="en-GB"/>
        </w:rPr>
        <w:t xml:space="preserve">et al. </w:t>
      </w:r>
      <w:r w:rsidRPr="004153F0">
        <w:rPr>
          <w:color w:val="000000" w:themeColor="text1"/>
          <w:highlight w:val="white"/>
          <w:lang w:val="en-GB"/>
        </w:rPr>
        <w:t xml:space="preserve">2025). It will help the organisation in bypassing internal management blocks. </w:t>
      </w:r>
    </w:p>
    <w:p w14:paraId="2D6607E4" w14:textId="77777777" w:rsidR="00501CC9" w:rsidRPr="004153F0" w:rsidRDefault="007344CF">
      <w:pPr>
        <w:numPr>
          <w:ilvl w:val="0"/>
          <w:numId w:val="7"/>
        </w:numPr>
        <w:spacing w:line="360" w:lineRule="auto"/>
        <w:jc w:val="both"/>
        <w:rPr>
          <w:i/>
          <w:iCs/>
          <w:color w:val="000000" w:themeColor="text1"/>
          <w:highlight w:val="white"/>
          <w:lang w:val="en-GB"/>
        </w:rPr>
      </w:pPr>
      <w:r w:rsidRPr="004153F0">
        <w:rPr>
          <w:i/>
          <w:iCs/>
          <w:color w:val="000000" w:themeColor="text1"/>
          <w:highlight w:val="white"/>
          <w:lang w:val="en-GB"/>
        </w:rPr>
        <w:t xml:space="preserve">Enforce safe staffing policy: </w:t>
      </w:r>
      <w:r w:rsidRPr="004153F0">
        <w:rPr>
          <w:color w:val="000000" w:themeColor="text1"/>
          <w:highlight w:val="white"/>
          <w:lang w:val="en-GB"/>
        </w:rPr>
        <w:t xml:space="preserve">The chronic workforce fatigue can be removed by allowing a transition into a specialist-to-patient and nurse-to-patient staffing ratio enforcement. It will be executed in the neonatal unit </w:t>
      </w:r>
      <w:r w:rsidR="00012800" w:rsidRPr="004153F0">
        <w:rPr>
          <w:color w:val="000000" w:themeColor="text1"/>
          <w:highlight w:val="white"/>
          <w:lang w:val="en-GB"/>
        </w:rPr>
        <w:t xml:space="preserve">as decided in the PDCA cycle </w:t>
      </w:r>
      <w:r w:rsidRPr="004153F0">
        <w:rPr>
          <w:color w:val="000000" w:themeColor="text1"/>
          <w:highlight w:val="white"/>
          <w:lang w:val="en-GB"/>
        </w:rPr>
        <w:t xml:space="preserve">to achieve a safe clinical environment. </w:t>
      </w:r>
    </w:p>
    <w:p w14:paraId="3E497A63" w14:textId="77777777" w:rsidR="00501CC9" w:rsidRPr="004153F0" w:rsidRDefault="007344CF">
      <w:pPr>
        <w:numPr>
          <w:ilvl w:val="0"/>
          <w:numId w:val="7"/>
        </w:numPr>
        <w:spacing w:line="360" w:lineRule="auto"/>
        <w:jc w:val="both"/>
        <w:rPr>
          <w:i/>
          <w:iCs/>
          <w:color w:val="000000" w:themeColor="text1"/>
          <w:highlight w:val="white"/>
          <w:lang w:val="en-GB"/>
        </w:rPr>
      </w:pPr>
      <w:r w:rsidRPr="004153F0">
        <w:rPr>
          <w:i/>
          <w:iCs/>
          <w:color w:val="000000" w:themeColor="text1"/>
          <w:highlight w:val="white"/>
          <w:lang w:val="en-GB"/>
        </w:rPr>
        <w:t xml:space="preserve">Reconstruct governance leadership: </w:t>
      </w:r>
      <w:r w:rsidRPr="004153F0">
        <w:rPr>
          <w:color w:val="000000" w:themeColor="text1"/>
          <w:highlight w:val="white"/>
          <w:lang w:val="en-GB"/>
        </w:rPr>
        <w:t xml:space="preserve">The defensive executive leadership will be replaced with a governance structure that holds accountability (Jalilvand </w:t>
      </w:r>
      <w:r w:rsidRPr="004153F0">
        <w:rPr>
          <w:i/>
          <w:iCs/>
          <w:color w:val="000000" w:themeColor="text1"/>
          <w:highlight w:val="white"/>
          <w:lang w:val="en-GB"/>
        </w:rPr>
        <w:t xml:space="preserve">et al. </w:t>
      </w:r>
      <w:r w:rsidRPr="004153F0">
        <w:rPr>
          <w:color w:val="000000" w:themeColor="text1"/>
          <w:highlight w:val="white"/>
          <w:lang w:val="en-GB"/>
        </w:rPr>
        <w:t xml:space="preserve">2024). Such leadership will also collaborate with the police and external regulatory bodies </w:t>
      </w:r>
      <w:r w:rsidR="00811548" w:rsidRPr="004153F0">
        <w:rPr>
          <w:color w:val="000000" w:themeColor="text1"/>
          <w:highlight w:val="white"/>
          <w:lang w:val="en-GB"/>
        </w:rPr>
        <w:t>to overcome structural barriers as shown in the PDCA cycle</w:t>
      </w:r>
      <w:r w:rsidRPr="004153F0">
        <w:rPr>
          <w:color w:val="000000" w:themeColor="text1"/>
          <w:highlight w:val="white"/>
          <w:lang w:val="en-GB"/>
        </w:rPr>
        <w:t xml:space="preserve">. </w:t>
      </w:r>
    </w:p>
    <w:p w14:paraId="23E90986" w14:textId="77777777" w:rsidR="00501CC9" w:rsidRPr="004153F0" w:rsidRDefault="007344CF">
      <w:pPr>
        <w:numPr>
          <w:ilvl w:val="0"/>
          <w:numId w:val="7"/>
        </w:numPr>
        <w:spacing w:line="360" w:lineRule="auto"/>
        <w:jc w:val="both"/>
        <w:rPr>
          <w:i/>
          <w:iCs/>
          <w:color w:val="000000" w:themeColor="text1"/>
          <w:highlight w:val="white"/>
          <w:lang w:val="en-GB"/>
        </w:rPr>
      </w:pPr>
      <w:r w:rsidRPr="004153F0">
        <w:rPr>
          <w:i/>
          <w:iCs/>
          <w:color w:val="000000" w:themeColor="text1"/>
          <w:highlight w:val="white"/>
          <w:lang w:val="en-GB"/>
        </w:rPr>
        <w:t xml:space="preserve">Mandate robust clinical audits: </w:t>
      </w:r>
      <w:r w:rsidRPr="004153F0">
        <w:rPr>
          <w:color w:val="000000" w:themeColor="text1"/>
          <w:highlight w:val="white"/>
          <w:lang w:val="en-GB"/>
        </w:rPr>
        <w:t xml:space="preserve">A mandatory quarterly clinical audit will be acknowledged to meet the 100% compliance target (Bunting and de Klerk, 2022). It will help in ensuring staff safeguarding training to monitor unexplained clinical misconduct. </w:t>
      </w:r>
    </w:p>
    <w:p w14:paraId="3E1F2030" w14:textId="77777777" w:rsidR="00EB22AD" w:rsidRPr="004153F0" w:rsidRDefault="00EB22AD" w:rsidP="00EB22AD">
      <w:pPr>
        <w:spacing w:line="360" w:lineRule="auto"/>
        <w:jc w:val="both"/>
        <w:rPr>
          <w:b/>
          <w:iCs/>
          <w:color w:val="000000" w:themeColor="text1"/>
          <w:highlight w:val="white"/>
          <w:lang w:val="en-GB"/>
        </w:rPr>
      </w:pPr>
      <w:r w:rsidRPr="004153F0">
        <w:rPr>
          <w:b/>
          <w:iCs/>
          <w:color w:val="000000" w:themeColor="text1"/>
          <w:highlight w:val="white"/>
          <w:lang w:val="en-GB"/>
        </w:rPr>
        <w:t>PDCA cycle</w:t>
      </w:r>
    </w:p>
    <w:p w14:paraId="4B22A85B" w14:textId="77777777" w:rsidR="009C36F2" w:rsidRPr="004153F0" w:rsidRDefault="009C36F2" w:rsidP="009C36F2">
      <w:pPr>
        <w:spacing w:line="360" w:lineRule="auto"/>
        <w:jc w:val="both"/>
        <w:rPr>
          <w:color w:val="000000" w:themeColor="text1"/>
          <w:highlight w:val="white"/>
          <w:lang w:val="en-GB"/>
        </w:rPr>
      </w:pPr>
      <w:r w:rsidRPr="004153F0">
        <w:rPr>
          <w:color w:val="000000" w:themeColor="text1"/>
          <w:highlight w:val="white"/>
          <w:lang w:val="en-GB"/>
        </w:rPr>
        <w:t xml:space="preserve">A rapid, sustainable improvement is required in the Chester Hospital's neonatal unit, and the hospital needs to implement a well-developed Plan-Do-Check-Act (PDCA) cycle. </w:t>
      </w:r>
    </w:p>
    <w:p w14:paraId="0BA17983" w14:textId="77777777" w:rsidR="009C36F2" w:rsidRPr="004153F0" w:rsidRDefault="009C36F2" w:rsidP="009C36F2">
      <w:pPr>
        <w:spacing w:line="360" w:lineRule="auto"/>
        <w:jc w:val="center"/>
        <w:rPr>
          <w:color w:val="000000" w:themeColor="text1"/>
          <w:highlight w:val="white"/>
          <w:lang w:val="en-GB"/>
        </w:rPr>
      </w:pPr>
      <w:r w:rsidRPr="004153F0">
        <w:rPr>
          <w:noProof/>
          <w:color w:val="000000" w:themeColor="text1"/>
          <w:lang w:val="en-GB"/>
        </w:rPr>
        <w:drawing>
          <wp:inline distT="0" distB="0" distL="0" distR="0" wp14:anchorId="1522A7D6" wp14:editId="6D8D7D7A">
            <wp:extent cx="5486400"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CBF50E2" w14:textId="77777777" w:rsidR="009C36F2" w:rsidRPr="004153F0" w:rsidRDefault="009C36F2" w:rsidP="009C36F2">
      <w:pPr>
        <w:spacing w:line="360" w:lineRule="auto"/>
        <w:jc w:val="center"/>
        <w:rPr>
          <w:b/>
          <w:bCs/>
          <w:color w:val="000000" w:themeColor="text1"/>
          <w:highlight w:val="white"/>
          <w:lang w:val="en-GB"/>
        </w:rPr>
      </w:pPr>
      <w:r w:rsidRPr="004153F0">
        <w:rPr>
          <w:b/>
          <w:bCs/>
          <w:color w:val="000000" w:themeColor="text1"/>
          <w:highlight w:val="white"/>
          <w:lang w:val="en-GB"/>
        </w:rPr>
        <w:t>Figure 3: PDCA Cycle for implementing an intervention</w:t>
      </w:r>
    </w:p>
    <w:p w14:paraId="628ED414" w14:textId="77777777" w:rsidR="009C36F2" w:rsidRPr="004153F0" w:rsidRDefault="009C36F2" w:rsidP="009C36F2">
      <w:pPr>
        <w:spacing w:line="360" w:lineRule="auto"/>
        <w:jc w:val="center"/>
        <w:rPr>
          <w:color w:val="000000" w:themeColor="text1"/>
          <w:highlight w:val="white"/>
          <w:lang w:val="en-GB"/>
        </w:rPr>
      </w:pPr>
      <w:r w:rsidRPr="004153F0">
        <w:rPr>
          <w:color w:val="000000" w:themeColor="text1"/>
          <w:highlight w:val="white"/>
          <w:lang w:val="en-GB"/>
        </w:rPr>
        <w:t xml:space="preserve">(Source: Influenced by Salameh </w:t>
      </w:r>
      <w:r w:rsidRPr="004153F0">
        <w:rPr>
          <w:i/>
          <w:iCs/>
          <w:color w:val="000000" w:themeColor="text1"/>
          <w:highlight w:val="white"/>
          <w:lang w:val="en-GB"/>
        </w:rPr>
        <w:t xml:space="preserve">et al. </w:t>
      </w:r>
      <w:r w:rsidRPr="004153F0">
        <w:rPr>
          <w:color w:val="000000" w:themeColor="text1"/>
          <w:highlight w:val="white"/>
          <w:lang w:val="en-GB"/>
        </w:rPr>
        <w:t>2025)</w:t>
      </w:r>
    </w:p>
    <w:p w14:paraId="1C6AE546" w14:textId="77777777" w:rsidR="009C36F2" w:rsidRPr="004153F0" w:rsidRDefault="009C36F2" w:rsidP="009C36F2">
      <w:pPr>
        <w:spacing w:line="360" w:lineRule="auto"/>
        <w:jc w:val="both"/>
        <w:rPr>
          <w:b/>
          <w:bCs/>
          <w:color w:val="000000" w:themeColor="text1"/>
          <w:highlight w:val="white"/>
          <w:lang w:val="en-GB"/>
        </w:rPr>
      </w:pPr>
      <w:r w:rsidRPr="004153F0">
        <w:rPr>
          <w:b/>
          <w:bCs/>
          <w:color w:val="000000" w:themeColor="text1"/>
          <w:highlight w:val="white"/>
          <w:lang w:val="en-GB"/>
        </w:rPr>
        <w:t>Plan</w:t>
      </w:r>
    </w:p>
    <w:p w14:paraId="4BEA7862" w14:textId="77777777" w:rsidR="009C36F2" w:rsidRPr="004153F0" w:rsidRDefault="009C36F2" w:rsidP="009C36F2">
      <w:pPr>
        <w:spacing w:line="360" w:lineRule="auto"/>
        <w:jc w:val="both"/>
        <w:rPr>
          <w:color w:val="000000" w:themeColor="text1"/>
          <w:highlight w:val="white"/>
          <w:lang w:val="en-GB"/>
        </w:rPr>
      </w:pPr>
      <w:r w:rsidRPr="004153F0">
        <w:rPr>
          <w:color w:val="000000" w:themeColor="text1"/>
          <w:highlight w:val="white"/>
          <w:lang w:val="en-GB"/>
        </w:rPr>
        <w:t xml:space="preserve">The plan is to implement a digitised real-time incident escalation and whistleblowing portal as an immediate intervention to be tested. This intervention can be combined with a fundamental clinical audit framework to bypass barriers of defensive management (Sarkies </w:t>
      </w:r>
      <w:r w:rsidRPr="004153F0">
        <w:rPr>
          <w:i/>
          <w:iCs/>
          <w:color w:val="000000" w:themeColor="text1"/>
          <w:highlight w:val="white"/>
          <w:lang w:val="en-GB"/>
        </w:rPr>
        <w:t xml:space="preserve">et al. </w:t>
      </w:r>
      <w:r w:rsidRPr="004153F0">
        <w:rPr>
          <w:color w:val="000000" w:themeColor="text1"/>
          <w:highlight w:val="white"/>
          <w:lang w:val="en-GB"/>
        </w:rPr>
        <w:t xml:space="preserve">2023). The administration of this plan will ensure that the clinical concerns are directly addressed. Process indicators in this context will involve the time taken to log an incident for executive review. On another note, the outcome indicators will help in tracking the volume of staff training compliance rates and unresolved safety anomalies. </w:t>
      </w:r>
      <w:r w:rsidR="007E06B3" w:rsidRPr="004153F0">
        <w:rPr>
          <w:color w:val="000000" w:themeColor="text1"/>
          <w:shd w:val="clear" w:color="auto" w:fill="FFFFFF"/>
          <w:lang w:val="en-GB"/>
        </w:rPr>
        <w:t>In this stage, the structural shift will be designed by setting the 100% compliance targets for safeguarding training and clinical audits</w:t>
      </w:r>
      <w:r w:rsidR="00343DDC" w:rsidRPr="004153F0">
        <w:rPr>
          <w:color w:val="000000" w:themeColor="text1"/>
          <w:shd w:val="clear" w:color="auto" w:fill="FFFFFF"/>
          <w:lang w:val="en-GB"/>
        </w:rPr>
        <w:t xml:space="preserve"> (</w:t>
      </w:r>
      <w:r w:rsidR="00343DDC" w:rsidRPr="004153F0">
        <w:rPr>
          <w:color w:val="000000" w:themeColor="text1"/>
          <w:lang w:val="en-GB"/>
        </w:rPr>
        <w:t>Smith, 2025</w:t>
      </w:r>
      <w:r w:rsidR="00343DDC" w:rsidRPr="004153F0">
        <w:rPr>
          <w:color w:val="000000" w:themeColor="text1"/>
          <w:shd w:val="clear" w:color="auto" w:fill="FFFFFF"/>
          <w:lang w:val="en-GB"/>
        </w:rPr>
        <w:t>)</w:t>
      </w:r>
      <w:r w:rsidR="007E06B3" w:rsidRPr="004153F0">
        <w:rPr>
          <w:color w:val="000000" w:themeColor="text1"/>
          <w:shd w:val="clear" w:color="auto" w:fill="FFFFFF"/>
          <w:lang w:val="en-GB"/>
        </w:rPr>
        <w:t>. Technical requirements can be mapped to create a digital, real-time, and independent escalation portal.</w:t>
      </w:r>
    </w:p>
    <w:p w14:paraId="7D192C27" w14:textId="77777777" w:rsidR="009C36F2" w:rsidRPr="004153F0" w:rsidRDefault="009C36F2" w:rsidP="009C36F2">
      <w:pPr>
        <w:spacing w:line="360" w:lineRule="auto"/>
        <w:jc w:val="both"/>
        <w:rPr>
          <w:b/>
          <w:bCs/>
          <w:color w:val="000000" w:themeColor="text1"/>
          <w:highlight w:val="white"/>
          <w:lang w:val="en-GB"/>
        </w:rPr>
      </w:pPr>
      <w:r w:rsidRPr="004153F0">
        <w:rPr>
          <w:b/>
          <w:bCs/>
          <w:color w:val="000000" w:themeColor="text1"/>
          <w:highlight w:val="white"/>
          <w:lang w:val="en-GB"/>
        </w:rPr>
        <w:t>Do</w:t>
      </w:r>
    </w:p>
    <w:p w14:paraId="49BFCB3B" w14:textId="77777777" w:rsidR="009C36F2" w:rsidRPr="004153F0" w:rsidRDefault="009C36F2" w:rsidP="009C36F2">
      <w:pPr>
        <w:spacing w:line="360" w:lineRule="auto"/>
        <w:jc w:val="both"/>
        <w:rPr>
          <w:color w:val="000000" w:themeColor="text1"/>
          <w:highlight w:val="white"/>
          <w:lang w:val="en-GB"/>
        </w:rPr>
      </w:pPr>
      <w:r w:rsidRPr="004153F0">
        <w:rPr>
          <w:color w:val="000000" w:themeColor="text1"/>
          <w:highlight w:val="white"/>
          <w:lang w:val="en-GB"/>
        </w:rPr>
        <w:t xml:space="preserve">The portal will be established during the pilot phase exclusively in the neonatal care unit. </w:t>
      </w:r>
      <w:r w:rsidR="007E06B3" w:rsidRPr="004153F0">
        <w:rPr>
          <w:color w:val="000000" w:themeColor="text1"/>
          <w:shd w:val="clear" w:color="auto" w:fill="FFFFFF"/>
          <w:lang w:val="en-GB"/>
        </w:rPr>
        <w:t xml:space="preserve">Pilot portal will be run in this stage by enforcing strict specialists staffing ratios within this unit. It will allow staff to directly report any anomalies they observe. </w:t>
      </w:r>
      <w:r w:rsidRPr="004153F0">
        <w:rPr>
          <w:color w:val="000000" w:themeColor="text1"/>
          <w:highlight w:val="white"/>
          <w:lang w:val="en-GB"/>
        </w:rPr>
        <w:t xml:space="preserve">The pilot phase can be carried out for three months, and the data collection will involve both qualitative and quantitative information. For instance, qualitative data will be gathered through anonymous digital surveys or bi-weekly focus groups. It will allow frontline nurses and doctors to offer consistent feedback on the ease of use and safety culture of the system (Sheikhtaheri </w:t>
      </w:r>
      <w:r w:rsidRPr="004153F0">
        <w:rPr>
          <w:i/>
          <w:iCs/>
          <w:color w:val="000000" w:themeColor="text1"/>
          <w:highlight w:val="white"/>
          <w:lang w:val="en-GB"/>
        </w:rPr>
        <w:t xml:space="preserve">et al. </w:t>
      </w:r>
      <w:r w:rsidRPr="004153F0">
        <w:rPr>
          <w:color w:val="000000" w:themeColor="text1"/>
          <w:highlight w:val="white"/>
          <w:lang w:val="en-GB"/>
        </w:rPr>
        <w:t xml:space="preserve">2024). Besides, timestamped reporting metrics will be automatically logged in quantitative data collection. </w:t>
      </w:r>
    </w:p>
    <w:p w14:paraId="5DE46209" w14:textId="77777777" w:rsidR="009C36F2" w:rsidRPr="004153F0" w:rsidRDefault="009C36F2" w:rsidP="009C36F2">
      <w:pPr>
        <w:spacing w:line="360" w:lineRule="auto"/>
        <w:jc w:val="both"/>
        <w:rPr>
          <w:b/>
          <w:bCs/>
          <w:color w:val="000000" w:themeColor="text1"/>
          <w:highlight w:val="white"/>
          <w:lang w:val="en-GB"/>
        </w:rPr>
      </w:pPr>
      <w:r w:rsidRPr="004153F0">
        <w:rPr>
          <w:b/>
          <w:bCs/>
          <w:color w:val="000000" w:themeColor="text1"/>
          <w:highlight w:val="white"/>
          <w:lang w:val="en-GB"/>
        </w:rPr>
        <w:t>Check</w:t>
      </w:r>
    </w:p>
    <w:p w14:paraId="1D91D7AD" w14:textId="77777777" w:rsidR="009C36F2" w:rsidRPr="004153F0" w:rsidRDefault="009C36F2" w:rsidP="009C36F2">
      <w:pPr>
        <w:spacing w:line="360" w:lineRule="auto"/>
        <w:jc w:val="both"/>
        <w:rPr>
          <w:color w:val="000000" w:themeColor="text1"/>
          <w:highlight w:val="white"/>
          <w:lang w:val="en-GB"/>
        </w:rPr>
      </w:pPr>
      <w:r w:rsidRPr="004153F0">
        <w:rPr>
          <w:color w:val="000000" w:themeColor="text1"/>
          <w:highlight w:val="white"/>
          <w:lang w:val="en-GB"/>
        </w:rPr>
        <w:t xml:space="preserve">In this phase, a cross-reference will be done by the gathered metrics against the safety benchmark of the units. The team will evaluate the success of the portal to achieve 100% timely reporting, irrespective of decisive response by the management. A thorough review of staff feedback will check and point out cultural and structural barriers, such as system interface glitches or lingering fears of retaliation (Coombs </w:t>
      </w:r>
      <w:r w:rsidRPr="004153F0">
        <w:rPr>
          <w:i/>
          <w:iCs/>
          <w:color w:val="000000" w:themeColor="text1"/>
          <w:highlight w:val="white"/>
          <w:lang w:val="en-GB"/>
        </w:rPr>
        <w:t xml:space="preserve">et al. </w:t>
      </w:r>
      <w:r w:rsidRPr="004153F0">
        <w:rPr>
          <w:color w:val="000000" w:themeColor="text1"/>
          <w:highlight w:val="white"/>
          <w:lang w:val="en-GB"/>
        </w:rPr>
        <w:t xml:space="preserve">2022). </w:t>
      </w:r>
      <w:r w:rsidR="007E06B3" w:rsidRPr="004153F0">
        <w:rPr>
          <w:color w:val="000000" w:themeColor="text1"/>
          <w:shd w:val="clear" w:color="auto" w:fill="FFFFFF"/>
          <w:lang w:val="en-GB"/>
        </w:rPr>
        <w:t>The implementation data will be checked and evaluated to determine if the incident escalation time is decreased. It will also check if the executive leaders are responding transparently without any delay, and if the audit compliance is meeting the target.</w:t>
      </w:r>
    </w:p>
    <w:p w14:paraId="7F0BCA9B" w14:textId="77777777" w:rsidR="009C36F2" w:rsidRPr="004153F0" w:rsidRDefault="009C36F2" w:rsidP="009C36F2">
      <w:pPr>
        <w:spacing w:line="360" w:lineRule="auto"/>
        <w:jc w:val="both"/>
        <w:rPr>
          <w:b/>
          <w:bCs/>
          <w:color w:val="000000" w:themeColor="text1"/>
          <w:highlight w:val="white"/>
          <w:lang w:val="en-GB"/>
        </w:rPr>
      </w:pPr>
      <w:r w:rsidRPr="004153F0">
        <w:rPr>
          <w:b/>
          <w:bCs/>
          <w:color w:val="000000" w:themeColor="text1"/>
          <w:highlight w:val="white"/>
          <w:lang w:val="en-GB"/>
        </w:rPr>
        <w:t>Act</w:t>
      </w:r>
    </w:p>
    <w:p w14:paraId="02689672" w14:textId="77777777" w:rsidR="009C36F2" w:rsidRPr="004153F0" w:rsidRDefault="009C36F2" w:rsidP="009C36F2">
      <w:pPr>
        <w:spacing w:line="360" w:lineRule="auto"/>
        <w:jc w:val="both"/>
        <w:rPr>
          <w:color w:val="000000" w:themeColor="text1"/>
          <w:highlight w:val="white"/>
          <w:lang w:val="en-GB"/>
        </w:rPr>
      </w:pPr>
      <w:r w:rsidRPr="004153F0">
        <w:rPr>
          <w:color w:val="000000" w:themeColor="text1"/>
          <w:highlight w:val="white"/>
          <w:lang w:val="en-GB"/>
        </w:rPr>
        <w:t xml:space="preserve">A crucial adaptation will be made based on the findings, such as the portal interface can be streamlined if there is a persistent reporting delay for complex software. Absolute transparency will be guaranteed with the integration of an automatic trigger that escalates unaddressed challenges directly to the independent regulatory bodies (Fukami and FUKAMI, 2024). A standard operating procedure will be formed with such localised learning to provide a roadmap to increase trust for the safety portals in the improvement cycle for the future. </w:t>
      </w:r>
      <w:r w:rsidR="007E06B3" w:rsidRPr="004153F0">
        <w:rPr>
          <w:color w:val="000000" w:themeColor="text1"/>
          <w:shd w:val="clear" w:color="auto" w:fill="FFFFFF"/>
          <w:lang w:val="en-GB"/>
        </w:rPr>
        <w:t>It will support refining the portal based on the frontline feedback and integrating automated triggers</w:t>
      </w:r>
      <w:r w:rsidR="005B4BC3" w:rsidRPr="004153F0">
        <w:rPr>
          <w:color w:val="000000" w:themeColor="text1"/>
          <w:shd w:val="clear" w:color="auto" w:fill="FFFFFF"/>
          <w:lang w:val="en-GB"/>
        </w:rPr>
        <w:t xml:space="preserve"> (Khanbhai </w:t>
      </w:r>
      <w:r w:rsidR="005B4BC3" w:rsidRPr="004153F0">
        <w:rPr>
          <w:i/>
          <w:color w:val="000000" w:themeColor="text1"/>
          <w:shd w:val="clear" w:color="auto" w:fill="FFFFFF"/>
          <w:lang w:val="en-GB"/>
        </w:rPr>
        <w:t xml:space="preserve">et al. </w:t>
      </w:r>
      <w:r w:rsidR="005B4BC3" w:rsidRPr="004153F0">
        <w:rPr>
          <w:color w:val="000000" w:themeColor="text1"/>
          <w:shd w:val="clear" w:color="auto" w:fill="FFFFFF"/>
          <w:lang w:val="en-GB"/>
        </w:rPr>
        <w:t>2022)</w:t>
      </w:r>
      <w:r w:rsidR="007E06B3" w:rsidRPr="004153F0">
        <w:rPr>
          <w:color w:val="000000" w:themeColor="text1"/>
          <w:shd w:val="clear" w:color="auto" w:fill="FFFFFF"/>
          <w:lang w:val="en-GB"/>
        </w:rPr>
        <w:t>. Besides, safety practices can be permanently standardised across the organisation with the execution of the recommendations.</w:t>
      </w:r>
    </w:p>
    <w:p w14:paraId="016049E4" w14:textId="77777777" w:rsidR="00501CC9" w:rsidRPr="004153F0" w:rsidRDefault="007344CF">
      <w:pPr>
        <w:spacing w:line="360" w:lineRule="auto"/>
        <w:jc w:val="both"/>
        <w:rPr>
          <w:b/>
          <w:bCs/>
          <w:color w:val="000000" w:themeColor="text1"/>
          <w:highlight w:val="white"/>
          <w:lang w:val="en-GB"/>
        </w:rPr>
      </w:pPr>
      <w:r w:rsidRPr="004153F0">
        <w:rPr>
          <w:b/>
          <w:bCs/>
          <w:color w:val="000000" w:themeColor="text1"/>
          <w:highlight w:val="white"/>
          <w:lang w:val="en-GB"/>
        </w:rPr>
        <w:t>Required resources and impact</w:t>
      </w:r>
    </w:p>
    <w:p w14:paraId="65FF6554" w14:textId="77777777" w:rsidR="00501CC9" w:rsidRPr="004153F0" w:rsidRDefault="007344CF">
      <w:pPr>
        <w:spacing w:line="360" w:lineRule="auto"/>
        <w:jc w:val="both"/>
        <w:rPr>
          <w:color w:val="000000" w:themeColor="text1"/>
          <w:highlight w:val="white"/>
          <w:lang w:val="en-GB"/>
        </w:rPr>
      </w:pPr>
      <w:r w:rsidRPr="004153F0">
        <w:rPr>
          <w:i/>
          <w:iCs/>
          <w:color w:val="000000" w:themeColor="text1"/>
          <w:highlight w:val="white"/>
          <w:lang w:val="en-GB"/>
        </w:rPr>
        <w:t xml:space="preserve">a) </w:t>
      </w:r>
      <w:r w:rsidRPr="004153F0">
        <w:rPr>
          <w:b/>
          <w:bCs/>
          <w:color w:val="000000" w:themeColor="text1"/>
          <w:highlight w:val="white"/>
          <w:lang w:val="en-GB"/>
        </w:rPr>
        <w:t xml:space="preserve"> </w:t>
      </w:r>
      <w:r w:rsidRPr="004153F0">
        <w:rPr>
          <w:i/>
          <w:iCs/>
          <w:color w:val="000000" w:themeColor="text1"/>
          <w:highlight w:val="white"/>
          <w:lang w:val="en-GB"/>
        </w:rPr>
        <w:t>Resource:</w:t>
      </w:r>
      <w:r w:rsidRPr="004153F0">
        <w:rPr>
          <w:color w:val="000000" w:themeColor="text1"/>
          <w:highlight w:val="white"/>
          <w:lang w:val="en-GB"/>
        </w:rPr>
        <w:t xml:space="preserve"> Dedicated funding is required for recruitment to bridge the shortage of doctors and nurses. </w:t>
      </w:r>
    </w:p>
    <w:p w14:paraId="11DF2C84" w14:textId="77777777" w:rsidR="00501CC9" w:rsidRPr="004153F0" w:rsidRDefault="007344CF">
      <w:pPr>
        <w:spacing w:line="360" w:lineRule="auto"/>
        <w:jc w:val="both"/>
        <w:rPr>
          <w:color w:val="000000" w:themeColor="text1"/>
          <w:highlight w:val="white"/>
          <w:lang w:val="en-GB"/>
        </w:rPr>
      </w:pPr>
      <w:r w:rsidRPr="004153F0">
        <w:rPr>
          <w:i/>
          <w:iCs/>
          <w:color w:val="000000" w:themeColor="text1"/>
          <w:highlight w:val="white"/>
          <w:lang w:val="en-GB"/>
        </w:rPr>
        <w:t xml:space="preserve">b) Short-term impact: </w:t>
      </w:r>
      <w:r w:rsidRPr="004153F0">
        <w:rPr>
          <w:color w:val="000000" w:themeColor="text1"/>
          <w:highlight w:val="white"/>
          <w:lang w:val="en-GB"/>
        </w:rPr>
        <w:t xml:space="preserve">Delayed incident of reporting is expected to be rapidly reduced with an immediate recognition of clinical risks. </w:t>
      </w:r>
    </w:p>
    <w:p w14:paraId="39BB84FE" w14:textId="77777777" w:rsidR="00501CC9" w:rsidRDefault="007344CF">
      <w:pPr>
        <w:spacing w:line="360" w:lineRule="auto"/>
        <w:jc w:val="both"/>
        <w:rPr>
          <w:color w:val="000000" w:themeColor="text1"/>
          <w:highlight w:val="white"/>
          <w:lang w:val="en-GB"/>
        </w:rPr>
      </w:pPr>
      <w:r w:rsidRPr="004153F0">
        <w:rPr>
          <w:i/>
          <w:iCs/>
          <w:color w:val="000000" w:themeColor="text1"/>
          <w:highlight w:val="white"/>
          <w:lang w:val="en-GB"/>
        </w:rPr>
        <w:t xml:space="preserve">c) Long-term impact: </w:t>
      </w:r>
      <w:r w:rsidRPr="004153F0">
        <w:rPr>
          <w:color w:val="000000" w:themeColor="text1"/>
          <w:highlight w:val="white"/>
          <w:lang w:val="en-GB"/>
        </w:rPr>
        <w:t xml:space="preserve">The long-term goal is to completely eradicate preventable events of harm by fully aligning NHS quality benchmarks. </w:t>
      </w:r>
    </w:p>
    <w:p w14:paraId="05C9D61C" w14:textId="77777777" w:rsidR="00242C9A" w:rsidRDefault="00242C9A">
      <w:pPr>
        <w:spacing w:line="360" w:lineRule="auto"/>
        <w:jc w:val="both"/>
        <w:rPr>
          <w:color w:val="000000" w:themeColor="text1"/>
          <w:highlight w:val="white"/>
          <w:lang w:val="en-GB"/>
        </w:rPr>
      </w:pPr>
    </w:p>
    <w:p w14:paraId="38D674B3" w14:textId="77777777" w:rsidR="00242C9A" w:rsidRDefault="00242C9A">
      <w:pPr>
        <w:spacing w:line="360" w:lineRule="auto"/>
        <w:jc w:val="both"/>
        <w:rPr>
          <w:color w:val="000000" w:themeColor="text1"/>
          <w:highlight w:val="white"/>
          <w:lang w:val="en-GB"/>
        </w:rPr>
      </w:pPr>
    </w:p>
    <w:p w14:paraId="74A7A4D4" w14:textId="77777777" w:rsidR="00242C9A" w:rsidRDefault="00242C9A">
      <w:pPr>
        <w:spacing w:line="360" w:lineRule="auto"/>
        <w:jc w:val="both"/>
        <w:rPr>
          <w:color w:val="000000" w:themeColor="text1"/>
          <w:highlight w:val="white"/>
          <w:lang w:val="en-GB"/>
        </w:rPr>
      </w:pPr>
    </w:p>
    <w:p w14:paraId="01229B6C" w14:textId="77777777" w:rsidR="00242C9A" w:rsidRDefault="00242C9A">
      <w:pPr>
        <w:spacing w:line="360" w:lineRule="auto"/>
        <w:jc w:val="both"/>
        <w:rPr>
          <w:color w:val="000000" w:themeColor="text1"/>
          <w:highlight w:val="white"/>
          <w:lang w:val="en-GB"/>
        </w:rPr>
      </w:pPr>
    </w:p>
    <w:p w14:paraId="0DECCC1E" w14:textId="77777777" w:rsidR="00242C9A" w:rsidRDefault="00242C9A">
      <w:pPr>
        <w:spacing w:line="360" w:lineRule="auto"/>
        <w:jc w:val="both"/>
        <w:rPr>
          <w:color w:val="000000" w:themeColor="text1"/>
          <w:highlight w:val="white"/>
          <w:lang w:val="en-GB"/>
        </w:rPr>
      </w:pPr>
    </w:p>
    <w:p w14:paraId="391480F7" w14:textId="77777777" w:rsidR="00242C9A" w:rsidRPr="004153F0" w:rsidRDefault="00242C9A">
      <w:pPr>
        <w:spacing w:line="360" w:lineRule="auto"/>
        <w:jc w:val="both"/>
        <w:rPr>
          <w:color w:val="000000" w:themeColor="text1"/>
          <w:highlight w:val="white"/>
          <w:lang w:val="en-GB"/>
        </w:rPr>
      </w:pPr>
    </w:p>
    <w:p w14:paraId="69E9D139" w14:textId="77777777" w:rsidR="00501CC9" w:rsidRPr="004153F0" w:rsidRDefault="009927B5" w:rsidP="00DB2C74">
      <w:pPr>
        <w:pStyle w:val="Heading1"/>
        <w:rPr>
          <w:color w:val="000000" w:themeColor="text1"/>
          <w:highlight w:val="white"/>
          <w:lang w:val="en-GB"/>
        </w:rPr>
      </w:pPr>
      <w:bookmarkStart w:id="5" w:name="_Toc233368514"/>
      <w:r w:rsidRPr="004153F0">
        <w:rPr>
          <w:color w:val="000000" w:themeColor="text1"/>
          <w:highlight w:val="white"/>
          <w:lang w:val="en-GB"/>
        </w:rPr>
        <w:t>6</w:t>
      </w:r>
      <w:r w:rsidR="007344CF" w:rsidRPr="004153F0">
        <w:rPr>
          <w:color w:val="000000" w:themeColor="text1"/>
          <w:highlight w:val="white"/>
          <w:lang w:val="en-GB"/>
        </w:rPr>
        <w:t>. Benchmarking</w:t>
      </w:r>
      <w:bookmarkEnd w:id="5"/>
    </w:p>
    <w:p w14:paraId="4A0C6673" w14:textId="77777777" w:rsidR="00501CC9" w:rsidRPr="004153F0" w:rsidRDefault="007344CF">
      <w:pPr>
        <w:spacing w:line="360" w:lineRule="auto"/>
        <w:jc w:val="center"/>
        <w:rPr>
          <w:b/>
          <w:bCs/>
          <w:color w:val="000000" w:themeColor="text1"/>
          <w:highlight w:val="white"/>
          <w:lang w:val="en-GB"/>
        </w:rPr>
      </w:pPr>
      <w:r w:rsidRPr="004153F0">
        <w:rPr>
          <w:b/>
          <w:bCs/>
          <w:noProof/>
          <w:color w:val="000000" w:themeColor="text1"/>
          <w:highlight w:val="white"/>
          <w:lang w:val="en-GB"/>
        </w:rPr>
        <w:drawing>
          <wp:inline distT="114300" distB="114300" distL="114300" distR="114300" wp14:anchorId="6813AF1F" wp14:editId="56323790">
            <wp:extent cx="5434013" cy="4841844"/>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434013" cy="4841844"/>
                    </a:xfrm>
                    <a:prstGeom prst="rect">
                      <a:avLst/>
                    </a:prstGeom>
                    <a:ln/>
                  </pic:spPr>
                </pic:pic>
              </a:graphicData>
            </a:graphic>
          </wp:inline>
        </w:drawing>
      </w:r>
    </w:p>
    <w:p w14:paraId="58C33573" w14:textId="77777777" w:rsidR="00501CC9" w:rsidRPr="004153F0" w:rsidRDefault="007344CF">
      <w:pPr>
        <w:spacing w:line="360" w:lineRule="auto"/>
        <w:jc w:val="center"/>
        <w:rPr>
          <w:b/>
          <w:bCs/>
          <w:color w:val="000000" w:themeColor="text1"/>
          <w:highlight w:val="white"/>
          <w:lang w:val="en-GB"/>
        </w:rPr>
      </w:pPr>
      <w:r w:rsidRPr="004153F0">
        <w:rPr>
          <w:b/>
          <w:bCs/>
          <w:color w:val="000000" w:themeColor="text1"/>
          <w:highlight w:val="white"/>
          <w:lang w:val="en-GB"/>
        </w:rPr>
        <w:t>Table 2: Benchmark gap</w:t>
      </w:r>
    </w:p>
    <w:p w14:paraId="53E6574A" w14:textId="77777777" w:rsidR="00501CC9" w:rsidRPr="004153F0" w:rsidRDefault="007344CF">
      <w:pPr>
        <w:spacing w:line="360" w:lineRule="auto"/>
        <w:jc w:val="center"/>
        <w:rPr>
          <w:color w:val="000000" w:themeColor="text1"/>
          <w:highlight w:val="white"/>
          <w:lang w:val="en-GB"/>
        </w:rPr>
      </w:pPr>
      <w:r w:rsidRPr="004153F0">
        <w:rPr>
          <w:color w:val="000000" w:themeColor="text1"/>
          <w:highlight w:val="white"/>
          <w:lang w:val="en-GB"/>
        </w:rPr>
        <w:t>(Source: Influenced by Ercole, 2026; Coffey, 2025)</w:t>
      </w:r>
    </w:p>
    <w:p w14:paraId="46AF9BE8" w14:textId="77777777" w:rsidR="00501CC9" w:rsidRPr="004153F0" w:rsidRDefault="007344CF">
      <w:pPr>
        <w:spacing w:line="360" w:lineRule="auto"/>
        <w:jc w:val="both"/>
        <w:rPr>
          <w:color w:val="000000" w:themeColor="text1"/>
          <w:highlight w:val="white"/>
          <w:lang w:val="en-GB"/>
        </w:rPr>
      </w:pPr>
      <w:r w:rsidRPr="004153F0">
        <w:rPr>
          <w:color w:val="000000" w:themeColor="text1"/>
          <w:highlight w:val="white"/>
          <w:lang w:val="en-GB"/>
        </w:rPr>
        <w:t xml:space="preserve">Based on the benchmark gap of Table 2, an extreme gap is found in the original performance of the hospital. The performance has been measured against the national standard of the NHS. In this area, high-performing trusts and organisations showcase their best practices by attaining the target of 100% compliance maintenance and zero preventable harm events (Hardie </w:t>
      </w:r>
      <w:r w:rsidRPr="004153F0">
        <w:rPr>
          <w:i/>
          <w:iCs/>
          <w:color w:val="000000" w:themeColor="text1"/>
          <w:highlight w:val="white"/>
          <w:lang w:val="en-GB"/>
        </w:rPr>
        <w:t xml:space="preserve">et al. </w:t>
      </w:r>
      <w:r w:rsidRPr="004153F0">
        <w:rPr>
          <w:color w:val="000000" w:themeColor="text1"/>
          <w:highlight w:val="white"/>
          <w:lang w:val="en-GB"/>
        </w:rPr>
        <w:t xml:space="preserve">2022). They also maintain robust clinical audits, timely incident reporting, and fundamental safeguarding training. </w:t>
      </w:r>
    </w:p>
    <w:p w14:paraId="59FCEDF1" w14:textId="77777777" w:rsidR="00501CC9" w:rsidRPr="004153F0" w:rsidRDefault="007344CF">
      <w:pPr>
        <w:spacing w:line="360" w:lineRule="auto"/>
        <w:jc w:val="both"/>
        <w:rPr>
          <w:color w:val="000000" w:themeColor="text1"/>
          <w:highlight w:val="white"/>
          <w:lang w:val="en-GB"/>
        </w:rPr>
      </w:pPr>
      <w:r w:rsidRPr="004153F0">
        <w:rPr>
          <w:color w:val="000000" w:themeColor="text1"/>
          <w:highlight w:val="white"/>
          <w:lang w:val="en-GB"/>
        </w:rPr>
        <w:t>The proposed whistleblowing portals and real-time incident escalation directly align with the NHS targets by monitoring the on</w:t>
      </w:r>
      <w:r w:rsidR="003B4E44" w:rsidRPr="004153F0">
        <w:rPr>
          <w:color w:val="000000" w:themeColor="text1"/>
          <w:highlight w:val="white"/>
          <w:lang w:val="en-GB"/>
        </w:rPr>
        <w:t>-</w:t>
      </w:r>
      <w:r w:rsidRPr="004153F0">
        <w:rPr>
          <w:color w:val="000000" w:themeColor="text1"/>
          <w:highlight w:val="white"/>
          <w:lang w:val="en-GB"/>
        </w:rPr>
        <w:t xml:space="preserve">going improvement. Benchmarking data can be utilised to move the neonatal unit from being a reactive and isolated setup to a proactive and transparent care delivery process (Kwok and Battersby, 2022). Such metrics can be tracked in top-tier trusts by management to ensure that their unexplained clinical misconduct is immediately reviewed. It can save the anomalies from being hidden within internal delays. </w:t>
      </w:r>
    </w:p>
    <w:p w14:paraId="57412E83" w14:textId="77777777" w:rsidR="00501CC9" w:rsidRPr="004153F0" w:rsidRDefault="007344CF">
      <w:pPr>
        <w:spacing w:line="360" w:lineRule="auto"/>
        <w:jc w:val="both"/>
        <w:rPr>
          <w:color w:val="000000" w:themeColor="text1"/>
          <w:highlight w:val="white"/>
          <w:lang w:val="en-GB"/>
        </w:rPr>
      </w:pPr>
      <w:r w:rsidRPr="004153F0">
        <w:rPr>
          <w:color w:val="000000" w:themeColor="text1"/>
          <w:highlight w:val="white"/>
          <w:lang w:val="en-GB"/>
        </w:rPr>
        <w:t xml:space="preserve">On another note, there are distinct limitations when this case is compared to other contexts. This demonstrates a severe mismatch of the Level 2 neonatal unit, often providing services to the complex needs of Level 3 units under pressure (LJMU, 2025). Therefore, a lesson learned from this evaluation refers to the probability of national standard and benchmark failure under acute staffing shortage. Overworked staff might be unable to capture such pressure under the unique system accompanied by defensive leadership, and its failure can allow intentional harm if they are persistently unchecked. </w:t>
      </w:r>
    </w:p>
    <w:p w14:paraId="7AA22A02" w14:textId="77777777" w:rsidR="00501CC9" w:rsidRPr="004153F0" w:rsidRDefault="009927B5" w:rsidP="00DB2C74">
      <w:pPr>
        <w:pStyle w:val="Heading1"/>
        <w:rPr>
          <w:color w:val="000000" w:themeColor="text1"/>
          <w:highlight w:val="white"/>
          <w:lang w:val="en-GB"/>
        </w:rPr>
      </w:pPr>
      <w:bookmarkStart w:id="6" w:name="_Toc233368515"/>
      <w:r w:rsidRPr="004153F0">
        <w:rPr>
          <w:color w:val="000000" w:themeColor="text1"/>
          <w:highlight w:val="white"/>
          <w:lang w:val="en-GB"/>
        </w:rPr>
        <w:t>7</w:t>
      </w:r>
      <w:r w:rsidR="007344CF" w:rsidRPr="004153F0">
        <w:rPr>
          <w:color w:val="000000" w:themeColor="text1"/>
          <w:highlight w:val="white"/>
          <w:lang w:val="en-GB"/>
        </w:rPr>
        <w:t>. Conclusion</w:t>
      </w:r>
      <w:bookmarkEnd w:id="6"/>
    </w:p>
    <w:p w14:paraId="3A328770" w14:textId="77777777" w:rsidR="00501CC9" w:rsidRPr="004153F0" w:rsidRDefault="007344CF">
      <w:pPr>
        <w:spacing w:line="360" w:lineRule="auto"/>
        <w:jc w:val="both"/>
        <w:rPr>
          <w:color w:val="000000" w:themeColor="text1"/>
          <w:highlight w:val="white"/>
          <w:lang w:val="en-GB"/>
        </w:rPr>
      </w:pPr>
      <w:r w:rsidRPr="004153F0">
        <w:rPr>
          <w:color w:val="000000" w:themeColor="text1"/>
          <w:highlight w:val="white"/>
          <w:lang w:val="en-GB"/>
        </w:rPr>
        <w:t xml:space="preserve">The critical evaluation of the Lucy Letby case at Chester Hospital has shown that patient safety crises are not isolated events. Such incidents stem from a collapse of organisational </w:t>
      </w:r>
      <w:r w:rsidR="003B4E44" w:rsidRPr="004153F0">
        <w:rPr>
          <w:color w:val="000000" w:themeColor="text1"/>
          <w:highlight w:val="white"/>
          <w:lang w:val="en-GB"/>
        </w:rPr>
        <w:t>defence</w:t>
      </w:r>
      <w:r w:rsidRPr="004153F0">
        <w:rPr>
          <w:color w:val="000000" w:themeColor="text1"/>
          <w:highlight w:val="white"/>
          <w:lang w:val="en-GB"/>
        </w:rPr>
        <w:t xml:space="preserve"> layers, which need an integrated healthcare quality framework. This report has incorporated the Donabedian Model, Fishbone Diagram, the 5 Whys, Lewin’s 3-Stage Model, and the respective methods to analyse the issue of care quality failure and poor governance structure. The analysis is intended to bridge the gap between practical service and improved risk management. </w:t>
      </w:r>
    </w:p>
    <w:p w14:paraId="3F829F24" w14:textId="77777777" w:rsidR="00501CC9" w:rsidRPr="004153F0" w:rsidRDefault="007344CF">
      <w:pPr>
        <w:spacing w:line="360" w:lineRule="auto"/>
        <w:jc w:val="both"/>
        <w:rPr>
          <w:color w:val="000000" w:themeColor="text1"/>
          <w:highlight w:val="white"/>
          <w:lang w:val="en-GB"/>
        </w:rPr>
      </w:pPr>
      <w:r w:rsidRPr="004153F0">
        <w:rPr>
          <w:color w:val="000000" w:themeColor="text1"/>
          <w:highlight w:val="white"/>
          <w:lang w:val="en-GB"/>
        </w:rPr>
        <w:t xml:space="preserve">The systemic findings of this research have projected that a positive patient outcome can be ensured by becoming proactive rather than reactive and defensive care delivery. It could have helped the management of Chester Hospital to avoid the catastrophic death of vulnerable newborns and attempted murders of the other seven newborns. The hospital requires dismantling the denial culture and establishing a portal for ethical whistleblowing. The portals will be open for frontline doctors and nurses to report safety issues without fear. Recommendations have also been made to enforce strict national staffing ratios with robust clinical audits to resolve the issue of extreme workforce pressure. </w:t>
      </w:r>
    </w:p>
    <w:p w14:paraId="111FFE8C" w14:textId="77777777" w:rsidR="00501CC9" w:rsidRPr="004153F0" w:rsidRDefault="007344CF">
      <w:pPr>
        <w:spacing w:line="360" w:lineRule="auto"/>
        <w:jc w:val="both"/>
        <w:rPr>
          <w:color w:val="000000" w:themeColor="text1"/>
          <w:highlight w:val="white"/>
          <w:lang w:val="en-GB"/>
        </w:rPr>
      </w:pPr>
      <w:r w:rsidRPr="004153F0">
        <w:rPr>
          <w:color w:val="000000" w:themeColor="text1"/>
          <w:highlight w:val="white"/>
          <w:lang w:val="en-GB"/>
        </w:rPr>
        <w:t xml:space="preserve">The case of Lucy Letby has demonstrated a fundamental leadership lesson, suggesting that executive leaders need to have accountability. They need to work with complete transparency by taking precedence over reputation management. Such improvements are essential to be sustained and scaled, which is why a recommendation of a localised real-time escalation portal has been made. The PDCA Cycle has mentioned the initiatives to be taken in each stage, and Lewin’s model has projected how the changes can be frozen. Besides, using the incident tracking metrics can be helpful to strengthen work for future improvements. Consequently, the NHS trusts can ensure a patient-centred and uncompromised future. </w:t>
      </w:r>
      <w:r w:rsidRPr="004153F0">
        <w:rPr>
          <w:color w:val="000000" w:themeColor="text1"/>
          <w:lang w:val="en-GB"/>
        </w:rPr>
        <w:br w:type="page"/>
      </w:r>
    </w:p>
    <w:p w14:paraId="13750BDE" w14:textId="77777777" w:rsidR="00501CC9" w:rsidRPr="004153F0" w:rsidRDefault="007344CF" w:rsidP="00DB2C74">
      <w:pPr>
        <w:pStyle w:val="Heading1"/>
        <w:rPr>
          <w:color w:val="000000" w:themeColor="text1"/>
          <w:highlight w:val="white"/>
          <w:lang w:val="en-GB"/>
        </w:rPr>
      </w:pPr>
      <w:bookmarkStart w:id="7" w:name="_Toc233368516"/>
      <w:r w:rsidRPr="004153F0">
        <w:rPr>
          <w:color w:val="000000" w:themeColor="text1"/>
          <w:highlight w:val="white"/>
          <w:lang w:val="en-GB"/>
        </w:rPr>
        <w:t>References</w:t>
      </w:r>
      <w:bookmarkEnd w:id="7"/>
    </w:p>
    <w:p w14:paraId="0C54F04F" w14:textId="77777777" w:rsidR="00AD7473" w:rsidRPr="004153F0" w:rsidRDefault="00AD7473" w:rsidP="00146672">
      <w:pPr>
        <w:spacing w:line="360" w:lineRule="auto"/>
        <w:jc w:val="both"/>
        <w:rPr>
          <w:color w:val="000000" w:themeColor="text1"/>
          <w:lang w:val="en-GB"/>
        </w:rPr>
      </w:pPr>
      <w:r w:rsidRPr="004153F0">
        <w:rPr>
          <w:color w:val="000000" w:themeColor="text1"/>
          <w:lang w:val="en-GB"/>
        </w:rPr>
        <w:t>Aghighi, N., Aryankhesal, A. and Raeissi, P., (2022). Factors affecting the recurrence of medical errors in hospitals and the preventive strategies: a scoping review. </w:t>
      </w:r>
      <w:r w:rsidRPr="004153F0">
        <w:rPr>
          <w:i/>
          <w:iCs/>
          <w:color w:val="000000" w:themeColor="text1"/>
          <w:lang w:val="en-GB"/>
        </w:rPr>
        <w:t>Journal of Medical Ethics and History of Medicine</w:t>
      </w:r>
      <w:r w:rsidRPr="004153F0">
        <w:rPr>
          <w:color w:val="000000" w:themeColor="text1"/>
          <w:lang w:val="en-GB"/>
        </w:rPr>
        <w:t>, </w:t>
      </w:r>
      <w:r w:rsidRPr="004153F0">
        <w:rPr>
          <w:i/>
          <w:iCs/>
          <w:color w:val="000000" w:themeColor="text1"/>
          <w:lang w:val="en-GB"/>
        </w:rPr>
        <w:t>15</w:t>
      </w:r>
      <w:r w:rsidRPr="004153F0">
        <w:rPr>
          <w:color w:val="000000" w:themeColor="text1"/>
          <w:lang w:val="en-GB"/>
        </w:rPr>
        <w:t>, p.7.</w:t>
      </w:r>
    </w:p>
    <w:p w14:paraId="3193C411"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Beauvais, B., Pradhan, R., Ramamonjiarivelo, Z., Mileski, M. and Shanmugam, R., (2024). When agency fails: an analysis of the association between hospital agency staffing and quality outcomes. </w:t>
      </w:r>
      <w:r w:rsidRPr="004153F0">
        <w:rPr>
          <w:i/>
          <w:iCs/>
          <w:color w:val="000000" w:themeColor="text1"/>
          <w:highlight w:val="white"/>
          <w:lang w:val="en-GB"/>
        </w:rPr>
        <w:t>Risk Management and Healthcare Policy</w:t>
      </w:r>
      <w:r w:rsidRPr="004153F0">
        <w:rPr>
          <w:color w:val="000000" w:themeColor="text1"/>
          <w:highlight w:val="white"/>
          <w:lang w:val="en-GB"/>
        </w:rPr>
        <w:t>, pp.1361-1372.</w:t>
      </w:r>
    </w:p>
    <w:p w14:paraId="0CD590F4"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Bunting, J. and de Klerk, M., (2022). Strategies to improve compliance with clinical nursing documentation guidelines in the acute hospital setting: A systematic review and analysis. </w:t>
      </w:r>
      <w:r w:rsidRPr="004153F0">
        <w:rPr>
          <w:i/>
          <w:iCs/>
          <w:color w:val="000000" w:themeColor="text1"/>
          <w:highlight w:val="white"/>
          <w:lang w:val="en-GB"/>
        </w:rPr>
        <w:t>SAGE Open Nursing</w:t>
      </w:r>
      <w:r w:rsidRPr="004153F0">
        <w:rPr>
          <w:color w:val="000000" w:themeColor="text1"/>
          <w:highlight w:val="white"/>
          <w:lang w:val="en-GB"/>
        </w:rPr>
        <w:t xml:space="preserve">, </w:t>
      </w:r>
      <w:r w:rsidRPr="004153F0">
        <w:rPr>
          <w:i/>
          <w:iCs/>
          <w:color w:val="000000" w:themeColor="text1"/>
          <w:highlight w:val="white"/>
          <w:lang w:val="en-GB"/>
        </w:rPr>
        <w:t>8</w:t>
      </w:r>
      <w:r w:rsidRPr="004153F0">
        <w:rPr>
          <w:color w:val="000000" w:themeColor="text1"/>
          <w:highlight w:val="white"/>
          <w:lang w:val="en-GB"/>
        </w:rPr>
        <w:t>, p.23779608221075165.</w:t>
      </w:r>
    </w:p>
    <w:p w14:paraId="78268CC5"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Chakravorty, I., (2023). Case of Nurse Letby: Systems Failure in Safeguarding Patients: Impact of Differential Protection for Whistleblowers. </w:t>
      </w:r>
      <w:r w:rsidRPr="004153F0">
        <w:rPr>
          <w:i/>
          <w:iCs/>
          <w:color w:val="000000" w:themeColor="text1"/>
          <w:highlight w:val="white"/>
          <w:lang w:val="en-GB"/>
        </w:rPr>
        <w:t>Sushruta Journal of Health Policy &amp; Opinion</w:t>
      </w:r>
      <w:r w:rsidRPr="004153F0">
        <w:rPr>
          <w:color w:val="000000" w:themeColor="text1"/>
          <w:highlight w:val="white"/>
          <w:lang w:val="en-GB"/>
        </w:rPr>
        <w:t xml:space="preserve">, </w:t>
      </w:r>
      <w:r w:rsidRPr="004153F0">
        <w:rPr>
          <w:i/>
          <w:iCs/>
          <w:color w:val="000000" w:themeColor="text1"/>
          <w:highlight w:val="white"/>
          <w:lang w:val="en-GB"/>
        </w:rPr>
        <w:t>15</w:t>
      </w:r>
      <w:r w:rsidRPr="004153F0">
        <w:rPr>
          <w:color w:val="000000" w:themeColor="text1"/>
          <w:highlight w:val="white"/>
          <w:lang w:val="en-GB"/>
        </w:rPr>
        <w:t>(3).</w:t>
      </w:r>
    </w:p>
    <w:p w14:paraId="79F3613E"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Coffey, J., (2025). Lucy Letby's new expert supporters claim no babies were deliberately harmed. Who should we believe? </w:t>
      </w:r>
      <w:r w:rsidRPr="004153F0">
        <w:rPr>
          <w:i/>
          <w:iCs/>
          <w:color w:val="000000" w:themeColor="text1"/>
          <w:highlight w:val="white"/>
          <w:lang w:val="en-GB"/>
        </w:rPr>
        <w:t>BBC</w:t>
      </w:r>
      <w:r w:rsidRPr="004153F0">
        <w:rPr>
          <w:color w:val="000000" w:themeColor="text1"/>
          <w:highlight w:val="white"/>
          <w:lang w:val="en-GB"/>
        </w:rPr>
        <w:t>. Available at:</w:t>
      </w:r>
      <w:hyperlink r:id="rId16">
        <w:r w:rsidRPr="004153F0">
          <w:rPr>
            <w:color w:val="000000" w:themeColor="text1"/>
            <w:highlight w:val="white"/>
            <w:lang w:val="en-GB"/>
          </w:rPr>
          <w:t xml:space="preserve"> </w:t>
        </w:r>
      </w:hyperlink>
      <w:hyperlink r:id="rId17">
        <w:r w:rsidRPr="004153F0">
          <w:rPr>
            <w:color w:val="000000" w:themeColor="text1"/>
            <w:highlight w:val="white"/>
            <w:lang w:val="en-GB"/>
          </w:rPr>
          <w:t>https://www.bbc.com/news/articles/cj0y9673rjno</w:t>
        </w:r>
      </w:hyperlink>
      <w:r w:rsidRPr="004153F0">
        <w:rPr>
          <w:color w:val="000000" w:themeColor="text1"/>
          <w:highlight w:val="white"/>
          <w:lang w:val="en-GB"/>
        </w:rPr>
        <w:t xml:space="preserve"> [Accessed: 25 June 2026]</w:t>
      </w:r>
    </w:p>
    <w:p w14:paraId="08E67526"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Coombs, N.C., Campbell, D.G. and Caringi, J., (2022). A qualitative study of rural healthcare providers’ views of social, cultural, and programmatic barriers to healthcare access. </w:t>
      </w:r>
      <w:r w:rsidRPr="004153F0">
        <w:rPr>
          <w:i/>
          <w:iCs/>
          <w:color w:val="000000" w:themeColor="text1"/>
          <w:highlight w:val="white"/>
          <w:lang w:val="en-GB"/>
        </w:rPr>
        <w:t>BMC health services research</w:t>
      </w:r>
      <w:r w:rsidRPr="004153F0">
        <w:rPr>
          <w:color w:val="000000" w:themeColor="text1"/>
          <w:highlight w:val="white"/>
          <w:lang w:val="en-GB"/>
        </w:rPr>
        <w:t xml:space="preserve">, </w:t>
      </w:r>
      <w:r w:rsidRPr="004153F0">
        <w:rPr>
          <w:i/>
          <w:iCs/>
          <w:color w:val="000000" w:themeColor="text1"/>
          <w:highlight w:val="white"/>
          <w:lang w:val="en-GB"/>
        </w:rPr>
        <w:t>22</w:t>
      </w:r>
      <w:r w:rsidRPr="004153F0">
        <w:rPr>
          <w:color w:val="000000" w:themeColor="text1"/>
          <w:highlight w:val="white"/>
          <w:lang w:val="en-GB"/>
        </w:rPr>
        <w:t>(1), p.438.</w:t>
      </w:r>
    </w:p>
    <w:p w14:paraId="0C28DC65"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CQC (2022). Countess of Chester Hospital NHS Foundation Trust told it must make improvements following CQC inspection. </w:t>
      </w:r>
      <w:r w:rsidRPr="004153F0">
        <w:rPr>
          <w:i/>
          <w:iCs/>
          <w:color w:val="000000" w:themeColor="text1"/>
          <w:highlight w:val="white"/>
          <w:lang w:val="en-GB"/>
        </w:rPr>
        <w:t>CQC</w:t>
      </w:r>
      <w:r w:rsidRPr="004153F0">
        <w:rPr>
          <w:color w:val="000000" w:themeColor="text1"/>
          <w:highlight w:val="white"/>
          <w:lang w:val="en-GB"/>
        </w:rPr>
        <w:t>. Available at:</w:t>
      </w:r>
      <w:hyperlink r:id="rId18">
        <w:r w:rsidRPr="004153F0">
          <w:rPr>
            <w:color w:val="000000" w:themeColor="text1"/>
            <w:highlight w:val="white"/>
            <w:lang w:val="en-GB"/>
          </w:rPr>
          <w:t xml:space="preserve"> </w:t>
        </w:r>
      </w:hyperlink>
      <w:hyperlink r:id="rId19">
        <w:r w:rsidRPr="004153F0">
          <w:rPr>
            <w:color w:val="000000" w:themeColor="text1"/>
            <w:highlight w:val="white"/>
            <w:lang w:val="en-GB"/>
          </w:rPr>
          <w:t>https://www.cqc.org.uk/press-release/countess-chester-hospital-nhs-foundation-trust-told-it-must-make-improvements</w:t>
        </w:r>
      </w:hyperlink>
      <w:r w:rsidRPr="004153F0">
        <w:rPr>
          <w:color w:val="000000" w:themeColor="text1"/>
          <w:highlight w:val="white"/>
          <w:lang w:val="en-GB"/>
        </w:rPr>
        <w:t xml:space="preserve"> [Accessed: 25 June 2026]</w:t>
      </w:r>
    </w:p>
    <w:p w14:paraId="169BBAE7"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CQC (2025). The Countess of Chester Hospital. </w:t>
      </w:r>
      <w:r w:rsidRPr="004153F0">
        <w:rPr>
          <w:i/>
          <w:iCs/>
          <w:color w:val="000000" w:themeColor="text1"/>
          <w:highlight w:val="white"/>
          <w:lang w:val="en-GB"/>
        </w:rPr>
        <w:t>CQC</w:t>
      </w:r>
      <w:r w:rsidRPr="004153F0">
        <w:rPr>
          <w:color w:val="000000" w:themeColor="text1"/>
          <w:highlight w:val="white"/>
          <w:lang w:val="en-GB"/>
        </w:rPr>
        <w:t>. Available at:</w:t>
      </w:r>
      <w:hyperlink r:id="rId20">
        <w:r w:rsidRPr="004153F0">
          <w:rPr>
            <w:color w:val="000000" w:themeColor="text1"/>
            <w:highlight w:val="white"/>
            <w:lang w:val="en-GB"/>
          </w:rPr>
          <w:t xml:space="preserve"> </w:t>
        </w:r>
      </w:hyperlink>
      <w:hyperlink r:id="rId21">
        <w:r w:rsidRPr="004153F0">
          <w:rPr>
            <w:color w:val="000000" w:themeColor="text1"/>
            <w:highlight w:val="white"/>
            <w:lang w:val="en-GB"/>
          </w:rPr>
          <w:t>https://www.cqc.org.uk/location/RJR05/reports/LAP-01434/urgent-and-emergency-services/well-led</w:t>
        </w:r>
      </w:hyperlink>
      <w:r w:rsidRPr="004153F0">
        <w:rPr>
          <w:color w:val="000000" w:themeColor="text1"/>
          <w:highlight w:val="white"/>
          <w:lang w:val="en-GB"/>
        </w:rPr>
        <w:t xml:space="preserve"> [Accessed: 25 June 2026]</w:t>
      </w:r>
    </w:p>
    <w:p w14:paraId="6F5DE9D6"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Ellis, P., 2024. Courage in health and social care. </w:t>
      </w:r>
      <w:r w:rsidRPr="004153F0">
        <w:rPr>
          <w:i/>
          <w:iCs/>
          <w:color w:val="000000" w:themeColor="text1"/>
          <w:highlight w:val="white"/>
          <w:lang w:val="en-GB"/>
        </w:rPr>
        <w:t>Wounds</w:t>
      </w:r>
      <w:r w:rsidRPr="004153F0">
        <w:rPr>
          <w:color w:val="000000" w:themeColor="text1"/>
          <w:highlight w:val="white"/>
          <w:lang w:val="en-GB"/>
        </w:rPr>
        <w:t xml:space="preserve">, </w:t>
      </w:r>
      <w:r w:rsidRPr="004153F0">
        <w:rPr>
          <w:i/>
          <w:iCs/>
          <w:color w:val="000000" w:themeColor="text1"/>
          <w:highlight w:val="white"/>
          <w:lang w:val="en-GB"/>
        </w:rPr>
        <w:t>20</w:t>
      </w:r>
      <w:r w:rsidRPr="004153F0">
        <w:rPr>
          <w:color w:val="000000" w:themeColor="text1"/>
          <w:highlight w:val="white"/>
          <w:lang w:val="en-GB"/>
        </w:rPr>
        <w:t>(1), p.30.</w:t>
      </w:r>
    </w:p>
    <w:p w14:paraId="00E0A03F"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Elsehrawy, M.G., Ramadan, O.M.E., Eweida, R.S. and Abdelrahman, M.M., (2025). Factors influencing nurses’ decision to blow the whistle: a systematic review. </w:t>
      </w:r>
      <w:r w:rsidRPr="004153F0">
        <w:rPr>
          <w:i/>
          <w:iCs/>
          <w:color w:val="000000" w:themeColor="text1"/>
          <w:highlight w:val="white"/>
          <w:lang w:val="en-GB"/>
        </w:rPr>
        <w:t>BMC nursing</w:t>
      </w:r>
      <w:r w:rsidRPr="004153F0">
        <w:rPr>
          <w:color w:val="000000" w:themeColor="text1"/>
          <w:highlight w:val="white"/>
          <w:lang w:val="en-GB"/>
        </w:rPr>
        <w:t xml:space="preserve">, </w:t>
      </w:r>
      <w:r w:rsidRPr="004153F0">
        <w:rPr>
          <w:i/>
          <w:iCs/>
          <w:color w:val="000000" w:themeColor="text1"/>
          <w:highlight w:val="white"/>
          <w:lang w:val="en-GB"/>
        </w:rPr>
        <w:t>24</w:t>
      </w:r>
      <w:r w:rsidRPr="004153F0">
        <w:rPr>
          <w:color w:val="000000" w:themeColor="text1"/>
          <w:highlight w:val="white"/>
          <w:lang w:val="en-GB"/>
        </w:rPr>
        <w:t>(1), p.721.</w:t>
      </w:r>
    </w:p>
    <w:p w14:paraId="44703AC6"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Ercole, A., (2026). Digital Maturity and Technical Efficiency in NHS Acute Trusts: Cross-Sectional Evidence from England. </w:t>
      </w:r>
      <w:r w:rsidRPr="004153F0">
        <w:rPr>
          <w:i/>
          <w:iCs/>
          <w:color w:val="000000" w:themeColor="text1"/>
          <w:highlight w:val="white"/>
          <w:lang w:val="en-GB"/>
        </w:rPr>
        <w:t>arXiv preprint arXiv:2606.01137</w:t>
      </w:r>
      <w:r w:rsidRPr="004153F0">
        <w:rPr>
          <w:color w:val="000000" w:themeColor="text1"/>
          <w:highlight w:val="white"/>
          <w:lang w:val="en-GB"/>
        </w:rPr>
        <w:t>.</w:t>
      </w:r>
    </w:p>
    <w:p w14:paraId="208B8604"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Fukami, T. and FUKAMI, T., (2024). Enhancing healthcare accountability for administrators: fostering transparency for patient safety and quality enhancement. </w:t>
      </w:r>
      <w:r w:rsidRPr="004153F0">
        <w:rPr>
          <w:i/>
          <w:iCs/>
          <w:color w:val="000000" w:themeColor="text1"/>
          <w:highlight w:val="white"/>
          <w:lang w:val="en-GB"/>
        </w:rPr>
        <w:t>Cureus</w:t>
      </w:r>
      <w:r w:rsidRPr="004153F0">
        <w:rPr>
          <w:color w:val="000000" w:themeColor="text1"/>
          <w:highlight w:val="white"/>
          <w:lang w:val="en-GB"/>
        </w:rPr>
        <w:t xml:space="preserve">, </w:t>
      </w:r>
      <w:r w:rsidRPr="004153F0">
        <w:rPr>
          <w:i/>
          <w:iCs/>
          <w:color w:val="000000" w:themeColor="text1"/>
          <w:highlight w:val="white"/>
          <w:lang w:val="en-GB"/>
        </w:rPr>
        <w:t>16</w:t>
      </w:r>
      <w:r w:rsidRPr="004153F0">
        <w:rPr>
          <w:color w:val="000000" w:themeColor="text1"/>
          <w:highlight w:val="white"/>
          <w:lang w:val="en-GB"/>
        </w:rPr>
        <w:t>(8).</w:t>
      </w:r>
    </w:p>
    <w:p w14:paraId="23A0FC5B"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Ghofrani, M., Valizadeh, L., Zamanzadeh, V., Ghahramanian, A., Janati, A. and Taleghani, F., (2024). Adapting the Donabedian model in undergraduate nursing education: a modified Delphi study. </w:t>
      </w:r>
      <w:r w:rsidRPr="004153F0">
        <w:rPr>
          <w:i/>
          <w:iCs/>
          <w:color w:val="000000" w:themeColor="text1"/>
          <w:highlight w:val="white"/>
          <w:lang w:val="en-GB"/>
        </w:rPr>
        <w:t>BMC Medical Education</w:t>
      </w:r>
      <w:r w:rsidRPr="004153F0">
        <w:rPr>
          <w:color w:val="000000" w:themeColor="text1"/>
          <w:highlight w:val="white"/>
          <w:lang w:val="en-GB"/>
        </w:rPr>
        <w:t xml:space="preserve">, </w:t>
      </w:r>
      <w:r w:rsidRPr="004153F0">
        <w:rPr>
          <w:i/>
          <w:iCs/>
          <w:color w:val="000000" w:themeColor="text1"/>
          <w:highlight w:val="white"/>
          <w:lang w:val="en-GB"/>
        </w:rPr>
        <w:t>24</w:t>
      </w:r>
      <w:r w:rsidRPr="004153F0">
        <w:rPr>
          <w:color w:val="000000" w:themeColor="text1"/>
          <w:highlight w:val="white"/>
          <w:lang w:val="en-GB"/>
        </w:rPr>
        <w:t>(1), p.202.</w:t>
      </w:r>
    </w:p>
    <w:p w14:paraId="71FDEBAC"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Gill, A., (2026). Inquests open into babies killed by Lucy Letby. </w:t>
      </w:r>
      <w:r w:rsidRPr="004153F0">
        <w:rPr>
          <w:i/>
          <w:iCs/>
          <w:color w:val="000000" w:themeColor="text1"/>
          <w:highlight w:val="white"/>
          <w:lang w:val="en-GB"/>
        </w:rPr>
        <w:t>BBC</w:t>
      </w:r>
      <w:r w:rsidRPr="004153F0">
        <w:rPr>
          <w:color w:val="000000" w:themeColor="text1"/>
          <w:highlight w:val="white"/>
          <w:lang w:val="en-GB"/>
        </w:rPr>
        <w:t>. Available at:</w:t>
      </w:r>
      <w:hyperlink r:id="rId22">
        <w:r w:rsidRPr="004153F0">
          <w:rPr>
            <w:color w:val="000000" w:themeColor="text1"/>
            <w:highlight w:val="white"/>
            <w:lang w:val="en-GB"/>
          </w:rPr>
          <w:t xml:space="preserve"> </w:t>
        </w:r>
      </w:hyperlink>
      <w:hyperlink r:id="rId23">
        <w:r w:rsidRPr="004153F0">
          <w:rPr>
            <w:color w:val="000000" w:themeColor="text1"/>
            <w:highlight w:val="white"/>
            <w:lang w:val="en-GB"/>
          </w:rPr>
          <w:t>https://www.bbc.com/news/articles/c75xp200r0lo</w:t>
        </w:r>
      </w:hyperlink>
      <w:r w:rsidRPr="004153F0">
        <w:rPr>
          <w:color w:val="000000" w:themeColor="text1"/>
          <w:highlight w:val="white"/>
          <w:lang w:val="en-GB"/>
        </w:rPr>
        <w:t xml:space="preserve"> [Accessed: 25 June 2026]</w:t>
      </w:r>
    </w:p>
    <w:p w14:paraId="354723AA"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Hardie, T., Horton, T., Thornton-Lee, N., Home, J. and Pereira, P., (2022). Developing learning health systems in the UK: priorities for action. </w:t>
      </w:r>
      <w:r w:rsidRPr="004153F0">
        <w:rPr>
          <w:i/>
          <w:iCs/>
          <w:color w:val="000000" w:themeColor="text1"/>
          <w:highlight w:val="white"/>
          <w:lang w:val="en-GB"/>
        </w:rPr>
        <w:t>The Health Foundation</w:t>
      </w:r>
      <w:r w:rsidRPr="004153F0">
        <w:rPr>
          <w:color w:val="000000" w:themeColor="text1"/>
          <w:highlight w:val="white"/>
          <w:lang w:val="en-GB"/>
        </w:rPr>
        <w:t xml:space="preserve">, </w:t>
      </w:r>
      <w:r w:rsidRPr="004153F0">
        <w:rPr>
          <w:i/>
          <w:iCs/>
          <w:color w:val="000000" w:themeColor="text1"/>
          <w:highlight w:val="white"/>
          <w:lang w:val="en-GB"/>
        </w:rPr>
        <w:t>10</w:t>
      </w:r>
      <w:r w:rsidRPr="004153F0">
        <w:rPr>
          <w:color w:val="000000" w:themeColor="text1"/>
          <w:highlight w:val="white"/>
          <w:lang w:val="en-GB"/>
        </w:rPr>
        <w:t>.</w:t>
      </w:r>
    </w:p>
    <w:p w14:paraId="0530061B"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Jalilvand, M.A., Raeisi, A.R. and Shaarbafchizadeh, N., (2024). Hospital governance accountability structure: a scoping review. </w:t>
      </w:r>
      <w:r w:rsidRPr="004153F0">
        <w:rPr>
          <w:i/>
          <w:iCs/>
          <w:color w:val="000000" w:themeColor="text1"/>
          <w:highlight w:val="white"/>
          <w:lang w:val="en-GB"/>
        </w:rPr>
        <w:t>BMC Health Services Research</w:t>
      </w:r>
      <w:r w:rsidRPr="004153F0">
        <w:rPr>
          <w:color w:val="000000" w:themeColor="text1"/>
          <w:highlight w:val="white"/>
          <w:lang w:val="en-GB"/>
        </w:rPr>
        <w:t xml:space="preserve">, </w:t>
      </w:r>
      <w:r w:rsidRPr="004153F0">
        <w:rPr>
          <w:i/>
          <w:iCs/>
          <w:color w:val="000000" w:themeColor="text1"/>
          <w:highlight w:val="white"/>
          <w:lang w:val="en-GB"/>
        </w:rPr>
        <w:t>24</w:t>
      </w:r>
      <w:r w:rsidRPr="004153F0">
        <w:rPr>
          <w:color w:val="000000" w:themeColor="text1"/>
          <w:highlight w:val="white"/>
          <w:lang w:val="en-GB"/>
        </w:rPr>
        <w:t>(1), p.47.</w:t>
      </w:r>
    </w:p>
    <w:p w14:paraId="1E66E904" w14:textId="77777777" w:rsidR="00AD7473" w:rsidRPr="004153F0" w:rsidRDefault="00AD7473" w:rsidP="00146672">
      <w:pPr>
        <w:spacing w:line="360" w:lineRule="auto"/>
        <w:jc w:val="both"/>
        <w:rPr>
          <w:color w:val="000000" w:themeColor="text1"/>
          <w:lang w:val="en-GB"/>
        </w:rPr>
      </w:pPr>
      <w:r w:rsidRPr="004153F0">
        <w:rPr>
          <w:color w:val="000000" w:themeColor="text1"/>
          <w:lang w:val="en-GB"/>
        </w:rPr>
        <w:t>Khanbhai, M., Symons, J., Flott, K., Harrison-White, S., Spofforth, J., Klaber, R., Manton, D., Darzi, A. and Mayer, E., (2022). Enriching the value of patient experience feedback: web-based dashboard development using co-design and heuristic evaluation. </w:t>
      </w:r>
      <w:r w:rsidRPr="004153F0">
        <w:rPr>
          <w:i/>
          <w:iCs/>
          <w:color w:val="000000" w:themeColor="text1"/>
          <w:lang w:val="en-GB"/>
        </w:rPr>
        <w:t>JMIR Human Factors</w:t>
      </w:r>
      <w:r w:rsidRPr="004153F0">
        <w:rPr>
          <w:color w:val="000000" w:themeColor="text1"/>
          <w:lang w:val="en-GB"/>
        </w:rPr>
        <w:t>, </w:t>
      </w:r>
      <w:r w:rsidRPr="004153F0">
        <w:rPr>
          <w:i/>
          <w:iCs/>
          <w:color w:val="000000" w:themeColor="text1"/>
          <w:lang w:val="en-GB"/>
        </w:rPr>
        <w:t>9</w:t>
      </w:r>
      <w:r w:rsidRPr="004153F0">
        <w:rPr>
          <w:color w:val="000000" w:themeColor="text1"/>
          <w:lang w:val="en-GB"/>
        </w:rPr>
        <w:t>(1), p.e27887.</w:t>
      </w:r>
    </w:p>
    <w:p w14:paraId="6D06028F"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Kwok, T.C. and Battersby, C., (2022). Using data to improve UK neonatal care: past, present and future. </w:t>
      </w:r>
      <w:r w:rsidRPr="004153F0">
        <w:rPr>
          <w:i/>
          <w:iCs/>
          <w:color w:val="000000" w:themeColor="text1"/>
          <w:highlight w:val="white"/>
          <w:lang w:val="en-GB"/>
        </w:rPr>
        <w:t>Infant</w:t>
      </w:r>
      <w:r w:rsidRPr="004153F0">
        <w:rPr>
          <w:color w:val="000000" w:themeColor="text1"/>
          <w:highlight w:val="white"/>
          <w:lang w:val="en-GB"/>
        </w:rPr>
        <w:t xml:space="preserve">, </w:t>
      </w:r>
      <w:r w:rsidRPr="004153F0">
        <w:rPr>
          <w:i/>
          <w:iCs/>
          <w:color w:val="000000" w:themeColor="text1"/>
          <w:highlight w:val="white"/>
          <w:lang w:val="en-GB"/>
        </w:rPr>
        <w:t>19</w:t>
      </w:r>
      <w:r w:rsidRPr="004153F0">
        <w:rPr>
          <w:color w:val="000000" w:themeColor="text1"/>
          <w:highlight w:val="white"/>
          <w:lang w:val="en-GB"/>
        </w:rPr>
        <w:t>, pp.54-59.</w:t>
      </w:r>
    </w:p>
    <w:p w14:paraId="1A9D2C6D"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LJMU (2025). The case of Lucy Letby. </w:t>
      </w:r>
      <w:r w:rsidRPr="004153F0">
        <w:rPr>
          <w:i/>
          <w:iCs/>
          <w:color w:val="000000" w:themeColor="text1"/>
          <w:highlight w:val="white"/>
          <w:lang w:val="en-GB"/>
        </w:rPr>
        <w:t>LJMU</w:t>
      </w:r>
      <w:r w:rsidRPr="004153F0">
        <w:rPr>
          <w:color w:val="000000" w:themeColor="text1"/>
          <w:highlight w:val="white"/>
          <w:lang w:val="en-GB"/>
        </w:rPr>
        <w:t>. Available at:</w:t>
      </w:r>
      <w:hyperlink r:id="rId24">
        <w:r w:rsidRPr="004153F0">
          <w:rPr>
            <w:color w:val="000000" w:themeColor="text1"/>
            <w:highlight w:val="white"/>
            <w:lang w:val="en-GB"/>
          </w:rPr>
          <w:t xml:space="preserve"> </w:t>
        </w:r>
      </w:hyperlink>
      <w:hyperlink r:id="rId25">
        <w:r w:rsidRPr="004153F0">
          <w:rPr>
            <w:color w:val="000000" w:themeColor="text1"/>
            <w:highlight w:val="white"/>
            <w:lang w:val="en-GB"/>
          </w:rPr>
          <w:t>https://www.astro.ljmu.ac.uk/~ikb/LL/Letby-Briefing-Paper.pdf</w:t>
        </w:r>
      </w:hyperlink>
      <w:r w:rsidRPr="004153F0">
        <w:rPr>
          <w:color w:val="000000" w:themeColor="text1"/>
          <w:highlight w:val="white"/>
          <w:lang w:val="en-GB"/>
        </w:rPr>
        <w:t xml:space="preserve"> [Accessed: 25 June 2026]</w:t>
      </w:r>
    </w:p>
    <w:p w14:paraId="1ABE0A79"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McFadden, P., Davies, H., Manthorpe, J., MacLochlainn, J., McGrory, S., Naylor, R., Mallett, J., Kirby, K., Currie, D., Schroder, H. and Nicholl, P., (2024). Safe staffing and workload management in social work: A scoping review of legislation, policy and practice. </w:t>
      </w:r>
      <w:r w:rsidRPr="004153F0">
        <w:rPr>
          <w:i/>
          <w:iCs/>
          <w:color w:val="000000" w:themeColor="text1"/>
          <w:highlight w:val="white"/>
          <w:lang w:val="en-GB"/>
        </w:rPr>
        <w:t>The British Journal of Social Work</w:t>
      </w:r>
      <w:r w:rsidRPr="004153F0">
        <w:rPr>
          <w:color w:val="000000" w:themeColor="text1"/>
          <w:highlight w:val="white"/>
          <w:lang w:val="en-GB"/>
        </w:rPr>
        <w:t xml:space="preserve">, </w:t>
      </w:r>
      <w:r w:rsidRPr="004153F0">
        <w:rPr>
          <w:i/>
          <w:iCs/>
          <w:color w:val="000000" w:themeColor="text1"/>
          <w:highlight w:val="white"/>
          <w:lang w:val="en-GB"/>
        </w:rPr>
        <w:t>54</w:t>
      </w:r>
      <w:r w:rsidRPr="004153F0">
        <w:rPr>
          <w:color w:val="000000" w:themeColor="text1"/>
          <w:highlight w:val="white"/>
          <w:lang w:val="en-GB"/>
        </w:rPr>
        <w:t>(5), pp.2006-2026.</w:t>
      </w:r>
    </w:p>
    <w:p w14:paraId="07A47244" w14:textId="77777777" w:rsidR="00AD7473" w:rsidRPr="004153F0" w:rsidRDefault="00AD7473" w:rsidP="00146672">
      <w:pPr>
        <w:spacing w:after="200" w:line="360" w:lineRule="auto"/>
        <w:jc w:val="both"/>
        <w:rPr>
          <w:rFonts w:eastAsiaTheme="minorHAnsi"/>
          <w:color w:val="000000" w:themeColor="text1"/>
          <w:lang w:val="en-GB"/>
        </w:rPr>
      </w:pPr>
      <w:r w:rsidRPr="004153F0">
        <w:rPr>
          <w:color w:val="000000" w:themeColor="text1"/>
          <w:lang w:val="en-GB"/>
        </w:rPr>
        <w:t xml:space="preserve">Mitchell, G., (2024). </w:t>
      </w:r>
      <w:r w:rsidRPr="004153F0">
        <w:rPr>
          <w:rFonts w:eastAsiaTheme="minorHAnsi"/>
          <w:color w:val="000000" w:themeColor="text1"/>
          <w:lang w:val="en-GB"/>
        </w:rPr>
        <w:t>Senior nurse assumed doctors’ issue with Letby was ‘personal’</w:t>
      </w:r>
      <w:r w:rsidRPr="004153F0">
        <w:rPr>
          <w:color w:val="000000" w:themeColor="text1"/>
          <w:lang w:val="en-GB"/>
        </w:rPr>
        <w:t xml:space="preserve">. </w:t>
      </w:r>
      <w:r w:rsidRPr="004153F0">
        <w:rPr>
          <w:i/>
          <w:color w:val="000000" w:themeColor="text1"/>
          <w:lang w:val="en-GB"/>
        </w:rPr>
        <w:t>Nursing Times</w:t>
      </w:r>
      <w:r w:rsidRPr="004153F0">
        <w:rPr>
          <w:color w:val="000000" w:themeColor="text1"/>
          <w:lang w:val="en-GB"/>
        </w:rPr>
        <w:t xml:space="preserve">. Available at: </w:t>
      </w:r>
      <w:hyperlink r:id="rId26" w:history="1">
        <w:r w:rsidRPr="004153F0">
          <w:rPr>
            <w:rStyle w:val="Hyperlink"/>
            <w:color w:val="000000" w:themeColor="text1"/>
            <w:lang w:val="en-GB"/>
          </w:rPr>
          <w:t>https://www.nursingtimes.net/policies-and-guidance/senior-nurse-assumed-doctors-issue-with-letby-was-personal-22-10-2024/</w:t>
        </w:r>
      </w:hyperlink>
      <w:r w:rsidRPr="004153F0">
        <w:rPr>
          <w:color w:val="000000" w:themeColor="text1"/>
          <w:lang w:val="en-GB"/>
        </w:rPr>
        <w:t xml:space="preserve"> [Accessed: 26 June 2026]</w:t>
      </w:r>
    </w:p>
    <w:p w14:paraId="4AC057EB"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Moscelli, G., Mello, M., Sayli, M. and Boyle, A., (2024). Nurse and doctor turnover and patient outcomes: a retrospective longitudinal study on English NHS acute hospitals. </w:t>
      </w:r>
      <w:r w:rsidRPr="004153F0">
        <w:rPr>
          <w:i/>
          <w:iCs/>
          <w:color w:val="000000" w:themeColor="text1"/>
          <w:highlight w:val="white"/>
          <w:lang w:val="en-GB"/>
        </w:rPr>
        <w:t>The BMJ/British Medical Association</w:t>
      </w:r>
      <w:r w:rsidRPr="004153F0">
        <w:rPr>
          <w:color w:val="000000" w:themeColor="text1"/>
          <w:highlight w:val="white"/>
          <w:lang w:val="en-GB"/>
        </w:rPr>
        <w:t xml:space="preserve">, </w:t>
      </w:r>
      <w:r w:rsidRPr="004153F0">
        <w:rPr>
          <w:i/>
          <w:iCs/>
          <w:color w:val="000000" w:themeColor="text1"/>
          <w:highlight w:val="white"/>
          <w:lang w:val="en-GB"/>
        </w:rPr>
        <w:t>387</w:t>
      </w:r>
      <w:r w:rsidRPr="004153F0">
        <w:rPr>
          <w:color w:val="000000" w:themeColor="text1"/>
          <w:highlight w:val="white"/>
          <w:lang w:val="en-GB"/>
        </w:rPr>
        <w:t>.</w:t>
      </w:r>
    </w:p>
    <w:p w14:paraId="4FF9BB92"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NHS England Digital (2026). Incidents. </w:t>
      </w:r>
      <w:r w:rsidRPr="004153F0">
        <w:rPr>
          <w:i/>
          <w:iCs/>
          <w:color w:val="000000" w:themeColor="text1"/>
          <w:highlight w:val="white"/>
          <w:lang w:val="en-GB"/>
        </w:rPr>
        <w:t>NHS England Digital</w:t>
      </w:r>
      <w:r w:rsidRPr="004153F0">
        <w:rPr>
          <w:color w:val="000000" w:themeColor="text1"/>
          <w:highlight w:val="white"/>
          <w:lang w:val="en-GB"/>
        </w:rPr>
        <w:t>. Available at:</w:t>
      </w:r>
      <w:hyperlink r:id="rId27">
        <w:r w:rsidRPr="004153F0">
          <w:rPr>
            <w:color w:val="000000" w:themeColor="text1"/>
            <w:highlight w:val="white"/>
            <w:lang w:val="en-GB"/>
          </w:rPr>
          <w:t xml:space="preserve"> </w:t>
        </w:r>
      </w:hyperlink>
      <w:hyperlink r:id="rId28">
        <w:r w:rsidRPr="004153F0">
          <w:rPr>
            <w:color w:val="000000" w:themeColor="text1"/>
            <w:highlight w:val="white"/>
            <w:lang w:val="en-GB"/>
          </w:rPr>
          <w:t>https://digital.nhs.uk/data-and-information/keeping-data-safe-and-benefitting-the-public/gdpr/gdpr-register/incidents/</w:t>
        </w:r>
      </w:hyperlink>
      <w:r w:rsidRPr="004153F0">
        <w:rPr>
          <w:color w:val="000000" w:themeColor="text1"/>
          <w:highlight w:val="white"/>
          <w:lang w:val="en-GB"/>
        </w:rPr>
        <w:t xml:space="preserve"> [Accessed: 25 June 2026]</w:t>
      </w:r>
    </w:p>
    <w:p w14:paraId="3A9DAAC7"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Nuffield Trust (2024). Report for the Thirlwall Inquiry: Analysis of questionnaires from 120 NHS trusts. </w:t>
      </w:r>
      <w:r w:rsidRPr="004153F0">
        <w:rPr>
          <w:i/>
          <w:iCs/>
          <w:color w:val="000000" w:themeColor="text1"/>
          <w:highlight w:val="white"/>
          <w:lang w:val="en-GB"/>
        </w:rPr>
        <w:t>Nuffield Trust</w:t>
      </w:r>
      <w:r w:rsidRPr="004153F0">
        <w:rPr>
          <w:color w:val="000000" w:themeColor="text1"/>
          <w:highlight w:val="white"/>
          <w:lang w:val="en-GB"/>
        </w:rPr>
        <w:t>. Available at:</w:t>
      </w:r>
      <w:hyperlink r:id="rId29">
        <w:r w:rsidRPr="004153F0">
          <w:rPr>
            <w:color w:val="000000" w:themeColor="text1"/>
            <w:highlight w:val="white"/>
            <w:lang w:val="en-GB"/>
          </w:rPr>
          <w:t xml:space="preserve"> </w:t>
        </w:r>
      </w:hyperlink>
      <w:hyperlink r:id="rId30">
        <w:r w:rsidRPr="004153F0">
          <w:rPr>
            <w:color w:val="000000" w:themeColor="text1"/>
            <w:highlight w:val="white"/>
            <w:lang w:val="en-GB"/>
          </w:rPr>
          <w:t>https://www.nuffieldtrust.org.uk/sites/default/files/2025-03/Nuffield%20Trust%20report%20for%20the%20Thirlwall%20Inquiry_FINAL%20report_0.pdf</w:t>
        </w:r>
      </w:hyperlink>
      <w:r w:rsidRPr="004153F0">
        <w:rPr>
          <w:color w:val="000000" w:themeColor="text1"/>
          <w:highlight w:val="white"/>
          <w:lang w:val="en-GB"/>
        </w:rPr>
        <w:t xml:space="preserve"> [Accessed: 25 June 2026]</w:t>
      </w:r>
    </w:p>
    <w:p w14:paraId="4DAD6CDC"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Redley, B., Douglas, T., Hoon, L., White, K. and Hutchinson, A., (2022). Nursing guidelines for comprehensive harm prevention strategies for adult patients in acute hospitals: An integrative review and synthesis. </w:t>
      </w:r>
      <w:r w:rsidRPr="004153F0">
        <w:rPr>
          <w:i/>
          <w:iCs/>
          <w:color w:val="000000" w:themeColor="text1"/>
          <w:highlight w:val="white"/>
          <w:lang w:val="en-GB"/>
        </w:rPr>
        <w:t>International Journal of Nursing Studies</w:t>
      </w:r>
      <w:r w:rsidRPr="004153F0">
        <w:rPr>
          <w:color w:val="000000" w:themeColor="text1"/>
          <w:highlight w:val="white"/>
          <w:lang w:val="en-GB"/>
        </w:rPr>
        <w:t xml:space="preserve">, </w:t>
      </w:r>
      <w:r w:rsidRPr="004153F0">
        <w:rPr>
          <w:i/>
          <w:iCs/>
          <w:color w:val="000000" w:themeColor="text1"/>
          <w:highlight w:val="white"/>
          <w:lang w:val="en-GB"/>
        </w:rPr>
        <w:t>127</w:t>
      </w:r>
      <w:r w:rsidRPr="004153F0">
        <w:rPr>
          <w:color w:val="000000" w:themeColor="text1"/>
          <w:highlight w:val="white"/>
          <w:lang w:val="en-GB"/>
        </w:rPr>
        <w:t>, p.104178.</w:t>
      </w:r>
    </w:p>
    <w:p w14:paraId="1136023A"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Salameh, W.E.M.K.B., Mohammad, A.A.S., Alshurideh, M.T., Alolayyan, M.N., Hunitie, M.F.A., Rababah, M.W., Haija, A.A.A., Al-Hawary, S.I.S., Alzyoud, M. and Al-hawajreh, K.M., (2025). Evaluation of applying the PDCA cycle on medication administration in the emergency departments. In </w:t>
      </w:r>
      <w:r w:rsidRPr="004153F0">
        <w:rPr>
          <w:i/>
          <w:iCs/>
          <w:color w:val="000000" w:themeColor="text1"/>
          <w:highlight w:val="white"/>
          <w:lang w:val="en-GB"/>
        </w:rPr>
        <w:t>Intelligence-Driven Circular Economy: Regeneration Towards Sustainability and Social Responsibility—Volume 2</w:t>
      </w:r>
      <w:r w:rsidRPr="004153F0">
        <w:rPr>
          <w:color w:val="000000" w:themeColor="text1"/>
          <w:highlight w:val="white"/>
          <w:lang w:val="en-GB"/>
        </w:rPr>
        <w:t xml:space="preserve"> (pp. 319-330). Cham: Springer Nature Switzerland.</w:t>
      </w:r>
    </w:p>
    <w:p w14:paraId="6000176D"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Sarkies, M., Francis-Auton, E., Long, J., Roberts, N., Westbrook, J., Levesque, J.F., Watson, D.E., Hardwick, R., Sutherland, K., Disher, G. and Hibbert, P., (2023). Audit and feedback to reduce unwarranted clinical variation at scale: a realist study of implementation strategy mechanisms. </w:t>
      </w:r>
      <w:r w:rsidRPr="004153F0">
        <w:rPr>
          <w:i/>
          <w:iCs/>
          <w:color w:val="000000" w:themeColor="text1"/>
          <w:highlight w:val="white"/>
          <w:lang w:val="en-GB"/>
        </w:rPr>
        <w:t>Implementation Science</w:t>
      </w:r>
      <w:r w:rsidRPr="004153F0">
        <w:rPr>
          <w:color w:val="000000" w:themeColor="text1"/>
          <w:highlight w:val="white"/>
          <w:lang w:val="en-GB"/>
        </w:rPr>
        <w:t xml:space="preserve">, </w:t>
      </w:r>
      <w:r w:rsidRPr="004153F0">
        <w:rPr>
          <w:i/>
          <w:iCs/>
          <w:color w:val="000000" w:themeColor="text1"/>
          <w:highlight w:val="white"/>
          <w:lang w:val="en-GB"/>
        </w:rPr>
        <w:t>18</w:t>
      </w:r>
      <w:r w:rsidRPr="004153F0">
        <w:rPr>
          <w:color w:val="000000" w:themeColor="text1"/>
          <w:highlight w:val="white"/>
          <w:lang w:val="en-GB"/>
        </w:rPr>
        <w:t>(1), p.71.</w:t>
      </w:r>
    </w:p>
    <w:p w14:paraId="7E8F9ED0" w14:textId="77777777" w:rsidR="00AD7473" w:rsidRPr="004153F0" w:rsidRDefault="00AD7473" w:rsidP="00146672">
      <w:pPr>
        <w:spacing w:after="200" w:line="360" w:lineRule="auto"/>
        <w:jc w:val="both"/>
        <w:rPr>
          <w:color w:val="000000" w:themeColor="text1"/>
          <w:highlight w:val="white"/>
          <w:lang w:val="en-GB"/>
        </w:rPr>
      </w:pPr>
      <w:r w:rsidRPr="004153F0">
        <w:rPr>
          <w:color w:val="000000" w:themeColor="text1"/>
          <w:highlight w:val="white"/>
          <w:lang w:val="en-GB"/>
        </w:rPr>
        <w:t xml:space="preserve">Sheikhtaheri, A., Moghadam, S.T., Dehnad, A. and Tatarpoor, P., (2024). Factors influencing nurses’ acceptance of patient safety reporting systems based on the unified theory of acceptance and use of technology (UTAUT). </w:t>
      </w:r>
      <w:r w:rsidRPr="004153F0">
        <w:rPr>
          <w:i/>
          <w:iCs/>
          <w:color w:val="000000" w:themeColor="text1"/>
          <w:highlight w:val="white"/>
          <w:lang w:val="en-GB"/>
        </w:rPr>
        <w:t>Informatics in Medicine Unlocked</w:t>
      </w:r>
      <w:r w:rsidRPr="004153F0">
        <w:rPr>
          <w:color w:val="000000" w:themeColor="text1"/>
          <w:highlight w:val="white"/>
          <w:lang w:val="en-GB"/>
        </w:rPr>
        <w:t xml:space="preserve">, </w:t>
      </w:r>
      <w:r w:rsidRPr="004153F0">
        <w:rPr>
          <w:i/>
          <w:iCs/>
          <w:color w:val="000000" w:themeColor="text1"/>
          <w:highlight w:val="white"/>
          <w:lang w:val="en-GB"/>
        </w:rPr>
        <w:t>49</w:t>
      </w:r>
      <w:r w:rsidRPr="004153F0">
        <w:rPr>
          <w:color w:val="000000" w:themeColor="text1"/>
          <w:highlight w:val="white"/>
          <w:lang w:val="en-GB"/>
        </w:rPr>
        <w:t>, p.101554.</w:t>
      </w:r>
    </w:p>
    <w:p w14:paraId="66CC992E" w14:textId="77777777" w:rsidR="00AD7473" w:rsidRPr="004153F0" w:rsidRDefault="00AD7473" w:rsidP="00146672">
      <w:pPr>
        <w:spacing w:line="360" w:lineRule="auto"/>
        <w:jc w:val="both"/>
        <w:rPr>
          <w:color w:val="000000" w:themeColor="text1"/>
          <w:lang w:val="en-GB"/>
        </w:rPr>
      </w:pPr>
      <w:r w:rsidRPr="004153F0">
        <w:rPr>
          <w:color w:val="000000" w:themeColor="text1"/>
          <w:lang w:val="en-GB"/>
        </w:rPr>
        <w:t>Smith, H., (2025). Promoting quality improvement: navigating the conundrum in clinical audit record disclosure. </w:t>
      </w:r>
      <w:r w:rsidRPr="004153F0">
        <w:rPr>
          <w:i/>
          <w:iCs/>
          <w:color w:val="000000" w:themeColor="text1"/>
          <w:lang w:val="en-GB"/>
        </w:rPr>
        <w:t>Medical Law Review</w:t>
      </w:r>
      <w:r w:rsidRPr="004153F0">
        <w:rPr>
          <w:color w:val="000000" w:themeColor="text1"/>
          <w:lang w:val="en-GB"/>
        </w:rPr>
        <w:t>, </w:t>
      </w:r>
      <w:r w:rsidRPr="004153F0">
        <w:rPr>
          <w:i/>
          <w:iCs/>
          <w:color w:val="000000" w:themeColor="text1"/>
          <w:lang w:val="en-GB"/>
        </w:rPr>
        <w:t>33</w:t>
      </w:r>
      <w:r w:rsidRPr="004153F0">
        <w:rPr>
          <w:color w:val="000000" w:themeColor="text1"/>
          <w:lang w:val="en-GB"/>
        </w:rPr>
        <w:t>(4), p.fwaf042.</w:t>
      </w:r>
    </w:p>
    <w:p w14:paraId="521D7139" w14:textId="77777777" w:rsidR="00501CC9" w:rsidRPr="004153F0" w:rsidRDefault="00AD7473" w:rsidP="00146672">
      <w:pPr>
        <w:spacing w:line="360" w:lineRule="auto"/>
        <w:jc w:val="both"/>
        <w:rPr>
          <w:color w:val="000000" w:themeColor="text1"/>
          <w:lang w:val="en-GB"/>
        </w:rPr>
      </w:pPr>
      <w:r w:rsidRPr="004153F0">
        <w:rPr>
          <w:color w:val="000000" w:themeColor="text1"/>
          <w:lang w:val="en-GB"/>
        </w:rPr>
        <w:t>Sohrabi, A., Sabahi, A., Garavand, A. and Ahmadian, L., (2022). Data validation techniques used in admission discharge and transfer systems: Necessity of use and effect on data quality. </w:t>
      </w:r>
      <w:r w:rsidRPr="004153F0">
        <w:rPr>
          <w:i/>
          <w:iCs/>
          <w:color w:val="000000" w:themeColor="text1"/>
          <w:lang w:val="en-GB"/>
        </w:rPr>
        <w:t>Informatics in Medicine Unlocked</w:t>
      </w:r>
      <w:r w:rsidRPr="004153F0">
        <w:rPr>
          <w:color w:val="000000" w:themeColor="text1"/>
          <w:lang w:val="en-GB"/>
        </w:rPr>
        <w:t>, </w:t>
      </w:r>
      <w:r w:rsidRPr="004153F0">
        <w:rPr>
          <w:i/>
          <w:iCs/>
          <w:color w:val="000000" w:themeColor="text1"/>
          <w:lang w:val="en-GB"/>
        </w:rPr>
        <w:t>34</w:t>
      </w:r>
      <w:r w:rsidRPr="004153F0">
        <w:rPr>
          <w:color w:val="000000" w:themeColor="text1"/>
          <w:lang w:val="en-GB"/>
        </w:rPr>
        <w:t>, p.101122.</w:t>
      </w:r>
    </w:p>
    <w:sectPr w:rsidR="00501CC9" w:rsidRPr="004153F0" w:rsidSect="0053357E">
      <w:footerReference w:type="default" r:id="rId31"/>
      <w:headerReference w:type="first" r:id="rId3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6C839" w14:textId="77777777" w:rsidR="00E328FC" w:rsidRDefault="00E328FC" w:rsidP="0053357E">
      <w:pPr>
        <w:spacing w:line="240" w:lineRule="auto"/>
      </w:pPr>
      <w:r>
        <w:separator/>
      </w:r>
    </w:p>
  </w:endnote>
  <w:endnote w:type="continuationSeparator" w:id="0">
    <w:p w14:paraId="2B863F5A" w14:textId="77777777" w:rsidR="00E328FC" w:rsidRDefault="00E328FC" w:rsidP="005335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9363E195-F0CE-48E4-B89A-A4F2A0815D62}"/>
  </w:font>
  <w:font w:name="Calibri">
    <w:panose1 w:val="020F0502020204030204"/>
    <w:charset w:val="00"/>
    <w:family w:val="swiss"/>
    <w:pitch w:val="variable"/>
    <w:sig w:usb0="E4002EFF" w:usb1="C200247B" w:usb2="00000009" w:usb3="00000000" w:csb0="000001FF" w:csb1="00000000"/>
    <w:embedRegular r:id="rId2" w:fontKey="{8FBDDED3-1230-4920-80D0-E175338AF8CE}"/>
    <w:embedBold r:id="rId3" w:fontKey="{B6BAED55-EE60-45A8-8593-014F8B07A303}"/>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1"/>
    <w:family w:val="auto"/>
    <w:pitch w:val="variable"/>
    <w:sig w:usb0="00040000" w:usb1="00000000" w:usb2="00000000" w:usb3="00000000" w:csb0="00000000" w:csb1="00000000"/>
    <w:embedRegular r:id="rId4" w:fontKey="{D1E02C35-85F7-47CD-A936-E779A4930F5C}"/>
    <w:embedBold r:id="rId5" w:fontKey="{929C7296-6DCD-47DC-9D76-5DD274068D61}"/>
  </w:font>
  <w:font w:name="Cambria">
    <w:panose1 w:val="02040503050406030204"/>
    <w:charset w:val="00"/>
    <w:family w:val="roman"/>
    <w:pitch w:val="variable"/>
    <w:sig w:usb0="E00006FF" w:usb1="420024FF" w:usb2="02000000" w:usb3="00000000" w:csb0="0000019F" w:csb1="00000000"/>
    <w:embedRegular r:id="rId6" w:fontKey="{F558E898-14A3-469D-97D2-30DC58C1514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1802024"/>
      <w:docPartObj>
        <w:docPartGallery w:val="Page Numbers (Bottom of Page)"/>
        <w:docPartUnique/>
      </w:docPartObj>
    </w:sdtPr>
    <w:sdtEndPr>
      <w:rPr>
        <w:noProof/>
        <w:sz w:val="20"/>
      </w:rPr>
    </w:sdtEndPr>
    <w:sdtContent>
      <w:p w14:paraId="52BDD639" w14:textId="77777777" w:rsidR="0053357E" w:rsidRPr="0053357E" w:rsidRDefault="0053357E">
        <w:pPr>
          <w:pStyle w:val="Footer"/>
          <w:jc w:val="right"/>
          <w:rPr>
            <w:sz w:val="20"/>
          </w:rPr>
        </w:pPr>
        <w:r w:rsidRPr="0053357E">
          <w:rPr>
            <w:sz w:val="20"/>
          </w:rPr>
          <w:fldChar w:fldCharType="begin"/>
        </w:r>
        <w:r w:rsidRPr="0053357E">
          <w:rPr>
            <w:sz w:val="20"/>
          </w:rPr>
          <w:instrText xml:space="preserve"> PAGE   \* MERGEFORMAT </w:instrText>
        </w:r>
        <w:r w:rsidRPr="0053357E">
          <w:rPr>
            <w:sz w:val="20"/>
          </w:rPr>
          <w:fldChar w:fldCharType="separate"/>
        </w:r>
        <w:r w:rsidR="00DC0A12">
          <w:rPr>
            <w:noProof/>
            <w:sz w:val="20"/>
          </w:rPr>
          <w:t>2</w:t>
        </w:r>
        <w:r w:rsidRPr="0053357E">
          <w:rPr>
            <w:noProof/>
            <w:sz w:val="20"/>
          </w:rPr>
          <w:fldChar w:fldCharType="end"/>
        </w:r>
      </w:p>
    </w:sdtContent>
  </w:sdt>
  <w:p w14:paraId="57D02E9C" w14:textId="77777777" w:rsidR="0053357E" w:rsidRDefault="005335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B0513F" w14:textId="77777777" w:rsidR="00E328FC" w:rsidRDefault="00E328FC" w:rsidP="0053357E">
      <w:pPr>
        <w:spacing w:line="240" w:lineRule="auto"/>
      </w:pPr>
      <w:r>
        <w:separator/>
      </w:r>
    </w:p>
  </w:footnote>
  <w:footnote w:type="continuationSeparator" w:id="0">
    <w:p w14:paraId="3B60FB72" w14:textId="77777777" w:rsidR="00E328FC" w:rsidRDefault="00E328FC" w:rsidP="005335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7DA131" w14:textId="77777777" w:rsidR="001027AA" w:rsidRDefault="001027AA">
    <w:pPr>
      <w:pStyle w:val="Header"/>
    </w:pPr>
    <w:r w:rsidRPr="00A406E5">
      <w:rPr>
        <w:noProof/>
        <w:lang w:val="en-IN"/>
      </w:rPr>
      <w:drawing>
        <wp:anchor distT="0" distB="0" distL="114300" distR="114300" simplePos="0" relativeHeight="251659264" behindDoc="0" locked="0" layoutInCell="1" allowOverlap="1" wp14:anchorId="1946FDFE" wp14:editId="538ABCA2">
          <wp:simplePos x="0" y="0"/>
          <wp:positionH relativeFrom="column">
            <wp:posOffset>-304800</wp:posOffset>
          </wp:positionH>
          <wp:positionV relativeFrom="paragraph">
            <wp:posOffset>152400</wp:posOffset>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D49CE"/>
    <w:multiLevelType w:val="multilevel"/>
    <w:tmpl w:val="49CC91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FA5ED6"/>
    <w:multiLevelType w:val="multilevel"/>
    <w:tmpl w:val="EC40163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1C1C0A54"/>
    <w:multiLevelType w:val="multilevel"/>
    <w:tmpl w:val="F7F63A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0101C50"/>
    <w:multiLevelType w:val="hybridMultilevel"/>
    <w:tmpl w:val="9E1291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2005819"/>
    <w:multiLevelType w:val="multilevel"/>
    <w:tmpl w:val="0CC8D2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E544E77"/>
    <w:multiLevelType w:val="multilevel"/>
    <w:tmpl w:val="01B4B8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13130EA"/>
    <w:multiLevelType w:val="multilevel"/>
    <w:tmpl w:val="7316AFA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7" w15:restartNumberingAfterBreak="0">
    <w:nsid w:val="54E80B83"/>
    <w:multiLevelType w:val="multilevel"/>
    <w:tmpl w:val="C0226F3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8" w15:restartNumberingAfterBreak="0">
    <w:nsid w:val="5FBE3A7C"/>
    <w:multiLevelType w:val="hybridMultilevel"/>
    <w:tmpl w:val="E5F44F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7D031E60"/>
    <w:multiLevelType w:val="multilevel"/>
    <w:tmpl w:val="0828614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1790278466">
    <w:abstractNumId w:val="0"/>
  </w:num>
  <w:num w:numId="2" w16cid:durableId="451480977">
    <w:abstractNumId w:val="7"/>
  </w:num>
  <w:num w:numId="3" w16cid:durableId="919220724">
    <w:abstractNumId w:val="5"/>
  </w:num>
  <w:num w:numId="4" w16cid:durableId="1074397952">
    <w:abstractNumId w:val="2"/>
  </w:num>
  <w:num w:numId="5" w16cid:durableId="17706462">
    <w:abstractNumId w:val="9"/>
  </w:num>
  <w:num w:numId="6" w16cid:durableId="1297636386">
    <w:abstractNumId w:val="6"/>
  </w:num>
  <w:num w:numId="7" w16cid:durableId="1247229872">
    <w:abstractNumId w:val="1"/>
  </w:num>
  <w:num w:numId="8" w16cid:durableId="2132548643">
    <w:abstractNumId w:val="4"/>
  </w:num>
  <w:num w:numId="9" w16cid:durableId="1752238657">
    <w:abstractNumId w:val="3"/>
  </w:num>
  <w:num w:numId="10" w16cid:durableId="1807100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embedTrueTypeFont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501CC9"/>
    <w:rsid w:val="00004B45"/>
    <w:rsid w:val="00012800"/>
    <w:rsid w:val="001027AA"/>
    <w:rsid w:val="00146672"/>
    <w:rsid w:val="00190E9F"/>
    <w:rsid w:val="00221F61"/>
    <w:rsid w:val="00225035"/>
    <w:rsid w:val="00242C9A"/>
    <w:rsid w:val="002A0AFA"/>
    <w:rsid w:val="002D1ED5"/>
    <w:rsid w:val="00343DDC"/>
    <w:rsid w:val="0039258E"/>
    <w:rsid w:val="003B4E44"/>
    <w:rsid w:val="004153F0"/>
    <w:rsid w:val="0042551D"/>
    <w:rsid w:val="00501CC9"/>
    <w:rsid w:val="0053357E"/>
    <w:rsid w:val="00596036"/>
    <w:rsid w:val="005B4BC3"/>
    <w:rsid w:val="00621524"/>
    <w:rsid w:val="0069379B"/>
    <w:rsid w:val="007344CF"/>
    <w:rsid w:val="007721E9"/>
    <w:rsid w:val="007E06B3"/>
    <w:rsid w:val="00803338"/>
    <w:rsid w:val="00811548"/>
    <w:rsid w:val="008116DB"/>
    <w:rsid w:val="00895F6E"/>
    <w:rsid w:val="00926E36"/>
    <w:rsid w:val="00951E9D"/>
    <w:rsid w:val="009927B5"/>
    <w:rsid w:val="009A5737"/>
    <w:rsid w:val="009C36F2"/>
    <w:rsid w:val="00A00FC7"/>
    <w:rsid w:val="00AD7473"/>
    <w:rsid w:val="00AE4568"/>
    <w:rsid w:val="00C51B4E"/>
    <w:rsid w:val="00D95B72"/>
    <w:rsid w:val="00DB2C74"/>
    <w:rsid w:val="00DB78E6"/>
    <w:rsid w:val="00DC0A12"/>
    <w:rsid w:val="00DF1824"/>
    <w:rsid w:val="00E328FC"/>
    <w:rsid w:val="00E65E1B"/>
    <w:rsid w:val="00E968F3"/>
    <w:rsid w:val="00EB22AD"/>
    <w:rsid w:val="00EF6B5B"/>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4F913"/>
  <w15:docId w15:val="{2918B606-B31B-4538-BFAB-9313BA2D3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B2C74"/>
    <w:pPr>
      <w:spacing w:line="360" w:lineRule="auto"/>
      <w:jc w:val="both"/>
      <w:outlineLvl w:val="0"/>
    </w:pPr>
    <w:rPr>
      <w:b/>
      <w:bCs/>
      <w:color w:val="222222"/>
      <w:sz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BalloonText">
    <w:name w:val="Balloon Text"/>
    <w:basedOn w:val="Normal"/>
    <w:link w:val="BalloonTextChar"/>
    <w:uiPriority w:val="99"/>
    <w:semiHidden/>
    <w:unhideWhenUsed/>
    <w:rsid w:val="00DB2C7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2C74"/>
    <w:rPr>
      <w:rFonts w:ascii="Tahoma" w:hAnsi="Tahoma" w:cs="Tahoma"/>
      <w:sz w:val="16"/>
      <w:szCs w:val="16"/>
    </w:rPr>
  </w:style>
  <w:style w:type="paragraph" w:styleId="TOCHeading">
    <w:name w:val="TOC Heading"/>
    <w:basedOn w:val="Heading1"/>
    <w:next w:val="Normal"/>
    <w:uiPriority w:val="39"/>
    <w:semiHidden/>
    <w:unhideWhenUsed/>
    <w:qFormat/>
    <w:rsid w:val="0053357E"/>
    <w:pPr>
      <w:keepNext/>
      <w:keepLines/>
      <w:spacing w:before="480" w:line="276" w:lineRule="auto"/>
      <w:jc w:val="left"/>
      <w:outlineLvl w:val="9"/>
    </w:pPr>
    <w:rPr>
      <w:rFonts w:asciiTheme="majorHAnsi" w:eastAsiaTheme="majorEastAsia" w:hAnsiTheme="majorHAnsi" w:cstheme="majorBidi"/>
      <w:color w:val="365F91" w:themeColor="accent1" w:themeShade="BF"/>
      <w:szCs w:val="28"/>
      <w:lang w:val="en-US" w:eastAsia="ja-JP"/>
    </w:rPr>
  </w:style>
  <w:style w:type="paragraph" w:styleId="TOC1">
    <w:name w:val="toc 1"/>
    <w:basedOn w:val="Normal"/>
    <w:next w:val="Normal"/>
    <w:autoRedefine/>
    <w:uiPriority w:val="39"/>
    <w:unhideWhenUsed/>
    <w:rsid w:val="0053357E"/>
    <w:pPr>
      <w:spacing w:after="100"/>
    </w:pPr>
  </w:style>
  <w:style w:type="character" w:styleId="Hyperlink">
    <w:name w:val="Hyperlink"/>
    <w:basedOn w:val="DefaultParagraphFont"/>
    <w:uiPriority w:val="99"/>
    <w:unhideWhenUsed/>
    <w:rsid w:val="0053357E"/>
    <w:rPr>
      <w:color w:val="0000FF" w:themeColor="hyperlink"/>
      <w:u w:val="single"/>
    </w:rPr>
  </w:style>
  <w:style w:type="paragraph" w:styleId="Header">
    <w:name w:val="header"/>
    <w:basedOn w:val="Normal"/>
    <w:link w:val="HeaderChar"/>
    <w:uiPriority w:val="99"/>
    <w:unhideWhenUsed/>
    <w:rsid w:val="0053357E"/>
    <w:pPr>
      <w:tabs>
        <w:tab w:val="center" w:pos="4513"/>
        <w:tab w:val="right" w:pos="9026"/>
      </w:tabs>
      <w:spacing w:line="240" w:lineRule="auto"/>
    </w:pPr>
  </w:style>
  <w:style w:type="character" w:customStyle="1" w:styleId="HeaderChar">
    <w:name w:val="Header Char"/>
    <w:basedOn w:val="DefaultParagraphFont"/>
    <w:link w:val="Header"/>
    <w:uiPriority w:val="99"/>
    <w:rsid w:val="0053357E"/>
  </w:style>
  <w:style w:type="paragraph" w:styleId="Footer">
    <w:name w:val="footer"/>
    <w:basedOn w:val="Normal"/>
    <w:link w:val="FooterChar"/>
    <w:uiPriority w:val="99"/>
    <w:unhideWhenUsed/>
    <w:rsid w:val="0053357E"/>
    <w:pPr>
      <w:tabs>
        <w:tab w:val="center" w:pos="4513"/>
        <w:tab w:val="right" w:pos="9026"/>
      </w:tabs>
      <w:spacing w:line="240" w:lineRule="auto"/>
    </w:pPr>
  </w:style>
  <w:style w:type="character" w:customStyle="1" w:styleId="FooterChar">
    <w:name w:val="Footer Char"/>
    <w:basedOn w:val="DefaultParagraphFont"/>
    <w:link w:val="Footer"/>
    <w:uiPriority w:val="99"/>
    <w:rsid w:val="0053357E"/>
  </w:style>
  <w:style w:type="paragraph" w:styleId="ListParagraph">
    <w:name w:val="List Paragraph"/>
    <w:basedOn w:val="Normal"/>
    <w:uiPriority w:val="34"/>
    <w:qFormat/>
    <w:rsid w:val="009C36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s://www.cqc.org.uk/press-release/countess-chester-hospital-nhs-foundation-trust-told-it-must-make-improvements" TargetMode="External"/><Relationship Id="rId26" Type="http://schemas.openxmlformats.org/officeDocument/2006/relationships/hyperlink" Target="https://www.nursingtimes.net/policies-and-guidance/senior-nurse-assumed-doctors-issue-with-letby-was-personal-22-10-2024/" TargetMode="External"/><Relationship Id="rId3" Type="http://schemas.openxmlformats.org/officeDocument/2006/relationships/styles" Target="styles.xml"/><Relationship Id="rId21" Type="http://schemas.openxmlformats.org/officeDocument/2006/relationships/hyperlink" Target="https://www.cqc.org.uk/location/RJR05/reports/LAP-01434/urgent-and-emergency-services/well-led"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www.bbc.com/news/articles/cj0y9673rjno" TargetMode="External"/><Relationship Id="rId25" Type="http://schemas.openxmlformats.org/officeDocument/2006/relationships/hyperlink" Target="https://www.astro.ljmu.ac.uk/~ikb/LL/Letby-Briefing-Paper.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bc.com/news/articles/cj0y9673rjno" TargetMode="External"/><Relationship Id="rId20" Type="http://schemas.openxmlformats.org/officeDocument/2006/relationships/hyperlink" Target="https://www.cqc.org.uk/location/RJR05/reports/LAP-01434/urgent-and-emergency-services/well-led" TargetMode="External"/><Relationship Id="rId29" Type="http://schemas.openxmlformats.org/officeDocument/2006/relationships/hyperlink" Target="https://www.nuffieldtrust.org.uk/sites/default/files/2025-03/Nuffield%20Trust%20report%20for%20the%20Thirlwall%20Inquiry_FINAL%20report_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astro.ljmu.ac.uk/~ikb/LL/Letby-Briefing-Paper.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bbc.com/news/articles/c75xp200r0lo" TargetMode="External"/><Relationship Id="rId28" Type="http://schemas.openxmlformats.org/officeDocument/2006/relationships/hyperlink" Target="https://digital.nhs.uk/data-and-information/keeping-data-safe-and-benefitting-the-public/gdpr/gdpr-register/incidents/" TargetMode="External"/><Relationship Id="rId10" Type="http://schemas.openxmlformats.org/officeDocument/2006/relationships/diagramData" Target="diagrams/data1.xml"/><Relationship Id="rId19" Type="http://schemas.openxmlformats.org/officeDocument/2006/relationships/hyperlink" Target="https://www.cqc.org.uk/press-release/countess-chester-hospital-nhs-foundation-trust-told-it-must-make-improvement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www.bbc.com/news/articles/c75xp200r0lo" TargetMode="External"/><Relationship Id="rId27" Type="http://schemas.openxmlformats.org/officeDocument/2006/relationships/hyperlink" Target="https://digital.nhs.uk/data-and-information/keeping-data-safe-and-benefitting-the-public/gdpr/gdpr-register/incidents/" TargetMode="External"/><Relationship Id="rId30" Type="http://schemas.openxmlformats.org/officeDocument/2006/relationships/hyperlink" Target="https://www.nuffieldtrust.org.uk/sites/default/files/2025-03/Nuffield%20Trust%20report%20for%20the%20Thirlwall%20Inquiry_FINAL%20report_0.pdf" TargetMode="Externa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94D3D14-A3BD-4C97-9FAD-877DA1F5ECA2}" type="doc">
      <dgm:prSet loTypeId="urn:microsoft.com/office/officeart/2005/8/layout/cycle4" loCatId="relationship" qsTypeId="urn:microsoft.com/office/officeart/2005/8/quickstyle/simple1" qsCatId="simple" csTypeId="urn:microsoft.com/office/officeart/2005/8/colors/colorful5" csCatId="colorful" phldr="1"/>
      <dgm:spPr/>
      <dgm:t>
        <a:bodyPr/>
        <a:lstStyle/>
        <a:p>
          <a:endParaRPr lang="en-IN"/>
        </a:p>
      </dgm:t>
    </dgm:pt>
    <dgm:pt modelId="{0F5EB1C6-9D0C-4D10-9AC8-08B0E0D8CBF7}">
      <dgm:prSet phldrT="[Text]"/>
      <dgm:spPr/>
      <dgm:t>
        <a:bodyPr/>
        <a:lstStyle/>
        <a:p>
          <a:r>
            <a:rPr lang="en-IN">
              <a:latin typeface="Arial" pitchFamily="34" charset="0"/>
              <a:cs typeface="Arial" pitchFamily="34" charset="0"/>
            </a:rPr>
            <a:t>Plan</a:t>
          </a:r>
        </a:p>
      </dgm:t>
    </dgm:pt>
    <dgm:pt modelId="{343610DF-CAE4-499C-AAD7-C6BA21091F56}" type="parTrans" cxnId="{D48D6A73-D273-4CEA-B7F8-A3F3D68AEFC7}">
      <dgm:prSet/>
      <dgm:spPr/>
      <dgm:t>
        <a:bodyPr/>
        <a:lstStyle/>
        <a:p>
          <a:endParaRPr lang="en-IN"/>
        </a:p>
      </dgm:t>
    </dgm:pt>
    <dgm:pt modelId="{BDB5A1F4-4F9C-4E76-9E73-CECEDD2E6B83}" type="sibTrans" cxnId="{D48D6A73-D273-4CEA-B7F8-A3F3D68AEFC7}">
      <dgm:prSet/>
      <dgm:spPr/>
      <dgm:t>
        <a:bodyPr/>
        <a:lstStyle/>
        <a:p>
          <a:endParaRPr lang="en-IN"/>
        </a:p>
      </dgm:t>
    </dgm:pt>
    <dgm:pt modelId="{FE9590C7-8026-4478-B2AF-31BCE1196C68}">
      <dgm:prSet phldrT="[Text]" custT="1"/>
      <dgm:spPr/>
      <dgm:t>
        <a:bodyPr/>
        <a:lstStyle/>
        <a:p>
          <a:r>
            <a:rPr lang="en-GB" sz="700">
              <a:latin typeface="Arial" pitchFamily="34" charset="0"/>
              <a:cs typeface="Arial" pitchFamily="34" charset="0"/>
            </a:rPr>
            <a:t>Implement a digitised real-time incident escalation </a:t>
          </a:r>
          <a:endParaRPr lang="en-IN" sz="700">
            <a:latin typeface="Arial" pitchFamily="34" charset="0"/>
            <a:cs typeface="Arial" pitchFamily="34" charset="0"/>
          </a:endParaRPr>
        </a:p>
      </dgm:t>
    </dgm:pt>
    <dgm:pt modelId="{F3AA8C2F-AD9E-438E-94EC-814BA3458D1E}" type="parTrans" cxnId="{696D093C-E4F0-45B5-BBEF-9B83B9B77AE3}">
      <dgm:prSet/>
      <dgm:spPr/>
      <dgm:t>
        <a:bodyPr/>
        <a:lstStyle/>
        <a:p>
          <a:endParaRPr lang="en-IN"/>
        </a:p>
      </dgm:t>
    </dgm:pt>
    <dgm:pt modelId="{5028FD6F-659B-43F5-920A-6ECE5273036F}" type="sibTrans" cxnId="{696D093C-E4F0-45B5-BBEF-9B83B9B77AE3}">
      <dgm:prSet/>
      <dgm:spPr/>
      <dgm:t>
        <a:bodyPr/>
        <a:lstStyle/>
        <a:p>
          <a:endParaRPr lang="en-IN"/>
        </a:p>
      </dgm:t>
    </dgm:pt>
    <dgm:pt modelId="{C2419937-F350-48FB-9F90-53B295826DBC}">
      <dgm:prSet phldrT="[Text]"/>
      <dgm:spPr/>
      <dgm:t>
        <a:bodyPr/>
        <a:lstStyle/>
        <a:p>
          <a:r>
            <a:rPr lang="en-IN">
              <a:latin typeface="Arial" pitchFamily="34" charset="0"/>
              <a:cs typeface="Arial" pitchFamily="34" charset="0"/>
            </a:rPr>
            <a:t>Do</a:t>
          </a:r>
        </a:p>
      </dgm:t>
    </dgm:pt>
    <dgm:pt modelId="{17DA8FDB-F5F9-4220-AE74-6E5C8F5FADC4}" type="parTrans" cxnId="{4A4B3A55-5E8C-4F40-9314-159E8E67469C}">
      <dgm:prSet/>
      <dgm:spPr/>
      <dgm:t>
        <a:bodyPr/>
        <a:lstStyle/>
        <a:p>
          <a:endParaRPr lang="en-IN"/>
        </a:p>
      </dgm:t>
    </dgm:pt>
    <dgm:pt modelId="{55D8084F-01D5-40CD-B19D-268B1675A82E}" type="sibTrans" cxnId="{4A4B3A55-5E8C-4F40-9314-159E8E67469C}">
      <dgm:prSet/>
      <dgm:spPr/>
      <dgm:t>
        <a:bodyPr/>
        <a:lstStyle/>
        <a:p>
          <a:endParaRPr lang="en-IN"/>
        </a:p>
      </dgm:t>
    </dgm:pt>
    <dgm:pt modelId="{7C219023-925C-48E9-9EDA-A1CD23C93E11}">
      <dgm:prSet phldrT="[Text]"/>
      <dgm:spPr/>
      <dgm:t>
        <a:bodyPr/>
        <a:lstStyle/>
        <a:p>
          <a:r>
            <a:rPr lang="en-GB">
              <a:latin typeface="Arial" pitchFamily="34" charset="0"/>
              <a:cs typeface="Arial" pitchFamily="34" charset="0"/>
            </a:rPr>
            <a:t>Pilot phase </a:t>
          </a:r>
          <a:endParaRPr lang="en-IN">
            <a:latin typeface="Arial" pitchFamily="34" charset="0"/>
            <a:cs typeface="Arial" pitchFamily="34" charset="0"/>
          </a:endParaRPr>
        </a:p>
      </dgm:t>
    </dgm:pt>
    <dgm:pt modelId="{485D4176-8474-4490-810A-BCA8DAA3C28C}" type="parTrans" cxnId="{CA56EA93-337B-4550-AEA7-9E4F739A9595}">
      <dgm:prSet/>
      <dgm:spPr/>
      <dgm:t>
        <a:bodyPr/>
        <a:lstStyle/>
        <a:p>
          <a:endParaRPr lang="en-IN"/>
        </a:p>
      </dgm:t>
    </dgm:pt>
    <dgm:pt modelId="{C4F9ED0D-6600-4789-8E7D-0106C9B7AB2A}" type="sibTrans" cxnId="{CA56EA93-337B-4550-AEA7-9E4F739A9595}">
      <dgm:prSet/>
      <dgm:spPr/>
      <dgm:t>
        <a:bodyPr/>
        <a:lstStyle/>
        <a:p>
          <a:endParaRPr lang="en-IN"/>
        </a:p>
      </dgm:t>
    </dgm:pt>
    <dgm:pt modelId="{D64C4771-C038-484D-A62D-64276412BFFA}">
      <dgm:prSet phldrT="[Text]"/>
      <dgm:spPr/>
      <dgm:t>
        <a:bodyPr/>
        <a:lstStyle/>
        <a:p>
          <a:r>
            <a:rPr lang="en-IN">
              <a:latin typeface="Arial" pitchFamily="34" charset="0"/>
              <a:cs typeface="Arial" pitchFamily="34" charset="0"/>
            </a:rPr>
            <a:t>Check</a:t>
          </a:r>
        </a:p>
      </dgm:t>
    </dgm:pt>
    <dgm:pt modelId="{16774D5A-3213-4509-9AD4-A624AFA664BF}" type="parTrans" cxnId="{20DD6089-F06E-4330-8CC9-EE3AC53A610A}">
      <dgm:prSet/>
      <dgm:spPr/>
      <dgm:t>
        <a:bodyPr/>
        <a:lstStyle/>
        <a:p>
          <a:endParaRPr lang="en-IN"/>
        </a:p>
      </dgm:t>
    </dgm:pt>
    <dgm:pt modelId="{264ADB2C-B5ED-4B85-866C-B484E1A8A2EB}" type="sibTrans" cxnId="{20DD6089-F06E-4330-8CC9-EE3AC53A610A}">
      <dgm:prSet/>
      <dgm:spPr/>
      <dgm:t>
        <a:bodyPr/>
        <a:lstStyle/>
        <a:p>
          <a:endParaRPr lang="en-IN"/>
        </a:p>
      </dgm:t>
    </dgm:pt>
    <dgm:pt modelId="{572E5EDA-8B5B-423B-BBE9-0B795A9CFA63}">
      <dgm:prSet phldrT="[Text]"/>
      <dgm:spPr/>
      <dgm:t>
        <a:bodyPr/>
        <a:lstStyle/>
        <a:p>
          <a:r>
            <a:rPr lang="en-GB">
              <a:latin typeface="Arial" pitchFamily="34" charset="0"/>
              <a:cs typeface="Arial" pitchFamily="34" charset="0"/>
            </a:rPr>
            <a:t>Cross-reference </a:t>
          </a:r>
          <a:endParaRPr lang="en-IN">
            <a:latin typeface="Arial" pitchFamily="34" charset="0"/>
            <a:cs typeface="Arial" pitchFamily="34" charset="0"/>
          </a:endParaRPr>
        </a:p>
      </dgm:t>
    </dgm:pt>
    <dgm:pt modelId="{7232BDD0-287E-457D-984B-7D96FB0A5144}" type="parTrans" cxnId="{4F8B2897-F0B9-4363-A4B4-614DE4C11903}">
      <dgm:prSet/>
      <dgm:spPr/>
      <dgm:t>
        <a:bodyPr/>
        <a:lstStyle/>
        <a:p>
          <a:endParaRPr lang="en-IN"/>
        </a:p>
      </dgm:t>
    </dgm:pt>
    <dgm:pt modelId="{C7F6ECFE-8B61-42A8-BE5F-0205FDCB60EC}" type="sibTrans" cxnId="{4F8B2897-F0B9-4363-A4B4-614DE4C11903}">
      <dgm:prSet/>
      <dgm:spPr/>
      <dgm:t>
        <a:bodyPr/>
        <a:lstStyle/>
        <a:p>
          <a:endParaRPr lang="en-IN"/>
        </a:p>
      </dgm:t>
    </dgm:pt>
    <dgm:pt modelId="{5D7FE47C-E8F7-48F0-B5EA-736EF1A3C1F8}">
      <dgm:prSet phldrT="[Text]"/>
      <dgm:spPr/>
      <dgm:t>
        <a:bodyPr/>
        <a:lstStyle/>
        <a:p>
          <a:r>
            <a:rPr lang="en-IN">
              <a:latin typeface="Arial" pitchFamily="34" charset="0"/>
              <a:cs typeface="Arial" pitchFamily="34" charset="0"/>
            </a:rPr>
            <a:t>Act</a:t>
          </a:r>
        </a:p>
      </dgm:t>
    </dgm:pt>
    <dgm:pt modelId="{740CCE11-0E4C-4A99-B4E2-48EBCF1265FB}" type="parTrans" cxnId="{173B428E-AE41-43FF-AF76-E5855408C46F}">
      <dgm:prSet/>
      <dgm:spPr/>
      <dgm:t>
        <a:bodyPr/>
        <a:lstStyle/>
        <a:p>
          <a:endParaRPr lang="en-IN"/>
        </a:p>
      </dgm:t>
    </dgm:pt>
    <dgm:pt modelId="{24733256-1D74-4795-991E-F86134B47157}" type="sibTrans" cxnId="{173B428E-AE41-43FF-AF76-E5855408C46F}">
      <dgm:prSet/>
      <dgm:spPr/>
      <dgm:t>
        <a:bodyPr/>
        <a:lstStyle/>
        <a:p>
          <a:endParaRPr lang="en-IN"/>
        </a:p>
      </dgm:t>
    </dgm:pt>
    <dgm:pt modelId="{496DFAF9-FA88-4046-95B3-E9E3F5D6A727}">
      <dgm:prSet phldrT="[Text]"/>
      <dgm:spPr/>
      <dgm:t>
        <a:bodyPr/>
        <a:lstStyle/>
        <a:p>
          <a:r>
            <a:rPr lang="en-GB">
              <a:latin typeface="Arial" pitchFamily="34" charset="0"/>
              <a:cs typeface="Arial" pitchFamily="34" charset="0"/>
            </a:rPr>
            <a:t>Portal interface can be streamlined</a:t>
          </a:r>
          <a:endParaRPr lang="en-IN">
            <a:latin typeface="Arial" pitchFamily="34" charset="0"/>
            <a:cs typeface="Arial" pitchFamily="34" charset="0"/>
          </a:endParaRPr>
        </a:p>
      </dgm:t>
    </dgm:pt>
    <dgm:pt modelId="{708FE4D1-E53A-4DCA-983E-92BA8230A378}" type="parTrans" cxnId="{4E29869A-A7C3-4397-960D-D5D475A4AEE5}">
      <dgm:prSet/>
      <dgm:spPr/>
      <dgm:t>
        <a:bodyPr/>
        <a:lstStyle/>
        <a:p>
          <a:endParaRPr lang="en-IN"/>
        </a:p>
      </dgm:t>
    </dgm:pt>
    <dgm:pt modelId="{2BA952EC-5D40-494D-B725-F62159DB79C1}" type="sibTrans" cxnId="{4E29869A-A7C3-4397-960D-D5D475A4AEE5}">
      <dgm:prSet/>
      <dgm:spPr/>
      <dgm:t>
        <a:bodyPr/>
        <a:lstStyle/>
        <a:p>
          <a:endParaRPr lang="en-IN"/>
        </a:p>
      </dgm:t>
    </dgm:pt>
    <dgm:pt modelId="{1A434480-DFE4-4F97-A42C-7F056E6F2E58}">
      <dgm:prSet custT="1"/>
      <dgm:spPr/>
      <dgm:t>
        <a:bodyPr/>
        <a:lstStyle/>
        <a:p>
          <a:r>
            <a:rPr lang="en-GB" sz="700">
              <a:latin typeface="Arial" pitchFamily="34" charset="0"/>
              <a:cs typeface="Arial" pitchFamily="34" charset="0"/>
            </a:rPr>
            <a:t>Whistleblowing portal </a:t>
          </a:r>
          <a:endParaRPr lang="en-IN" sz="700">
            <a:latin typeface="Arial" pitchFamily="34" charset="0"/>
            <a:cs typeface="Arial" pitchFamily="34" charset="0"/>
          </a:endParaRPr>
        </a:p>
      </dgm:t>
    </dgm:pt>
    <dgm:pt modelId="{2873F481-B1F7-4F11-8AB4-8FB6A17B9B19}" type="parTrans" cxnId="{D205AF7A-64C6-4F95-9322-54C6C3D11003}">
      <dgm:prSet/>
      <dgm:spPr/>
      <dgm:t>
        <a:bodyPr/>
        <a:lstStyle/>
        <a:p>
          <a:endParaRPr lang="en-IN"/>
        </a:p>
      </dgm:t>
    </dgm:pt>
    <dgm:pt modelId="{5CAF5704-5636-4B60-AC8F-7D7F568B1A66}" type="sibTrans" cxnId="{D205AF7A-64C6-4F95-9322-54C6C3D11003}">
      <dgm:prSet/>
      <dgm:spPr/>
      <dgm:t>
        <a:bodyPr/>
        <a:lstStyle/>
        <a:p>
          <a:endParaRPr lang="en-IN"/>
        </a:p>
      </dgm:t>
    </dgm:pt>
    <dgm:pt modelId="{455D9948-A56D-40A4-89B2-D41B2A1D5445}">
      <dgm:prSet custT="1"/>
      <dgm:spPr/>
      <dgm:t>
        <a:bodyPr/>
        <a:lstStyle/>
        <a:p>
          <a:r>
            <a:rPr lang="en-GB" sz="700">
              <a:latin typeface="Arial" pitchFamily="34" charset="0"/>
              <a:cs typeface="Arial" pitchFamily="34" charset="0"/>
            </a:rPr>
            <a:t>Fundamental clinical audit framework</a:t>
          </a:r>
          <a:endParaRPr lang="en-IN" sz="700">
            <a:latin typeface="Arial" pitchFamily="34" charset="0"/>
            <a:cs typeface="Arial" pitchFamily="34" charset="0"/>
          </a:endParaRPr>
        </a:p>
      </dgm:t>
    </dgm:pt>
    <dgm:pt modelId="{C8640EB6-8B49-4EF7-94F1-A3EE209C8259}" type="parTrans" cxnId="{31B58149-9E46-405A-A438-AB2C49852191}">
      <dgm:prSet/>
      <dgm:spPr/>
      <dgm:t>
        <a:bodyPr/>
        <a:lstStyle/>
        <a:p>
          <a:endParaRPr lang="en-IN"/>
        </a:p>
      </dgm:t>
    </dgm:pt>
    <dgm:pt modelId="{C1AF09B6-E485-48F7-9813-865688827BB5}" type="sibTrans" cxnId="{31B58149-9E46-405A-A438-AB2C49852191}">
      <dgm:prSet/>
      <dgm:spPr/>
      <dgm:t>
        <a:bodyPr/>
        <a:lstStyle/>
        <a:p>
          <a:endParaRPr lang="en-IN"/>
        </a:p>
      </dgm:t>
    </dgm:pt>
    <dgm:pt modelId="{A4E45884-3EFA-4968-AF05-34751997D133}">
      <dgm:prSet custT="1"/>
      <dgm:spPr/>
      <dgm:t>
        <a:bodyPr/>
        <a:lstStyle/>
        <a:p>
          <a:r>
            <a:rPr lang="en-GB" sz="700">
              <a:latin typeface="Arial" pitchFamily="34" charset="0"/>
              <a:cs typeface="Arial" pitchFamily="34" charset="0"/>
            </a:rPr>
            <a:t>Clinical concerns are directly addressed</a:t>
          </a:r>
          <a:endParaRPr lang="en-IN" sz="700">
            <a:latin typeface="Arial" pitchFamily="34" charset="0"/>
            <a:cs typeface="Arial" pitchFamily="34" charset="0"/>
          </a:endParaRPr>
        </a:p>
      </dgm:t>
    </dgm:pt>
    <dgm:pt modelId="{C534DD3B-E24F-400C-A3BA-BF2C9C9736C8}" type="parTrans" cxnId="{56607B78-BC01-4DF1-9A01-90359A7BF979}">
      <dgm:prSet/>
      <dgm:spPr/>
      <dgm:t>
        <a:bodyPr/>
        <a:lstStyle/>
        <a:p>
          <a:endParaRPr lang="en-IN"/>
        </a:p>
      </dgm:t>
    </dgm:pt>
    <dgm:pt modelId="{174B0F60-0050-449D-8CFB-E2581912033A}" type="sibTrans" cxnId="{56607B78-BC01-4DF1-9A01-90359A7BF979}">
      <dgm:prSet/>
      <dgm:spPr/>
      <dgm:t>
        <a:bodyPr/>
        <a:lstStyle/>
        <a:p>
          <a:endParaRPr lang="en-IN"/>
        </a:p>
      </dgm:t>
    </dgm:pt>
    <dgm:pt modelId="{4708E076-A210-4039-9DEF-BBE198BA9EBE}">
      <dgm:prSet/>
      <dgm:spPr/>
      <dgm:t>
        <a:bodyPr/>
        <a:lstStyle/>
        <a:p>
          <a:r>
            <a:rPr lang="en-GB">
              <a:latin typeface="Arial" pitchFamily="34" charset="0"/>
              <a:cs typeface="Arial" pitchFamily="34" charset="0"/>
            </a:rPr>
            <a:t>Anonymous digital surveys </a:t>
          </a:r>
          <a:endParaRPr lang="en-IN">
            <a:latin typeface="Arial" pitchFamily="34" charset="0"/>
            <a:cs typeface="Arial" pitchFamily="34" charset="0"/>
          </a:endParaRPr>
        </a:p>
      </dgm:t>
    </dgm:pt>
    <dgm:pt modelId="{E9FC7B49-AF37-41E4-8089-6BDE9A2ED42E}" type="parTrans" cxnId="{C66C045A-75DE-4871-A862-8B9DB6370D69}">
      <dgm:prSet/>
      <dgm:spPr/>
      <dgm:t>
        <a:bodyPr/>
        <a:lstStyle/>
        <a:p>
          <a:endParaRPr lang="en-IN"/>
        </a:p>
      </dgm:t>
    </dgm:pt>
    <dgm:pt modelId="{FCBF18B5-2E0C-47D9-8075-B5D2EFA6D562}" type="sibTrans" cxnId="{C66C045A-75DE-4871-A862-8B9DB6370D69}">
      <dgm:prSet/>
      <dgm:spPr/>
      <dgm:t>
        <a:bodyPr/>
        <a:lstStyle/>
        <a:p>
          <a:endParaRPr lang="en-IN"/>
        </a:p>
      </dgm:t>
    </dgm:pt>
    <dgm:pt modelId="{B0584426-7685-4ED1-8F73-9363E29A1037}">
      <dgm:prSet/>
      <dgm:spPr/>
      <dgm:t>
        <a:bodyPr/>
        <a:lstStyle/>
        <a:p>
          <a:r>
            <a:rPr lang="en-GB">
              <a:latin typeface="Arial" pitchFamily="34" charset="0"/>
              <a:cs typeface="Arial" pitchFamily="34" charset="0"/>
            </a:rPr>
            <a:t>Consistent feedback </a:t>
          </a:r>
          <a:endParaRPr lang="en-IN">
            <a:latin typeface="Arial" pitchFamily="34" charset="0"/>
            <a:cs typeface="Arial" pitchFamily="34" charset="0"/>
          </a:endParaRPr>
        </a:p>
      </dgm:t>
    </dgm:pt>
    <dgm:pt modelId="{F1306A82-589B-4CF0-940B-C336D2803A69}" type="parTrans" cxnId="{4FD94998-887C-4049-BE65-979927554776}">
      <dgm:prSet/>
      <dgm:spPr/>
      <dgm:t>
        <a:bodyPr/>
        <a:lstStyle/>
        <a:p>
          <a:endParaRPr lang="en-IN"/>
        </a:p>
      </dgm:t>
    </dgm:pt>
    <dgm:pt modelId="{9DA365EE-750B-443C-80A2-C870B2FC6DC6}" type="sibTrans" cxnId="{4FD94998-887C-4049-BE65-979927554776}">
      <dgm:prSet/>
      <dgm:spPr/>
      <dgm:t>
        <a:bodyPr/>
        <a:lstStyle/>
        <a:p>
          <a:endParaRPr lang="en-IN"/>
        </a:p>
      </dgm:t>
    </dgm:pt>
    <dgm:pt modelId="{2FF2C07F-DA0B-47A4-B7E6-EDBBFE1636AA}">
      <dgm:prSet/>
      <dgm:spPr/>
      <dgm:t>
        <a:bodyPr/>
        <a:lstStyle/>
        <a:p>
          <a:r>
            <a:rPr lang="en-GB">
              <a:latin typeface="Arial" pitchFamily="34" charset="0"/>
              <a:cs typeface="Arial" pitchFamily="34" charset="0"/>
            </a:rPr>
            <a:t>Safety culture of the system </a:t>
          </a:r>
          <a:endParaRPr lang="en-IN">
            <a:latin typeface="Arial" pitchFamily="34" charset="0"/>
            <a:cs typeface="Arial" pitchFamily="34" charset="0"/>
          </a:endParaRPr>
        </a:p>
      </dgm:t>
    </dgm:pt>
    <dgm:pt modelId="{595AA067-D0C7-4B77-8AC9-2ED33D6F24DA}" type="parTrans" cxnId="{6CC1BAF3-4E4C-46CF-A7BA-FE3C4859C450}">
      <dgm:prSet/>
      <dgm:spPr/>
      <dgm:t>
        <a:bodyPr/>
        <a:lstStyle/>
        <a:p>
          <a:endParaRPr lang="en-IN"/>
        </a:p>
      </dgm:t>
    </dgm:pt>
    <dgm:pt modelId="{115BE96C-AE2D-42FF-8218-8037EAE46918}" type="sibTrans" cxnId="{6CC1BAF3-4E4C-46CF-A7BA-FE3C4859C450}">
      <dgm:prSet/>
      <dgm:spPr/>
      <dgm:t>
        <a:bodyPr/>
        <a:lstStyle/>
        <a:p>
          <a:endParaRPr lang="en-IN"/>
        </a:p>
      </dgm:t>
    </dgm:pt>
    <dgm:pt modelId="{8C5296BD-4A37-4083-8D1A-88AE43F857DC}">
      <dgm:prSet/>
      <dgm:spPr/>
      <dgm:t>
        <a:bodyPr/>
        <a:lstStyle/>
        <a:p>
          <a:r>
            <a:rPr lang="en-GB">
              <a:latin typeface="Arial" pitchFamily="34" charset="0"/>
              <a:cs typeface="Arial" pitchFamily="34" charset="0"/>
            </a:rPr>
            <a:t>Safety benchmark of the units</a:t>
          </a:r>
          <a:endParaRPr lang="en-IN">
            <a:latin typeface="Arial" pitchFamily="34" charset="0"/>
            <a:cs typeface="Arial" pitchFamily="34" charset="0"/>
          </a:endParaRPr>
        </a:p>
      </dgm:t>
    </dgm:pt>
    <dgm:pt modelId="{2C787E13-4BDA-424E-A754-73020B678BCB}" type="parTrans" cxnId="{C4E7A7A5-49B4-4E48-8C22-D1082463B864}">
      <dgm:prSet/>
      <dgm:spPr/>
      <dgm:t>
        <a:bodyPr/>
        <a:lstStyle/>
        <a:p>
          <a:endParaRPr lang="en-IN"/>
        </a:p>
      </dgm:t>
    </dgm:pt>
    <dgm:pt modelId="{E8400227-E160-4D02-9B04-34B6992E72F4}" type="sibTrans" cxnId="{C4E7A7A5-49B4-4E48-8C22-D1082463B864}">
      <dgm:prSet/>
      <dgm:spPr/>
      <dgm:t>
        <a:bodyPr/>
        <a:lstStyle/>
        <a:p>
          <a:endParaRPr lang="en-IN"/>
        </a:p>
      </dgm:t>
    </dgm:pt>
    <dgm:pt modelId="{8B9F1D77-B4D1-4DA6-95AF-C15BE8F6C2EF}">
      <dgm:prSet/>
      <dgm:spPr/>
      <dgm:t>
        <a:bodyPr/>
        <a:lstStyle/>
        <a:p>
          <a:r>
            <a:rPr lang="en-GB">
              <a:latin typeface="Arial" pitchFamily="34" charset="0"/>
              <a:cs typeface="Arial" pitchFamily="34" charset="0"/>
            </a:rPr>
            <a:t>Success of the portal </a:t>
          </a:r>
          <a:endParaRPr lang="en-IN">
            <a:latin typeface="Arial" pitchFamily="34" charset="0"/>
            <a:cs typeface="Arial" pitchFamily="34" charset="0"/>
          </a:endParaRPr>
        </a:p>
      </dgm:t>
    </dgm:pt>
    <dgm:pt modelId="{FE86C3C9-7F60-448E-BBE1-D3DDBD5C174E}" type="parTrans" cxnId="{7CDA2A3E-96F7-409E-B5BE-AC022D227DAE}">
      <dgm:prSet/>
      <dgm:spPr/>
      <dgm:t>
        <a:bodyPr/>
        <a:lstStyle/>
        <a:p>
          <a:endParaRPr lang="en-IN"/>
        </a:p>
      </dgm:t>
    </dgm:pt>
    <dgm:pt modelId="{49382EDF-F811-42E6-B061-A30B0C4B0307}" type="sibTrans" cxnId="{7CDA2A3E-96F7-409E-B5BE-AC022D227DAE}">
      <dgm:prSet/>
      <dgm:spPr/>
      <dgm:t>
        <a:bodyPr/>
        <a:lstStyle/>
        <a:p>
          <a:endParaRPr lang="en-IN"/>
        </a:p>
      </dgm:t>
    </dgm:pt>
    <dgm:pt modelId="{8A6CB05D-D206-4B5E-A199-968667D9EDD1}">
      <dgm:prSet/>
      <dgm:spPr/>
      <dgm:t>
        <a:bodyPr/>
        <a:lstStyle/>
        <a:p>
          <a:r>
            <a:rPr lang="en-GB">
              <a:latin typeface="Arial" pitchFamily="34" charset="0"/>
              <a:cs typeface="Arial" pitchFamily="34" charset="0"/>
            </a:rPr>
            <a:t>100% timely reporting, irrespective</a:t>
          </a:r>
          <a:endParaRPr lang="en-IN">
            <a:latin typeface="Arial" pitchFamily="34" charset="0"/>
            <a:cs typeface="Arial" pitchFamily="34" charset="0"/>
          </a:endParaRPr>
        </a:p>
      </dgm:t>
    </dgm:pt>
    <dgm:pt modelId="{664C5C29-9A9E-49DF-9D35-E3E72D2F3643}" type="parTrans" cxnId="{4A38CB1D-3FBA-4334-9067-E5DEBDD7881A}">
      <dgm:prSet/>
      <dgm:spPr/>
      <dgm:t>
        <a:bodyPr/>
        <a:lstStyle/>
        <a:p>
          <a:endParaRPr lang="en-IN"/>
        </a:p>
      </dgm:t>
    </dgm:pt>
    <dgm:pt modelId="{4758DF0A-1D36-4638-BB4C-ED7D359537A8}" type="sibTrans" cxnId="{4A38CB1D-3FBA-4334-9067-E5DEBDD7881A}">
      <dgm:prSet/>
      <dgm:spPr/>
      <dgm:t>
        <a:bodyPr/>
        <a:lstStyle/>
        <a:p>
          <a:endParaRPr lang="en-IN"/>
        </a:p>
      </dgm:t>
    </dgm:pt>
    <dgm:pt modelId="{1EB986C4-771E-41C7-866B-2C4B9117C9BE}">
      <dgm:prSet/>
      <dgm:spPr/>
      <dgm:t>
        <a:bodyPr/>
        <a:lstStyle/>
        <a:p>
          <a:r>
            <a:rPr lang="en-GB">
              <a:latin typeface="Arial" pitchFamily="34" charset="0"/>
              <a:cs typeface="Arial" pitchFamily="34" charset="0"/>
            </a:rPr>
            <a:t>Persistent reporting delay </a:t>
          </a:r>
          <a:endParaRPr lang="en-IN">
            <a:latin typeface="Arial" pitchFamily="34" charset="0"/>
            <a:cs typeface="Arial" pitchFamily="34" charset="0"/>
          </a:endParaRPr>
        </a:p>
      </dgm:t>
    </dgm:pt>
    <dgm:pt modelId="{D1EA8A9B-04E8-4172-B178-0163E0631757}" type="parTrans" cxnId="{965F3301-6913-4BC8-BA75-5653A460B75E}">
      <dgm:prSet/>
      <dgm:spPr/>
      <dgm:t>
        <a:bodyPr/>
        <a:lstStyle/>
        <a:p>
          <a:endParaRPr lang="en-IN"/>
        </a:p>
      </dgm:t>
    </dgm:pt>
    <dgm:pt modelId="{D5B6FA15-E21D-40AA-9907-9E66C677296A}" type="sibTrans" cxnId="{965F3301-6913-4BC8-BA75-5653A460B75E}">
      <dgm:prSet/>
      <dgm:spPr/>
      <dgm:t>
        <a:bodyPr/>
        <a:lstStyle/>
        <a:p>
          <a:endParaRPr lang="en-IN"/>
        </a:p>
      </dgm:t>
    </dgm:pt>
    <dgm:pt modelId="{D156A48A-23BB-4156-9341-FE9BBA4E845F}">
      <dgm:prSet/>
      <dgm:spPr/>
      <dgm:t>
        <a:bodyPr/>
        <a:lstStyle/>
        <a:p>
          <a:r>
            <a:rPr lang="en-GB">
              <a:latin typeface="Arial" pitchFamily="34" charset="0"/>
              <a:cs typeface="Arial" pitchFamily="34" charset="0"/>
            </a:rPr>
            <a:t>Integration of an automatic trigger </a:t>
          </a:r>
          <a:endParaRPr lang="en-IN">
            <a:latin typeface="Arial" pitchFamily="34" charset="0"/>
            <a:cs typeface="Arial" pitchFamily="34" charset="0"/>
          </a:endParaRPr>
        </a:p>
      </dgm:t>
    </dgm:pt>
    <dgm:pt modelId="{E83466F7-D954-42CE-9CB5-C266A3A4EB32}" type="parTrans" cxnId="{099C68AC-249A-40EE-827A-64C3147DDD6B}">
      <dgm:prSet/>
      <dgm:spPr/>
      <dgm:t>
        <a:bodyPr/>
        <a:lstStyle/>
        <a:p>
          <a:endParaRPr lang="en-IN"/>
        </a:p>
      </dgm:t>
    </dgm:pt>
    <dgm:pt modelId="{1CE48B3F-4493-4181-BA8A-7B24C8F5CF9A}" type="sibTrans" cxnId="{099C68AC-249A-40EE-827A-64C3147DDD6B}">
      <dgm:prSet/>
      <dgm:spPr/>
      <dgm:t>
        <a:bodyPr/>
        <a:lstStyle/>
        <a:p>
          <a:endParaRPr lang="en-IN"/>
        </a:p>
      </dgm:t>
    </dgm:pt>
    <dgm:pt modelId="{E2ED73D5-9381-4F90-A0F7-98AC96529A29}" type="pres">
      <dgm:prSet presAssocID="{C94D3D14-A3BD-4C97-9FAD-877DA1F5ECA2}" presName="cycleMatrixDiagram" presStyleCnt="0">
        <dgm:presLayoutVars>
          <dgm:chMax val="1"/>
          <dgm:dir/>
          <dgm:animLvl val="lvl"/>
          <dgm:resizeHandles val="exact"/>
        </dgm:presLayoutVars>
      </dgm:prSet>
      <dgm:spPr/>
    </dgm:pt>
    <dgm:pt modelId="{C9E4C028-F642-4532-BC7C-214280706723}" type="pres">
      <dgm:prSet presAssocID="{C94D3D14-A3BD-4C97-9FAD-877DA1F5ECA2}" presName="children" presStyleCnt="0"/>
      <dgm:spPr/>
    </dgm:pt>
    <dgm:pt modelId="{ACDC5BC0-0EC7-41E5-9F9B-C94102D75674}" type="pres">
      <dgm:prSet presAssocID="{C94D3D14-A3BD-4C97-9FAD-877DA1F5ECA2}" presName="child1group" presStyleCnt="0"/>
      <dgm:spPr/>
    </dgm:pt>
    <dgm:pt modelId="{97CB04ED-7438-4704-8975-BC1DABF82500}" type="pres">
      <dgm:prSet presAssocID="{C94D3D14-A3BD-4C97-9FAD-877DA1F5ECA2}" presName="child1" presStyleLbl="bgAcc1" presStyleIdx="0" presStyleCnt="4"/>
      <dgm:spPr/>
    </dgm:pt>
    <dgm:pt modelId="{A6DB6B47-89A1-4A84-AF5C-7DB029C23961}" type="pres">
      <dgm:prSet presAssocID="{C94D3D14-A3BD-4C97-9FAD-877DA1F5ECA2}" presName="child1Text" presStyleLbl="bgAcc1" presStyleIdx="0" presStyleCnt="4">
        <dgm:presLayoutVars>
          <dgm:bulletEnabled val="1"/>
        </dgm:presLayoutVars>
      </dgm:prSet>
      <dgm:spPr/>
    </dgm:pt>
    <dgm:pt modelId="{535C7EEC-88C5-4B27-945D-4809F59D98BA}" type="pres">
      <dgm:prSet presAssocID="{C94D3D14-A3BD-4C97-9FAD-877DA1F5ECA2}" presName="child2group" presStyleCnt="0"/>
      <dgm:spPr/>
    </dgm:pt>
    <dgm:pt modelId="{D4E28979-469E-4652-9086-5627248BD5AD}" type="pres">
      <dgm:prSet presAssocID="{C94D3D14-A3BD-4C97-9FAD-877DA1F5ECA2}" presName="child2" presStyleLbl="bgAcc1" presStyleIdx="1" presStyleCnt="4"/>
      <dgm:spPr/>
    </dgm:pt>
    <dgm:pt modelId="{A4651135-6385-48F5-8C17-CE6EF509C25D}" type="pres">
      <dgm:prSet presAssocID="{C94D3D14-A3BD-4C97-9FAD-877DA1F5ECA2}" presName="child2Text" presStyleLbl="bgAcc1" presStyleIdx="1" presStyleCnt="4">
        <dgm:presLayoutVars>
          <dgm:bulletEnabled val="1"/>
        </dgm:presLayoutVars>
      </dgm:prSet>
      <dgm:spPr/>
    </dgm:pt>
    <dgm:pt modelId="{444AF003-6454-4685-AF7C-AEA2406A4DAB}" type="pres">
      <dgm:prSet presAssocID="{C94D3D14-A3BD-4C97-9FAD-877DA1F5ECA2}" presName="child3group" presStyleCnt="0"/>
      <dgm:spPr/>
    </dgm:pt>
    <dgm:pt modelId="{1D33F400-BA4C-4312-AE6D-3B1290F2D0D6}" type="pres">
      <dgm:prSet presAssocID="{C94D3D14-A3BD-4C97-9FAD-877DA1F5ECA2}" presName="child3" presStyleLbl="bgAcc1" presStyleIdx="2" presStyleCnt="4"/>
      <dgm:spPr/>
    </dgm:pt>
    <dgm:pt modelId="{91F2943A-AB89-438A-B6EC-19FF3424B2E6}" type="pres">
      <dgm:prSet presAssocID="{C94D3D14-A3BD-4C97-9FAD-877DA1F5ECA2}" presName="child3Text" presStyleLbl="bgAcc1" presStyleIdx="2" presStyleCnt="4">
        <dgm:presLayoutVars>
          <dgm:bulletEnabled val="1"/>
        </dgm:presLayoutVars>
      </dgm:prSet>
      <dgm:spPr/>
    </dgm:pt>
    <dgm:pt modelId="{EC5D4031-CE1C-4B89-93C4-D61D7B8B0007}" type="pres">
      <dgm:prSet presAssocID="{C94D3D14-A3BD-4C97-9FAD-877DA1F5ECA2}" presName="child4group" presStyleCnt="0"/>
      <dgm:spPr/>
    </dgm:pt>
    <dgm:pt modelId="{4B7A4C5E-DAB0-41CD-BDA9-735839A8113D}" type="pres">
      <dgm:prSet presAssocID="{C94D3D14-A3BD-4C97-9FAD-877DA1F5ECA2}" presName="child4" presStyleLbl="bgAcc1" presStyleIdx="3" presStyleCnt="4"/>
      <dgm:spPr/>
    </dgm:pt>
    <dgm:pt modelId="{D0D01F37-C865-4ACA-828D-3DE996917DA5}" type="pres">
      <dgm:prSet presAssocID="{C94D3D14-A3BD-4C97-9FAD-877DA1F5ECA2}" presName="child4Text" presStyleLbl="bgAcc1" presStyleIdx="3" presStyleCnt="4">
        <dgm:presLayoutVars>
          <dgm:bulletEnabled val="1"/>
        </dgm:presLayoutVars>
      </dgm:prSet>
      <dgm:spPr/>
    </dgm:pt>
    <dgm:pt modelId="{69EF55EA-50EE-43C4-9C40-5B33881EA632}" type="pres">
      <dgm:prSet presAssocID="{C94D3D14-A3BD-4C97-9FAD-877DA1F5ECA2}" presName="childPlaceholder" presStyleCnt="0"/>
      <dgm:spPr/>
    </dgm:pt>
    <dgm:pt modelId="{7BAE7B72-312B-47C4-8C9B-6DFD81165940}" type="pres">
      <dgm:prSet presAssocID="{C94D3D14-A3BD-4C97-9FAD-877DA1F5ECA2}" presName="circle" presStyleCnt="0"/>
      <dgm:spPr/>
    </dgm:pt>
    <dgm:pt modelId="{43647370-9957-41E5-80DA-BD50591510B8}" type="pres">
      <dgm:prSet presAssocID="{C94D3D14-A3BD-4C97-9FAD-877DA1F5ECA2}" presName="quadrant1" presStyleLbl="node1" presStyleIdx="0" presStyleCnt="4">
        <dgm:presLayoutVars>
          <dgm:chMax val="1"/>
          <dgm:bulletEnabled val="1"/>
        </dgm:presLayoutVars>
      </dgm:prSet>
      <dgm:spPr/>
    </dgm:pt>
    <dgm:pt modelId="{69BCBC18-27AD-47DB-9699-1C9C0638D1E0}" type="pres">
      <dgm:prSet presAssocID="{C94D3D14-A3BD-4C97-9FAD-877DA1F5ECA2}" presName="quadrant2" presStyleLbl="node1" presStyleIdx="1" presStyleCnt="4">
        <dgm:presLayoutVars>
          <dgm:chMax val="1"/>
          <dgm:bulletEnabled val="1"/>
        </dgm:presLayoutVars>
      </dgm:prSet>
      <dgm:spPr/>
    </dgm:pt>
    <dgm:pt modelId="{4F332DB4-9EAA-4AF3-96B7-F9B58E01DB45}" type="pres">
      <dgm:prSet presAssocID="{C94D3D14-A3BD-4C97-9FAD-877DA1F5ECA2}" presName="quadrant3" presStyleLbl="node1" presStyleIdx="2" presStyleCnt="4">
        <dgm:presLayoutVars>
          <dgm:chMax val="1"/>
          <dgm:bulletEnabled val="1"/>
        </dgm:presLayoutVars>
      </dgm:prSet>
      <dgm:spPr/>
    </dgm:pt>
    <dgm:pt modelId="{F1E6C963-674E-4F31-92CF-160F86CBF38D}" type="pres">
      <dgm:prSet presAssocID="{C94D3D14-A3BD-4C97-9FAD-877DA1F5ECA2}" presName="quadrant4" presStyleLbl="node1" presStyleIdx="3" presStyleCnt="4">
        <dgm:presLayoutVars>
          <dgm:chMax val="1"/>
          <dgm:bulletEnabled val="1"/>
        </dgm:presLayoutVars>
      </dgm:prSet>
      <dgm:spPr/>
    </dgm:pt>
    <dgm:pt modelId="{B0F72073-9C53-4CE3-9593-518A15B42677}" type="pres">
      <dgm:prSet presAssocID="{C94D3D14-A3BD-4C97-9FAD-877DA1F5ECA2}" presName="quadrantPlaceholder" presStyleCnt="0"/>
      <dgm:spPr/>
    </dgm:pt>
    <dgm:pt modelId="{1AACA936-E5B2-4FAD-92B4-4AE3DBDF1202}" type="pres">
      <dgm:prSet presAssocID="{C94D3D14-A3BD-4C97-9FAD-877DA1F5ECA2}" presName="center1" presStyleLbl="fgShp" presStyleIdx="0" presStyleCnt="2"/>
      <dgm:spPr/>
    </dgm:pt>
    <dgm:pt modelId="{22B40590-9566-4EC8-BA8D-DD74E9CF5129}" type="pres">
      <dgm:prSet presAssocID="{C94D3D14-A3BD-4C97-9FAD-877DA1F5ECA2}" presName="center2" presStyleLbl="fgShp" presStyleIdx="1" presStyleCnt="2"/>
      <dgm:spPr/>
    </dgm:pt>
  </dgm:ptLst>
  <dgm:cxnLst>
    <dgm:cxn modelId="{965F3301-6913-4BC8-BA75-5653A460B75E}" srcId="{5D7FE47C-E8F7-48F0-B5EA-736EF1A3C1F8}" destId="{1EB986C4-771E-41C7-866B-2C4B9117C9BE}" srcOrd="1" destOrd="0" parTransId="{D1EA8A9B-04E8-4172-B178-0163E0631757}" sibTransId="{D5B6FA15-E21D-40AA-9907-9E66C677296A}"/>
    <dgm:cxn modelId="{29290903-2D5F-4056-AB60-0C24860FB5BC}" type="presOf" srcId="{572E5EDA-8B5B-423B-BBE9-0B795A9CFA63}" destId="{91F2943A-AB89-438A-B6EC-19FF3424B2E6}" srcOrd="1" destOrd="0" presId="urn:microsoft.com/office/officeart/2005/8/layout/cycle4"/>
    <dgm:cxn modelId="{4FCDC604-B9C0-40F7-B40D-B7A7D6BF0303}" type="presOf" srcId="{C2419937-F350-48FB-9F90-53B295826DBC}" destId="{69BCBC18-27AD-47DB-9699-1C9C0638D1E0}" srcOrd="0" destOrd="0" presId="urn:microsoft.com/office/officeart/2005/8/layout/cycle4"/>
    <dgm:cxn modelId="{B5713808-62BB-4F13-82B1-70EBD0AA8F13}" type="presOf" srcId="{8A6CB05D-D206-4B5E-A199-968667D9EDD1}" destId="{91F2943A-AB89-438A-B6EC-19FF3424B2E6}" srcOrd="1" destOrd="3" presId="urn:microsoft.com/office/officeart/2005/8/layout/cycle4"/>
    <dgm:cxn modelId="{8D8B7E0A-3D42-47B0-A349-66EF7DD55D81}" type="presOf" srcId="{1EB986C4-771E-41C7-866B-2C4B9117C9BE}" destId="{4B7A4C5E-DAB0-41CD-BDA9-735839A8113D}" srcOrd="0" destOrd="1" presId="urn:microsoft.com/office/officeart/2005/8/layout/cycle4"/>
    <dgm:cxn modelId="{C33BCC0F-FD8F-4171-939A-3E6F2228B133}" type="presOf" srcId="{7C219023-925C-48E9-9EDA-A1CD23C93E11}" destId="{A4651135-6385-48F5-8C17-CE6EF509C25D}" srcOrd="1" destOrd="0" presId="urn:microsoft.com/office/officeart/2005/8/layout/cycle4"/>
    <dgm:cxn modelId="{158C2612-50E1-4F0E-8355-064E921516AB}" type="presOf" srcId="{FE9590C7-8026-4478-B2AF-31BCE1196C68}" destId="{A6DB6B47-89A1-4A84-AF5C-7DB029C23961}" srcOrd="1" destOrd="0" presId="urn:microsoft.com/office/officeart/2005/8/layout/cycle4"/>
    <dgm:cxn modelId="{57457216-9092-46A7-91F9-FBFF262EAFF9}" type="presOf" srcId="{B0584426-7685-4ED1-8F73-9363E29A1037}" destId="{A4651135-6385-48F5-8C17-CE6EF509C25D}" srcOrd="1" destOrd="2" presId="urn:microsoft.com/office/officeart/2005/8/layout/cycle4"/>
    <dgm:cxn modelId="{B39FF31A-C613-4689-9A69-4B34AF487108}" type="presOf" srcId="{1A434480-DFE4-4F97-A42C-7F056E6F2E58}" destId="{97CB04ED-7438-4704-8975-BC1DABF82500}" srcOrd="0" destOrd="1" presId="urn:microsoft.com/office/officeart/2005/8/layout/cycle4"/>
    <dgm:cxn modelId="{4A38CB1D-3FBA-4334-9067-E5DEBDD7881A}" srcId="{D64C4771-C038-484D-A62D-64276412BFFA}" destId="{8A6CB05D-D206-4B5E-A199-968667D9EDD1}" srcOrd="3" destOrd="0" parTransId="{664C5C29-9A9E-49DF-9D35-E3E72D2F3643}" sibTransId="{4758DF0A-1D36-4638-BB4C-ED7D359537A8}"/>
    <dgm:cxn modelId="{0BDAC924-1B76-4116-AD61-8B82D46377E6}" type="presOf" srcId="{A4E45884-3EFA-4968-AF05-34751997D133}" destId="{A6DB6B47-89A1-4A84-AF5C-7DB029C23961}" srcOrd="1" destOrd="3" presId="urn:microsoft.com/office/officeart/2005/8/layout/cycle4"/>
    <dgm:cxn modelId="{8361C636-0B8D-4FA8-8560-DCEE8341EE8D}" type="presOf" srcId="{2FF2C07F-DA0B-47A4-B7E6-EDBBFE1636AA}" destId="{D4E28979-469E-4652-9086-5627248BD5AD}" srcOrd="0" destOrd="3" presId="urn:microsoft.com/office/officeart/2005/8/layout/cycle4"/>
    <dgm:cxn modelId="{696D093C-E4F0-45B5-BBEF-9B83B9B77AE3}" srcId="{0F5EB1C6-9D0C-4D10-9AC8-08B0E0D8CBF7}" destId="{FE9590C7-8026-4478-B2AF-31BCE1196C68}" srcOrd="0" destOrd="0" parTransId="{F3AA8C2F-AD9E-438E-94EC-814BA3458D1E}" sibTransId="{5028FD6F-659B-43F5-920A-6ECE5273036F}"/>
    <dgm:cxn modelId="{3A57063E-005F-4660-8212-127E208465CB}" type="presOf" srcId="{1EB986C4-771E-41C7-866B-2C4B9117C9BE}" destId="{D0D01F37-C865-4ACA-828D-3DE996917DA5}" srcOrd="1" destOrd="1" presId="urn:microsoft.com/office/officeart/2005/8/layout/cycle4"/>
    <dgm:cxn modelId="{7CDA2A3E-96F7-409E-B5BE-AC022D227DAE}" srcId="{D64C4771-C038-484D-A62D-64276412BFFA}" destId="{8B9F1D77-B4D1-4DA6-95AF-C15BE8F6C2EF}" srcOrd="2" destOrd="0" parTransId="{FE86C3C9-7F60-448E-BBE1-D3DDBD5C174E}" sibTransId="{49382EDF-F811-42E6-B061-A30B0C4B0307}"/>
    <dgm:cxn modelId="{8749895B-EA38-442A-A5C3-7CBDD7A759EC}" type="presOf" srcId="{5D7FE47C-E8F7-48F0-B5EA-736EF1A3C1F8}" destId="{F1E6C963-674E-4F31-92CF-160F86CBF38D}" srcOrd="0" destOrd="0" presId="urn:microsoft.com/office/officeart/2005/8/layout/cycle4"/>
    <dgm:cxn modelId="{902D575C-EE2F-450A-AF5E-452DA38BF34A}" type="presOf" srcId="{FE9590C7-8026-4478-B2AF-31BCE1196C68}" destId="{97CB04ED-7438-4704-8975-BC1DABF82500}" srcOrd="0" destOrd="0" presId="urn:microsoft.com/office/officeart/2005/8/layout/cycle4"/>
    <dgm:cxn modelId="{61D7E55C-E2FE-4568-B97F-AE0C8F75D037}" type="presOf" srcId="{B0584426-7685-4ED1-8F73-9363E29A1037}" destId="{D4E28979-469E-4652-9086-5627248BD5AD}" srcOrd="0" destOrd="2" presId="urn:microsoft.com/office/officeart/2005/8/layout/cycle4"/>
    <dgm:cxn modelId="{31B58149-9E46-405A-A438-AB2C49852191}" srcId="{0F5EB1C6-9D0C-4D10-9AC8-08B0E0D8CBF7}" destId="{455D9948-A56D-40A4-89B2-D41B2A1D5445}" srcOrd="2" destOrd="0" parTransId="{C8640EB6-8B49-4EF7-94F1-A3EE209C8259}" sibTransId="{C1AF09B6-E485-48F7-9813-865688827BB5}"/>
    <dgm:cxn modelId="{3A90EC4C-4E68-4F03-A7EE-97D3BD9FF383}" type="presOf" srcId="{C94D3D14-A3BD-4C97-9FAD-877DA1F5ECA2}" destId="{E2ED73D5-9381-4F90-A0F7-98AC96529A29}" srcOrd="0" destOrd="0" presId="urn:microsoft.com/office/officeart/2005/8/layout/cycle4"/>
    <dgm:cxn modelId="{D48D6A73-D273-4CEA-B7F8-A3F3D68AEFC7}" srcId="{C94D3D14-A3BD-4C97-9FAD-877DA1F5ECA2}" destId="{0F5EB1C6-9D0C-4D10-9AC8-08B0E0D8CBF7}" srcOrd="0" destOrd="0" parTransId="{343610DF-CAE4-499C-AAD7-C6BA21091F56}" sibTransId="{BDB5A1F4-4F9C-4E76-9E73-CECEDD2E6B83}"/>
    <dgm:cxn modelId="{6C385254-4085-48ED-9B3F-9C80BB596AAA}" type="presOf" srcId="{496DFAF9-FA88-4046-95B3-E9E3F5D6A727}" destId="{4B7A4C5E-DAB0-41CD-BDA9-735839A8113D}" srcOrd="0" destOrd="0" presId="urn:microsoft.com/office/officeart/2005/8/layout/cycle4"/>
    <dgm:cxn modelId="{AA2F7354-0A6A-44FF-A8BC-CBB1375954B0}" type="presOf" srcId="{A4E45884-3EFA-4968-AF05-34751997D133}" destId="{97CB04ED-7438-4704-8975-BC1DABF82500}" srcOrd="0" destOrd="3" presId="urn:microsoft.com/office/officeart/2005/8/layout/cycle4"/>
    <dgm:cxn modelId="{4A4B3A55-5E8C-4F40-9314-159E8E67469C}" srcId="{C94D3D14-A3BD-4C97-9FAD-877DA1F5ECA2}" destId="{C2419937-F350-48FB-9F90-53B295826DBC}" srcOrd="1" destOrd="0" parTransId="{17DA8FDB-F5F9-4220-AE74-6E5C8F5FADC4}" sibTransId="{55D8084F-01D5-40CD-B19D-268B1675A82E}"/>
    <dgm:cxn modelId="{1E5D7A77-0C7B-46F2-8325-CF147C6F3C3E}" type="presOf" srcId="{7C219023-925C-48E9-9EDA-A1CD23C93E11}" destId="{D4E28979-469E-4652-9086-5627248BD5AD}" srcOrd="0" destOrd="0" presId="urn:microsoft.com/office/officeart/2005/8/layout/cycle4"/>
    <dgm:cxn modelId="{56607B78-BC01-4DF1-9A01-90359A7BF979}" srcId="{0F5EB1C6-9D0C-4D10-9AC8-08B0E0D8CBF7}" destId="{A4E45884-3EFA-4968-AF05-34751997D133}" srcOrd="3" destOrd="0" parTransId="{C534DD3B-E24F-400C-A3BA-BF2C9C9736C8}" sibTransId="{174B0F60-0050-449D-8CFB-E2581912033A}"/>
    <dgm:cxn modelId="{C66C045A-75DE-4871-A862-8B9DB6370D69}" srcId="{C2419937-F350-48FB-9F90-53B295826DBC}" destId="{4708E076-A210-4039-9DEF-BBE198BA9EBE}" srcOrd="1" destOrd="0" parTransId="{E9FC7B49-AF37-41E4-8089-6BDE9A2ED42E}" sibTransId="{FCBF18B5-2E0C-47D9-8075-B5D2EFA6D562}"/>
    <dgm:cxn modelId="{19A8155A-301C-48F1-9983-9B9EB65F2DFF}" type="presOf" srcId="{8A6CB05D-D206-4B5E-A199-968667D9EDD1}" destId="{1D33F400-BA4C-4312-AE6D-3B1290F2D0D6}" srcOrd="0" destOrd="3" presId="urn:microsoft.com/office/officeart/2005/8/layout/cycle4"/>
    <dgm:cxn modelId="{D205AF7A-64C6-4F95-9322-54C6C3D11003}" srcId="{0F5EB1C6-9D0C-4D10-9AC8-08B0E0D8CBF7}" destId="{1A434480-DFE4-4F97-A42C-7F056E6F2E58}" srcOrd="1" destOrd="0" parTransId="{2873F481-B1F7-4F11-8AB4-8FB6A17B9B19}" sibTransId="{5CAF5704-5636-4B60-AC8F-7D7F568B1A66}"/>
    <dgm:cxn modelId="{20DD6089-F06E-4330-8CC9-EE3AC53A610A}" srcId="{C94D3D14-A3BD-4C97-9FAD-877DA1F5ECA2}" destId="{D64C4771-C038-484D-A62D-64276412BFFA}" srcOrd="2" destOrd="0" parTransId="{16774D5A-3213-4509-9AD4-A624AFA664BF}" sibTransId="{264ADB2C-B5ED-4B85-866C-B484E1A8A2EB}"/>
    <dgm:cxn modelId="{C9B5F289-60EC-46E1-AE3C-DA7B70D8AB3F}" type="presOf" srcId="{8C5296BD-4A37-4083-8D1A-88AE43F857DC}" destId="{91F2943A-AB89-438A-B6EC-19FF3424B2E6}" srcOrd="1" destOrd="1" presId="urn:microsoft.com/office/officeart/2005/8/layout/cycle4"/>
    <dgm:cxn modelId="{C54B7F8B-ED47-4E25-847C-0E2EECA64594}" type="presOf" srcId="{D64C4771-C038-484D-A62D-64276412BFFA}" destId="{4F332DB4-9EAA-4AF3-96B7-F9B58E01DB45}" srcOrd="0" destOrd="0" presId="urn:microsoft.com/office/officeart/2005/8/layout/cycle4"/>
    <dgm:cxn modelId="{173B428E-AE41-43FF-AF76-E5855408C46F}" srcId="{C94D3D14-A3BD-4C97-9FAD-877DA1F5ECA2}" destId="{5D7FE47C-E8F7-48F0-B5EA-736EF1A3C1F8}" srcOrd="3" destOrd="0" parTransId="{740CCE11-0E4C-4A99-B4E2-48EBCF1265FB}" sibTransId="{24733256-1D74-4795-991E-F86134B47157}"/>
    <dgm:cxn modelId="{6C212291-EF92-4A51-9293-BCDF6122FB63}" type="presOf" srcId="{572E5EDA-8B5B-423B-BBE9-0B795A9CFA63}" destId="{1D33F400-BA4C-4312-AE6D-3B1290F2D0D6}" srcOrd="0" destOrd="0" presId="urn:microsoft.com/office/officeart/2005/8/layout/cycle4"/>
    <dgm:cxn modelId="{98669391-1030-4489-82DE-40586A17F504}" type="presOf" srcId="{8C5296BD-4A37-4083-8D1A-88AE43F857DC}" destId="{1D33F400-BA4C-4312-AE6D-3B1290F2D0D6}" srcOrd="0" destOrd="1" presId="urn:microsoft.com/office/officeart/2005/8/layout/cycle4"/>
    <dgm:cxn modelId="{CA56EA93-337B-4550-AEA7-9E4F739A9595}" srcId="{C2419937-F350-48FB-9F90-53B295826DBC}" destId="{7C219023-925C-48E9-9EDA-A1CD23C93E11}" srcOrd="0" destOrd="0" parTransId="{485D4176-8474-4490-810A-BCA8DAA3C28C}" sibTransId="{C4F9ED0D-6600-4789-8E7D-0106C9B7AB2A}"/>
    <dgm:cxn modelId="{B06FA395-EA06-40FB-ACC6-B9134DF6288E}" type="presOf" srcId="{0F5EB1C6-9D0C-4D10-9AC8-08B0E0D8CBF7}" destId="{43647370-9957-41E5-80DA-BD50591510B8}" srcOrd="0" destOrd="0" presId="urn:microsoft.com/office/officeart/2005/8/layout/cycle4"/>
    <dgm:cxn modelId="{A4B01596-0D08-47CA-BD24-164D08EB632C}" type="presOf" srcId="{1A434480-DFE4-4F97-A42C-7F056E6F2E58}" destId="{A6DB6B47-89A1-4A84-AF5C-7DB029C23961}" srcOrd="1" destOrd="1" presId="urn:microsoft.com/office/officeart/2005/8/layout/cycle4"/>
    <dgm:cxn modelId="{4F8B2897-F0B9-4363-A4B4-614DE4C11903}" srcId="{D64C4771-C038-484D-A62D-64276412BFFA}" destId="{572E5EDA-8B5B-423B-BBE9-0B795A9CFA63}" srcOrd="0" destOrd="0" parTransId="{7232BDD0-287E-457D-984B-7D96FB0A5144}" sibTransId="{C7F6ECFE-8B61-42A8-BE5F-0205FDCB60EC}"/>
    <dgm:cxn modelId="{4FD94998-887C-4049-BE65-979927554776}" srcId="{C2419937-F350-48FB-9F90-53B295826DBC}" destId="{B0584426-7685-4ED1-8F73-9363E29A1037}" srcOrd="2" destOrd="0" parTransId="{F1306A82-589B-4CF0-940B-C336D2803A69}" sibTransId="{9DA365EE-750B-443C-80A2-C870B2FC6DC6}"/>
    <dgm:cxn modelId="{C6273099-301C-4805-AC18-D97E061EF172}" type="presOf" srcId="{D156A48A-23BB-4156-9341-FE9BBA4E845F}" destId="{D0D01F37-C865-4ACA-828D-3DE996917DA5}" srcOrd="1" destOrd="2" presId="urn:microsoft.com/office/officeart/2005/8/layout/cycle4"/>
    <dgm:cxn modelId="{4E29869A-A7C3-4397-960D-D5D475A4AEE5}" srcId="{5D7FE47C-E8F7-48F0-B5EA-736EF1A3C1F8}" destId="{496DFAF9-FA88-4046-95B3-E9E3F5D6A727}" srcOrd="0" destOrd="0" parTransId="{708FE4D1-E53A-4DCA-983E-92BA8230A378}" sibTransId="{2BA952EC-5D40-494D-B725-F62159DB79C1}"/>
    <dgm:cxn modelId="{08075B9D-60BD-479E-A85A-67024E9EF9FF}" type="presOf" srcId="{4708E076-A210-4039-9DEF-BBE198BA9EBE}" destId="{A4651135-6385-48F5-8C17-CE6EF509C25D}" srcOrd="1" destOrd="1" presId="urn:microsoft.com/office/officeart/2005/8/layout/cycle4"/>
    <dgm:cxn modelId="{C0DF64A5-85E2-4838-99ED-3ABB1036D864}" type="presOf" srcId="{8B9F1D77-B4D1-4DA6-95AF-C15BE8F6C2EF}" destId="{91F2943A-AB89-438A-B6EC-19FF3424B2E6}" srcOrd="1" destOrd="2" presId="urn:microsoft.com/office/officeart/2005/8/layout/cycle4"/>
    <dgm:cxn modelId="{C4E7A7A5-49B4-4E48-8C22-D1082463B864}" srcId="{D64C4771-C038-484D-A62D-64276412BFFA}" destId="{8C5296BD-4A37-4083-8D1A-88AE43F857DC}" srcOrd="1" destOrd="0" parTransId="{2C787E13-4BDA-424E-A754-73020B678BCB}" sibTransId="{E8400227-E160-4D02-9B04-34B6992E72F4}"/>
    <dgm:cxn modelId="{08EE24A6-046E-4F01-BE4C-2DC764B34920}" type="presOf" srcId="{2FF2C07F-DA0B-47A4-B7E6-EDBBFE1636AA}" destId="{A4651135-6385-48F5-8C17-CE6EF509C25D}" srcOrd="1" destOrd="3" presId="urn:microsoft.com/office/officeart/2005/8/layout/cycle4"/>
    <dgm:cxn modelId="{9A690CA8-8E2F-4678-9AB4-9D7B7028C96F}" type="presOf" srcId="{496DFAF9-FA88-4046-95B3-E9E3F5D6A727}" destId="{D0D01F37-C865-4ACA-828D-3DE996917DA5}" srcOrd="1" destOrd="0" presId="urn:microsoft.com/office/officeart/2005/8/layout/cycle4"/>
    <dgm:cxn modelId="{099C68AC-249A-40EE-827A-64C3147DDD6B}" srcId="{5D7FE47C-E8F7-48F0-B5EA-736EF1A3C1F8}" destId="{D156A48A-23BB-4156-9341-FE9BBA4E845F}" srcOrd="2" destOrd="0" parTransId="{E83466F7-D954-42CE-9CB5-C266A3A4EB32}" sibTransId="{1CE48B3F-4493-4181-BA8A-7B24C8F5CF9A}"/>
    <dgm:cxn modelId="{A4BE42C1-0F2A-476D-9E52-880E61E361ED}" type="presOf" srcId="{4708E076-A210-4039-9DEF-BBE198BA9EBE}" destId="{D4E28979-469E-4652-9086-5627248BD5AD}" srcOrd="0" destOrd="1" presId="urn:microsoft.com/office/officeart/2005/8/layout/cycle4"/>
    <dgm:cxn modelId="{8F3367DE-4721-40EC-8871-3FAB83D611AA}" type="presOf" srcId="{455D9948-A56D-40A4-89B2-D41B2A1D5445}" destId="{97CB04ED-7438-4704-8975-BC1DABF82500}" srcOrd="0" destOrd="2" presId="urn:microsoft.com/office/officeart/2005/8/layout/cycle4"/>
    <dgm:cxn modelId="{6CC1BAF3-4E4C-46CF-A7BA-FE3C4859C450}" srcId="{C2419937-F350-48FB-9F90-53B295826DBC}" destId="{2FF2C07F-DA0B-47A4-B7E6-EDBBFE1636AA}" srcOrd="3" destOrd="0" parTransId="{595AA067-D0C7-4B77-8AC9-2ED33D6F24DA}" sibTransId="{115BE96C-AE2D-42FF-8218-8037EAE46918}"/>
    <dgm:cxn modelId="{A66EE5FC-EB5E-43A1-915A-316A632EC77D}" type="presOf" srcId="{455D9948-A56D-40A4-89B2-D41B2A1D5445}" destId="{A6DB6B47-89A1-4A84-AF5C-7DB029C23961}" srcOrd="1" destOrd="2" presId="urn:microsoft.com/office/officeart/2005/8/layout/cycle4"/>
    <dgm:cxn modelId="{1977D6FD-CC09-4AD8-8325-055AC9BC121C}" type="presOf" srcId="{8B9F1D77-B4D1-4DA6-95AF-C15BE8F6C2EF}" destId="{1D33F400-BA4C-4312-AE6D-3B1290F2D0D6}" srcOrd="0" destOrd="2" presId="urn:microsoft.com/office/officeart/2005/8/layout/cycle4"/>
    <dgm:cxn modelId="{29B22AFE-F910-480D-A7D8-2BD339F692F0}" type="presOf" srcId="{D156A48A-23BB-4156-9341-FE9BBA4E845F}" destId="{4B7A4C5E-DAB0-41CD-BDA9-735839A8113D}" srcOrd="0" destOrd="2" presId="urn:microsoft.com/office/officeart/2005/8/layout/cycle4"/>
    <dgm:cxn modelId="{C7EA82DF-42CC-449B-859C-E0B3948D5B02}" type="presParOf" srcId="{E2ED73D5-9381-4F90-A0F7-98AC96529A29}" destId="{C9E4C028-F642-4532-BC7C-214280706723}" srcOrd="0" destOrd="0" presId="urn:microsoft.com/office/officeart/2005/8/layout/cycle4"/>
    <dgm:cxn modelId="{EA086F47-E141-4CBE-AA05-EF69880DB6F3}" type="presParOf" srcId="{C9E4C028-F642-4532-BC7C-214280706723}" destId="{ACDC5BC0-0EC7-41E5-9F9B-C94102D75674}" srcOrd="0" destOrd="0" presId="urn:microsoft.com/office/officeart/2005/8/layout/cycle4"/>
    <dgm:cxn modelId="{8299E99F-FA2C-41B2-B922-438C6E2FD2BD}" type="presParOf" srcId="{ACDC5BC0-0EC7-41E5-9F9B-C94102D75674}" destId="{97CB04ED-7438-4704-8975-BC1DABF82500}" srcOrd="0" destOrd="0" presId="urn:microsoft.com/office/officeart/2005/8/layout/cycle4"/>
    <dgm:cxn modelId="{0FF5B434-AD82-4072-9605-19D7D606A0FF}" type="presParOf" srcId="{ACDC5BC0-0EC7-41E5-9F9B-C94102D75674}" destId="{A6DB6B47-89A1-4A84-AF5C-7DB029C23961}" srcOrd="1" destOrd="0" presId="urn:microsoft.com/office/officeart/2005/8/layout/cycle4"/>
    <dgm:cxn modelId="{517B84B4-0BB6-455F-B40E-E0AE0B5C2925}" type="presParOf" srcId="{C9E4C028-F642-4532-BC7C-214280706723}" destId="{535C7EEC-88C5-4B27-945D-4809F59D98BA}" srcOrd="1" destOrd="0" presId="urn:microsoft.com/office/officeart/2005/8/layout/cycle4"/>
    <dgm:cxn modelId="{D5B2F14F-47B9-4752-BEA7-F9C3C8FA30CF}" type="presParOf" srcId="{535C7EEC-88C5-4B27-945D-4809F59D98BA}" destId="{D4E28979-469E-4652-9086-5627248BD5AD}" srcOrd="0" destOrd="0" presId="urn:microsoft.com/office/officeart/2005/8/layout/cycle4"/>
    <dgm:cxn modelId="{BEE52B13-B6B9-4F58-8B24-8691C44C7DC9}" type="presParOf" srcId="{535C7EEC-88C5-4B27-945D-4809F59D98BA}" destId="{A4651135-6385-48F5-8C17-CE6EF509C25D}" srcOrd="1" destOrd="0" presId="urn:microsoft.com/office/officeart/2005/8/layout/cycle4"/>
    <dgm:cxn modelId="{F43580B1-4397-4949-B39C-0A324C781CD7}" type="presParOf" srcId="{C9E4C028-F642-4532-BC7C-214280706723}" destId="{444AF003-6454-4685-AF7C-AEA2406A4DAB}" srcOrd="2" destOrd="0" presId="urn:microsoft.com/office/officeart/2005/8/layout/cycle4"/>
    <dgm:cxn modelId="{6BEFF2F2-43B7-4890-9328-64C71096671B}" type="presParOf" srcId="{444AF003-6454-4685-AF7C-AEA2406A4DAB}" destId="{1D33F400-BA4C-4312-AE6D-3B1290F2D0D6}" srcOrd="0" destOrd="0" presId="urn:microsoft.com/office/officeart/2005/8/layout/cycle4"/>
    <dgm:cxn modelId="{F7A7345D-F45F-4549-B2B6-A4490D0BE16E}" type="presParOf" srcId="{444AF003-6454-4685-AF7C-AEA2406A4DAB}" destId="{91F2943A-AB89-438A-B6EC-19FF3424B2E6}" srcOrd="1" destOrd="0" presId="urn:microsoft.com/office/officeart/2005/8/layout/cycle4"/>
    <dgm:cxn modelId="{C1F3E65B-3960-47B5-B2FA-17B493F3238D}" type="presParOf" srcId="{C9E4C028-F642-4532-BC7C-214280706723}" destId="{EC5D4031-CE1C-4B89-93C4-D61D7B8B0007}" srcOrd="3" destOrd="0" presId="urn:microsoft.com/office/officeart/2005/8/layout/cycle4"/>
    <dgm:cxn modelId="{4B7E11FB-3132-4A00-9F6B-A37C54664634}" type="presParOf" srcId="{EC5D4031-CE1C-4B89-93C4-D61D7B8B0007}" destId="{4B7A4C5E-DAB0-41CD-BDA9-735839A8113D}" srcOrd="0" destOrd="0" presId="urn:microsoft.com/office/officeart/2005/8/layout/cycle4"/>
    <dgm:cxn modelId="{0562E322-88FB-4C56-BC97-3D732E030AC8}" type="presParOf" srcId="{EC5D4031-CE1C-4B89-93C4-D61D7B8B0007}" destId="{D0D01F37-C865-4ACA-828D-3DE996917DA5}" srcOrd="1" destOrd="0" presId="urn:microsoft.com/office/officeart/2005/8/layout/cycle4"/>
    <dgm:cxn modelId="{612D68C6-7F54-4D0E-8A14-1B5AE26EC469}" type="presParOf" srcId="{C9E4C028-F642-4532-BC7C-214280706723}" destId="{69EF55EA-50EE-43C4-9C40-5B33881EA632}" srcOrd="4" destOrd="0" presId="urn:microsoft.com/office/officeart/2005/8/layout/cycle4"/>
    <dgm:cxn modelId="{ABC64FA8-926A-42A0-B017-3E2CE1A6F2EC}" type="presParOf" srcId="{E2ED73D5-9381-4F90-A0F7-98AC96529A29}" destId="{7BAE7B72-312B-47C4-8C9B-6DFD81165940}" srcOrd="1" destOrd="0" presId="urn:microsoft.com/office/officeart/2005/8/layout/cycle4"/>
    <dgm:cxn modelId="{714A7875-3DDA-4B6E-A072-B85D90B475E6}" type="presParOf" srcId="{7BAE7B72-312B-47C4-8C9B-6DFD81165940}" destId="{43647370-9957-41E5-80DA-BD50591510B8}" srcOrd="0" destOrd="0" presId="urn:microsoft.com/office/officeart/2005/8/layout/cycle4"/>
    <dgm:cxn modelId="{E1F6B8FA-F16A-4918-B776-42F0659B5466}" type="presParOf" srcId="{7BAE7B72-312B-47C4-8C9B-6DFD81165940}" destId="{69BCBC18-27AD-47DB-9699-1C9C0638D1E0}" srcOrd="1" destOrd="0" presId="urn:microsoft.com/office/officeart/2005/8/layout/cycle4"/>
    <dgm:cxn modelId="{367CB701-43D2-421E-AA3B-3F2000C7E0BA}" type="presParOf" srcId="{7BAE7B72-312B-47C4-8C9B-6DFD81165940}" destId="{4F332DB4-9EAA-4AF3-96B7-F9B58E01DB45}" srcOrd="2" destOrd="0" presId="urn:microsoft.com/office/officeart/2005/8/layout/cycle4"/>
    <dgm:cxn modelId="{243AB82B-3349-4363-8684-92230A911DA7}" type="presParOf" srcId="{7BAE7B72-312B-47C4-8C9B-6DFD81165940}" destId="{F1E6C963-674E-4F31-92CF-160F86CBF38D}" srcOrd="3" destOrd="0" presId="urn:microsoft.com/office/officeart/2005/8/layout/cycle4"/>
    <dgm:cxn modelId="{476453B7-2BF9-49D3-9F5B-BA7E99C75500}" type="presParOf" srcId="{7BAE7B72-312B-47C4-8C9B-6DFD81165940}" destId="{B0F72073-9C53-4CE3-9593-518A15B42677}" srcOrd="4" destOrd="0" presId="urn:microsoft.com/office/officeart/2005/8/layout/cycle4"/>
    <dgm:cxn modelId="{173D236A-9ABA-4007-92A3-C164705EFD61}" type="presParOf" srcId="{E2ED73D5-9381-4F90-A0F7-98AC96529A29}" destId="{1AACA936-E5B2-4FAD-92B4-4AE3DBDF1202}" srcOrd="2" destOrd="0" presId="urn:microsoft.com/office/officeart/2005/8/layout/cycle4"/>
    <dgm:cxn modelId="{30C067EB-D8EA-4D1D-A08A-B30404E7AD0F}" type="presParOf" srcId="{E2ED73D5-9381-4F90-A0F7-98AC96529A29}" destId="{22B40590-9566-4EC8-BA8D-DD74E9CF5129}" srcOrd="3" destOrd="0" presId="urn:microsoft.com/office/officeart/2005/8/layout/cycle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33F400-BA4C-4312-AE6D-3B1290F2D0D6}">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6622584"/>
              <a:satOff val="26541"/>
              <a:lumOff val="5752"/>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GB" sz="700" kern="1200">
              <a:latin typeface="Arial" pitchFamily="34" charset="0"/>
              <a:cs typeface="Arial" pitchFamily="34" charset="0"/>
            </a:rPr>
            <a:t>Cross-reference </a:t>
          </a:r>
          <a:endParaRPr lang="en-IN" sz="700" kern="1200">
            <a:latin typeface="Arial" pitchFamily="34" charset="0"/>
            <a:cs typeface="Arial" pitchFamily="34" charset="0"/>
          </a:endParaRPr>
        </a:p>
        <a:p>
          <a:pPr marL="57150" lvl="1" indent="-57150" algn="l" defTabSz="311150">
            <a:lnSpc>
              <a:spcPct val="90000"/>
            </a:lnSpc>
            <a:spcBef>
              <a:spcPct val="0"/>
            </a:spcBef>
            <a:spcAft>
              <a:spcPct val="15000"/>
            </a:spcAft>
            <a:buChar char="•"/>
          </a:pPr>
          <a:r>
            <a:rPr lang="en-GB" sz="700" kern="1200">
              <a:latin typeface="Arial" pitchFamily="34" charset="0"/>
              <a:cs typeface="Arial" pitchFamily="34" charset="0"/>
            </a:rPr>
            <a:t>Safety benchmark of the units</a:t>
          </a:r>
          <a:endParaRPr lang="en-IN" sz="700" kern="1200">
            <a:latin typeface="Arial" pitchFamily="34" charset="0"/>
            <a:cs typeface="Arial" pitchFamily="34" charset="0"/>
          </a:endParaRPr>
        </a:p>
        <a:p>
          <a:pPr marL="57150" lvl="1" indent="-57150" algn="l" defTabSz="311150">
            <a:lnSpc>
              <a:spcPct val="90000"/>
            </a:lnSpc>
            <a:spcBef>
              <a:spcPct val="0"/>
            </a:spcBef>
            <a:spcAft>
              <a:spcPct val="15000"/>
            </a:spcAft>
            <a:buChar char="•"/>
          </a:pPr>
          <a:r>
            <a:rPr lang="en-GB" sz="700" kern="1200">
              <a:latin typeface="Arial" pitchFamily="34" charset="0"/>
              <a:cs typeface="Arial" pitchFamily="34" charset="0"/>
            </a:rPr>
            <a:t>Success of the portal </a:t>
          </a:r>
          <a:endParaRPr lang="en-IN" sz="700" kern="1200">
            <a:latin typeface="Arial" pitchFamily="34" charset="0"/>
            <a:cs typeface="Arial" pitchFamily="34" charset="0"/>
          </a:endParaRPr>
        </a:p>
        <a:p>
          <a:pPr marL="57150" lvl="1" indent="-57150" algn="l" defTabSz="311150">
            <a:lnSpc>
              <a:spcPct val="90000"/>
            </a:lnSpc>
            <a:spcBef>
              <a:spcPct val="0"/>
            </a:spcBef>
            <a:spcAft>
              <a:spcPct val="15000"/>
            </a:spcAft>
            <a:buChar char="•"/>
          </a:pPr>
          <a:r>
            <a:rPr lang="en-GB" sz="700" kern="1200">
              <a:latin typeface="Arial" pitchFamily="34" charset="0"/>
              <a:cs typeface="Arial" pitchFamily="34" charset="0"/>
            </a:rPr>
            <a:t>100% timely reporting, irrespective</a:t>
          </a:r>
          <a:endParaRPr lang="en-IN" sz="700" kern="1200">
            <a:latin typeface="Arial" pitchFamily="34" charset="0"/>
            <a:cs typeface="Arial" pitchFamily="34" charset="0"/>
          </a:endParaRPr>
        </a:p>
      </dsp:txBody>
      <dsp:txXfrm>
        <a:off x="3739258" y="2454800"/>
        <a:ext cx="1061704" cy="723102"/>
      </dsp:txXfrm>
    </dsp:sp>
    <dsp:sp modelId="{4B7A4C5E-DAB0-41CD-BDA9-735839A8113D}">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GB" sz="700" kern="1200">
              <a:latin typeface="Arial" pitchFamily="34" charset="0"/>
              <a:cs typeface="Arial" pitchFamily="34" charset="0"/>
            </a:rPr>
            <a:t>Portal interface can be streamlined</a:t>
          </a:r>
          <a:endParaRPr lang="en-IN" sz="700" kern="1200">
            <a:latin typeface="Arial" pitchFamily="34" charset="0"/>
            <a:cs typeface="Arial" pitchFamily="34" charset="0"/>
          </a:endParaRPr>
        </a:p>
        <a:p>
          <a:pPr marL="57150" lvl="1" indent="-57150" algn="l" defTabSz="311150">
            <a:lnSpc>
              <a:spcPct val="90000"/>
            </a:lnSpc>
            <a:spcBef>
              <a:spcPct val="0"/>
            </a:spcBef>
            <a:spcAft>
              <a:spcPct val="15000"/>
            </a:spcAft>
            <a:buChar char="•"/>
          </a:pPr>
          <a:r>
            <a:rPr lang="en-GB" sz="700" kern="1200">
              <a:latin typeface="Arial" pitchFamily="34" charset="0"/>
              <a:cs typeface="Arial" pitchFamily="34" charset="0"/>
            </a:rPr>
            <a:t>Persistent reporting delay </a:t>
          </a:r>
          <a:endParaRPr lang="en-IN" sz="700" kern="1200">
            <a:latin typeface="Arial" pitchFamily="34" charset="0"/>
            <a:cs typeface="Arial" pitchFamily="34" charset="0"/>
          </a:endParaRPr>
        </a:p>
        <a:p>
          <a:pPr marL="57150" lvl="1" indent="-57150" algn="l" defTabSz="311150">
            <a:lnSpc>
              <a:spcPct val="90000"/>
            </a:lnSpc>
            <a:spcBef>
              <a:spcPct val="0"/>
            </a:spcBef>
            <a:spcAft>
              <a:spcPct val="15000"/>
            </a:spcAft>
            <a:buChar char="•"/>
          </a:pPr>
          <a:r>
            <a:rPr lang="en-GB" sz="700" kern="1200">
              <a:latin typeface="Arial" pitchFamily="34" charset="0"/>
              <a:cs typeface="Arial" pitchFamily="34" charset="0"/>
            </a:rPr>
            <a:t>Integration of an automatic trigger </a:t>
          </a:r>
          <a:endParaRPr lang="en-IN" sz="700" kern="1200">
            <a:latin typeface="Arial" pitchFamily="34" charset="0"/>
            <a:cs typeface="Arial" pitchFamily="34" charset="0"/>
          </a:endParaRPr>
        </a:p>
      </dsp:txBody>
      <dsp:txXfrm>
        <a:off x="685436" y="2454800"/>
        <a:ext cx="1061704" cy="723102"/>
      </dsp:txXfrm>
    </dsp:sp>
    <dsp:sp modelId="{D4E28979-469E-4652-9086-5627248BD5AD}">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3311292"/>
              <a:satOff val="13270"/>
              <a:lumOff val="287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GB" sz="700" kern="1200">
              <a:latin typeface="Arial" pitchFamily="34" charset="0"/>
              <a:cs typeface="Arial" pitchFamily="34" charset="0"/>
            </a:rPr>
            <a:t>Pilot phase </a:t>
          </a:r>
          <a:endParaRPr lang="en-IN" sz="700" kern="1200">
            <a:latin typeface="Arial" pitchFamily="34" charset="0"/>
            <a:cs typeface="Arial" pitchFamily="34" charset="0"/>
          </a:endParaRPr>
        </a:p>
        <a:p>
          <a:pPr marL="57150" lvl="1" indent="-57150" algn="l" defTabSz="311150">
            <a:lnSpc>
              <a:spcPct val="90000"/>
            </a:lnSpc>
            <a:spcBef>
              <a:spcPct val="0"/>
            </a:spcBef>
            <a:spcAft>
              <a:spcPct val="15000"/>
            </a:spcAft>
            <a:buChar char="•"/>
          </a:pPr>
          <a:r>
            <a:rPr lang="en-GB" sz="700" kern="1200">
              <a:latin typeface="Arial" pitchFamily="34" charset="0"/>
              <a:cs typeface="Arial" pitchFamily="34" charset="0"/>
            </a:rPr>
            <a:t>Anonymous digital surveys </a:t>
          </a:r>
          <a:endParaRPr lang="en-IN" sz="700" kern="1200">
            <a:latin typeface="Arial" pitchFamily="34" charset="0"/>
            <a:cs typeface="Arial" pitchFamily="34" charset="0"/>
          </a:endParaRPr>
        </a:p>
        <a:p>
          <a:pPr marL="57150" lvl="1" indent="-57150" algn="l" defTabSz="311150">
            <a:lnSpc>
              <a:spcPct val="90000"/>
            </a:lnSpc>
            <a:spcBef>
              <a:spcPct val="0"/>
            </a:spcBef>
            <a:spcAft>
              <a:spcPct val="15000"/>
            </a:spcAft>
            <a:buChar char="•"/>
          </a:pPr>
          <a:r>
            <a:rPr lang="en-GB" sz="700" kern="1200">
              <a:latin typeface="Arial" pitchFamily="34" charset="0"/>
              <a:cs typeface="Arial" pitchFamily="34" charset="0"/>
            </a:rPr>
            <a:t>Consistent feedback </a:t>
          </a:r>
          <a:endParaRPr lang="en-IN" sz="700" kern="1200">
            <a:latin typeface="Arial" pitchFamily="34" charset="0"/>
            <a:cs typeface="Arial" pitchFamily="34" charset="0"/>
          </a:endParaRPr>
        </a:p>
        <a:p>
          <a:pPr marL="57150" lvl="1" indent="-57150" algn="l" defTabSz="311150">
            <a:lnSpc>
              <a:spcPct val="90000"/>
            </a:lnSpc>
            <a:spcBef>
              <a:spcPct val="0"/>
            </a:spcBef>
            <a:spcAft>
              <a:spcPct val="15000"/>
            </a:spcAft>
            <a:buChar char="•"/>
          </a:pPr>
          <a:r>
            <a:rPr lang="en-GB" sz="700" kern="1200">
              <a:latin typeface="Arial" pitchFamily="34" charset="0"/>
              <a:cs typeface="Arial" pitchFamily="34" charset="0"/>
            </a:rPr>
            <a:t>Safety culture of the system </a:t>
          </a:r>
          <a:endParaRPr lang="en-IN" sz="700" kern="1200">
            <a:latin typeface="Arial" pitchFamily="34" charset="0"/>
            <a:cs typeface="Arial" pitchFamily="34" charset="0"/>
          </a:endParaRPr>
        </a:p>
      </dsp:txBody>
      <dsp:txXfrm>
        <a:off x="3739258" y="22497"/>
        <a:ext cx="1061704" cy="723102"/>
      </dsp:txXfrm>
    </dsp:sp>
    <dsp:sp modelId="{97CB04ED-7438-4704-8975-BC1DABF82500}">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311150">
            <a:lnSpc>
              <a:spcPct val="90000"/>
            </a:lnSpc>
            <a:spcBef>
              <a:spcPct val="0"/>
            </a:spcBef>
            <a:spcAft>
              <a:spcPct val="15000"/>
            </a:spcAft>
            <a:buChar char="•"/>
          </a:pPr>
          <a:r>
            <a:rPr lang="en-GB" sz="700" kern="1200">
              <a:latin typeface="Arial" pitchFamily="34" charset="0"/>
              <a:cs typeface="Arial" pitchFamily="34" charset="0"/>
            </a:rPr>
            <a:t>Implement a digitised real-time incident escalation </a:t>
          </a:r>
          <a:endParaRPr lang="en-IN" sz="700" kern="1200">
            <a:latin typeface="Arial" pitchFamily="34" charset="0"/>
            <a:cs typeface="Arial" pitchFamily="34" charset="0"/>
          </a:endParaRPr>
        </a:p>
        <a:p>
          <a:pPr marL="57150" lvl="1" indent="-57150" algn="l" defTabSz="311150">
            <a:lnSpc>
              <a:spcPct val="90000"/>
            </a:lnSpc>
            <a:spcBef>
              <a:spcPct val="0"/>
            </a:spcBef>
            <a:spcAft>
              <a:spcPct val="15000"/>
            </a:spcAft>
            <a:buChar char="•"/>
          </a:pPr>
          <a:r>
            <a:rPr lang="en-GB" sz="700" kern="1200">
              <a:latin typeface="Arial" pitchFamily="34" charset="0"/>
              <a:cs typeface="Arial" pitchFamily="34" charset="0"/>
            </a:rPr>
            <a:t>Whistleblowing portal </a:t>
          </a:r>
          <a:endParaRPr lang="en-IN" sz="700" kern="1200">
            <a:latin typeface="Arial" pitchFamily="34" charset="0"/>
            <a:cs typeface="Arial" pitchFamily="34" charset="0"/>
          </a:endParaRPr>
        </a:p>
        <a:p>
          <a:pPr marL="57150" lvl="1" indent="-57150" algn="l" defTabSz="311150">
            <a:lnSpc>
              <a:spcPct val="90000"/>
            </a:lnSpc>
            <a:spcBef>
              <a:spcPct val="0"/>
            </a:spcBef>
            <a:spcAft>
              <a:spcPct val="15000"/>
            </a:spcAft>
            <a:buChar char="•"/>
          </a:pPr>
          <a:r>
            <a:rPr lang="en-GB" sz="700" kern="1200">
              <a:latin typeface="Arial" pitchFamily="34" charset="0"/>
              <a:cs typeface="Arial" pitchFamily="34" charset="0"/>
            </a:rPr>
            <a:t>Fundamental clinical audit framework</a:t>
          </a:r>
          <a:endParaRPr lang="en-IN" sz="700" kern="1200">
            <a:latin typeface="Arial" pitchFamily="34" charset="0"/>
            <a:cs typeface="Arial" pitchFamily="34" charset="0"/>
          </a:endParaRPr>
        </a:p>
        <a:p>
          <a:pPr marL="57150" lvl="1" indent="-57150" algn="l" defTabSz="311150">
            <a:lnSpc>
              <a:spcPct val="90000"/>
            </a:lnSpc>
            <a:spcBef>
              <a:spcPct val="0"/>
            </a:spcBef>
            <a:spcAft>
              <a:spcPct val="15000"/>
            </a:spcAft>
            <a:buChar char="•"/>
          </a:pPr>
          <a:r>
            <a:rPr lang="en-GB" sz="700" kern="1200">
              <a:latin typeface="Arial" pitchFamily="34" charset="0"/>
              <a:cs typeface="Arial" pitchFamily="34" charset="0"/>
            </a:rPr>
            <a:t>Clinical concerns are directly addressed</a:t>
          </a:r>
          <a:endParaRPr lang="en-IN" sz="700" kern="1200">
            <a:latin typeface="Arial" pitchFamily="34" charset="0"/>
            <a:cs typeface="Arial" pitchFamily="34" charset="0"/>
          </a:endParaRPr>
        </a:p>
      </dsp:txBody>
      <dsp:txXfrm>
        <a:off x="685436" y="22497"/>
        <a:ext cx="1061704" cy="723102"/>
      </dsp:txXfrm>
    </dsp:sp>
    <dsp:sp modelId="{43647370-9957-41E5-80DA-BD50591510B8}">
      <dsp:nvSpPr>
        <dsp:cNvPr id="0" name=""/>
        <dsp:cNvSpPr/>
      </dsp:nvSpPr>
      <dsp:spPr>
        <a:xfrm>
          <a:off x="1325422" y="182422"/>
          <a:ext cx="1385773" cy="1385773"/>
        </a:xfrm>
        <a:prstGeom prst="pieWedg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5128" tIns="135128" rIns="135128" bIns="135128" numCol="1" spcCol="1270" anchor="ctr" anchorCtr="0">
          <a:noAutofit/>
        </a:bodyPr>
        <a:lstStyle/>
        <a:p>
          <a:pPr marL="0" lvl="0" indent="0" algn="ctr" defTabSz="844550">
            <a:lnSpc>
              <a:spcPct val="90000"/>
            </a:lnSpc>
            <a:spcBef>
              <a:spcPct val="0"/>
            </a:spcBef>
            <a:spcAft>
              <a:spcPct val="35000"/>
            </a:spcAft>
            <a:buNone/>
          </a:pPr>
          <a:r>
            <a:rPr lang="en-IN" sz="1900" kern="1200">
              <a:latin typeface="Arial" pitchFamily="34" charset="0"/>
              <a:cs typeface="Arial" pitchFamily="34" charset="0"/>
            </a:rPr>
            <a:t>Plan</a:t>
          </a:r>
        </a:p>
      </dsp:txBody>
      <dsp:txXfrm>
        <a:off x="1731306" y="588306"/>
        <a:ext cx="979889" cy="979889"/>
      </dsp:txXfrm>
    </dsp:sp>
    <dsp:sp modelId="{69BCBC18-27AD-47DB-9699-1C9C0638D1E0}">
      <dsp:nvSpPr>
        <dsp:cNvPr id="0" name=""/>
        <dsp:cNvSpPr/>
      </dsp:nvSpPr>
      <dsp:spPr>
        <a:xfrm rot="5400000">
          <a:off x="2775204" y="182422"/>
          <a:ext cx="1385773" cy="1385773"/>
        </a:xfrm>
        <a:prstGeom prst="pieWedge">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5128" tIns="135128" rIns="135128" bIns="135128" numCol="1" spcCol="1270" anchor="ctr" anchorCtr="0">
          <a:noAutofit/>
        </a:bodyPr>
        <a:lstStyle/>
        <a:p>
          <a:pPr marL="0" lvl="0" indent="0" algn="ctr" defTabSz="844550">
            <a:lnSpc>
              <a:spcPct val="90000"/>
            </a:lnSpc>
            <a:spcBef>
              <a:spcPct val="0"/>
            </a:spcBef>
            <a:spcAft>
              <a:spcPct val="35000"/>
            </a:spcAft>
            <a:buNone/>
          </a:pPr>
          <a:r>
            <a:rPr lang="en-IN" sz="1900" kern="1200">
              <a:latin typeface="Arial" pitchFamily="34" charset="0"/>
              <a:cs typeface="Arial" pitchFamily="34" charset="0"/>
            </a:rPr>
            <a:t>Do</a:t>
          </a:r>
        </a:p>
      </dsp:txBody>
      <dsp:txXfrm rot="-5400000">
        <a:off x="2775204" y="588306"/>
        <a:ext cx="979889" cy="979889"/>
      </dsp:txXfrm>
    </dsp:sp>
    <dsp:sp modelId="{4F332DB4-9EAA-4AF3-96B7-F9B58E01DB45}">
      <dsp:nvSpPr>
        <dsp:cNvPr id="0" name=""/>
        <dsp:cNvSpPr/>
      </dsp:nvSpPr>
      <dsp:spPr>
        <a:xfrm rot="10800000">
          <a:off x="2775204" y="1632204"/>
          <a:ext cx="1385773" cy="1385773"/>
        </a:xfrm>
        <a:prstGeom prst="pieWedge">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5128" tIns="135128" rIns="135128" bIns="135128" numCol="1" spcCol="1270" anchor="ctr" anchorCtr="0">
          <a:noAutofit/>
        </a:bodyPr>
        <a:lstStyle/>
        <a:p>
          <a:pPr marL="0" lvl="0" indent="0" algn="ctr" defTabSz="844550">
            <a:lnSpc>
              <a:spcPct val="90000"/>
            </a:lnSpc>
            <a:spcBef>
              <a:spcPct val="0"/>
            </a:spcBef>
            <a:spcAft>
              <a:spcPct val="35000"/>
            </a:spcAft>
            <a:buNone/>
          </a:pPr>
          <a:r>
            <a:rPr lang="en-IN" sz="1900" kern="1200">
              <a:latin typeface="Arial" pitchFamily="34" charset="0"/>
              <a:cs typeface="Arial" pitchFamily="34" charset="0"/>
            </a:rPr>
            <a:t>Check</a:t>
          </a:r>
        </a:p>
      </dsp:txBody>
      <dsp:txXfrm rot="10800000">
        <a:off x="2775204" y="1632204"/>
        <a:ext cx="979889" cy="979889"/>
      </dsp:txXfrm>
    </dsp:sp>
    <dsp:sp modelId="{F1E6C963-674E-4F31-92CF-160F86CBF38D}">
      <dsp:nvSpPr>
        <dsp:cNvPr id="0" name=""/>
        <dsp:cNvSpPr/>
      </dsp:nvSpPr>
      <dsp:spPr>
        <a:xfrm rot="16200000">
          <a:off x="1325422" y="1632204"/>
          <a:ext cx="1385773" cy="1385773"/>
        </a:xfrm>
        <a:prstGeom prst="pieWedge">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5128" tIns="135128" rIns="135128" bIns="135128" numCol="1" spcCol="1270" anchor="ctr" anchorCtr="0">
          <a:noAutofit/>
        </a:bodyPr>
        <a:lstStyle/>
        <a:p>
          <a:pPr marL="0" lvl="0" indent="0" algn="ctr" defTabSz="844550">
            <a:lnSpc>
              <a:spcPct val="90000"/>
            </a:lnSpc>
            <a:spcBef>
              <a:spcPct val="0"/>
            </a:spcBef>
            <a:spcAft>
              <a:spcPct val="35000"/>
            </a:spcAft>
            <a:buNone/>
          </a:pPr>
          <a:r>
            <a:rPr lang="en-IN" sz="1900" kern="1200">
              <a:latin typeface="Arial" pitchFamily="34" charset="0"/>
              <a:cs typeface="Arial" pitchFamily="34" charset="0"/>
            </a:rPr>
            <a:t>Act</a:t>
          </a:r>
        </a:p>
      </dsp:txBody>
      <dsp:txXfrm rot="5400000">
        <a:off x="1731306" y="1632204"/>
        <a:ext cx="979889" cy="979889"/>
      </dsp:txXfrm>
    </dsp:sp>
    <dsp:sp modelId="{1AACA936-E5B2-4FAD-92B4-4AE3DBDF1202}">
      <dsp:nvSpPr>
        <dsp:cNvPr id="0" name=""/>
        <dsp:cNvSpPr/>
      </dsp:nvSpPr>
      <dsp:spPr>
        <a:xfrm>
          <a:off x="2503970" y="1312164"/>
          <a:ext cx="478459" cy="416052"/>
        </a:xfrm>
        <a:prstGeom prst="circularArrow">
          <a:avLst/>
        </a:prstGeom>
        <a:solidFill>
          <a:schemeClr val="accent5">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2B40590-9566-4EC8-BA8D-DD74E9CF5129}">
      <dsp:nvSpPr>
        <dsp:cNvPr id="0" name=""/>
        <dsp:cNvSpPr/>
      </dsp:nvSpPr>
      <dsp:spPr>
        <a:xfrm rot="10800000">
          <a:off x="2503970" y="1472184"/>
          <a:ext cx="478459" cy="416052"/>
        </a:xfrm>
        <a:prstGeom prst="circularArrow">
          <a:avLst/>
        </a:prstGeom>
        <a:solidFill>
          <a:schemeClr val="accent5">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F7CE4D-42A0-444A-B468-F97F2D2A2E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16</Pages>
  <Words>4521</Words>
  <Characters>25774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Patel Shivani</cp:lastModifiedBy>
  <cp:revision>39</cp:revision>
  <dcterms:created xsi:type="dcterms:W3CDTF">2026-06-25T15:32:00Z</dcterms:created>
  <dcterms:modified xsi:type="dcterms:W3CDTF">2026-07-29T10:04:00Z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ac6f9cfd-1fba-4b09-af39-0e595efb8955</vt:lpwstr>
  </property>
</Properties>
</file>