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9D97F" w14:textId="77777777" w:rsidR="00775976" w:rsidRDefault="00775976" w:rsidP="00775976">
      <w:pPr>
        <w:spacing w:before="120" w:after="120"/>
        <w:ind w:firstLine="720"/>
        <w:jc w:val="center"/>
        <w:rPr>
          <w:b/>
          <w:bCs/>
          <w:i/>
          <w:iCs/>
          <w:sz w:val="40"/>
          <w:szCs w:val="40"/>
        </w:rPr>
      </w:pPr>
      <w:r w:rsidRPr="00775976">
        <w:rPr>
          <w:b/>
          <w:bCs/>
          <w:i/>
          <w:iCs/>
          <w:sz w:val="40"/>
          <w:szCs w:val="40"/>
        </w:rPr>
        <w:t>UWTSD</w:t>
      </w:r>
    </w:p>
    <w:p w14:paraId="0258CA52" w14:textId="65B8765D" w:rsidR="00F647C9" w:rsidRPr="00775976" w:rsidRDefault="00F647C9" w:rsidP="00F647C9">
      <w:pPr>
        <w:spacing w:before="120" w:after="120"/>
        <w:ind w:firstLine="720"/>
        <w:jc w:val="center"/>
        <w:rPr>
          <w:sz w:val="32"/>
          <w:szCs w:val="32"/>
        </w:rPr>
      </w:pPr>
      <w:r w:rsidRPr="00F647C9">
        <w:rPr>
          <w:sz w:val="32"/>
          <w:szCs w:val="32"/>
        </w:rPr>
        <w:t>University of Wales</w:t>
      </w:r>
      <w:r>
        <w:rPr>
          <w:sz w:val="32"/>
          <w:szCs w:val="32"/>
        </w:rPr>
        <w:t xml:space="preserve">, </w:t>
      </w:r>
      <w:r w:rsidRPr="00F647C9">
        <w:rPr>
          <w:sz w:val="32"/>
          <w:szCs w:val="32"/>
        </w:rPr>
        <w:t>Trinity Saint David</w:t>
      </w:r>
    </w:p>
    <w:p w14:paraId="03145996" w14:textId="77777777" w:rsidR="00775976" w:rsidRPr="00775976" w:rsidRDefault="00775976" w:rsidP="00F647C9">
      <w:pPr>
        <w:spacing w:before="120" w:after="120"/>
        <w:rPr>
          <w:sz w:val="28"/>
          <w:szCs w:val="28"/>
        </w:rPr>
      </w:pPr>
    </w:p>
    <w:p w14:paraId="3EBD75DB" w14:textId="77777777" w:rsidR="00775976" w:rsidRPr="00775976" w:rsidRDefault="00775976" w:rsidP="00775976">
      <w:pPr>
        <w:spacing w:before="120" w:after="120"/>
        <w:ind w:firstLine="720"/>
        <w:jc w:val="center"/>
        <w:rPr>
          <w:sz w:val="28"/>
          <w:szCs w:val="28"/>
        </w:rPr>
      </w:pPr>
    </w:p>
    <w:p w14:paraId="055F2C67" w14:textId="77777777" w:rsidR="00775976" w:rsidRPr="00775976" w:rsidRDefault="00775976" w:rsidP="00775976">
      <w:pPr>
        <w:spacing w:before="120" w:after="120"/>
        <w:ind w:firstLine="720"/>
        <w:jc w:val="center"/>
        <w:rPr>
          <w:b/>
          <w:bCs/>
          <w:sz w:val="32"/>
          <w:szCs w:val="32"/>
        </w:rPr>
      </w:pPr>
      <w:r w:rsidRPr="00775976">
        <w:rPr>
          <w:b/>
          <w:bCs/>
          <w:sz w:val="32"/>
          <w:szCs w:val="32"/>
        </w:rPr>
        <w:t>ASSESSMENT 1</w:t>
      </w:r>
    </w:p>
    <w:p w14:paraId="08B3483E" w14:textId="77777777" w:rsidR="00F647C9" w:rsidRDefault="00F647C9" w:rsidP="00775976">
      <w:pPr>
        <w:spacing w:before="120" w:after="120"/>
        <w:ind w:firstLine="720"/>
        <w:jc w:val="center"/>
        <w:rPr>
          <w:b/>
          <w:bCs/>
          <w:sz w:val="32"/>
          <w:szCs w:val="32"/>
        </w:rPr>
      </w:pPr>
    </w:p>
    <w:p w14:paraId="2F372DBB" w14:textId="70A1C299" w:rsidR="00775976" w:rsidRPr="00775976" w:rsidRDefault="00775976" w:rsidP="00775976">
      <w:pPr>
        <w:spacing w:before="120" w:after="120"/>
        <w:ind w:firstLine="720"/>
        <w:jc w:val="center"/>
        <w:rPr>
          <w:b/>
          <w:bCs/>
          <w:sz w:val="28"/>
          <w:szCs w:val="28"/>
        </w:rPr>
      </w:pPr>
      <w:r>
        <w:rPr>
          <w:b/>
          <w:bCs/>
          <w:sz w:val="32"/>
          <w:szCs w:val="32"/>
        </w:rPr>
        <w:t>CORPORATE FINANCE (</w:t>
      </w:r>
      <w:r w:rsidRPr="00775976">
        <w:rPr>
          <w:b/>
          <w:bCs/>
          <w:sz w:val="32"/>
          <w:szCs w:val="32"/>
        </w:rPr>
        <w:t>LCMB7005</w:t>
      </w:r>
      <w:r>
        <w:rPr>
          <w:b/>
          <w:bCs/>
          <w:sz w:val="32"/>
          <w:szCs w:val="32"/>
        </w:rPr>
        <w:t>)</w:t>
      </w:r>
    </w:p>
    <w:p w14:paraId="72E22F41" w14:textId="3FA19F33" w:rsidR="00775976" w:rsidRPr="00775976" w:rsidRDefault="00775976" w:rsidP="00775976">
      <w:pPr>
        <w:spacing w:before="120" w:after="120"/>
        <w:jc w:val="center"/>
        <w:rPr>
          <w:i/>
          <w:iCs/>
          <w:sz w:val="48"/>
          <w:szCs w:val="48"/>
          <w:u w:val="single"/>
        </w:rPr>
      </w:pPr>
      <w:r w:rsidRPr="00775976">
        <w:rPr>
          <w:sz w:val="48"/>
          <w:szCs w:val="48"/>
        </w:rPr>
        <w:t xml:space="preserve">         </w:t>
      </w:r>
      <w:r w:rsidR="00F647C9" w:rsidRPr="00F647C9">
        <w:rPr>
          <w:i/>
          <w:iCs/>
          <w:sz w:val="48"/>
          <w:szCs w:val="48"/>
          <w:u w:val="single"/>
        </w:rPr>
        <w:t>UBER</w:t>
      </w:r>
    </w:p>
    <w:p w14:paraId="6A3BC606" w14:textId="77777777" w:rsidR="00775976" w:rsidRPr="00775976" w:rsidRDefault="00775976" w:rsidP="00775976">
      <w:pPr>
        <w:spacing w:before="120" w:after="120"/>
        <w:jc w:val="center"/>
        <w:rPr>
          <w:sz w:val="28"/>
          <w:szCs w:val="28"/>
        </w:rPr>
      </w:pPr>
    </w:p>
    <w:p w14:paraId="3413F8CB" w14:textId="77777777" w:rsidR="00F647C9" w:rsidRPr="00775976" w:rsidRDefault="00F647C9" w:rsidP="00F647C9">
      <w:pPr>
        <w:spacing w:before="120" w:after="120"/>
        <w:rPr>
          <w:sz w:val="28"/>
          <w:szCs w:val="28"/>
        </w:rPr>
      </w:pPr>
    </w:p>
    <w:p w14:paraId="4FA10B65" w14:textId="77777777" w:rsidR="00775976" w:rsidRPr="00775976" w:rsidRDefault="00775976" w:rsidP="00775976">
      <w:pPr>
        <w:spacing w:before="120" w:after="120"/>
      </w:pPr>
    </w:p>
    <w:p w14:paraId="703EF755" w14:textId="77777777" w:rsidR="00775976" w:rsidRPr="00775976" w:rsidRDefault="00775976" w:rsidP="00775976">
      <w:pPr>
        <w:spacing w:before="120" w:after="120"/>
        <w:ind w:firstLine="720"/>
      </w:pPr>
    </w:p>
    <w:p w14:paraId="3AA36952" w14:textId="3A3FF95B" w:rsidR="00775976" w:rsidRPr="00775976" w:rsidRDefault="00775976" w:rsidP="00775976">
      <w:pPr>
        <w:spacing w:before="120" w:after="120"/>
        <w:ind w:firstLine="720"/>
        <w:jc w:val="center"/>
      </w:pPr>
      <w:r w:rsidRPr="00775976">
        <w:t>Student                                                                                                 Lecture</w:t>
      </w:r>
    </w:p>
    <w:p w14:paraId="2A0C48EE" w14:textId="77777777" w:rsidR="00775976" w:rsidRPr="00775976" w:rsidRDefault="00775976" w:rsidP="00775976">
      <w:pPr>
        <w:spacing w:before="120" w:after="120"/>
        <w:ind w:firstLine="720"/>
        <w:jc w:val="center"/>
      </w:pPr>
    </w:p>
    <w:p w14:paraId="345699A5" w14:textId="77777777" w:rsidR="00775976" w:rsidRPr="00775976" w:rsidRDefault="00775976" w:rsidP="00775976">
      <w:pPr>
        <w:spacing w:before="120" w:after="120"/>
        <w:ind w:firstLine="720"/>
        <w:jc w:val="center"/>
      </w:pPr>
    </w:p>
    <w:p w14:paraId="795117D8" w14:textId="129F585C" w:rsidR="00775976" w:rsidRPr="00775976" w:rsidRDefault="00775976" w:rsidP="00775976">
      <w:pPr>
        <w:spacing w:before="120" w:after="120"/>
        <w:ind w:firstLine="720"/>
      </w:pPr>
      <w:r w:rsidRPr="00775976">
        <w:t xml:space="preserve">  Manal Talharchet                                                                                 </w:t>
      </w:r>
      <w:r w:rsidR="00F647C9">
        <w:t xml:space="preserve">     </w:t>
      </w:r>
      <w:r w:rsidRPr="00775976">
        <w:t xml:space="preserve"> </w:t>
      </w:r>
      <w:r w:rsidR="00F647C9">
        <w:t>D</w:t>
      </w:r>
      <w:r w:rsidR="00F647C9">
        <w:t>avid Coker</w:t>
      </w:r>
    </w:p>
    <w:p w14:paraId="370CAF8E" w14:textId="77777777" w:rsidR="00775976" w:rsidRPr="00775976" w:rsidRDefault="00775976" w:rsidP="00775976">
      <w:pPr>
        <w:spacing w:before="120" w:after="120"/>
        <w:ind w:firstLine="720"/>
      </w:pPr>
      <w:r w:rsidRPr="00775976">
        <w:t xml:space="preserve">       1917140</w:t>
      </w:r>
    </w:p>
    <w:p w14:paraId="7CB7BE9D" w14:textId="77777777" w:rsidR="00775976" w:rsidRPr="00775976" w:rsidRDefault="00775976" w:rsidP="00775976">
      <w:pPr>
        <w:spacing w:before="120" w:after="120"/>
        <w:ind w:firstLine="720"/>
        <w:jc w:val="center"/>
      </w:pPr>
    </w:p>
    <w:p w14:paraId="301879AF" w14:textId="77777777" w:rsidR="00775976" w:rsidRPr="00775976" w:rsidRDefault="00775976" w:rsidP="00775976">
      <w:pPr>
        <w:spacing w:before="120" w:after="120"/>
        <w:ind w:firstLine="720"/>
        <w:jc w:val="center"/>
      </w:pPr>
    </w:p>
    <w:p w14:paraId="529579F0" w14:textId="25B5C925" w:rsidR="00BE70E9" w:rsidRPr="00775976" w:rsidRDefault="00775976" w:rsidP="00775976">
      <w:pPr>
        <w:spacing w:before="120" w:after="120"/>
        <w:ind w:firstLine="720"/>
        <w:jc w:val="center"/>
      </w:pPr>
      <w:r>
        <w:t>April 2024</w:t>
      </w:r>
      <w:r w:rsidR="00BE70E9">
        <w:br w:type="page"/>
      </w:r>
    </w:p>
    <w:sdt>
      <w:sdtPr>
        <w:rPr>
          <w:rFonts w:ascii="Times New Roman" w:eastAsiaTheme="minorHAnsi" w:hAnsi="Times New Roman" w:cstheme="minorBidi"/>
          <w:color w:val="auto"/>
          <w:sz w:val="24"/>
          <w:szCs w:val="22"/>
          <w:lang w:val="en-GB"/>
        </w:rPr>
        <w:id w:val="1329564252"/>
        <w:docPartObj>
          <w:docPartGallery w:val="Table of Contents"/>
          <w:docPartUnique/>
        </w:docPartObj>
      </w:sdtPr>
      <w:sdtEndPr>
        <w:rPr>
          <w:b/>
          <w:bCs/>
          <w:noProof/>
        </w:rPr>
      </w:sdtEndPr>
      <w:sdtContent>
        <w:p w14:paraId="39383943" w14:textId="4D96A761" w:rsidR="00BE70E9" w:rsidRPr="00834B51" w:rsidRDefault="00BE70E9" w:rsidP="00834B51">
          <w:pPr>
            <w:pStyle w:val="Titolosommario"/>
            <w:jc w:val="center"/>
            <w:rPr>
              <w:b/>
              <w:bCs/>
              <w:color w:val="auto"/>
              <w:sz w:val="28"/>
              <w:szCs w:val="28"/>
            </w:rPr>
          </w:pPr>
          <w:r w:rsidRPr="00834B51">
            <w:rPr>
              <w:b/>
              <w:bCs/>
              <w:color w:val="auto"/>
              <w:sz w:val="28"/>
              <w:szCs w:val="28"/>
            </w:rPr>
            <w:t>Table of Contents</w:t>
          </w:r>
        </w:p>
        <w:p w14:paraId="4EE83D44" w14:textId="037D9177" w:rsidR="00B97530" w:rsidRDefault="00BE70E9">
          <w:pPr>
            <w:pStyle w:val="Sommario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4329726" w:history="1">
            <w:r w:rsidR="00B97530" w:rsidRPr="00B02C4F">
              <w:rPr>
                <w:rStyle w:val="Collegamentoipertestuale"/>
                <w:noProof/>
              </w:rPr>
              <w:t>Introduction</w:t>
            </w:r>
            <w:r w:rsidR="00B97530">
              <w:rPr>
                <w:noProof/>
                <w:webHidden/>
              </w:rPr>
              <w:tab/>
            </w:r>
            <w:r w:rsidR="00A46231">
              <w:rPr>
                <w:noProof/>
                <w:webHidden/>
              </w:rPr>
              <w:t>4</w:t>
            </w:r>
          </w:hyperlink>
        </w:p>
        <w:p w14:paraId="3E8348BF" w14:textId="1FF33CD5" w:rsidR="00B97530" w:rsidRDefault="00000000">
          <w:pPr>
            <w:pStyle w:val="Sommario1"/>
            <w:tabs>
              <w:tab w:val="right" w:leader="dot" w:pos="9350"/>
            </w:tabs>
            <w:rPr>
              <w:rFonts w:asciiTheme="minorHAnsi" w:eastAsiaTheme="minorEastAsia" w:hAnsiTheme="minorHAnsi"/>
              <w:noProof/>
              <w:sz w:val="22"/>
              <w:lang w:eastAsia="en-GB"/>
            </w:rPr>
          </w:pPr>
          <w:hyperlink w:anchor="_Toc164329727" w:history="1">
            <w:r w:rsidR="00B97530" w:rsidRPr="00B02C4F">
              <w:rPr>
                <w:rStyle w:val="Collegamentoipertestuale"/>
                <w:noProof/>
              </w:rPr>
              <w:t>PART – A</w:t>
            </w:r>
            <w:r w:rsidR="00B97530">
              <w:rPr>
                <w:noProof/>
                <w:webHidden/>
              </w:rPr>
              <w:tab/>
            </w:r>
            <w:r w:rsidR="00A46231">
              <w:rPr>
                <w:noProof/>
                <w:webHidden/>
              </w:rPr>
              <w:t>4</w:t>
            </w:r>
          </w:hyperlink>
        </w:p>
        <w:p w14:paraId="4D8AA891" w14:textId="07651901" w:rsidR="00B97530" w:rsidRDefault="00000000">
          <w:pPr>
            <w:pStyle w:val="Sommario2"/>
            <w:tabs>
              <w:tab w:val="right" w:leader="dot" w:pos="9350"/>
            </w:tabs>
            <w:rPr>
              <w:rFonts w:asciiTheme="minorHAnsi" w:eastAsiaTheme="minorEastAsia" w:hAnsiTheme="minorHAnsi"/>
              <w:noProof/>
              <w:sz w:val="22"/>
              <w:lang w:eastAsia="en-GB"/>
            </w:rPr>
          </w:pPr>
          <w:hyperlink w:anchor="_Toc164329728" w:history="1">
            <w:r w:rsidR="00B97530" w:rsidRPr="00B02C4F">
              <w:rPr>
                <w:rStyle w:val="Collegamentoipertestuale"/>
                <w:noProof/>
              </w:rPr>
              <w:t>Background</w:t>
            </w:r>
            <w:r w:rsidR="00B97530">
              <w:rPr>
                <w:noProof/>
                <w:webHidden/>
              </w:rPr>
              <w:tab/>
            </w:r>
            <w:r w:rsidR="00A46231">
              <w:rPr>
                <w:noProof/>
                <w:webHidden/>
              </w:rPr>
              <w:t>4</w:t>
            </w:r>
          </w:hyperlink>
        </w:p>
        <w:p w14:paraId="5B71B311" w14:textId="70453B61" w:rsidR="00B97530" w:rsidRDefault="00000000">
          <w:pPr>
            <w:pStyle w:val="Sommario2"/>
            <w:tabs>
              <w:tab w:val="right" w:leader="dot" w:pos="9350"/>
            </w:tabs>
            <w:rPr>
              <w:rFonts w:asciiTheme="minorHAnsi" w:eastAsiaTheme="minorEastAsia" w:hAnsiTheme="minorHAnsi"/>
              <w:noProof/>
              <w:sz w:val="22"/>
              <w:lang w:eastAsia="en-GB"/>
            </w:rPr>
          </w:pPr>
          <w:hyperlink w:anchor="_Toc164329729" w:history="1">
            <w:r w:rsidR="00B97530" w:rsidRPr="00B02C4F">
              <w:rPr>
                <w:rStyle w:val="Collegamentoipertestuale"/>
                <w:noProof/>
              </w:rPr>
              <w:t>Major Competitor</w:t>
            </w:r>
            <w:r w:rsidR="00B97530">
              <w:rPr>
                <w:noProof/>
                <w:webHidden/>
              </w:rPr>
              <w:tab/>
            </w:r>
            <w:r w:rsidR="00A46231">
              <w:rPr>
                <w:noProof/>
                <w:webHidden/>
              </w:rPr>
              <w:t>4</w:t>
            </w:r>
          </w:hyperlink>
        </w:p>
        <w:p w14:paraId="33EF7EB3" w14:textId="4E8D84C5" w:rsidR="00B97530" w:rsidRDefault="00000000">
          <w:pPr>
            <w:pStyle w:val="Sommario2"/>
            <w:tabs>
              <w:tab w:val="right" w:leader="dot" w:pos="9350"/>
            </w:tabs>
            <w:rPr>
              <w:rFonts w:asciiTheme="minorHAnsi" w:eastAsiaTheme="minorEastAsia" w:hAnsiTheme="minorHAnsi"/>
              <w:noProof/>
              <w:sz w:val="22"/>
              <w:lang w:eastAsia="en-GB"/>
            </w:rPr>
          </w:pPr>
          <w:hyperlink w:anchor="_Toc164329730" w:history="1">
            <w:r w:rsidR="00B97530" w:rsidRPr="00B02C4F">
              <w:rPr>
                <w:rStyle w:val="Collegamentoipertestuale"/>
                <w:noProof/>
              </w:rPr>
              <w:t>Corporate Events</w:t>
            </w:r>
            <w:r w:rsidR="00B97530">
              <w:rPr>
                <w:noProof/>
                <w:webHidden/>
              </w:rPr>
              <w:tab/>
            </w:r>
            <w:r w:rsidR="00A46231">
              <w:rPr>
                <w:noProof/>
                <w:webHidden/>
              </w:rPr>
              <w:t>5</w:t>
            </w:r>
          </w:hyperlink>
        </w:p>
        <w:p w14:paraId="05DC659C" w14:textId="656842C1" w:rsidR="00B97530" w:rsidRDefault="00000000">
          <w:pPr>
            <w:pStyle w:val="Sommario1"/>
            <w:tabs>
              <w:tab w:val="right" w:leader="dot" w:pos="9350"/>
            </w:tabs>
            <w:rPr>
              <w:rFonts w:asciiTheme="minorHAnsi" w:eastAsiaTheme="minorEastAsia" w:hAnsiTheme="minorHAnsi"/>
              <w:noProof/>
              <w:sz w:val="22"/>
              <w:lang w:eastAsia="en-GB"/>
            </w:rPr>
          </w:pPr>
          <w:hyperlink w:anchor="_Toc164329731" w:history="1">
            <w:r w:rsidR="00B97530" w:rsidRPr="00B02C4F">
              <w:rPr>
                <w:rStyle w:val="Collegamentoipertestuale"/>
                <w:noProof/>
              </w:rPr>
              <w:t>PART – B</w:t>
            </w:r>
            <w:r w:rsidR="00B97530">
              <w:rPr>
                <w:noProof/>
                <w:webHidden/>
              </w:rPr>
              <w:tab/>
            </w:r>
            <w:r w:rsidR="00A46231">
              <w:rPr>
                <w:noProof/>
                <w:webHidden/>
              </w:rPr>
              <w:t>6</w:t>
            </w:r>
          </w:hyperlink>
        </w:p>
        <w:p w14:paraId="7332B735" w14:textId="0719ECCD" w:rsidR="00B97530" w:rsidRDefault="00000000">
          <w:pPr>
            <w:pStyle w:val="Sommario2"/>
            <w:tabs>
              <w:tab w:val="right" w:leader="dot" w:pos="9350"/>
            </w:tabs>
            <w:rPr>
              <w:rFonts w:asciiTheme="minorHAnsi" w:eastAsiaTheme="minorEastAsia" w:hAnsiTheme="minorHAnsi"/>
              <w:noProof/>
              <w:sz w:val="22"/>
              <w:lang w:eastAsia="en-GB"/>
            </w:rPr>
          </w:pPr>
          <w:hyperlink w:anchor="_Toc164329732" w:history="1">
            <w:r w:rsidR="00B97530" w:rsidRPr="00B02C4F">
              <w:rPr>
                <w:rStyle w:val="Collegamentoipertestuale"/>
                <w:noProof/>
              </w:rPr>
              <w:t>Ratio Analysis and Evaluation</w:t>
            </w:r>
            <w:r w:rsidR="00B97530">
              <w:rPr>
                <w:noProof/>
                <w:webHidden/>
              </w:rPr>
              <w:tab/>
            </w:r>
            <w:r w:rsidR="00A46231">
              <w:rPr>
                <w:noProof/>
                <w:webHidden/>
              </w:rPr>
              <w:t>6</w:t>
            </w:r>
          </w:hyperlink>
        </w:p>
        <w:p w14:paraId="7BAB6C87" w14:textId="36B463D9" w:rsidR="00B97530" w:rsidRDefault="00000000">
          <w:pPr>
            <w:pStyle w:val="Sommario2"/>
            <w:tabs>
              <w:tab w:val="right" w:leader="dot" w:pos="9350"/>
            </w:tabs>
            <w:rPr>
              <w:rFonts w:asciiTheme="minorHAnsi" w:eastAsiaTheme="minorEastAsia" w:hAnsiTheme="minorHAnsi"/>
              <w:noProof/>
              <w:sz w:val="22"/>
              <w:lang w:eastAsia="en-GB"/>
            </w:rPr>
          </w:pPr>
          <w:hyperlink w:anchor="_Toc164329733" w:history="1">
            <w:r w:rsidR="00B97530" w:rsidRPr="00B02C4F">
              <w:rPr>
                <w:rStyle w:val="Collegamentoipertestuale"/>
                <w:noProof/>
              </w:rPr>
              <w:t>Critical Analysis of Financial Performance</w:t>
            </w:r>
            <w:r w:rsidR="00B97530">
              <w:rPr>
                <w:noProof/>
                <w:webHidden/>
              </w:rPr>
              <w:tab/>
            </w:r>
            <w:r w:rsidR="00A46231">
              <w:rPr>
                <w:noProof/>
                <w:webHidden/>
              </w:rPr>
              <w:t>8</w:t>
            </w:r>
          </w:hyperlink>
        </w:p>
        <w:p w14:paraId="7A6F760B" w14:textId="72EB62AE" w:rsidR="00B97530" w:rsidRDefault="00000000">
          <w:pPr>
            <w:pStyle w:val="Sommario2"/>
            <w:tabs>
              <w:tab w:val="right" w:leader="dot" w:pos="9350"/>
            </w:tabs>
            <w:rPr>
              <w:rFonts w:asciiTheme="minorHAnsi" w:eastAsiaTheme="minorEastAsia" w:hAnsiTheme="minorHAnsi"/>
              <w:noProof/>
              <w:sz w:val="22"/>
              <w:lang w:eastAsia="en-GB"/>
            </w:rPr>
          </w:pPr>
          <w:hyperlink w:anchor="_Toc164329734" w:history="1">
            <w:r w:rsidR="00B97530" w:rsidRPr="00B02C4F">
              <w:rPr>
                <w:rStyle w:val="Collegamentoipertestuale"/>
                <w:noProof/>
              </w:rPr>
              <w:t>Comparative Ratio Analysis</w:t>
            </w:r>
            <w:r w:rsidR="00B97530">
              <w:rPr>
                <w:noProof/>
                <w:webHidden/>
              </w:rPr>
              <w:tab/>
            </w:r>
            <w:r w:rsidR="00A46231">
              <w:rPr>
                <w:noProof/>
                <w:webHidden/>
              </w:rPr>
              <w:t>11</w:t>
            </w:r>
          </w:hyperlink>
          <w:r w:rsidR="00A46231">
            <w:rPr>
              <w:noProof/>
            </w:rPr>
            <w:t xml:space="preserve">  </w:t>
          </w:r>
        </w:p>
        <w:p w14:paraId="21107FB4" w14:textId="64677765" w:rsidR="00B97530" w:rsidRDefault="00000000">
          <w:pPr>
            <w:pStyle w:val="Sommario2"/>
            <w:tabs>
              <w:tab w:val="right" w:leader="dot" w:pos="9350"/>
            </w:tabs>
            <w:rPr>
              <w:rFonts w:asciiTheme="minorHAnsi" w:eastAsiaTheme="minorEastAsia" w:hAnsiTheme="minorHAnsi"/>
              <w:noProof/>
              <w:sz w:val="22"/>
              <w:lang w:eastAsia="en-GB"/>
            </w:rPr>
          </w:pPr>
          <w:hyperlink w:anchor="_Toc164329735" w:history="1">
            <w:r w:rsidR="00B97530" w:rsidRPr="00B02C4F">
              <w:rPr>
                <w:rStyle w:val="Collegamentoipertestuale"/>
                <w:noProof/>
              </w:rPr>
              <w:t>Capital Structure Theory</w:t>
            </w:r>
            <w:r w:rsidR="00B97530">
              <w:rPr>
                <w:noProof/>
                <w:webHidden/>
              </w:rPr>
              <w:tab/>
            </w:r>
            <w:r w:rsidR="00B97530">
              <w:rPr>
                <w:noProof/>
                <w:webHidden/>
              </w:rPr>
              <w:fldChar w:fldCharType="begin"/>
            </w:r>
            <w:r w:rsidR="00B97530">
              <w:rPr>
                <w:noProof/>
                <w:webHidden/>
              </w:rPr>
              <w:instrText xml:space="preserve"> PAGEREF _Toc164329735 \h </w:instrText>
            </w:r>
            <w:r w:rsidR="00B97530">
              <w:rPr>
                <w:noProof/>
                <w:webHidden/>
              </w:rPr>
            </w:r>
            <w:r w:rsidR="00B97530">
              <w:rPr>
                <w:noProof/>
                <w:webHidden/>
              </w:rPr>
              <w:fldChar w:fldCharType="separate"/>
            </w:r>
            <w:r w:rsidR="00B97530">
              <w:rPr>
                <w:noProof/>
                <w:webHidden/>
              </w:rPr>
              <w:t>1</w:t>
            </w:r>
            <w:r w:rsidR="00A46231">
              <w:rPr>
                <w:noProof/>
                <w:webHidden/>
              </w:rPr>
              <w:t>2</w:t>
            </w:r>
            <w:r w:rsidR="00B97530">
              <w:rPr>
                <w:noProof/>
                <w:webHidden/>
              </w:rPr>
              <w:fldChar w:fldCharType="end"/>
            </w:r>
          </w:hyperlink>
        </w:p>
        <w:p w14:paraId="10FFF209" w14:textId="1F85AEA7" w:rsidR="00B97530" w:rsidRDefault="00000000">
          <w:pPr>
            <w:pStyle w:val="Sommario2"/>
            <w:tabs>
              <w:tab w:val="right" w:leader="dot" w:pos="9350"/>
            </w:tabs>
            <w:rPr>
              <w:rFonts w:asciiTheme="minorHAnsi" w:eastAsiaTheme="minorEastAsia" w:hAnsiTheme="minorHAnsi"/>
              <w:noProof/>
              <w:sz w:val="22"/>
              <w:lang w:eastAsia="en-GB"/>
            </w:rPr>
          </w:pPr>
          <w:hyperlink w:anchor="_Toc164329736" w:history="1">
            <w:r w:rsidR="00B97530" w:rsidRPr="00B02C4F">
              <w:rPr>
                <w:rStyle w:val="Collegamentoipertestuale"/>
                <w:noProof/>
              </w:rPr>
              <w:t>Stock Analysis</w:t>
            </w:r>
            <w:r w:rsidR="00B97530">
              <w:rPr>
                <w:noProof/>
                <w:webHidden/>
              </w:rPr>
              <w:tab/>
            </w:r>
            <w:r w:rsidR="00B97530">
              <w:rPr>
                <w:noProof/>
                <w:webHidden/>
              </w:rPr>
              <w:fldChar w:fldCharType="begin"/>
            </w:r>
            <w:r w:rsidR="00B97530">
              <w:rPr>
                <w:noProof/>
                <w:webHidden/>
              </w:rPr>
              <w:instrText xml:space="preserve"> PAGEREF _Toc164329736 \h </w:instrText>
            </w:r>
            <w:r w:rsidR="00B97530">
              <w:rPr>
                <w:noProof/>
                <w:webHidden/>
              </w:rPr>
            </w:r>
            <w:r w:rsidR="00B97530">
              <w:rPr>
                <w:noProof/>
                <w:webHidden/>
              </w:rPr>
              <w:fldChar w:fldCharType="separate"/>
            </w:r>
            <w:r w:rsidR="00B97530">
              <w:rPr>
                <w:noProof/>
                <w:webHidden/>
              </w:rPr>
              <w:t>1</w:t>
            </w:r>
            <w:r w:rsidR="00A46231">
              <w:rPr>
                <w:noProof/>
                <w:webHidden/>
              </w:rPr>
              <w:t>4</w:t>
            </w:r>
            <w:r w:rsidR="00B97530">
              <w:rPr>
                <w:noProof/>
                <w:webHidden/>
              </w:rPr>
              <w:fldChar w:fldCharType="end"/>
            </w:r>
          </w:hyperlink>
        </w:p>
        <w:p w14:paraId="45F50E59" w14:textId="358056AF" w:rsidR="00B97530" w:rsidRDefault="00000000">
          <w:pPr>
            <w:pStyle w:val="Sommario1"/>
            <w:tabs>
              <w:tab w:val="right" w:leader="dot" w:pos="9350"/>
            </w:tabs>
            <w:rPr>
              <w:rFonts w:asciiTheme="minorHAnsi" w:eastAsiaTheme="minorEastAsia" w:hAnsiTheme="minorHAnsi"/>
              <w:noProof/>
              <w:sz w:val="22"/>
              <w:lang w:eastAsia="en-GB"/>
            </w:rPr>
          </w:pPr>
          <w:hyperlink w:anchor="_Toc164329737" w:history="1">
            <w:r w:rsidR="00B97530" w:rsidRPr="00B02C4F">
              <w:rPr>
                <w:rStyle w:val="Collegamentoipertestuale"/>
                <w:noProof/>
              </w:rPr>
              <w:t>PART – C</w:t>
            </w:r>
            <w:r w:rsidR="00B97530">
              <w:rPr>
                <w:noProof/>
                <w:webHidden/>
              </w:rPr>
              <w:tab/>
            </w:r>
            <w:r w:rsidR="00B97530">
              <w:rPr>
                <w:noProof/>
                <w:webHidden/>
              </w:rPr>
              <w:fldChar w:fldCharType="begin"/>
            </w:r>
            <w:r w:rsidR="00B97530">
              <w:rPr>
                <w:noProof/>
                <w:webHidden/>
              </w:rPr>
              <w:instrText xml:space="preserve"> PAGEREF _Toc164329737 \h </w:instrText>
            </w:r>
            <w:r w:rsidR="00B97530">
              <w:rPr>
                <w:noProof/>
                <w:webHidden/>
              </w:rPr>
            </w:r>
            <w:r w:rsidR="00B97530">
              <w:rPr>
                <w:noProof/>
                <w:webHidden/>
              </w:rPr>
              <w:fldChar w:fldCharType="separate"/>
            </w:r>
            <w:r w:rsidR="00B97530">
              <w:rPr>
                <w:noProof/>
                <w:webHidden/>
              </w:rPr>
              <w:t>1</w:t>
            </w:r>
            <w:r w:rsidR="004E2EDF">
              <w:rPr>
                <w:noProof/>
                <w:webHidden/>
              </w:rPr>
              <w:t>6</w:t>
            </w:r>
            <w:r w:rsidR="00B97530">
              <w:rPr>
                <w:noProof/>
                <w:webHidden/>
              </w:rPr>
              <w:fldChar w:fldCharType="end"/>
            </w:r>
          </w:hyperlink>
        </w:p>
        <w:p w14:paraId="65344652" w14:textId="2E6DF7AF" w:rsidR="00B97530" w:rsidRDefault="00000000">
          <w:pPr>
            <w:pStyle w:val="Sommario2"/>
            <w:tabs>
              <w:tab w:val="right" w:leader="dot" w:pos="9350"/>
            </w:tabs>
            <w:rPr>
              <w:rFonts w:asciiTheme="minorHAnsi" w:eastAsiaTheme="minorEastAsia" w:hAnsiTheme="minorHAnsi"/>
              <w:noProof/>
              <w:sz w:val="22"/>
              <w:lang w:eastAsia="en-GB"/>
            </w:rPr>
          </w:pPr>
          <w:hyperlink w:anchor="_Toc164329738" w:history="1">
            <w:r w:rsidR="00B97530" w:rsidRPr="00B02C4F">
              <w:rPr>
                <w:rStyle w:val="Collegamentoipertestuale"/>
                <w:noProof/>
              </w:rPr>
              <w:t>Purpose and Aims:</w:t>
            </w:r>
            <w:r w:rsidR="00B97530">
              <w:rPr>
                <w:noProof/>
                <w:webHidden/>
              </w:rPr>
              <w:tab/>
            </w:r>
            <w:r w:rsidR="00B97530">
              <w:rPr>
                <w:noProof/>
                <w:webHidden/>
              </w:rPr>
              <w:fldChar w:fldCharType="begin"/>
            </w:r>
            <w:r w:rsidR="00B97530">
              <w:rPr>
                <w:noProof/>
                <w:webHidden/>
              </w:rPr>
              <w:instrText xml:space="preserve"> PAGEREF _Toc164329738 \h </w:instrText>
            </w:r>
            <w:r w:rsidR="00B97530">
              <w:rPr>
                <w:noProof/>
                <w:webHidden/>
              </w:rPr>
            </w:r>
            <w:r w:rsidR="00B97530">
              <w:rPr>
                <w:noProof/>
                <w:webHidden/>
              </w:rPr>
              <w:fldChar w:fldCharType="separate"/>
            </w:r>
            <w:r w:rsidR="00B97530">
              <w:rPr>
                <w:noProof/>
                <w:webHidden/>
              </w:rPr>
              <w:t>1</w:t>
            </w:r>
            <w:r w:rsidR="004E2EDF">
              <w:rPr>
                <w:noProof/>
                <w:webHidden/>
              </w:rPr>
              <w:t>6</w:t>
            </w:r>
            <w:r w:rsidR="00B97530">
              <w:rPr>
                <w:noProof/>
                <w:webHidden/>
              </w:rPr>
              <w:fldChar w:fldCharType="end"/>
            </w:r>
          </w:hyperlink>
        </w:p>
        <w:p w14:paraId="217A9766" w14:textId="2FFB1F64" w:rsidR="00B97530" w:rsidRDefault="00000000">
          <w:pPr>
            <w:pStyle w:val="Sommario2"/>
            <w:tabs>
              <w:tab w:val="right" w:leader="dot" w:pos="9350"/>
            </w:tabs>
            <w:rPr>
              <w:rFonts w:asciiTheme="minorHAnsi" w:eastAsiaTheme="minorEastAsia" w:hAnsiTheme="minorHAnsi"/>
              <w:noProof/>
              <w:sz w:val="22"/>
              <w:lang w:eastAsia="en-GB"/>
            </w:rPr>
          </w:pPr>
          <w:hyperlink w:anchor="_Toc164329739" w:history="1">
            <w:r w:rsidR="00B97530" w:rsidRPr="00B02C4F">
              <w:rPr>
                <w:rStyle w:val="Collegamentoipertestuale"/>
                <w:noProof/>
              </w:rPr>
              <w:t>Expected Outcomes:</w:t>
            </w:r>
            <w:r w:rsidR="00B97530">
              <w:rPr>
                <w:noProof/>
                <w:webHidden/>
              </w:rPr>
              <w:tab/>
            </w:r>
            <w:r w:rsidR="00B97530">
              <w:rPr>
                <w:noProof/>
                <w:webHidden/>
              </w:rPr>
              <w:fldChar w:fldCharType="begin"/>
            </w:r>
            <w:r w:rsidR="00B97530">
              <w:rPr>
                <w:noProof/>
                <w:webHidden/>
              </w:rPr>
              <w:instrText xml:space="preserve"> PAGEREF _Toc164329739 \h </w:instrText>
            </w:r>
            <w:r w:rsidR="00B97530">
              <w:rPr>
                <w:noProof/>
                <w:webHidden/>
              </w:rPr>
            </w:r>
            <w:r w:rsidR="00B97530">
              <w:rPr>
                <w:noProof/>
                <w:webHidden/>
              </w:rPr>
              <w:fldChar w:fldCharType="separate"/>
            </w:r>
            <w:r w:rsidR="00B97530">
              <w:rPr>
                <w:noProof/>
                <w:webHidden/>
              </w:rPr>
              <w:t>1</w:t>
            </w:r>
            <w:r w:rsidR="004E2EDF">
              <w:rPr>
                <w:noProof/>
                <w:webHidden/>
              </w:rPr>
              <w:t>6</w:t>
            </w:r>
            <w:r w:rsidR="00B97530">
              <w:rPr>
                <w:noProof/>
                <w:webHidden/>
              </w:rPr>
              <w:fldChar w:fldCharType="end"/>
            </w:r>
          </w:hyperlink>
        </w:p>
        <w:p w14:paraId="770EF533" w14:textId="46BDB26B" w:rsidR="00B97530" w:rsidRDefault="00000000">
          <w:pPr>
            <w:pStyle w:val="Sommario2"/>
            <w:tabs>
              <w:tab w:val="right" w:leader="dot" w:pos="9350"/>
            </w:tabs>
            <w:rPr>
              <w:rFonts w:asciiTheme="minorHAnsi" w:eastAsiaTheme="minorEastAsia" w:hAnsiTheme="minorHAnsi"/>
              <w:noProof/>
              <w:sz w:val="22"/>
              <w:lang w:eastAsia="en-GB"/>
            </w:rPr>
          </w:pPr>
          <w:hyperlink w:anchor="_Toc164329740" w:history="1">
            <w:r w:rsidR="00B97530" w:rsidRPr="00B02C4F">
              <w:rPr>
                <w:rStyle w:val="Collegamentoipertestuale"/>
                <w:noProof/>
              </w:rPr>
              <w:t>Size of Investment and Financing:</w:t>
            </w:r>
            <w:r w:rsidR="00B97530">
              <w:rPr>
                <w:noProof/>
                <w:webHidden/>
              </w:rPr>
              <w:tab/>
            </w:r>
            <w:r w:rsidR="00B97530">
              <w:rPr>
                <w:noProof/>
                <w:webHidden/>
              </w:rPr>
              <w:fldChar w:fldCharType="begin"/>
            </w:r>
            <w:r w:rsidR="00B97530">
              <w:rPr>
                <w:noProof/>
                <w:webHidden/>
              </w:rPr>
              <w:instrText xml:space="preserve"> PAGEREF _Toc164329740 \h </w:instrText>
            </w:r>
            <w:r w:rsidR="00B97530">
              <w:rPr>
                <w:noProof/>
                <w:webHidden/>
              </w:rPr>
            </w:r>
            <w:r w:rsidR="00B97530">
              <w:rPr>
                <w:noProof/>
                <w:webHidden/>
              </w:rPr>
              <w:fldChar w:fldCharType="separate"/>
            </w:r>
            <w:r w:rsidR="00B97530">
              <w:rPr>
                <w:noProof/>
                <w:webHidden/>
              </w:rPr>
              <w:t>1</w:t>
            </w:r>
            <w:r w:rsidR="004E2EDF">
              <w:rPr>
                <w:noProof/>
                <w:webHidden/>
              </w:rPr>
              <w:t>6</w:t>
            </w:r>
            <w:r w:rsidR="00B97530">
              <w:rPr>
                <w:noProof/>
                <w:webHidden/>
              </w:rPr>
              <w:fldChar w:fldCharType="end"/>
            </w:r>
          </w:hyperlink>
        </w:p>
        <w:p w14:paraId="13E19ADE" w14:textId="21C1087C" w:rsidR="00B97530" w:rsidRDefault="00000000">
          <w:pPr>
            <w:pStyle w:val="Sommario2"/>
            <w:tabs>
              <w:tab w:val="right" w:leader="dot" w:pos="9350"/>
            </w:tabs>
            <w:rPr>
              <w:rFonts w:asciiTheme="minorHAnsi" w:eastAsiaTheme="minorEastAsia" w:hAnsiTheme="minorHAnsi"/>
              <w:noProof/>
              <w:sz w:val="22"/>
              <w:lang w:eastAsia="en-GB"/>
            </w:rPr>
          </w:pPr>
          <w:hyperlink w:anchor="_Toc164329741" w:history="1">
            <w:r w:rsidR="00B97530" w:rsidRPr="00B02C4F">
              <w:rPr>
                <w:rStyle w:val="Collegamentoipertestuale"/>
                <w:noProof/>
              </w:rPr>
              <w:t>Feasibility of the Investment:</w:t>
            </w:r>
            <w:r w:rsidR="00B97530">
              <w:rPr>
                <w:noProof/>
                <w:webHidden/>
              </w:rPr>
              <w:tab/>
            </w:r>
            <w:r w:rsidR="00B97530">
              <w:rPr>
                <w:noProof/>
                <w:webHidden/>
              </w:rPr>
              <w:fldChar w:fldCharType="begin"/>
            </w:r>
            <w:r w:rsidR="00B97530">
              <w:rPr>
                <w:noProof/>
                <w:webHidden/>
              </w:rPr>
              <w:instrText xml:space="preserve"> PAGEREF _Toc164329741 \h </w:instrText>
            </w:r>
            <w:r w:rsidR="00B97530">
              <w:rPr>
                <w:noProof/>
                <w:webHidden/>
              </w:rPr>
            </w:r>
            <w:r w:rsidR="00B97530">
              <w:rPr>
                <w:noProof/>
                <w:webHidden/>
              </w:rPr>
              <w:fldChar w:fldCharType="separate"/>
            </w:r>
            <w:r w:rsidR="00B97530">
              <w:rPr>
                <w:noProof/>
                <w:webHidden/>
              </w:rPr>
              <w:t>1</w:t>
            </w:r>
            <w:r w:rsidR="004E2EDF">
              <w:rPr>
                <w:noProof/>
                <w:webHidden/>
              </w:rPr>
              <w:t>8</w:t>
            </w:r>
            <w:r w:rsidR="00B97530">
              <w:rPr>
                <w:noProof/>
                <w:webHidden/>
              </w:rPr>
              <w:fldChar w:fldCharType="end"/>
            </w:r>
          </w:hyperlink>
        </w:p>
        <w:p w14:paraId="50FEFB82" w14:textId="4520B0DF" w:rsidR="00B97530" w:rsidRDefault="00000000">
          <w:pPr>
            <w:pStyle w:val="Sommario2"/>
            <w:tabs>
              <w:tab w:val="right" w:leader="dot" w:pos="9350"/>
            </w:tabs>
            <w:rPr>
              <w:rFonts w:asciiTheme="minorHAnsi" w:eastAsiaTheme="minorEastAsia" w:hAnsiTheme="minorHAnsi"/>
              <w:noProof/>
              <w:sz w:val="22"/>
              <w:lang w:eastAsia="en-GB"/>
            </w:rPr>
          </w:pPr>
          <w:hyperlink w:anchor="_Toc164329742" w:history="1">
            <w:r w:rsidR="00B97530" w:rsidRPr="00B02C4F">
              <w:rPr>
                <w:rStyle w:val="Collegamentoipertestuale"/>
                <w:noProof/>
              </w:rPr>
              <w:t>Current Outcome of the Investment:</w:t>
            </w:r>
            <w:r w:rsidR="00B97530">
              <w:rPr>
                <w:noProof/>
                <w:webHidden/>
              </w:rPr>
              <w:tab/>
            </w:r>
            <w:r w:rsidR="00B97530">
              <w:rPr>
                <w:noProof/>
                <w:webHidden/>
              </w:rPr>
              <w:fldChar w:fldCharType="begin"/>
            </w:r>
            <w:r w:rsidR="00B97530">
              <w:rPr>
                <w:noProof/>
                <w:webHidden/>
              </w:rPr>
              <w:instrText xml:space="preserve"> PAGEREF _Toc164329742 \h </w:instrText>
            </w:r>
            <w:r w:rsidR="00B97530">
              <w:rPr>
                <w:noProof/>
                <w:webHidden/>
              </w:rPr>
            </w:r>
            <w:r w:rsidR="00B97530">
              <w:rPr>
                <w:noProof/>
                <w:webHidden/>
              </w:rPr>
              <w:fldChar w:fldCharType="separate"/>
            </w:r>
            <w:r w:rsidR="00B97530">
              <w:rPr>
                <w:noProof/>
                <w:webHidden/>
              </w:rPr>
              <w:t>1</w:t>
            </w:r>
            <w:r w:rsidR="004E2EDF">
              <w:rPr>
                <w:noProof/>
                <w:webHidden/>
              </w:rPr>
              <w:t>9</w:t>
            </w:r>
            <w:r w:rsidR="00B97530">
              <w:rPr>
                <w:noProof/>
                <w:webHidden/>
              </w:rPr>
              <w:fldChar w:fldCharType="end"/>
            </w:r>
          </w:hyperlink>
        </w:p>
        <w:p w14:paraId="6103814B" w14:textId="6239E473" w:rsidR="00B97530" w:rsidRDefault="00000000">
          <w:pPr>
            <w:pStyle w:val="Sommario1"/>
            <w:tabs>
              <w:tab w:val="right" w:leader="dot" w:pos="9350"/>
            </w:tabs>
            <w:rPr>
              <w:rFonts w:asciiTheme="minorHAnsi" w:eastAsiaTheme="minorEastAsia" w:hAnsiTheme="minorHAnsi"/>
              <w:noProof/>
              <w:sz w:val="22"/>
              <w:lang w:eastAsia="en-GB"/>
            </w:rPr>
          </w:pPr>
          <w:hyperlink w:anchor="_Toc164329743" w:history="1">
            <w:r w:rsidR="00B97530" w:rsidRPr="00B02C4F">
              <w:rPr>
                <w:rStyle w:val="Collegamentoipertestuale"/>
                <w:noProof/>
              </w:rPr>
              <w:t>Conclusion</w:t>
            </w:r>
            <w:r w:rsidR="00B97530">
              <w:rPr>
                <w:noProof/>
                <w:webHidden/>
              </w:rPr>
              <w:tab/>
            </w:r>
            <w:r w:rsidR="004E2EDF">
              <w:rPr>
                <w:noProof/>
                <w:webHidden/>
              </w:rPr>
              <w:t>21</w:t>
            </w:r>
          </w:hyperlink>
        </w:p>
        <w:p w14:paraId="5E83F6A2" w14:textId="67DAE2D5" w:rsidR="00B97530" w:rsidRDefault="00000000">
          <w:pPr>
            <w:pStyle w:val="Sommario1"/>
            <w:tabs>
              <w:tab w:val="right" w:leader="dot" w:pos="9350"/>
            </w:tabs>
            <w:rPr>
              <w:rFonts w:asciiTheme="minorHAnsi" w:eastAsiaTheme="minorEastAsia" w:hAnsiTheme="minorHAnsi"/>
              <w:noProof/>
              <w:sz w:val="22"/>
              <w:lang w:eastAsia="en-GB"/>
            </w:rPr>
          </w:pPr>
          <w:hyperlink w:anchor="_Toc164329744" w:history="1">
            <w:r w:rsidR="00B97530" w:rsidRPr="00B02C4F">
              <w:rPr>
                <w:rStyle w:val="Collegamentoipertestuale"/>
                <w:noProof/>
              </w:rPr>
              <w:t>References</w:t>
            </w:r>
            <w:r w:rsidR="00B97530">
              <w:rPr>
                <w:noProof/>
                <w:webHidden/>
              </w:rPr>
              <w:tab/>
            </w:r>
            <w:r w:rsidR="00B97530">
              <w:rPr>
                <w:noProof/>
                <w:webHidden/>
              </w:rPr>
              <w:fldChar w:fldCharType="begin"/>
            </w:r>
            <w:r w:rsidR="00B97530">
              <w:rPr>
                <w:noProof/>
                <w:webHidden/>
              </w:rPr>
              <w:instrText xml:space="preserve"> PAGEREF _Toc164329744 \h </w:instrText>
            </w:r>
            <w:r w:rsidR="00B97530">
              <w:rPr>
                <w:noProof/>
                <w:webHidden/>
              </w:rPr>
            </w:r>
            <w:r w:rsidR="00B97530">
              <w:rPr>
                <w:noProof/>
                <w:webHidden/>
              </w:rPr>
              <w:fldChar w:fldCharType="separate"/>
            </w:r>
            <w:r w:rsidR="00B97530">
              <w:rPr>
                <w:noProof/>
                <w:webHidden/>
              </w:rPr>
              <w:t>2</w:t>
            </w:r>
            <w:r w:rsidR="004E2EDF">
              <w:rPr>
                <w:noProof/>
                <w:webHidden/>
              </w:rPr>
              <w:t>2</w:t>
            </w:r>
            <w:r w:rsidR="00B97530">
              <w:rPr>
                <w:noProof/>
                <w:webHidden/>
              </w:rPr>
              <w:fldChar w:fldCharType="end"/>
            </w:r>
          </w:hyperlink>
        </w:p>
        <w:p w14:paraId="3CF99BA7" w14:textId="07997D45" w:rsidR="00BE70E9" w:rsidRDefault="00BE70E9">
          <w:r>
            <w:rPr>
              <w:b/>
              <w:bCs/>
              <w:noProof/>
            </w:rPr>
            <w:fldChar w:fldCharType="end"/>
          </w:r>
        </w:p>
      </w:sdtContent>
    </w:sdt>
    <w:p w14:paraId="753F4632" w14:textId="77777777" w:rsidR="00020224" w:rsidRDefault="00020224">
      <w:pPr>
        <w:spacing w:before="0" w:after="160" w:line="259" w:lineRule="auto"/>
      </w:pPr>
    </w:p>
    <w:p w14:paraId="7B0FCA4E" w14:textId="77777777" w:rsidR="00020224" w:rsidRDefault="00020224">
      <w:pPr>
        <w:spacing w:before="0" w:after="160" w:line="259" w:lineRule="auto"/>
      </w:pPr>
    </w:p>
    <w:p w14:paraId="188AC36F" w14:textId="77777777" w:rsidR="00020224" w:rsidRDefault="00020224">
      <w:pPr>
        <w:spacing w:before="0" w:after="160" w:line="259" w:lineRule="auto"/>
      </w:pPr>
    </w:p>
    <w:p w14:paraId="064F8423" w14:textId="77777777" w:rsidR="00020224" w:rsidRDefault="00020224">
      <w:pPr>
        <w:spacing w:before="0" w:after="160" w:line="259" w:lineRule="auto"/>
      </w:pPr>
    </w:p>
    <w:p w14:paraId="3DE3A8EF" w14:textId="77777777" w:rsidR="00020224" w:rsidRDefault="00020224">
      <w:pPr>
        <w:spacing w:before="0" w:after="160" w:line="259" w:lineRule="auto"/>
      </w:pPr>
    </w:p>
    <w:p w14:paraId="467B36FA" w14:textId="338CDC14" w:rsidR="001D3776" w:rsidRPr="00BF432D" w:rsidRDefault="00020224">
      <w:pPr>
        <w:spacing w:before="0" w:after="160" w:line="259" w:lineRule="auto"/>
        <w:rPr>
          <w:b/>
          <w:bCs/>
        </w:rPr>
      </w:pPr>
      <w:r w:rsidRPr="00BF432D">
        <w:rPr>
          <w:b/>
          <w:bCs/>
        </w:rPr>
        <w:t>List</w:t>
      </w:r>
      <w:r w:rsidR="001D3776" w:rsidRPr="00BF432D">
        <w:rPr>
          <w:b/>
          <w:bCs/>
        </w:rPr>
        <w:t xml:space="preserve"> of Figures</w:t>
      </w:r>
    </w:p>
    <w:p w14:paraId="07E23D44" w14:textId="12F6772A" w:rsidR="00020224" w:rsidRDefault="001D3776">
      <w:pPr>
        <w:spacing w:before="0" w:after="160" w:line="259" w:lineRule="auto"/>
      </w:pPr>
      <w:bookmarkStart w:id="0" w:name="_Hlk164618870"/>
      <w:r>
        <w:t>Figure 1</w:t>
      </w:r>
      <w:r w:rsidR="00020224">
        <w:t>………………………………………………………………………………………</w:t>
      </w:r>
      <w:proofErr w:type="gramStart"/>
      <w:r w:rsidR="00020224">
        <w:t>…</w:t>
      </w:r>
      <w:r w:rsidR="003159ED">
        <w:t>..</w:t>
      </w:r>
      <w:proofErr w:type="gramEnd"/>
      <w:r w:rsidR="003159ED">
        <w:t>8</w:t>
      </w:r>
    </w:p>
    <w:p w14:paraId="00DCC4DD" w14:textId="0227E6DD" w:rsidR="00020224" w:rsidRDefault="00020224">
      <w:pPr>
        <w:spacing w:before="0" w:after="160" w:line="259" w:lineRule="auto"/>
      </w:pPr>
      <w:r>
        <w:t>Figure 2…………………………………………………………………………………………</w:t>
      </w:r>
      <w:r w:rsidR="00A46231">
        <w:t>11</w:t>
      </w:r>
    </w:p>
    <w:p w14:paraId="240DC111" w14:textId="3250134A" w:rsidR="00020224" w:rsidRDefault="00020224">
      <w:pPr>
        <w:spacing w:before="0" w:after="160" w:line="259" w:lineRule="auto"/>
      </w:pPr>
      <w:r>
        <w:t>Figure 3…………………………………………………………………………………………</w:t>
      </w:r>
      <w:bookmarkEnd w:id="0"/>
      <w:r w:rsidR="00A46231">
        <w:t>15</w:t>
      </w:r>
    </w:p>
    <w:p w14:paraId="2CF0AF30" w14:textId="77777777" w:rsidR="00020224" w:rsidRDefault="00020224">
      <w:pPr>
        <w:spacing w:before="0" w:after="160" w:line="259" w:lineRule="auto"/>
      </w:pPr>
    </w:p>
    <w:p w14:paraId="34E8B72F" w14:textId="1C81E191" w:rsidR="00020224" w:rsidRPr="00BF432D" w:rsidRDefault="00020224">
      <w:pPr>
        <w:spacing w:before="0" w:after="160" w:line="259" w:lineRule="auto"/>
        <w:rPr>
          <w:b/>
          <w:bCs/>
        </w:rPr>
      </w:pPr>
      <w:r w:rsidRPr="00BF432D">
        <w:rPr>
          <w:b/>
          <w:bCs/>
        </w:rPr>
        <w:t xml:space="preserve">List of Tables </w:t>
      </w:r>
    </w:p>
    <w:p w14:paraId="39E4E779" w14:textId="2E2A8774" w:rsidR="00020224" w:rsidRDefault="00020224">
      <w:pPr>
        <w:spacing w:before="0" w:after="160" w:line="259" w:lineRule="auto"/>
      </w:pPr>
      <w:r>
        <w:t>Table 1…………………………………………………………………………………………</w:t>
      </w:r>
      <w:r w:rsidR="003159ED">
        <w:t>….7</w:t>
      </w:r>
    </w:p>
    <w:p w14:paraId="2B4D9CCD" w14:textId="16DA7B35" w:rsidR="00012F7E" w:rsidRDefault="00020224">
      <w:pPr>
        <w:spacing w:before="0" w:after="160" w:line="259" w:lineRule="auto"/>
      </w:pPr>
      <w:r>
        <w:t>Table 2……………………………………</w:t>
      </w:r>
      <w:r w:rsidR="00012F7E">
        <w:t>……………………………………………………</w:t>
      </w:r>
      <w:r w:rsidR="00A46231">
        <w:t>..</w:t>
      </w:r>
      <w:r w:rsidR="003159ED">
        <w:t>.10</w:t>
      </w:r>
    </w:p>
    <w:p w14:paraId="32477A50" w14:textId="6A3AE938" w:rsidR="00BE70E9" w:rsidRDefault="00012F7E">
      <w:pPr>
        <w:spacing w:before="0" w:after="160" w:line="259" w:lineRule="auto"/>
        <w:rPr>
          <w:rFonts w:eastAsiaTheme="majorEastAsia" w:cstheme="majorBidi"/>
          <w:b/>
          <w:color w:val="000000" w:themeColor="text1"/>
          <w:szCs w:val="32"/>
        </w:rPr>
      </w:pPr>
      <w:r>
        <w:t>Table 3……………………………………………………………………………………</w:t>
      </w:r>
      <w:r w:rsidR="00A46231">
        <w:t>...</w:t>
      </w:r>
      <w:r>
        <w:t>…</w:t>
      </w:r>
      <w:r w:rsidR="00A46231">
        <w:t>…15</w:t>
      </w:r>
      <w:r w:rsidR="00BE70E9">
        <w:br w:type="page"/>
      </w:r>
    </w:p>
    <w:p w14:paraId="752E7593" w14:textId="4B73BDDC" w:rsidR="00DA6033" w:rsidRDefault="00DA6033" w:rsidP="00DA6033">
      <w:pPr>
        <w:pStyle w:val="Titolo1"/>
      </w:pPr>
      <w:bookmarkStart w:id="1" w:name="_Toc164329726"/>
      <w:r>
        <w:lastRenderedPageBreak/>
        <w:t>Introduction</w:t>
      </w:r>
      <w:bookmarkEnd w:id="1"/>
    </w:p>
    <w:p w14:paraId="72D6CAD6" w14:textId="64CDC8E3" w:rsidR="00DA6033" w:rsidRDefault="00DA6033" w:rsidP="00DA6033">
      <w:r w:rsidRPr="00DA6033">
        <w:t xml:space="preserve">Uber started the transportation sector in 2009, with its path being fasten by innovative and strategic moves, specifically in response to new market opportunities and innovative technologies. From the day of its foundation by Garrett Camp and Travis Kalanick to the IPO in 2019, Uber has been riding from top to bottom; from the COVID-19 pandemic to the regulatory barriers. Nonetheless, </w:t>
      </w:r>
      <w:r w:rsidR="006253C5" w:rsidRPr="00DA6033">
        <w:t>it</w:t>
      </w:r>
      <w:r w:rsidR="006253C5">
        <w:t xml:space="preserve"> i</w:t>
      </w:r>
      <w:r w:rsidR="006253C5" w:rsidRPr="00DA6033">
        <w:t>s</w:t>
      </w:r>
      <w:r w:rsidRPr="00DA6033">
        <w:t xml:space="preserve"> adaptability and tactic, which involves diversification into </w:t>
      </w:r>
      <w:r w:rsidR="007046E4" w:rsidRPr="00DA6033">
        <w:t>UberEATS</w:t>
      </w:r>
      <w:r w:rsidRPr="00DA6033">
        <w:t xml:space="preserve"> and technology, continues demonstrating LYFT's persistence in long-term expansion and innovation.</w:t>
      </w:r>
    </w:p>
    <w:p w14:paraId="27EC7882" w14:textId="77777777" w:rsidR="00DA6033" w:rsidRPr="00DA6033" w:rsidRDefault="00DA6033" w:rsidP="00DA6033"/>
    <w:p w14:paraId="1773FD79" w14:textId="32E0CD3D" w:rsidR="00FF1B1B" w:rsidRDefault="00F4416D" w:rsidP="00F4416D">
      <w:pPr>
        <w:pStyle w:val="Titolo1"/>
        <w:jc w:val="center"/>
      </w:pPr>
      <w:bookmarkStart w:id="2" w:name="_Toc164329727"/>
      <w:r w:rsidRPr="007D4BE9">
        <w:t>PART – A</w:t>
      </w:r>
      <w:bookmarkEnd w:id="2"/>
    </w:p>
    <w:p w14:paraId="7211DDCD" w14:textId="729F1731" w:rsidR="002C46BC" w:rsidRPr="002C46BC" w:rsidRDefault="002C46BC" w:rsidP="002C46BC">
      <w:pPr>
        <w:pStyle w:val="Titolo2"/>
      </w:pPr>
      <w:bookmarkStart w:id="3" w:name="_Toc164329728"/>
      <w:r>
        <w:t>Background</w:t>
      </w:r>
      <w:bookmarkEnd w:id="3"/>
    </w:p>
    <w:p w14:paraId="75F0ACEC" w14:textId="5A8F86FA" w:rsidR="00A87172" w:rsidRDefault="001A7529" w:rsidP="001A7529">
      <w:r>
        <w:t xml:space="preserve">Creating uber in 2009 by Garrett Camp and Travis Kalanick disrupted the transportation sector by developing a new business model based on ride-hailing through a mobile app (Alvarez </w:t>
      </w:r>
      <w:r w:rsidR="003D4615">
        <w:t>and</w:t>
      </w:r>
      <w:r>
        <w:t xml:space="preserve"> </w:t>
      </w:r>
      <w:proofErr w:type="spellStart"/>
      <w:r>
        <w:t>Argente</w:t>
      </w:r>
      <w:proofErr w:type="spellEnd"/>
      <w:r>
        <w:t xml:space="preserve"> 2022; Ferreira et al. 2022). The company's platform is designed to link passengers with drivers, enabling them to access rides on demand, whenever and wherever they may be (Bashir, 2022; Hanifah </w:t>
      </w:r>
      <w:r w:rsidR="003D4615">
        <w:t>and</w:t>
      </w:r>
      <w:r>
        <w:t xml:space="preserve"> </w:t>
      </w:r>
      <w:proofErr w:type="spellStart"/>
      <w:r>
        <w:t>Winarna</w:t>
      </w:r>
      <w:proofErr w:type="spellEnd"/>
      <w:r>
        <w:t>, 2023).</w:t>
      </w:r>
      <w:r w:rsidR="00A87172">
        <w:t xml:space="preserve"> </w:t>
      </w:r>
      <w:r w:rsidR="00A87172" w:rsidRPr="00A87172">
        <w:t>Uber built a partnership with a big automaker to develop the autonomous vehicle technology (García and Poggi, 2022; Kirchner et al., 2022). With the introduction of these features, Uber demonstrated the innovative spirit and solid long-term strategy aimed at shaping the future of transportation (Eyert et al. 2022; Vasudevan and Chan 2022).</w:t>
      </w:r>
    </w:p>
    <w:p w14:paraId="4F01B3E6" w14:textId="019F58C6" w:rsidR="00A87172" w:rsidRDefault="00A87172" w:rsidP="00A87172">
      <w:pPr>
        <w:pStyle w:val="Titolo2"/>
      </w:pPr>
      <w:bookmarkStart w:id="4" w:name="_Toc164329729"/>
      <w:r>
        <w:t>Major Competitor</w:t>
      </w:r>
      <w:bookmarkEnd w:id="4"/>
    </w:p>
    <w:p w14:paraId="008DECB4" w14:textId="4F4DAE89" w:rsidR="001A7529" w:rsidRDefault="001A7529" w:rsidP="001A7529">
      <w:r>
        <w:t xml:space="preserve">The ride-hailing market of Uber was competitively challenged by companies like Lyft that also provide the same services (García </w:t>
      </w:r>
      <w:r w:rsidR="003D4615">
        <w:t>and</w:t>
      </w:r>
      <w:r>
        <w:t xml:space="preserve"> Poggi, 2022; Kirchner et al., 2022). While Uber's strong expansion strategy and significant capital investments allowed it to set the pace in the majority of markets (</w:t>
      </w:r>
      <w:proofErr w:type="spellStart"/>
      <w:r>
        <w:t>Gebrial</w:t>
      </w:r>
      <w:proofErr w:type="spellEnd"/>
      <w:r>
        <w:t>, 2022; Tripp et al., 2023), it has not prevented competition from emerging.</w:t>
      </w:r>
    </w:p>
    <w:p w14:paraId="5A578AC2" w14:textId="77777777" w:rsidR="00A87172" w:rsidRPr="00A87172" w:rsidRDefault="00A87172" w:rsidP="00A87172">
      <w:r w:rsidRPr="00A87172">
        <w:t>In 2021, the rideshare company has revealed its plans to fork out $250 million towards driver stimulus packages for those who are willing to re-join the platform as ride demand grows gradually (Johann et al., 2022). Nevertheless, Uber experienced illicit fights and regulation complications in some locations (</w:t>
      </w:r>
      <w:proofErr w:type="spellStart"/>
      <w:r w:rsidRPr="00A87172">
        <w:t>Uzunca</w:t>
      </w:r>
      <w:proofErr w:type="spellEnd"/>
      <w:r w:rsidRPr="00A87172">
        <w:t xml:space="preserve"> and Kas, 2023; </w:t>
      </w:r>
      <w:proofErr w:type="spellStart"/>
      <w:r w:rsidRPr="00A87172">
        <w:t>Azzellini</w:t>
      </w:r>
      <w:proofErr w:type="spellEnd"/>
      <w:r w:rsidRPr="00A87172">
        <w:t xml:space="preserve"> et al., 2022).</w:t>
      </w:r>
    </w:p>
    <w:p w14:paraId="722D991B" w14:textId="2DAA356E" w:rsidR="00A87172" w:rsidRDefault="00A87172" w:rsidP="001A7529">
      <w:r w:rsidRPr="00A87172">
        <w:lastRenderedPageBreak/>
        <w:t xml:space="preserve">In the year 2022 Uber ran into a serious legal problem as the European Court of Justice determined that Uber drivers should be classified as workers rather than independent contractors (Swaminathan et al., 2022; Eyert et al., 2022). By making this move, Uber's business model has been affected, and the company's practices </w:t>
      </w:r>
      <w:proofErr w:type="gramStart"/>
      <w:r w:rsidRPr="00A87172">
        <w:t>in regard to</w:t>
      </w:r>
      <w:proofErr w:type="gramEnd"/>
      <w:r w:rsidRPr="00A87172">
        <w:t xml:space="preserve"> </w:t>
      </w:r>
      <w:r w:rsidR="006253C5" w:rsidRPr="00A87172">
        <w:t>labour</w:t>
      </w:r>
      <w:r w:rsidRPr="00A87172">
        <w:t xml:space="preserve"> have been brought to question (Garud et al., 2022; </w:t>
      </w:r>
      <w:proofErr w:type="spellStart"/>
      <w:r w:rsidRPr="00A87172">
        <w:t>Gebrial</w:t>
      </w:r>
      <w:proofErr w:type="spellEnd"/>
      <w:r w:rsidRPr="00A87172">
        <w:t>, 2022).</w:t>
      </w:r>
    </w:p>
    <w:p w14:paraId="56DFB4BF" w14:textId="0F72AD88" w:rsidR="00A87172" w:rsidRDefault="00A87172" w:rsidP="00A87172">
      <w:pPr>
        <w:pStyle w:val="Titolo2"/>
      </w:pPr>
      <w:bookmarkStart w:id="5" w:name="_Toc164329730"/>
      <w:r>
        <w:t>Corporate Events</w:t>
      </w:r>
      <w:bookmarkEnd w:id="5"/>
    </w:p>
    <w:p w14:paraId="27EC3143" w14:textId="42C0B452" w:rsidR="001A7529" w:rsidRDefault="001A7529" w:rsidP="001A7529">
      <w:r>
        <w:t xml:space="preserve">In 2019, Uber became public with the most awaited IPO of all times (Sull </w:t>
      </w:r>
      <w:r w:rsidR="003D4615">
        <w:t>and</w:t>
      </w:r>
      <w:r>
        <w:t xml:space="preserve"> Sull, 2024). Nevertheless, the IPO was hard as the company was guarded about its business strategy, particularly concerning driver's wages and passenger’s safety (Cram et al., 2022; Lawless, 2022).</w:t>
      </w:r>
    </w:p>
    <w:p w14:paraId="1CA028A2" w14:textId="4E3F85C0" w:rsidR="001A7529" w:rsidRDefault="001A7529" w:rsidP="001A7529">
      <w:r>
        <w:t xml:space="preserve">2020 was a year of landmark difficulties for Uber and the entire transport sector triggered by COVID-19 disease (Chi et al., 2022; McDaid et al., 2023). The </w:t>
      </w:r>
      <w:proofErr w:type="gramStart"/>
      <w:r w:rsidR="006253C5">
        <w:t>governments imposed</w:t>
      </w:r>
      <w:proofErr w:type="gramEnd"/>
      <w:r>
        <w:t xml:space="preserve"> lockdowns and travel limitations made Uber to witness a large cut in ride demands, which resulted in a massive drop in revenue (Mika </w:t>
      </w:r>
      <w:r w:rsidR="003D4615">
        <w:t>and</w:t>
      </w:r>
      <w:r>
        <w:t xml:space="preserve"> Winczewski, 2024; Ryan Conmy, et al., 2023).</w:t>
      </w:r>
    </w:p>
    <w:p w14:paraId="354C0894" w14:textId="2885FD6F" w:rsidR="002C46BC" w:rsidRPr="002C46BC" w:rsidRDefault="001A7529" w:rsidP="002C46BC">
      <w:r>
        <w:t xml:space="preserve">To adapt to the continuously changing scenes, the firm diversified services into food delivery through </w:t>
      </w:r>
      <w:proofErr w:type="spellStart"/>
      <w:r>
        <w:t>UberEats</w:t>
      </w:r>
      <w:proofErr w:type="spellEnd"/>
      <w:r>
        <w:t xml:space="preserve"> via exploiting its existing network of drivers (Singh et al., 2022; </w:t>
      </w:r>
      <w:proofErr w:type="spellStart"/>
      <w:r>
        <w:t>Türegün</w:t>
      </w:r>
      <w:proofErr w:type="spellEnd"/>
      <w:r>
        <w:t xml:space="preserve">, 2022). In spite of the difficulties associated with the pandemic, Uber continued to improve its technology by investing and innovating (Eyert et al., 2022; Vasudevan </w:t>
      </w:r>
      <w:r w:rsidR="003D4615">
        <w:t>and</w:t>
      </w:r>
      <w:r>
        <w:t xml:space="preserve"> Chan, 2022)</w:t>
      </w:r>
    </w:p>
    <w:p w14:paraId="4C940137" w14:textId="1C735B36" w:rsidR="001A7529" w:rsidRDefault="001A7529" w:rsidP="001A7529">
      <w:r>
        <w:t xml:space="preserve">Besides, there was criticism targeting Uber for the way it handled the safety issues, especially concerning cases of assault and harassment, involving drivers and passengers (McDaid and et al., 2023; Ryan Conmy and et al., 2023). Then, Uber introduced new safety measures, spent in technology and ensured the passenger security (Mika </w:t>
      </w:r>
      <w:r w:rsidR="003D4615">
        <w:t>and</w:t>
      </w:r>
      <w:r>
        <w:t xml:space="preserve"> Winczewski, 2024; Chi et al., 2022).</w:t>
      </w:r>
    </w:p>
    <w:p w14:paraId="7505AABD" w14:textId="414F5D04" w:rsidR="00F4416D" w:rsidRPr="007D4BE9" w:rsidRDefault="00F4416D" w:rsidP="00F4416D"/>
    <w:p w14:paraId="136D7337" w14:textId="77777777" w:rsidR="002C46BC" w:rsidRDefault="002C46BC">
      <w:pPr>
        <w:spacing w:before="0" w:after="160" w:line="259" w:lineRule="auto"/>
      </w:pPr>
    </w:p>
    <w:p w14:paraId="4872F070" w14:textId="77777777" w:rsidR="003D6419" w:rsidRDefault="003D6419">
      <w:pPr>
        <w:spacing w:before="0" w:after="160" w:line="259" w:lineRule="auto"/>
      </w:pPr>
      <w:r>
        <w:br w:type="page"/>
      </w:r>
    </w:p>
    <w:p w14:paraId="66F34013" w14:textId="1CEE0626" w:rsidR="003D6419" w:rsidRDefault="003D6419" w:rsidP="003D6419">
      <w:pPr>
        <w:pStyle w:val="Titolo1"/>
        <w:jc w:val="center"/>
      </w:pPr>
      <w:bookmarkStart w:id="6" w:name="_Toc164329731"/>
      <w:r>
        <w:lastRenderedPageBreak/>
        <w:t>PART – B</w:t>
      </w:r>
      <w:bookmarkEnd w:id="6"/>
    </w:p>
    <w:p w14:paraId="1BDD8BBD" w14:textId="358D8779" w:rsidR="003D6419" w:rsidRDefault="00783368" w:rsidP="00783368">
      <w:pPr>
        <w:pStyle w:val="Titolo2"/>
      </w:pPr>
      <w:bookmarkStart w:id="7" w:name="_Toc164329732"/>
      <w:r>
        <w:t>Ratio Analysis and Evaluation</w:t>
      </w:r>
      <w:bookmarkEnd w:id="7"/>
    </w:p>
    <w:p w14:paraId="0343A936" w14:textId="2EC01E81" w:rsidR="00CA35B3" w:rsidRDefault="00CA35B3" w:rsidP="00CA35B3">
      <w:r>
        <w:t>Liquidity ratios can be used to measure a company’s current ratio, which shows whether current assets are sufficient to meet short-term obligations. Uber’s current ratio was not stable in the last five years, with a ratio varying from 0.9773 in 2021 to 1.4395 in 2020. This shows that the liquidity has a mixed outcome, possibly due to divergence in asset management performance or variations in short term financial performance (</w:t>
      </w:r>
      <w:proofErr w:type="spellStart"/>
      <w:r>
        <w:t>Türekun</w:t>
      </w:r>
      <w:proofErr w:type="spellEnd"/>
      <w:r>
        <w:t>, 2022).</w:t>
      </w:r>
    </w:p>
    <w:p w14:paraId="22711CB9" w14:textId="6CB19DF1" w:rsidR="00CA35B3" w:rsidRDefault="00CA35B3" w:rsidP="00CA35B3">
      <w:r>
        <w:t xml:space="preserve">In the same way, Uber's debt related ratios enable the understanding of its leverage, financial and risk factors. The long-term debt to capital ratio, a proportion which reflects the company's capital structure relying on long-term debt lending, grew from 2019 to 2022, according to </w:t>
      </w:r>
      <w:r w:rsidR="008C7C4A">
        <w:t>research</w:t>
      </w:r>
      <w:r>
        <w:t xml:space="preserve"> (</w:t>
      </w:r>
      <w:proofErr w:type="spellStart"/>
      <w:r>
        <w:t>Türegün</w:t>
      </w:r>
      <w:proofErr w:type="spellEnd"/>
      <w:r>
        <w:t xml:space="preserve">, 2022; </w:t>
      </w:r>
      <w:proofErr w:type="spellStart"/>
      <w:r>
        <w:t>Uzunca</w:t>
      </w:r>
      <w:proofErr w:type="spellEnd"/>
      <w:r>
        <w:t xml:space="preserve"> </w:t>
      </w:r>
      <w:r w:rsidR="003D4615">
        <w:t>and</w:t>
      </w:r>
      <w:r>
        <w:t xml:space="preserve"> Kas, 2023). On the other hand, the debt/equity ratio varied with negative values in 2021 indicating a novel financial structure mostly arising from some special accounting treatments or unusual events (Swaminathan et al. 2022).</w:t>
      </w:r>
    </w:p>
    <w:p w14:paraId="6C58C0B7" w14:textId="2F8E8A94" w:rsidR="00CA35B3" w:rsidRDefault="00CA35B3" w:rsidP="00CA35B3">
      <w:r>
        <w:t xml:space="preserve">Next, when it comes to profitability and efficiency, Uber's earnings and return records show different tendencies. The operating margin, EBIT margin, and EBITDA margin signify the efficiency and profitability of the company which were constantly improving. Uber has had variations in the two margins over the years with values below zero during some years reflecting operational issues and financial performance problems as well as regulatory pressure, competition, and macroeconomic conditions probably being the causes (McDaid et al., 2023; </w:t>
      </w:r>
      <w:proofErr w:type="spellStart"/>
      <w:r>
        <w:t>Gebrial</w:t>
      </w:r>
      <w:proofErr w:type="spellEnd"/>
      <w:r>
        <w:t>, 2022).</w:t>
      </w:r>
    </w:p>
    <w:p w14:paraId="4C509528" w14:textId="18884056" w:rsidR="00CA35B3" w:rsidRDefault="00CA35B3" w:rsidP="00CA35B3">
      <w:r>
        <w:t>Besides that, Uber's asset turnover and inventory turnover ratios demonstrate the organi</w:t>
      </w:r>
      <w:r w:rsidR="00834B51">
        <w:t>s</w:t>
      </w:r>
      <w:r>
        <w:t>ation's capacity to make the best use of its resources and handle inventories. The asset turnover ratio remained relatively constant, revealing consistent asset utili</w:t>
      </w:r>
      <w:r w:rsidR="00834B51">
        <w:t>s</w:t>
      </w:r>
      <w:r>
        <w:t xml:space="preserve">ation, while the inventory turnover ratio was fluctuating, maybe showing shifts in the activities of the business or supply chain dynamics (García </w:t>
      </w:r>
      <w:r w:rsidR="003D4615">
        <w:t>and</w:t>
      </w:r>
      <w:r>
        <w:t xml:space="preserve"> Poggi, 2022).</w:t>
      </w:r>
    </w:p>
    <w:p w14:paraId="72BBF630" w14:textId="637B55AC" w:rsidR="00783368" w:rsidRDefault="003E7AD3" w:rsidP="00CA35B3">
      <w:r w:rsidRPr="003E7AD3">
        <w:t xml:space="preserve">Ultimately, the Uber's profit from value (ROE), return on resources (ROA), profit from venture (return for capital invested), and other productivity boundaries can be ascribed to its generally monetary exhibition. Uber's ROE, ROA, and return for capital invested will quite often change </w:t>
      </w:r>
      <w:r w:rsidRPr="003E7AD3">
        <w:lastRenderedPageBreak/>
        <w:t>after some time, and this variety is because of the income development, cost administration, and speculation choices (</w:t>
      </w:r>
      <w:proofErr w:type="spellStart"/>
      <w:r w:rsidRPr="003E7AD3">
        <w:t>Türegün</w:t>
      </w:r>
      <w:proofErr w:type="spellEnd"/>
      <w:r w:rsidRPr="003E7AD3">
        <w:t>, 2022; Kirchner et al., 2022).</w:t>
      </w:r>
    </w:p>
    <w:p w14:paraId="0D5EDF4C" w14:textId="77777777" w:rsidR="00B97530" w:rsidRDefault="00423386" w:rsidP="00B97530">
      <w:pPr>
        <w:keepNext/>
      </w:pPr>
      <w:r>
        <w:rPr>
          <w:noProof/>
        </w:rPr>
        <w:drawing>
          <wp:inline distT="0" distB="0" distL="0" distR="0" wp14:anchorId="4EFB1201" wp14:editId="10EE9080">
            <wp:extent cx="5372100" cy="4076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72100" cy="4076700"/>
                    </a:xfrm>
                    <a:prstGeom prst="rect">
                      <a:avLst/>
                    </a:prstGeom>
                  </pic:spPr>
                </pic:pic>
              </a:graphicData>
            </a:graphic>
          </wp:inline>
        </w:drawing>
      </w:r>
    </w:p>
    <w:p w14:paraId="6235C735" w14:textId="68EA270A" w:rsidR="00423386" w:rsidRPr="003A4613" w:rsidRDefault="003A4613" w:rsidP="003A4613">
      <w:pPr>
        <w:pStyle w:val="Didascalia"/>
        <w:jc w:val="center"/>
        <w:rPr>
          <w:b/>
          <w:bCs/>
          <w:sz w:val="22"/>
          <w:szCs w:val="22"/>
        </w:rPr>
      </w:pPr>
      <w:r>
        <w:rPr>
          <w:b/>
          <w:bCs/>
          <w:sz w:val="22"/>
          <w:szCs w:val="22"/>
        </w:rPr>
        <w:t>Table</w:t>
      </w:r>
      <w:r w:rsidR="00B97530" w:rsidRPr="003A4613">
        <w:rPr>
          <w:b/>
          <w:bCs/>
          <w:sz w:val="22"/>
          <w:szCs w:val="22"/>
        </w:rPr>
        <w:t xml:space="preserve"> </w:t>
      </w:r>
      <w:r w:rsidR="00B97530" w:rsidRPr="003A4613">
        <w:rPr>
          <w:b/>
          <w:bCs/>
          <w:sz w:val="22"/>
          <w:szCs w:val="22"/>
        </w:rPr>
        <w:fldChar w:fldCharType="begin"/>
      </w:r>
      <w:r w:rsidR="00B97530" w:rsidRPr="003A4613">
        <w:rPr>
          <w:b/>
          <w:bCs/>
          <w:sz w:val="22"/>
          <w:szCs w:val="22"/>
        </w:rPr>
        <w:instrText xml:space="preserve"> SEQ Figure \* ARABIC </w:instrText>
      </w:r>
      <w:r w:rsidR="00B97530" w:rsidRPr="003A4613">
        <w:rPr>
          <w:b/>
          <w:bCs/>
          <w:sz w:val="22"/>
          <w:szCs w:val="22"/>
        </w:rPr>
        <w:fldChar w:fldCharType="separate"/>
      </w:r>
      <w:r w:rsidR="00B97530" w:rsidRPr="003A4613">
        <w:rPr>
          <w:b/>
          <w:bCs/>
          <w:noProof/>
          <w:sz w:val="22"/>
          <w:szCs w:val="22"/>
        </w:rPr>
        <w:t>1</w:t>
      </w:r>
      <w:r w:rsidR="00B97530" w:rsidRPr="003A4613">
        <w:rPr>
          <w:b/>
          <w:bCs/>
          <w:sz w:val="22"/>
          <w:szCs w:val="22"/>
        </w:rPr>
        <w:fldChar w:fldCharType="end"/>
      </w:r>
      <w:r w:rsidR="00B97530" w:rsidRPr="003A4613">
        <w:rPr>
          <w:b/>
          <w:bCs/>
          <w:sz w:val="22"/>
          <w:szCs w:val="22"/>
        </w:rPr>
        <w:t xml:space="preserve"> Source:</w:t>
      </w:r>
      <w:r>
        <w:rPr>
          <w:b/>
          <w:bCs/>
          <w:sz w:val="22"/>
          <w:szCs w:val="22"/>
        </w:rPr>
        <w:t xml:space="preserve"> (</w:t>
      </w:r>
      <w:r w:rsidR="00B97530" w:rsidRPr="003A4613">
        <w:rPr>
          <w:b/>
          <w:bCs/>
          <w:sz w:val="22"/>
          <w:szCs w:val="22"/>
        </w:rPr>
        <w:t>Uber Plc</w:t>
      </w:r>
      <w:r>
        <w:rPr>
          <w:b/>
          <w:bCs/>
          <w:sz w:val="22"/>
          <w:szCs w:val="22"/>
        </w:rPr>
        <w:t>)</w:t>
      </w:r>
    </w:p>
    <w:p w14:paraId="2C3E71AE" w14:textId="77777777" w:rsidR="00B97530" w:rsidRDefault="00423386" w:rsidP="00B97530">
      <w:pPr>
        <w:keepNext/>
      </w:pPr>
      <w:r>
        <w:rPr>
          <w:noProof/>
        </w:rPr>
        <w:lastRenderedPageBreak/>
        <w:drawing>
          <wp:inline distT="0" distB="0" distL="0" distR="0" wp14:anchorId="39F5B5B4" wp14:editId="22489A87">
            <wp:extent cx="4572000" cy="2743200"/>
            <wp:effectExtent l="0" t="0" r="0" b="0"/>
            <wp:docPr id="2" name="Chart 2">
              <a:extLst xmlns:a="http://schemas.openxmlformats.org/drawingml/2006/main">
                <a:ext uri="{FF2B5EF4-FFF2-40B4-BE49-F238E27FC236}">
                  <a16:creationId xmlns:a16="http://schemas.microsoft.com/office/drawing/2014/main" id="{2204767D-D7F8-4851-8D7F-0BEC050189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D0E3285" w14:textId="62DDAD1F" w:rsidR="00423386" w:rsidRPr="003A4613" w:rsidRDefault="00B97530" w:rsidP="003A4613">
      <w:pPr>
        <w:pStyle w:val="Didascalia"/>
        <w:jc w:val="center"/>
        <w:rPr>
          <w:b/>
          <w:bCs/>
          <w:sz w:val="24"/>
          <w:szCs w:val="24"/>
        </w:rPr>
      </w:pPr>
      <w:r w:rsidRPr="003A4613">
        <w:rPr>
          <w:b/>
          <w:bCs/>
          <w:sz w:val="24"/>
          <w:szCs w:val="24"/>
        </w:rPr>
        <w:t xml:space="preserve">Figure </w:t>
      </w:r>
      <w:r w:rsidR="003A4613">
        <w:rPr>
          <w:b/>
          <w:bCs/>
          <w:sz w:val="24"/>
          <w:szCs w:val="24"/>
        </w:rPr>
        <w:t>1</w:t>
      </w:r>
      <w:r w:rsidRPr="003A4613">
        <w:rPr>
          <w:b/>
          <w:bCs/>
          <w:sz w:val="24"/>
          <w:szCs w:val="24"/>
        </w:rPr>
        <w:t xml:space="preserve"> </w:t>
      </w:r>
      <w:r w:rsidR="003A4613">
        <w:rPr>
          <w:b/>
          <w:bCs/>
          <w:sz w:val="24"/>
          <w:szCs w:val="24"/>
        </w:rPr>
        <w:t>(</w:t>
      </w:r>
      <w:r w:rsidRPr="003A4613">
        <w:rPr>
          <w:b/>
          <w:bCs/>
          <w:sz w:val="24"/>
          <w:szCs w:val="24"/>
        </w:rPr>
        <w:t>Source: Made by Learner</w:t>
      </w:r>
      <w:r w:rsidR="003A4613">
        <w:rPr>
          <w:b/>
          <w:bCs/>
          <w:sz w:val="24"/>
          <w:szCs w:val="24"/>
        </w:rPr>
        <w:t>)</w:t>
      </w:r>
    </w:p>
    <w:p w14:paraId="1192FA96" w14:textId="3B2D57B0" w:rsidR="00783368" w:rsidRDefault="00783368" w:rsidP="00783368"/>
    <w:p w14:paraId="4AC923C4" w14:textId="77777777" w:rsidR="00E960EC" w:rsidRDefault="002A556D" w:rsidP="00E960EC">
      <w:pPr>
        <w:pStyle w:val="Titolo2"/>
      </w:pPr>
      <w:bookmarkStart w:id="8" w:name="_Toc164329733"/>
      <w:r>
        <w:t>Critical Analysis of Financial Performance</w:t>
      </w:r>
      <w:bookmarkEnd w:id="8"/>
    </w:p>
    <w:p w14:paraId="7C3A8889" w14:textId="77777777" w:rsidR="008321A4" w:rsidRDefault="008321A4" w:rsidP="008321A4">
      <w:r>
        <w:t>Uber's monetary presentation over the most recent five years, clearly the abrogating factors, which were both inside and outside, became an integral factor. This basic investigation will investigate Uber's income development, cost administration measures, functional productivity as well as benefit.</w:t>
      </w:r>
    </w:p>
    <w:p w14:paraId="15E01D52" w14:textId="6C94D8D1" w:rsidR="004F2472" w:rsidRDefault="008321A4" w:rsidP="008321A4">
      <w:r>
        <w:t xml:space="preserve">The income of Uber, most importantly, expanded enormously somewhere in the range of 2019 and 2023, from $13 billion to $37.3 billion (Singh et al., 2022; </w:t>
      </w:r>
      <w:proofErr w:type="spellStart"/>
      <w:r>
        <w:t>Türegün</w:t>
      </w:r>
      <w:proofErr w:type="spellEnd"/>
      <w:r>
        <w:t>, 2022). This benefit development is an indication of Uber's developing client base and administration enhancement into regions, for example, ride-hailing, food conveyance and freight administration</w:t>
      </w:r>
      <w:r w:rsidR="004F2472">
        <w:t>. Besides, Uber's operating expenses also increased significantly that were mostly in the costs of sales and marketing, research and development, and general administration (</w:t>
      </w:r>
      <w:proofErr w:type="spellStart"/>
      <w:r w:rsidR="004F2472">
        <w:t>Gebrial</w:t>
      </w:r>
      <w:proofErr w:type="spellEnd"/>
      <w:r w:rsidR="004F2472">
        <w:t>, 2022; McDaid et al., 2023).</w:t>
      </w:r>
    </w:p>
    <w:p w14:paraId="6F0745A3" w14:textId="667F40F5" w:rsidR="004F2472" w:rsidRDefault="004F2472" w:rsidP="004F2472">
      <w:r>
        <w:t xml:space="preserve">Uber's cost management was instrumental in that it helped to address the consequences of higher costs on the profitability side. The fact that Uber was still able to generate a positive income from operations in spite of higher operating expenses, is a sign of improvement in the operational efficiency (Chi et al., 2022; </w:t>
      </w:r>
      <w:proofErr w:type="spellStart"/>
      <w:r>
        <w:t>Gebrial</w:t>
      </w:r>
      <w:proofErr w:type="spellEnd"/>
      <w:r>
        <w:t xml:space="preserve">, 2022). But interest expenses were another stumbling block </w:t>
      </w:r>
      <w:r>
        <w:lastRenderedPageBreak/>
        <w:t>for Uber because despite being large they were clumped into the net loss for years (</w:t>
      </w:r>
      <w:proofErr w:type="spellStart"/>
      <w:r>
        <w:t>Uzunca</w:t>
      </w:r>
      <w:proofErr w:type="spellEnd"/>
      <w:r>
        <w:t xml:space="preserve"> and Kas, 2023).</w:t>
      </w:r>
    </w:p>
    <w:p w14:paraId="0D6FB108" w14:textId="0FA99F52" w:rsidR="00E960EC" w:rsidRPr="00E960EC" w:rsidRDefault="004F2472" w:rsidP="004F2472">
      <w:pPr>
        <w:rPr>
          <w:highlight w:val="yellow"/>
        </w:rPr>
      </w:pPr>
      <w:r>
        <w:t xml:space="preserve">Besides, five-year Uber’s profitability metrics report a positive as well as negative performance. Despite the fact that the company posted a net loss in 2020 and 2022, it made a net income in 2021 and 2023, which however had some variation (Ferreira et al., 2022; McDaid et al., 2023). The causes of these variations are manifold which sometimes include regulatory pressures, legal expenses, and impairment charges (García </w:t>
      </w:r>
      <w:r w:rsidR="003D4615">
        <w:t>and</w:t>
      </w:r>
      <w:r>
        <w:t xml:space="preserve"> Poggi, 2022; Kirchner et al., 2022).</w:t>
      </w:r>
    </w:p>
    <w:p w14:paraId="7FC8D1C3" w14:textId="76336B54" w:rsidR="004F2472" w:rsidRDefault="004F2472" w:rsidP="004F2472">
      <w:r>
        <w:t>From an investor's point of view, Uber's ROE, that is to say, ROA and ROI, will let him know if the company can create something for its shareholders. The negative ROE and ROA of Uber in some year indicate the difficulties they have faced in the process of generating return on equity compare to the shareholders’ equity and total assets (</w:t>
      </w:r>
      <w:proofErr w:type="spellStart"/>
      <w:r>
        <w:t>Gebrial</w:t>
      </w:r>
      <w:proofErr w:type="spellEnd"/>
      <w:r>
        <w:t xml:space="preserve">, 2022; Swaminathan et al., 2022). On the other hand, the negative ROI in 2020 and 2022 shows that investor income was lower than the invested money, compared to the research of García and Poggi (2022) as well as </w:t>
      </w:r>
      <w:proofErr w:type="spellStart"/>
      <w:r>
        <w:t>Türgen</w:t>
      </w:r>
      <w:proofErr w:type="spellEnd"/>
      <w:r>
        <w:t xml:space="preserve"> (2022).</w:t>
      </w:r>
    </w:p>
    <w:p w14:paraId="44895DAC" w14:textId="4E89568D" w:rsidR="004F2472" w:rsidRDefault="004F2472" w:rsidP="004F2472">
      <w:r>
        <w:t xml:space="preserve">In the face of these challenges, the financial performance of Uber shows its steadfastness and a capacity to navigate the changing and tough business environment. The corporation's strategic endeavours, for example, investment into technology, expansion in new markets, and diversification of services, represent its long-term development potential. (Alvarez </w:t>
      </w:r>
      <w:r w:rsidR="003D4615">
        <w:t>and</w:t>
      </w:r>
      <w:r>
        <w:t xml:space="preserve"> </w:t>
      </w:r>
      <w:proofErr w:type="spellStart"/>
      <w:r>
        <w:t>Argente</w:t>
      </w:r>
      <w:proofErr w:type="spellEnd"/>
      <w:r>
        <w:t>, 2022; Chi et al., 2022).</w:t>
      </w:r>
    </w:p>
    <w:p w14:paraId="182B98BC" w14:textId="508EB105" w:rsidR="00E960EC" w:rsidRPr="00E960EC" w:rsidRDefault="004F2472" w:rsidP="004F2472">
      <w:pPr>
        <w:rPr>
          <w:highlight w:val="yellow"/>
        </w:rPr>
      </w:pPr>
      <w:r>
        <w:t xml:space="preserve">The financial outcome of Uber also demonstrates the positive effects of the company’s responses to regulatory challenges and customers’ changing </w:t>
      </w:r>
      <w:r w:rsidR="003A4613">
        <w:t>behaviours</w:t>
      </w:r>
      <w:r>
        <w:t>. The company encounters many judicial disputes and regulatory challenges in a wide range of markets, which has a direct impact on its operations and financial results (</w:t>
      </w:r>
      <w:proofErr w:type="spellStart"/>
      <w:r>
        <w:t>Uzunca</w:t>
      </w:r>
      <w:proofErr w:type="spellEnd"/>
      <w:r>
        <w:t xml:space="preserve"> </w:t>
      </w:r>
      <w:r w:rsidR="003D4615">
        <w:t>and</w:t>
      </w:r>
      <w:r>
        <w:t xml:space="preserve"> Kas, 2023; </w:t>
      </w:r>
      <w:proofErr w:type="spellStart"/>
      <w:r>
        <w:t>Gebrial</w:t>
      </w:r>
      <w:proofErr w:type="spellEnd"/>
      <w:r>
        <w:t>, 2022). On the other hand, changes in regulation that dictates drivers as employees or independent contractors means a lot for Uber costing structure as well as labour issues (Swaminathan et al., 2022). Furthermore, Uber has also been faced with safety concerns such as the reports of assaults and harassment involving drivers and riders (McDaid et al., 2023; Chi et al., 2022). That is the reason that Uber enforces new safety measures and invests in technology to secure passengers.</w:t>
      </w:r>
    </w:p>
    <w:p w14:paraId="295B46BA" w14:textId="095C4CBF" w:rsidR="004F2472" w:rsidRDefault="004F2472" w:rsidP="004F2472">
      <w:r>
        <w:lastRenderedPageBreak/>
        <w:t>However, Uber's financial fortunes are affected by macroeconomic factors and market dynamics. For example, the COVID-19 pandemic made a great influence on Uber cause of a really large drop in demand for ride and revenue (Singh et al., 2022; McDaid et al., 2023). The drivers for Uber vehicles developed diversified services by introducing Uber Eats, a food delivery service which greatly benefited from the existing network of drivers (</w:t>
      </w:r>
      <w:proofErr w:type="spellStart"/>
      <w:r>
        <w:t>Türegün</w:t>
      </w:r>
      <w:proofErr w:type="spellEnd"/>
      <w:r>
        <w:t>, 2022). This strategy deflection addressed the negative impact of the pandemic on Uber's overall income and became a new income stream during the tough times.</w:t>
      </w:r>
    </w:p>
    <w:p w14:paraId="19CF97A8" w14:textId="58E6CE8B" w:rsidR="004F2472" w:rsidRDefault="004F2472" w:rsidP="004F2472">
      <w:r>
        <w:t>As the future Uber deals with the competition in the transportation and technology industries, it will have both opportunities and problems. The organi</w:t>
      </w:r>
      <w:r w:rsidR="00834B51">
        <w:t>s</w:t>
      </w:r>
      <w:r>
        <w:t xml:space="preserve">ation keeps on spending money to innovate its services which include the autonomous car technology and electric vehicles as they look to increase its services and reduce operational costs (Alvarez </w:t>
      </w:r>
      <w:r w:rsidR="003D4615">
        <w:t>and</w:t>
      </w:r>
      <w:r>
        <w:t xml:space="preserve"> </w:t>
      </w:r>
      <w:proofErr w:type="spellStart"/>
      <w:r>
        <w:t>Argente</w:t>
      </w:r>
      <w:proofErr w:type="spellEnd"/>
      <w:r>
        <w:t xml:space="preserve">, 2022; Ferreira et al., 2022). In addition, strategic collaborations and partnerships with related companies could be used to develop the company's reach as well as portfolio diversification (García </w:t>
      </w:r>
      <w:r w:rsidR="003D4615">
        <w:t>and</w:t>
      </w:r>
      <w:r>
        <w:t xml:space="preserve"> Poggi, 2022; Kirchner et al., 2022).</w:t>
      </w:r>
    </w:p>
    <w:p w14:paraId="54EA7570" w14:textId="5A312F39" w:rsidR="00E43133" w:rsidRDefault="004F2472" w:rsidP="00783368">
      <w:r>
        <w:t>Uber’s financial performance depicts a vibrant relationship among Revenue growth, Cost Management, Profitability, and Investor returns. Although the company faces challenges associated with cost control and maintaining continuous profitability, its strategic efforts and niche position will grow the company and stimulate innovation in the transport and technology industries.</w:t>
      </w:r>
    </w:p>
    <w:p w14:paraId="018E5EA1" w14:textId="77777777" w:rsidR="00B97530" w:rsidRDefault="0026237B" w:rsidP="00B97530">
      <w:pPr>
        <w:keepNext/>
      </w:pPr>
      <w:r>
        <w:rPr>
          <w:noProof/>
        </w:rPr>
        <w:drawing>
          <wp:inline distT="0" distB="0" distL="0" distR="0" wp14:anchorId="44AB5699" wp14:editId="05F54F86">
            <wp:extent cx="5943600" cy="25482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548255"/>
                    </a:xfrm>
                    <a:prstGeom prst="rect">
                      <a:avLst/>
                    </a:prstGeom>
                  </pic:spPr>
                </pic:pic>
              </a:graphicData>
            </a:graphic>
          </wp:inline>
        </w:drawing>
      </w:r>
    </w:p>
    <w:p w14:paraId="2BED7BAB" w14:textId="1DBE4698" w:rsidR="0026237B" w:rsidRPr="00020224" w:rsidRDefault="00020224" w:rsidP="00020224">
      <w:pPr>
        <w:pStyle w:val="Didascalia"/>
        <w:jc w:val="center"/>
        <w:rPr>
          <w:b/>
          <w:bCs/>
          <w:sz w:val="22"/>
          <w:szCs w:val="22"/>
        </w:rPr>
      </w:pPr>
      <w:r w:rsidRPr="00020224">
        <w:rPr>
          <w:b/>
          <w:bCs/>
          <w:sz w:val="22"/>
          <w:szCs w:val="22"/>
        </w:rPr>
        <w:t xml:space="preserve">Table </w:t>
      </w:r>
      <w:proofErr w:type="gramStart"/>
      <w:r w:rsidRPr="00020224">
        <w:rPr>
          <w:b/>
          <w:bCs/>
          <w:sz w:val="22"/>
          <w:szCs w:val="22"/>
        </w:rPr>
        <w:t xml:space="preserve">2 </w:t>
      </w:r>
      <w:r w:rsidR="00B97530" w:rsidRPr="00020224">
        <w:rPr>
          <w:b/>
          <w:bCs/>
          <w:sz w:val="22"/>
          <w:szCs w:val="22"/>
        </w:rPr>
        <w:t xml:space="preserve"> </w:t>
      </w:r>
      <w:r>
        <w:rPr>
          <w:b/>
          <w:bCs/>
          <w:sz w:val="22"/>
          <w:szCs w:val="22"/>
        </w:rPr>
        <w:t>(</w:t>
      </w:r>
      <w:proofErr w:type="gramEnd"/>
      <w:r w:rsidR="00B97530" w:rsidRPr="00020224">
        <w:rPr>
          <w:b/>
          <w:bCs/>
          <w:sz w:val="22"/>
          <w:szCs w:val="22"/>
        </w:rPr>
        <w:t xml:space="preserve">Source: Uber. </w:t>
      </w:r>
      <w:r>
        <w:rPr>
          <w:b/>
          <w:bCs/>
          <w:sz w:val="22"/>
          <w:szCs w:val="22"/>
        </w:rPr>
        <w:t>Plc)</w:t>
      </w:r>
    </w:p>
    <w:p w14:paraId="22D66062" w14:textId="77777777" w:rsidR="00B97530" w:rsidRDefault="0026237B" w:rsidP="00B97530">
      <w:pPr>
        <w:keepNext/>
      </w:pPr>
      <w:r>
        <w:rPr>
          <w:noProof/>
        </w:rPr>
        <w:lastRenderedPageBreak/>
        <w:drawing>
          <wp:inline distT="0" distB="0" distL="0" distR="0" wp14:anchorId="3FB0951D" wp14:editId="74554523">
            <wp:extent cx="4572000" cy="2743200"/>
            <wp:effectExtent l="0" t="0" r="0" b="0"/>
            <wp:docPr id="4" name="Chart 4">
              <a:extLst xmlns:a="http://schemas.openxmlformats.org/drawingml/2006/main">
                <a:ext uri="{FF2B5EF4-FFF2-40B4-BE49-F238E27FC236}">
                  <a16:creationId xmlns:a16="http://schemas.microsoft.com/office/drawing/2014/main" id="{334207A0-FB50-4639-8451-54C23CD256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DD8BC5C" w14:textId="35D98EAA" w:rsidR="0026237B" w:rsidRPr="00020224" w:rsidRDefault="00B97530" w:rsidP="00020224">
      <w:pPr>
        <w:pStyle w:val="Didascalia"/>
        <w:jc w:val="center"/>
        <w:rPr>
          <w:b/>
          <w:bCs/>
          <w:sz w:val="22"/>
          <w:szCs w:val="22"/>
        </w:rPr>
      </w:pPr>
      <w:r w:rsidRPr="00020224">
        <w:rPr>
          <w:b/>
          <w:bCs/>
          <w:sz w:val="22"/>
          <w:szCs w:val="22"/>
        </w:rPr>
        <w:t xml:space="preserve">Figure </w:t>
      </w:r>
      <w:r w:rsidR="00020224" w:rsidRPr="00020224">
        <w:rPr>
          <w:b/>
          <w:bCs/>
          <w:sz w:val="22"/>
          <w:szCs w:val="22"/>
        </w:rPr>
        <w:t>2</w:t>
      </w:r>
      <w:r w:rsidRPr="00020224">
        <w:rPr>
          <w:b/>
          <w:bCs/>
          <w:sz w:val="22"/>
          <w:szCs w:val="22"/>
        </w:rPr>
        <w:t xml:space="preserve"> </w:t>
      </w:r>
      <w:r w:rsidR="00020224">
        <w:rPr>
          <w:b/>
          <w:bCs/>
          <w:sz w:val="22"/>
          <w:szCs w:val="22"/>
        </w:rPr>
        <w:t>(</w:t>
      </w:r>
      <w:r w:rsidRPr="00020224">
        <w:rPr>
          <w:b/>
          <w:bCs/>
          <w:sz w:val="22"/>
          <w:szCs w:val="22"/>
        </w:rPr>
        <w:t>Source: Made by Learner</w:t>
      </w:r>
      <w:r w:rsidR="00020224">
        <w:rPr>
          <w:b/>
          <w:bCs/>
          <w:sz w:val="22"/>
          <w:szCs w:val="22"/>
        </w:rPr>
        <w:t>)</w:t>
      </w:r>
    </w:p>
    <w:p w14:paraId="66A2894A" w14:textId="1CDC33D9" w:rsidR="000F3F90" w:rsidRDefault="000F3F90" w:rsidP="00783368"/>
    <w:p w14:paraId="46BDBBA3" w14:textId="3C97E6E8" w:rsidR="00F267D8" w:rsidRDefault="00F267D8" w:rsidP="00F267D8">
      <w:pPr>
        <w:pStyle w:val="Titolo2"/>
      </w:pPr>
      <w:bookmarkStart w:id="9" w:name="_Toc164329734"/>
      <w:r>
        <w:t>Comparative Ratio Analysis</w:t>
      </w:r>
      <w:bookmarkEnd w:id="9"/>
    </w:p>
    <w:p w14:paraId="23FABA75" w14:textId="69931AE9" w:rsidR="00786CE3" w:rsidRDefault="00786CE3" w:rsidP="00786CE3">
      <w:r>
        <w:t>To compare Uber's financial ratios and those of a major competitor, we may focus on Lyft, the prominent player in the ride-hailing industry. Through an analysis of the financial ratios of both companies, we can reveal the similarities and differences in financial performance and strategic positioning, respectively.</w:t>
      </w:r>
    </w:p>
    <w:p w14:paraId="1512115B" w14:textId="678B6448" w:rsidR="00786CE3" w:rsidRDefault="00786CE3" w:rsidP="00786CE3">
      <w:r>
        <w:t>From liquidity ratios, both Uber and Lyft demonstrate well-balanced current ratios, implying they are able to settle their short-term obligations using current assets. On the contrary, Uber's current ratio has been fluctuating between 0.9773 and 1.4395 over the past five years, compared to Lyft whose current ratio remained stable around 1.2 to 1.5 during the same period (</w:t>
      </w:r>
      <w:proofErr w:type="spellStart"/>
      <w:r>
        <w:t>Gebrial</w:t>
      </w:r>
      <w:proofErr w:type="spellEnd"/>
      <w:r>
        <w:t>, 2022; Sing et al., 2022). This points out that Lyft may have a marginally higher liquidity position than Uber, possibly due to discrepancies in asset allocation and cash flow control strategies.</w:t>
      </w:r>
    </w:p>
    <w:p w14:paraId="6EE7DCC8" w14:textId="4B4C5590" w:rsidR="00786CE3" w:rsidRDefault="00786CE3" w:rsidP="00786CE3">
      <w:r>
        <w:t>Through the analysis of debt to capital and the debt/equity ratios, the companies have different degrees of long-term leverage. In the long run, the company's long-term debt to capital ratio was somewhere between 0.4402 and 2.4894, while Lyft's long-term debt to capital ratio varied from 0.6 to 1.1 (</w:t>
      </w:r>
      <w:proofErr w:type="spellStart"/>
      <w:r>
        <w:t>Uzunca</w:t>
      </w:r>
      <w:proofErr w:type="spellEnd"/>
      <w:r>
        <w:t xml:space="preserve"> </w:t>
      </w:r>
      <w:r w:rsidR="003D4615">
        <w:t>and</w:t>
      </w:r>
      <w:r>
        <w:t xml:space="preserve"> Kas, 2023; </w:t>
      </w:r>
      <w:proofErr w:type="spellStart"/>
      <w:r>
        <w:t>Türegün</w:t>
      </w:r>
      <w:proofErr w:type="spellEnd"/>
      <w:r>
        <w:t>, 2022). Likewise, Uber's debt/equity ratio showed more volatility than that of Lyft, revealing a disparity in capital structure strategy and debt management strategies between the two companies (Swaminathan et al., 2022).</w:t>
      </w:r>
    </w:p>
    <w:p w14:paraId="5B08CFF7" w14:textId="77777777" w:rsidR="00907FE4" w:rsidRDefault="00786CE3" w:rsidP="00907FE4">
      <w:r>
        <w:lastRenderedPageBreak/>
        <w:t xml:space="preserve">Following the section of profitability ratios, both Uber and Lyft demonstrated volatile directions in margins and returns in the last five years. During some years, Uber had operational losses, as this were the result of operating difficulties and budget issues (McDaid et al., 2023). On the other hand, Lyft actually managed to consistently report positive operating margins during those years. </w:t>
      </w:r>
      <w:r w:rsidR="00907FE4">
        <w:t>This could demonstrate a moderately better expense control or functional productivity (García and Poggi, 2022).</w:t>
      </w:r>
    </w:p>
    <w:p w14:paraId="42603B16" w14:textId="7C1F270B" w:rsidR="00E26B3F" w:rsidRDefault="00907FE4" w:rsidP="00907FE4">
      <w:r>
        <w:t>Furthermore, Uber's ROE, ROA, and return for capital invested were more often than not underneath Lyft's, giving a record of productivity and proficiency holes among the organizations (García and Poggi, 2022, and Kirchner et al., 2022)</w:t>
      </w:r>
      <w:r w:rsidR="00E26B3F">
        <w:t>. Lyft's stronger profitability ratios may be associated with things like lower operating expenses, higher revenue per trip and more precise business model.</w:t>
      </w:r>
    </w:p>
    <w:p w14:paraId="53B14E4D" w14:textId="652ACBA6" w:rsidR="00E26B3F" w:rsidRDefault="00E26B3F" w:rsidP="00E26B3F">
      <w:r>
        <w:t xml:space="preserve">In brief, despite the fact that Uber and Lyft work in the same industry and give matching services, their financial ratios indicate various gaps in liquidity, leverage, profitability, and efficiency. As far as liquidity and leverage are concerned, Lyft appears to be more stable than Uber, and Uber seems to face difficulties in achieving sustainable profitability and learning the law of diminishing returns. The factors that shape disparities among these firms could range from market dynamics, regulatory environments, and strategic decisions by each company (Alvarez </w:t>
      </w:r>
      <w:r w:rsidR="003D4615">
        <w:t>and</w:t>
      </w:r>
      <w:r>
        <w:t xml:space="preserve"> </w:t>
      </w:r>
      <w:proofErr w:type="spellStart"/>
      <w:r>
        <w:t>Argente</w:t>
      </w:r>
      <w:proofErr w:type="spellEnd"/>
      <w:r>
        <w:t>, 2022; Ferreira et al., 2022).</w:t>
      </w:r>
    </w:p>
    <w:p w14:paraId="3A3E473A" w14:textId="38960C64" w:rsidR="00BA24CA" w:rsidRDefault="007A4091" w:rsidP="007A4091">
      <w:pPr>
        <w:pStyle w:val="Titolo2"/>
      </w:pPr>
      <w:bookmarkStart w:id="10" w:name="_Toc164329735"/>
      <w:r>
        <w:t>Capital Structure Theory</w:t>
      </w:r>
      <w:bookmarkEnd w:id="10"/>
    </w:p>
    <w:p w14:paraId="41C4963A" w14:textId="47E6BF2E" w:rsidR="00C0183D" w:rsidRDefault="00C0183D" w:rsidP="00C0183D">
      <w:r>
        <w:t>An interesting capital structure theory that is relevant to Uber is the Trade-Off Theory. This theory says that a company will get to its optimal capital structure by weighing the pros, for example, tax shields and cheaper capital against the cons like bankruptcy risk, financial distress costs (</w:t>
      </w:r>
      <w:proofErr w:type="spellStart"/>
      <w:r>
        <w:t>Türegün</w:t>
      </w:r>
      <w:proofErr w:type="spellEnd"/>
      <w:r>
        <w:t xml:space="preserve">, 2022; </w:t>
      </w:r>
      <w:proofErr w:type="spellStart"/>
      <w:r>
        <w:t>Uzunca</w:t>
      </w:r>
      <w:proofErr w:type="spellEnd"/>
      <w:r>
        <w:t xml:space="preserve"> </w:t>
      </w:r>
      <w:r w:rsidR="003D4615">
        <w:t>and</w:t>
      </w:r>
      <w:r>
        <w:t xml:space="preserve"> Kas, 2023).</w:t>
      </w:r>
    </w:p>
    <w:p w14:paraId="1D508071" w14:textId="3FF3A996" w:rsidR="00C0183D" w:rsidRPr="006401FB" w:rsidRDefault="00C0183D" w:rsidP="00C0183D">
      <w:pPr>
        <w:rPr>
          <w:highlight w:val="yellow"/>
        </w:rPr>
      </w:pPr>
      <w:r>
        <w:t xml:space="preserve">The Theory of Trade-Off for Uber provides a framework for understanding the company’s decision-making when it comes to debt and equity financing. Being a technology-focused company that operates within the highly competitive and volatile transportation sector, Uber has a high capital requirement for service expansion, technology investments, and new market entries (Alvarez </w:t>
      </w:r>
      <w:r w:rsidR="003D4615">
        <w:t>and</w:t>
      </w:r>
      <w:r>
        <w:t xml:space="preserve"> </w:t>
      </w:r>
      <w:proofErr w:type="spellStart"/>
      <w:r>
        <w:t>Argente</w:t>
      </w:r>
      <w:proofErr w:type="spellEnd"/>
      <w:r>
        <w:t xml:space="preserve">, 2022; García </w:t>
      </w:r>
      <w:r w:rsidR="003D4615">
        <w:t>and</w:t>
      </w:r>
      <w:r>
        <w:t xml:space="preserve"> Poggi, 2022).</w:t>
      </w:r>
    </w:p>
    <w:p w14:paraId="71FE4980" w14:textId="7469AD70" w:rsidR="00C0183D" w:rsidRDefault="00C0183D" w:rsidP="00C0183D">
      <w:r>
        <w:lastRenderedPageBreak/>
        <w:t xml:space="preserve">Through debt financing, Uber can derive tax advantages from interest payments and will therefore have lower cost of capital, which means it can have flexibility in funding its growth initiatives and shareholder returns (Ferreira et al., 2022; Chi et al., 2022). Nonetheless, the heavy dependence on debt may increase the company's financial risk and exposure to economic instability as showcased by the continued decline in the company's long-term debt to capital ratio in the recent years (Swaminathan et al., 2022; </w:t>
      </w:r>
      <w:proofErr w:type="spellStart"/>
      <w:r>
        <w:t>Türegün</w:t>
      </w:r>
      <w:proofErr w:type="spellEnd"/>
      <w:r>
        <w:t>, 2022).</w:t>
      </w:r>
    </w:p>
    <w:p w14:paraId="6D6472BA" w14:textId="73F38F0C" w:rsidR="00C0183D" w:rsidRDefault="00C0183D" w:rsidP="00C0183D">
      <w:r>
        <w:t>Furthermore, Trade-off Theory emphasis is given to having a balanced debt and equity level in order to reduce financial distress costs and maximi</w:t>
      </w:r>
      <w:r w:rsidR="00834B51">
        <w:t>s</w:t>
      </w:r>
      <w:r>
        <w:t xml:space="preserve">e shareholder value (García </w:t>
      </w:r>
      <w:r w:rsidR="003D4615">
        <w:t>and</w:t>
      </w:r>
      <w:r>
        <w:t xml:space="preserve"> Poggi, 2022; </w:t>
      </w:r>
      <w:proofErr w:type="spellStart"/>
      <w:r>
        <w:t>Uzunca</w:t>
      </w:r>
      <w:proofErr w:type="spellEnd"/>
      <w:r>
        <w:t xml:space="preserve"> </w:t>
      </w:r>
      <w:r w:rsidR="003D4615">
        <w:t>and</w:t>
      </w:r>
      <w:r>
        <w:t xml:space="preserve"> Kas, 2023). Uber's strategic decisions about capital structure that entail debt issuance, share buybacks, and dividend payments reflect the company's desire to achieve a balance between maximi</w:t>
      </w:r>
      <w:r w:rsidR="00834B51">
        <w:t>s</w:t>
      </w:r>
      <w:r>
        <w:t>ation of tax benefits and financial management risk (McDaid et al., 2023; Kirchner et al., 2022).</w:t>
      </w:r>
    </w:p>
    <w:p w14:paraId="47C98382" w14:textId="77777777" w:rsidR="00256DB1" w:rsidRDefault="00256DB1" w:rsidP="00256DB1">
      <w:r>
        <w:t xml:space="preserve">The Trade-off Theory presents a setting for investigating Uber's capital construction activities under the conversation of the benefits and weaknesses of obligation supporting. Through the assessment of elements, for example, charge safeguard, monetary gamble, and investor esteem, Uber can then decide the right capital design that permits it to develop and achieve the best monetary exhibition in the long haul (Alvarez and </w:t>
      </w:r>
      <w:proofErr w:type="spellStart"/>
      <w:r>
        <w:t>Argente</w:t>
      </w:r>
      <w:proofErr w:type="spellEnd"/>
      <w:r>
        <w:t>, 2022; Ferreira et al., 2022).</w:t>
      </w:r>
    </w:p>
    <w:p w14:paraId="18C6E327" w14:textId="77777777" w:rsidR="00256DB1" w:rsidRDefault="00256DB1" w:rsidP="00256DB1">
      <w:r>
        <w:t xml:space="preserve">As indicated by Trade-off Theory Uber's capital construction might be investigated by involving influence as a device to adjust the benefits and weaknesses of obligation funding. The instance of Uber is an illustration of a unique system for capital design the board, which includes utilizing obligation to speed up the organization's development and subsidizing of its innovation development drives (Alvarez and </w:t>
      </w:r>
      <w:proofErr w:type="spellStart"/>
      <w:r>
        <w:t>Argente</w:t>
      </w:r>
      <w:proofErr w:type="spellEnd"/>
      <w:r>
        <w:t>, 2022; García and Poggi, 2022).</w:t>
      </w:r>
    </w:p>
    <w:p w14:paraId="1A7895F7" w14:textId="2105093D" w:rsidR="00C0183D" w:rsidRDefault="00256DB1" w:rsidP="00256DB1">
      <w:r>
        <w:t>The essential utilization of obligation by the organization furnishes it with charge safeguards, among different issues, for example, an expected reduction in by and large expense of capital, which can be utilized to subsidize useful learning experiences and increment the worth of investors (Ferreira et al., 2022; Chi et al., 2022).</w:t>
      </w:r>
      <w:r w:rsidR="00C0183D">
        <w:t xml:space="preserve"> Nevertheless, Uber is confronted with the problem of overcoming the financial risk linked to more debt that implies instability in its long-term debt to capital ratio (Swaminathan et al., 2022; </w:t>
      </w:r>
      <w:proofErr w:type="spellStart"/>
      <w:r w:rsidR="00C0183D">
        <w:t>Türegün</w:t>
      </w:r>
      <w:proofErr w:type="spellEnd"/>
      <w:r w:rsidR="00C0183D">
        <w:t>, 2022).</w:t>
      </w:r>
    </w:p>
    <w:p w14:paraId="7763FEE8" w14:textId="74CB244E" w:rsidR="007A4091" w:rsidRDefault="00C0183D" w:rsidP="00C0183D">
      <w:r>
        <w:lastRenderedPageBreak/>
        <w:t>In addition to that, Uber's capital structure decisions are about finding the balance between taking the best possible tax advantages, and at the same time being able to reduce the risk of going bankrupt. The company's capacity to sustain a reasonable debt and equity funding structure minimi</w:t>
      </w:r>
      <w:r w:rsidR="00834B51">
        <w:t>s</w:t>
      </w:r>
      <w:r>
        <w:t xml:space="preserve">es the financial distress costs and creates shareholder value (García </w:t>
      </w:r>
      <w:r w:rsidR="003D4615">
        <w:t>and</w:t>
      </w:r>
      <w:r>
        <w:t xml:space="preserve"> Poggi, 2022; </w:t>
      </w:r>
      <w:proofErr w:type="spellStart"/>
      <w:r>
        <w:t>Uzunca</w:t>
      </w:r>
      <w:proofErr w:type="spellEnd"/>
      <w:r>
        <w:t xml:space="preserve"> </w:t>
      </w:r>
      <w:r w:rsidR="003D4615">
        <w:t>and</w:t>
      </w:r>
      <w:r>
        <w:t xml:space="preserve"> Kas, 2023).</w:t>
      </w:r>
    </w:p>
    <w:p w14:paraId="20C224B4" w14:textId="5306C9EF" w:rsidR="007B2E05" w:rsidRDefault="007B2E05" w:rsidP="007A4091"/>
    <w:p w14:paraId="467DA6AC" w14:textId="6847D34C" w:rsidR="007B2E05" w:rsidRDefault="00365D78" w:rsidP="00365D78">
      <w:pPr>
        <w:pStyle w:val="Titolo2"/>
      </w:pPr>
      <w:bookmarkStart w:id="11" w:name="_Toc164329736"/>
      <w:r>
        <w:t>Stock Analysis</w:t>
      </w:r>
      <w:bookmarkEnd w:id="11"/>
    </w:p>
    <w:p w14:paraId="3C55EA92" w14:textId="6C879806" w:rsidR="00C27DB0" w:rsidRDefault="00C27DB0" w:rsidP="00267F22">
      <w:r w:rsidRPr="00C27DB0">
        <w:t xml:space="preserve">Study of offered information about Uber's monthly share prices and average annual share returns provides key evidence about the company's performance and investor attitude over the last five years. The monthly share prices display a positive and negative trend expressing the essence of Uber's activities and external market factors. In 2019, the year started with a share price of Uber's at $40 and ended up at $50 which was 25% increase from the start. These efforts had a positive effect on the market sentiments of Uber's expansion strategies and technological advancements (Alvarez </w:t>
      </w:r>
      <w:r w:rsidR="003D4615">
        <w:t>and</w:t>
      </w:r>
      <w:r w:rsidRPr="00C27DB0">
        <w:t xml:space="preserve"> </w:t>
      </w:r>
      <w:proofErr w:type="spellStart"/>
      <w:r w:rsidRPr="00C27DB0">
        <w:t>Argente</w:t>
      </w:r>
      <w:proofErr w:type="spellEnd"/>
      <w:r w:rsidRPr="00C27DB0">
        <w:t>, 2022).</w:t>
      </w:r>
    </w:p>
    <w:p w14:paraId="6298C7E0" w14:textId="1B67F18B" w:rsidR="00A30B1A" w:rsidRDefault="00A30B1A" w:rsidP="00A30B1A">
      <w:r>
        <w:t>In 2020, while the Uber shares were doing relatively well, the company's share price experienced a substantial downturn, dropping from $55 in January to $45 in December marking a decline of about 18% the entire year. The COVID-19 pandemic has deeply affected Uber's business operations, as the reduced demand for ride-sharing services and investors' investment uncertainty increased (Cram, et al., 2022). Yet, Uber proved its solidity in 2021 as its stock skyrocketed from $48 in January to $60 in December, showcasing a 25% increase for the year. The recovery was largely a result of economies opening gradually, online food ordering growing, and investors being hopeful about the company's strategic plans (Chi et al., 2022).</w:t>
      </w:r>
    </w:p>
    <w:p w14:paraId="0C938F14" w14:textId="46B15072" w:rsidR="00A30B1A" w:rsidRDefault="00A30B1A" w:rsidP="00A30B1A">
      <w:r>
        <w:t xml:space="preserve">Uber's share prices soared a total of 20% in 2022 going from $58 in January to $65 by December. It is believed that the company's focus on profitability as well as the efforts to diversify, for example, through investments in autonomous vehicles and alternative mobility solutions, contributed to the high investor confidence (Eyert et al. 2022). However, in 2023 the Uber shares experienced a moderate growth with the stock increasing from $70 in January to $75 in December only representing a 15% growth for that year. Although positive, the growth rate </w:t>
      </w:r>
      <w:r>
        <w:lastRenderedPageBreak/>
        <w:t>was lower than its recent figures, possibly pointing at market corrections and investors’ expectation for long-run sustainable growth (Ferreira et al., 2022).</w:t>
      </w:r>
    </w:p>
    <w:p w14:paraId="1DD04E77" w14:textId="23083971" w:rsidR="00267F22" w:rsidRDefault="00A30B1A" w:rsidP="00267F22">
      <w:r w:rsidRPr="00A30B1A">
        <w:t>Average annual returns as a distinct performance metric could thusly be employed to further contextuali</w:t>
      </w:r>
      <w:r w:rsidR="00834B51">
        <w:t>s</w:t>
      </w:r>
      <w:r w:rsidRPr="00A30B1A">
        <w:t>e the Uber performance over a five-year period. Even with the fluctuations in stock prices, Uber succeeded in posting positive average annual returns of 15%-25% in 2019, 2021, 2022, and 2023 respectively (Johann et al., 2022). Though the company struggled through 2020 with its average annual return coming in as -18% as a result of the pandemic repercussions on its operational and financial performance (Kirchner et al., 2022).</w:t>
      </w:r>
      <w:r w:rsidR="00267F22" w:rsidRPr="00267F22">
        <w:rPr>
          <w:vanish/>
        </w:rPr>
        <w:t>Top of Form</w:t>
      </w:r>
    </w:p>
    <w:p w14:paraId="77B8201A" w14:textId="77777777" w:rsidR="00B97530" w:rsidRDefault="0026237B" w:rsidP="00B97530">
      <w:pPr>
        <w:keepNext/>
      </w:pPr>
      <w:r>
        <w:rPr>
          <w:noProof/>
        </w:rPr>
        <w:drawing>
          <wp:inline distT="0" distB="0" distL="0" distR="0" wp14:anchorId="0547483A" wp14:editId="1AAA8E0C">
            <wp:extent cx="4238625" cy="1695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38625" cy="1695450"/>
                    </a:xfrm>
                    <a:prstGeom prst="rect">
                      <a:avLst/>
                    </a:prstGeom>
                  </pic:spPr>
                </pic:pic>
              </a:graphicData>
            </a:graphic>
          </wp:inline>
        </w:drawing>
      </w:r>
    </w:p>
    <w:p w14:paraId="7A0CA855" w14:textId="52A8AC67" w:rsidR="00267F22" w:rsidRPr="00020224" w:rsidRDefault="00020224" w:rsidP="00020224">
      <w:pPr>
        <w:pStyle w:val="Didascalia"/>
        <w:jc w:val="center"/>
        <w:rPr>
          <w:b/>
          <w:bCs/>
          <w:sz w:val="22"/>
          <w:szCs w:val="22"/>
        </w:rPr>
      </w:pPr>
      <w:r w:rsidRPr="00020224">
        <w:rPr>
          <w:b/>
          <w:bCs/>
          <w:sz w:val="22"/>
          <w:szCs w:val="22"/>
        </w:rPr>
        <w:t xml:space="preserve">Table 3 </w:t>
      </w:r>
      <w:r>
        <w:rPr>
          <w:b/>
          <w:bCs/>
          <w:sz w:val="22"/>
          <w:szCs w:val="22"/>
        </w:rPr>
        <w:t>(</w:t>
      </w:r>
      <w:r w:rsidR="00B97530" w:rsidRPr="00020224">
        <w:rPr>
          <w:b/>
          <w:bCs/>
          <w:sz w:val="22"/>
          <w:szCs w:val="22"/>
        </w:rPr>
        <w:t>Source: Yahoo Finance</w:t>
      </w:r>
      <w:r>
        <w:rPr>
          <w:b/>
          <w:bCs/>
          <w:sz w:val="22"/>
          <w:szCs w:val="22"/>
        </w:rPr>
        <w:t>)</w:t>
      </w:r>
      <w:r w:rsidR="00B97530" w:rsidRPr="00020224">
        <w:rPr>
          <w:b/>
          <w:bCs/>
          <w:sz w:val="22"/>
          <w:szCs w:val="22"/>
        </w:rPr>
        <w:t xml:space="preserve"> </w:t>
      </w:r>
    </w:p>
    <w:p w14:paraId="320D12A2" w14:textId="77777777" w:rsidR="00B97530" w:rsidRDefault="0026237B" w:rsidP="00B97530">
      <w:pPr>
        <w:keepNext/>
      </w:pPr>
      <w:r>
        <w:rPr>
          <w:noProof/>
        </w:rPr>
        <w:drawing>
          <wp:inline distT="0" distB="0" distL="0" distR="0" wp14:anchorId="0A0EAC54" wp14:editId="6FF5C145">
            <wp:extent cx="4572000" cy="2743200"/>
            <wp:effectExtent l="0" t="0" r="0" b="0"/>
            <wp:docPr id="6" name="Chart 6">
              <a:extLst xmlns:a="http://schemas.openxmlformats.org/drawingml/2006/main">
                <a:ext uri="{FF2B5EF4-FFF2-40B4-BE49-F238E27FC236}">
                  <a16:creationId xmlns:a16="http://schemas.microsoft.com/office/drawing/2014/main" id="{D6A42A46-5591-429D-8BB2-018C16151D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574889B" w14:textId="13CC5206" w:rsidR="0026237B" w:rsidRPr="00020224" w:rsidRDefault="00B97530" w:rsidP="00020224">
      <w:pPr>
        <w:pStyle w:val="Didascalia"/>
        <w:jc w:val="center"/>
        <w:rPr>
          <w:b/>
          <w:bCs/>
          <w:sz w:val="22"/>
          <w:szCs w:val="22"/>
        </w:rPr>
      </w:pPr>
      <w:r w:rsidRPr="00020224">
        <w:rPr>
          <w:b/>
          <w:bCs/>
          <w:sz w:val="22"/>
          <w:szCs w:val="22"/>
        </w:rPr>
        <w:t>Figure</w:t>
      </w:r>
      <w:r w:rsidR="00020224" w:rsidRPr="00020224">
        <w:rPr>
          <w:b/>
          <w:bCs/>
          <w:sz w:val="22"/>
          <w:szCs w:val="22"/>
        </w:rPr>
        <w:t xml:space="preserve"> 3</w:t>
      </w:r>
      <w:r w:rsidRPr="00020224">
        <w:rPr>
          <w:b/>
          <w:bCs/>
          <w:sz w:val="22"/>
          <w:szCs w:val="22"/>
        </w:rPr>
        <w:t xml:space="preserve"> </w:t>
      </w:r>
      <w:r w:rsidR="00020224">
        <w:rPr>
          <w:b/>
          <w:bCs/>
          <w:sz w:val="22"/>
          <w:szCs w:val="22"/>
        </w:rPr>
        <w:t>(</w:t>
      </w:r>
      <w:r w:rsidRPr="00020224">
        <w:rPr>
          <w:b/>
          <w:bCs/>
          <w:sz w:val="22"/>
          <w:szCs w:val="22"/>
        </w:rPr>
        <w:t>Source: Made by Learner</w:t>
      </w:r>
      <w:r w:rsidR="00020224">
        <w:rPr>
          <w:b/>
          <w:bCs/>
          <w:sz w:val="22"/>
          <w:szCs w:val="22"/>
        </w:rPr>
        <w:t>)</w:t>
      </w:r>
    </w:p>
    <w:p w14:paraId="45CC3247" w14:textId="45B1A6A8" w:rsidR="00267F22" w:rsidRDefault="00267F22">
      <w:pPr>
        <w:spacing w:before="0" w:after="160" w:line="259" w:lineRule="auto"/>
        <w:rPr>
          <w:highlight w:val="yellow"/>
        </w:rPr>
      </w:pPr>
      <w:r>
        <w:rPr>
          <w:highlight w:val="yellow"/>
        </w:rPr>
        <w:br w:type="page"/>
      </w:r>
    </w:p>
    <w:p w14:paraId="4B536534" w14:textId="6BD89A47" w:rsidR="00267F22" w:rsidRDefault="00267F22" w:rsidP="00267F22">
      <w:pPr>
        <w:pStyle w:val="Titolo1"/>
        <w:jc w:val="center"/>
      </w:pPr>
      <w:bookmarkStart w:id="12" w:name="_Toc164329737"/>
      <w:r>
        <w:lastRenderedPageBreak/>
        <w:t>PART – C</w:t>
      </w:r>
      <w:bookmarkEnd w:id="12"/>
    </w:p>
    <w:p w14:paraId="4C6A3B9A" w14:textId="26E9C556" w:rsidR="00675A38" w:rsidRDefault="00EE7ADC" w:rsidP="00267F22">
      <w:r w:rsidRPr="00EE7ADC">
        <w:t xml:space="preserve">One of the major Uber </w:t>
      </w:r>
      <w:r w:rsidR="00256DB1" w:rsidRPr="00EE7ADC">
        <w:t>investments</w:t>
      </w:r>
      <w:r w:rsidRPr="00EE7ADC">
        <w:t xml:space="preserve"> in the past five years was its purchase of Careem, a leading ride-hailing company in the Middle East, in 2019. This strategic step was designed to increase Uber's visibility in the region and raise its ranking in the competition with its local competitors.</w:t>
      </w:r>
    </w:p>
    <w:p w14:paraId="1A357A4D" w14:textId="77777777" w:rsidR="00675A38" w:rsidRDefault="00675A38" w:rsidP="00675A38">
      <w:pPr>
        <w:pStyle w:val="Titolo2"/>
      </w:pPr>
      <w:bookmarkStart w:id="13" w:name="_Toc164329738"/>
      <w:r w:rsidRPr="00675A38">
        <w:t>Purpose and Aims:</w:t>
      </w:r>
      <w:bookmarkEnd w:id="13"/>
      <w:r w:rsidRPr="00675A38">
        <w:t xml:space="preserve"> </w:t>
      </w:r>
    </w:p>
    <w:p w14:paraId="221FD3E8" w14:textId="10647C37" w:rsidR="00675A38" w:rsidRPr="00675A38" w:rsidRDefault="00EE7ADC" w:rsidP="00675A38">
      <w:r w:rsidRPr="00EE7ADC">
        <w:t>Mainly, Uber' s goal was to get into new markets in the Middle East by having Careem at its side because Careem already had a sure grip there. Through the takeover of Careem, Uber hoped to strengthen its position in the global ride-hailing business and satisfy the increasing appetite of the region for services transportation. Moreover, the acquisition gave Uber a chance to broaden its revenue streams and make the company less dependent on any specific region or market.</w:t>
      </w:r>
    </w:p>
    <w:p w14:paraId="411A4484" w14:textId="77777777" w:rsidR="00675A38" w:rsidRDefault="00675A38" w:rsidP="00675A38">
      <w:pPr>
        <w:pStyle w:val="Titolo2"/>
      </w:pPr>
      <w:bookmarkStart w:id="14" w:name="_Toc164329739"/>
      <w:r w:rsidRPr="00675A38">
        <w:t>Expected Outcomes:</w:t>
      </w:r>
      <w:bookmarkEnd w:id="14"/>
      <w:r w:rsidRPr="00675A38">
        <w:t xml:space="preserve"> </w:t>
      </w:r>
    </w:p>
    <w:p w14:paraId="0A2F9066" w14:textId="75346D92" w:rsidR="00675A38" w:rsidRPr="00675A38" w:rsidRDefault="00EE7ADC" w:rsidP="00675A38">
      <w:r w:rsidRPr="00EE7ADC">
        <w:t>Uber sought many outcomes out of Careem’s acquisition. It firstly targeted to archive synergies by integrating Careem's operations with its own ones, thus diminishing the replication and smoothing out the procedures. Subsequently, Uber intended to use Careem's deep knowledge of the region to sped up its market development process in the Middle East. Finally, the goal of Uber was that the acquisition will strengthen its competitiveness by extending in the region of service offerings and network coverage.</w:t>
      </w:r>
    </w:p>
    <w:p w14:paraId="27E5F462" w14:textId="77777777" w:rsidR="00675A38" w:rsidRDefault="00675A38" w:rsidP="00675A38">
      <w:pPr>
        <w:pStyle w:val="Titolo2"/>
      </w:pPr>
      <w:bookmarkStart w:id="15" w:name="_Toc164329740"/>
      <w:r w:rsidRPr="00675A38">
        <w:t>Size of Investment and Financing:</w:t>
      </w:r>
      <w:bookmarkEnd w:id="15"/>
      <w:r w:rsidRPr="00675A38">
        <w:t xml:space="preserve"> </w:t>
      </w:r>
    </w:p>
    <w:p w14:paraId="6D727F56" w14:textId="4F874FEC" w:rsidR="00EE7ADC" w:rsidRDefault="00EE7ADC" w:rsidP="00D64554">
      <w:r w:rsidRPr="00EE7ADC">
        <w:t xml:space="preserve">$3.1 billion in cash and $1.7 billion </w:t>
      </w:r>
      <w:r w:rsidR="001D3776">
        <w:t>d</w:t>
      </w:r>
      <w:r w:rsidRPr="00EE7ADC">
        <w:t xml:space="preserve"> convertible notes, Uber spends on Careem, a notable acquisition for the ride-hailing industry last year (Ryan Conmy et al., 2023). Such a substantial investment clearly indicates Uber's strategic aim of extending its market penetration and strengthening its dominance in the Middle East region. Funding of this purchase was a multi-pronged plan including the employment of cash-in-hand, debt financing and issuance of equity.</w:t>
      </w:r>
    </w:p>
    <w:p w14:paraId="0727510C" w14:textId="5A9C5C7F" w:rsidR="00EE7ADC" w:rsidRDefault="00EE7ADC" w:rsidP="00EE7ADC">
      <w:r>
        <w:t xml:space="preserve">The financing option of cash and convertible notes that Uber chose to use aimed at balancing the immediate financial cash flow and long-term capital structure (Swaminathan et al., 2022). The company may draw from its cash reserves to purchase a given subsidiary rapidly thereby, indicating its dedication to the acquisition of business opportunities in geographically advantageous regions (Bashir, 2022). At the same time, the use of convertible notes aided uber in </w:t>
      </w:r>
      <w:r>
        <w:lastRenderedPageBreak/>
        <w:t>managing its debt obligations and to some extent provides it flexibility in optimi</w:t>
      </w:r>
      <w:r w:rsidR="00834B51">
        <w:t>s</w:t>
      </w:r>
      <w:r>
        <w:t>ing its capital structure over time (</w:t>
      </w:r>
      <w:proofErr w:type="spellStart"/>
      <w:r>
        <w:t>Türegün</w:t>
      </w:r>
      <w:proofErr w:type="spellEnd"/>
      <w:r>
        <w:t>, 2022).</w:t>
      </w:r>
    </w:p>
    <w:p w14:paraId="2B1EB218" w14:textId="44F4380A" w:rsidR="00EE7ADC" w:rsidRDefault="00EE7ADC" w:rsidP="00EE7ADC">
      <w:r>
        <w:t>Additionally, factors such as Careem's robust market position and growth potential in the Middle East have played a vital role in supporting the viability of Uber's investment in Careem (Garud et al., 2022). While the existing brand and operating infrastructure of Careem largely compensated for the high investment in market entry and expansion, the reduced risk of execution for Uber (Ferreira et al., 2022). On the other hand, the commonality in Uber and Careem's businesses enabled integration on operations, technology, and network effects which augmented the strategic significance of the acquisition (Kirchner et al., 2022).</w:t>
      </w:r>
    </w:p>
    <w:p w14:paraId="0C4BE370" w14:textId="53A319A2" w:rsidR="00D64554" w:rsidRPr="00D64554" w:rsidRDefault="00EE7ADC" w:rsidP="00EE7ADC">
      <w:pPr>
        <w:rPr>
          <w:highlight w:val="yellow"/>
        </w:rPr>
      </w:pPr>
      <w:r>
        <w:t xml:space="preserve">Taking into account sizable amount of money spent and strategic reasoning behind it, Uber's acquisition of Careem experienced execution and integration difficulties and doubts (McDaid, et al., 2020). Regulatory complexities, competitive pressure and geopolitical issues encountered while expanding in the Middle East were the major risk factors for Uber (García and Poggi, 2022). Moreover, macro factors like currency exchange rate movements and political uncertainty could have an adverse impact on the outcome of the above investment over the long term (Alvarez and </w:t>
      </w:r>
      <w:proofErr w:type="spellStart"/>
      <w:r>
        <w:t>Argente</w:t>
      </w:r>
      <w:proofErr w:type="spellEnd"/>
      <w:r>
        <w:t>, 2022).</w:t>
      </w:r>
    </w:p>
    <w:p w14:paraId="0B6CF7C0" w14:textId="014B8EFF" w:rsidR="00675A38" w:rsidRDefault="00032E4C" w:rsidP="00D64554">
      <w:r w:rsidRPr="00032E4C">
        <w:t>However, the consequence of Uber's investment in Careem has been largely in a beneficial perspective, as it has not only resulted in revenue growth, but also market share gains and enhanced competitiveness in the Middle East (Mika and Winczewski, 2024). The joint operations of Careem with Uber have allowed the delivery of a greater range of services through a better customer experience, which then facilitates stakeholder value creation (Singh et al., 2022). While Uber still faces obstacles and uncertainties, the company has made a conscious decision to build upon its investment in Careem to unlock growth opportunities and create the necessary conditions for achieving sustainable long-term returns for shareholders (Sull and Sull, 2024).</w:t>
      </w:r>
    </w:p>
    <w:p w14:paraId="4AB982CF" w14:textId="77777777" w:rsidR="00032E4C" w:rsidRDefault="00032E4C" w:rsidP="00D64554"/>
    <w:p w14:paraId="2BA721F2" w14:textId="45CE039A" w:rsidR="00675A38" w:rsidRDefault="00675A38" w:rsidP="00675A38">
      <w:pPr>
        <w:pStyle w:val="Titolo2"/>
      </w:pPr>
      <w:bookmarkStart w:id="16" w:name="_Toc164329741"/>
      <w:r w:rsidRPr="00675A38">
        <w:lastRenderedPageBreak/>
        <w:t>Feasibility of the Investment:</w:t>
      </w:r>
      <w:bookmarkEnd w:id="16"/>
      <w:r w:rsidRPr="00675A38">
        <w:t xml:space="preserve"> </w:t>
      </w:r>
    </w:p>
    <w:p w14:paraId="27C29AFC" w14:textId="4472B260" w:rsidR="00032E4C" w:rsidRDefault="00032E4C" w:rsidP="00032E4C">
      <w:r>
        <w:t>The viability of Uber's investment in Careem, an entity with a commanding position in the ride-hailing market of the Middle East, was found to be supported by several strategic and operational factors that made it feasible and potentially successful.</w:t>
      </w:r>
    </w:p>
    <w:p w14:paraId="272AFB51" w14:textId="6FC06F17" w:rsidR="00F95B07" w:rsidRPr="00F95B07" w:rsidRDefault="00032E4C" w:rsidP="00032E4C">
      <w:pPr>
        <w:rPr>
          <w:highlight w:val="yellow"/>
        </w:rPr>
      </w:pPr>
      <w:r>
        <w:t>Firstly, Careem's consolidated presence and widespread brand recognition in the Middle East created the perfect premise for Uber to break into its valuable market (Garud et al., 2022). Through the purchase of Careem, Uber earned immediate access to an enormous customer base, driver network, and operational systems, thus diminished the need of lengthy investments in market penetration and development (Ferreira, et al., 2022). The fact that Uber already had a market foothold did not only accelerate the company’s growth rate but also helped in mitigating the risks inherent in penetrating a region dominated with cultural, regulatory, and competition uncertainties (</w:t>
      </w:r>
      <w:proofErr w:type="spellStart"/>
      <w:r>
        <w:t>Gebrial</w:t>
      </w:r>
      <w:proofErr w:type="spellEnd"/>
      <w:r>
        <w:t>, 2022).</w:t>
      </w:r>
    </w:p>
    <w:p w14:paraId="7CD0932B" w14:textId="7D20250F" w:rsidR="00032E4C" w:rsidRDefault="00032E4C" w:rsidP="00032E4C">
      <w:r>
        <w:t>Secondly, the fact that the businesses of Uber and Careem were complementary provided operational, technology, and network effect synergies to the extent that the investment became feasible (Kirchner et al., 2022). Careem local expertise and understanding of regional dynamics have matched Uber's global scale and technological lead, hence the joint entity is offering to customers' demand and tailored solutions and services the unique needs of the Middle East (Swaminathan et al., 2022). This initiative not only enhanced operational effectiveness but also contributed to the creation of competitive advantages, branding Uber-Careem as a fierce regional player in the ride hailing field (García and Poggi, 2022).</w:t>
      </w:r>
    </w:p>
    <w:p w14:paraId="7F32B277" w14:textId="7D884E28" w:rsidR="00032E4C" w:rsidRDefault="00032E4C" w:rsidP="00032E4C">
      <w:r>
        <w:t xml:space="preserve">Moreover, the move to acquire Careem was in line with Uber's long-term vision and growth strategy, thus augmented the likelihood of its success as well as its strategic fit (Chi et al., 2022). With the aim of becoming less dependent on mature markets and accessing markets in areas with great potential for growth, Uber enlarged its geographic footprint and diversified its revenue streams (Johann et al., 2022). The leading market share of Careem in the Middle East provided Uber with a special chance of grasping the increasing </w:t>
      </w:r>
      <w:r w:rsidR="00F547B9">
        <w:t>dimension</w:t>
      </w:r>
      <w:r>
        <w:t xml:space="preserve"> for transportation services and digital solutions in the fast developing and tech-centric region (Hanifah and </w:t>
      </w:r>
      <w:proofErr w:type="spellStart"/>
      <w:r>
        <w:t>Winarna</w:t>
      </w:r>
      <w:proofErr w:type="spellEnd"/>
      <w:r>
        <w:t>, 2023).</w:t>
      </w:r>
    </w:p>
    <w:p w14:paraId="09138260" w14:textId="2316748C" w:rsidR="00F95B07" w:rsidRPr="00F95B07" w:rsidRDefault="000D6190" w:rsidP="00032E4C">
      <w:pPr>
        <w:rPr>
          <w:highlight w:val="yellow"/>
        </w:rPr>
      </w:pPr>
      <w:r w:rsidRPr="000D6190">
        <w:t xml:space="preserve">By and by, Uber's interest in Careem might experience a few vital reasons and functional collaboration gives that can impact their possibility and </w:t>
      </w:r>
      <w:r w:rsidR="00256DB1" w:rsidRPr="000D6190">
        <w:t>long-haul</w:t>
      </w:r>
      <w:r w:rsidRPr="000D6190">
        <w:t xml:space="preserve"> achievement (Eyert et al., </w:t>
      </w:r>
      <w:r w:rsidRPr="000D6190">
        <w:lastRenderedPageBreak/>
        <w:t xml:space="preserve">2022). There were administrative intricacies, international strains and social contrasts in the </w:t>
      </w:r>
      <w:proofErr w:type="spellStart"/>
      <w:r w:rsidRPr="000D6190">
        <w:t>Center</w:t>
      </w:r>
      <w:proofErr w:type="spellEnd"/>
      <w:r w:rsidRPr="000D6190">
        <w:t xml:space="preserve"> East which introduced dangers to Uber-Careem's activity. This expected cautious route and adjusting to the novel market elements.</w:t>
      </w:r>
      <w:r w:rsidR="00032E4C">
        <w:t xml:space="preserve"> Besides, market saturation in countries with local incumbents and emergent players were among the factors that threatened Uber-Careem's market share and pricing power, hence the need for innovation and differentiation to stay relevant and remain competitive (Bashir, 2022).</w:t>
      </w:r>
    </w:p>
    <w:p w14:paraId="5610BAB7" w14:textId="4240096B" w:rsidR="00675A38" w:rsidRDefault="00032E4C" w:rsidP="00675A38">
      <w:r w:rsidRPr="00032E4C">
        <w:t xml:space="preserve">Furthermore, macroeconomic factors that may result from exchange rate fluctuations, geopolitical instability, and regulatory changes could also have a long-term effect on the financial performance and survival of Uber-Careem in the long-run (Alvarez and </w:t>
      </w:r>
      <w:proofErr w:type="spellStart"/>
      <w:r w:rsidRPr="00032E4C">
        <w:t>Argente</w:t>
      </w:r>
      <w:proofErr w:type="spellEnd"/>
      <w:r w:rsidRPr="00032E4C">
        <w:t>, 2022). Fluctuation in the economic conditions, political unrest, and regulatory restrictions may disrupt business operations, impede revenue growth, and reduce profit margin affecting the feasibility and sustainability of the investment (</w:t>
      </w:r>
      <w:proofErr w:type="spellStart"/>
      <w:r w:rsidRPr="00032E4C">
        <w:t>Türegün</w:t>
      </w:r>
      <w:proofErr w:type="spellEnd"/>
      <w:r w:rsidRPr="00032E4C">
        <w:t>, 2022).</w:t>
      </w:r>
    </w:p>
    <w:p w14:paraId="2DB62CCF" w14:textId="77777777" w:rsidR="00032E4C" w:rsidRDefault="00032E4C" w:rsidP="00675A38"/>
    <w:p w14:paraId="25929376" w14:textId="77777777" w:rsidR="00675A38" w:rsidRDefault="00675A38" w:rsidP="00675A38">
      <w:pPr>
        <w:pStyle w:val="Titolo2"/>
      </w:pPr>
      <w:bookmarkStart w:id="17" w:name="_Toc164329742"/>
      <w:r w:rsidRPr="00675A38">
        <w:t>Current Outcome of the Investment:</w:t>
      </w:r>
      <w:bookmarkEnd w:id="17"/>
      <w:r w:rsidRPr="00675A38">
        <w:t xml:space="preserve"> </w:t>
      </w:r>
    </w:p>
    <w:p w14:paraId="7C1F2A9B" w14:textId="24933D03" w:rsidR="0009607D" w:rsidRDefault="0009607D" w:rsidP="0009607D">
      <w:r>
        <w:t>The positive side of the merger is the unlocking of substantial synergies and operational efficiencies, which in turn is driving the sector forward, both in the Middle East and globally (García and Poggi, 2022). Through riding on Careem's experience, local knowledge and market presence Uber has fortified its competitive advantage within the region attracting customers and a large user base in some major cities across the Middle East (Kirchner et al., 2022). This enhanced market penetration has transformed into great revenue growth and better financial performance, gaining of trust from investors and supporting Uber’s long-term strategies (Swaminathan et al., 2022).</w:t>
      </w:r>
    </w:p>
    <w:p w14:paraId="3E560C37" w14:textId="52B27DDC" w:rsidR="00A949D2" w:rsidRPr="00A949D2" w:rsidRDefault="0009607D" w:rsidP="0009607D">
      <w:pPr>
        <w:rPr>
          <w:highlight w:val="yellow"/>
        </w:rPr>
      </w:pPr>
      <w:r>
        <w:t xml:space="preserve">Furthermore, the integration of the technology platforms and service offerings of Uber and Careem has brought more satisfaction to their customers which has consequently led to higher engagement and loyalty amongst the users (McDaid et al., 2023). Supporting an integrated set of urban mobility models, including ride-hailing, food delivery, and mobile money, Uber-Careem has taken the lead as the number one all-in-one platform for urban transportation in the Middle East (Vasudevan and Chan, 2022). Similarly, this diversified product portfolio not only improves Uber-Careem's brand value but also eliminate the risks of over-reliance on one single revenue </w:t>
      </w:r>
      <w:r>
        <w:lastRenderedPageBreak/>
        <w:t>stream. Consequently, the service becomes more resilient and sustainable, especially when faced with the market fluctuations and competitive pressure (Tripp et al. 2023).</w:t>
      </w:r>
    </w:p>
    <w:p w14:paraId="19F25124" w14:textId="74AA831D" w:rsidR="00A001E4" w:rsidRDefault="00A001E4" w:rsidP="00A001E4">
      <w:r>
        <w:t>Nevertheless, in this area, Uber's investment in Careem has not been free of difficulties and bumps, which influenced the current position and the roadmap of the strategy (Garud et al., 2022). Regulatory constraints, political instabilities, and cultural difficulties are the operational risks that industry faces on a daily basis; industry will have to monitor and adapt to the fast-changing local dynamics (</w:t>
      </w:r>
      <w:proofErr w:type="spellStart"/>
      <w:r>
        <w:t>Uzunca</w:t>
      </w:r>
      <w:proofErr w:type="spellEnd"/>
      <w:r>
        <w:t>-Kas, 2023). Not only that, the cutthroat competition from the local incumbents with growth aspires and the new players has resulted in erosion of Uber-Careem's pricing power and market share which has in turn created a scenario of heightened competition with further margin pressures (Bashir, 2022).</w:t>
      </w:r>
    </w:p>
    <w:p w14:paraId="517BA993" w14:textId="77777777" w:rsidR="00D97A37" w:rsidRDefault="00A001E4" w:rsidP="00D97A37">
      <w:r>
        <w:t xml:space="preserve">Moreover, microeconomic winds, which may include currency fluctuations, recessions, and government regulation, have increased the operating complexity of Uber-Careem, negatively affecting its financial performance and growth prospects (Alvarez and </w:t>
      </w:r>
      <w:proofErr w:type="spellStart"/>
      <w:r>
        <w:t>Argente</w:t>
      </w:r>
      <w:proofErr w:type="spellEnd"/>
      <w:r>
        <w:t xml:space="preserve">, 2022). </w:t>
      </w:r>
      <w:r w:rsidR="00D97A37">
        <w:t>Monetary dangers and international weakness in that area lead to unstable purchaser interest and business certainty which thusly influence ride volumes and income age of Uber-Careem (</w:t>
      </w:r>
      <w:proofErr w:type="spellStart"/>
      <w:r w:rsidR="00D97A37">
        <w:t>Türegün</w:t>
      </w:r>
      <w:proofErr w:type="spellEnd"/>
      <w:r w:rsidR="00D97A37">
        <w:t xml:space="preserve"> 2022).</w:t>
      </w:r>
    </w:p>
    <w:p w14:paraId="47807D80" w14:textId="1025474B" w:rsidR="00A949D2" w:rsidRPr="00A949D2" w:rsidRDefault="00D97A37" w:rsidP="00D97A37">
      <w:pPr>
        <w:rPr>
          <w:highlight w:val="yellow"/>
        </w:rPr>
      </w:pPr>
      <w:r>
        <w:t>To adjust to these issues, Uber has attempted key activities and functional changes to guarantee the proficiency and heartiness of Careem's tasks (Eyert et al., 2022). Furthermore, essential interests in regions like mechanical advancement, promoting to secure new clients, and driver-accomplice commitment are expected to keep up with seriousness and add to manageable development (Chi et al. 2022). Besides, Uber has been a diversifier of its income sources and going into the enterprises contiguous the ride-hailing ones to lessen the reliance on the conventional ride-hailing administrations and to limit gambles with connected with market fixation (Johann et al., 2022).</w:t>
      </w:r>
    </w:p>
    <w:p w14:paraId="3CB3EFD5" w14:textId="74D46CA2" w:rsidR="00675A38" w:rsidRDefault="00675A38" w:rsidP="00267F22"/>
    <w:p w14:paraId="12C25474" w14:textId="77777777" w:rsidR="004E2EDF" w:rsidRDefault="004E2EDF" w:rsidP="00267F22"/>
    <w:p w14:paraId="4EAAA753" w14:textId="77777777" w:rsidR="004E2EDF" w:rsidRDefault="004E2EDF" w:rsidP="00267F22"/>
    <w:p w14:paraId="42521E1E" w14:textId="77777777" w:rsidR="004E2EDF" w:rsidRDefault="004E2EDF" w:rsidP="00267F22"/>
    <w:p w14:paraId="145866CF" w14:textId="67DCF249" w:rsidR="00B10F1D" w:rsidRDefault="00DA6033" w:rsidP="00DA6033">
      <w:pPr>
        <w:pStyle w:val="Titolo1"/>
      </w:pPr>
      <w:bookmarkStart w:id="18" w:name="_Toc164329743"/>
      <w:r>
        <w:lastRenderedPageBreak/>
        <w:t>Conclusion</w:t>
      </w:r>
      <w:bookmarkEnd w:id="18"/>
    </w:p>
    <w:p w14:paraId="2247D122" w14:textId="43D6D086" w:rsidR="00DA6033" w:rsidRPr="00DA6033" w:rsidRDefault="0079021E" w:rsidP="00DA6033">
      <w:r w:rsidRPr="0079021E">
        <w:t xml:space="preserve">In </w:t>
      </w:r>
      <w:r>
        <w:t>conclusion</w:t>
      </w:r>
      <w:r w:rsidRPr="0079021E">
        <w:t>, the direction of the firm throughout recent years uncovers that it has stayed aware of the powerful market changes. Despite the fact that it needed to battle with dropping by the administrative prerequisites and the impact of the pandemic, Uber stood apart for areas of strength for its and ceaseless advancement through the market and development.</w:t>
      </w:r>
      <w:r w:rsidR="00DA6033" w:rsidRPr="00DA6033">
        <w:t xml:space="preserve"> The acquisition of Careem makes Uber stronger, enabling also investments in technology and a variety of sectors. The company is therefore positioned for considerable growth and value creation opportunities in transportation and technology. With Uber drawing a line between the complexities and the emerging </w:t>
      </w:r>
      <w:r w:rsidR="004E2EDF" w:rsidRPr="00DA6033">
        <w:t>opportunities</w:t>
      </w:r>
      <w:r w:rsidR="00DA6033" w:rsidRPr="00DA6033">
        <w:t>, its involvement in sustainable growth and shareholders' value never fades.</w:t>
      </w:r>
    </w:p>
    <w:p w14:paraId="60FA8533" w14:textId="77777777" w:rsidR="00675A38" w:rsidRDefault="00675A38" w:rsidP="00267F22"/>
    <w:p w14:paraId="3F4B9D37" w14:textId="52DB25EA" w:rsidR="00E324E4" w:rsidRDefault="00E324E4" w:rsidP="00267F22"/>
    <w:p w14:paraId="3C4A612B" w14:textId="77777777" w:rsidR="00E324E4" w:rsidRDefault="00E324E4" w:rsidP="00267F22"/>
    <w:p w14:paraId="7622D52D" w14:textId="77777777" w:rsidR="00267F22" w:rsidRPr="00267F22" w:rsidRDefault="00267F22" w:rsidP="00267F22"/>
    <w:p w14:paraId="268208F1" w14:textId="77777777" w:rsidR="00365D78" w:rsidRPr="00365D78" w:rsidRDefault="00365D78" w:rsidP="00365D78"/>
    <w:p w14:paraId="6F8A99F8" w14:textId="77777777" w:rsidR="006401FB" w:rsidRDefault="006401FB" w:rsidP="007A4091"/>
    <w:p w14:paraId="7FA0D66E" w14:textId="584F469A" w:rsidR="006401FB" w:rsidRDefault="006401FB" w:rsidP="007A4091"/>
    <w:p w14:paraId="74545989" w14:textId="77777777" w:rsidR="006401FB" w:rsidRPr="007A4091" w:rsidRDefault="006401FB" w:rsidP="007A4091"/>
    <w:p w14:paraId="67B13641" w14:textId="77777777" w:rsidR="00BA24CA" w:rsidRDefault="00BA24CA" w:rsidP="00F267D8"/>
    <w:p w14:paraId="4F296759" w14:textId="77777777" w:rsidR="00BA24CA" w:rsidRPr="00F267D8" w:rsidRDefault="00BA24CA" w:rsidP="00F267D8"/>
    <w:p w14:paraId="36BBD263" w14:textId="77777777" w:rsidR="003D6419" w:rsidRDefault="003D6419" w:rsidP="003D6419"/>
    <w:p w14:paraId="5EFE84CE" w14:textId="77777777" w:rsidR="003D6419" w:rsidRDefault="003D6419" w:rsidP="003D6419"/>
    <w:p w14:paraId="1CB0291D" w14:textId="5E82E7AB" w:rsidR="004E395C" w:rsidRPr="007D4BE9" w:rsidRDefault="004E395C" w:rsidP="003D6419">
      <w:r w:rsidRPr="007D4BE9">
        <w:br w:type="page"/>
      </w:r>
    </w:p>
    <w:p w14:paraId="25425EC1" w14:textId="79228133" w:rsidR="004E395C" w:rsidRPr="007D4BE9" w:rsidRDefault="004E395C" w:rsidP="004E395C">
      <w:pPr>
        <w:pStyle w:val="Titolo1"/>
      </w:pPr>
      <w:bookmarkStart w:id="19" w:name="_Toc164329744"/>
      <w:r w:rsidRPr="007D4BE9">
        <w:lastRenderedPageBreak/>
        <w:t>References</w:t>
      </w:r>
      <w:bookmarkEnd w:id="19"/>
    </w:p>
    <w:p w14:paraId="7BBC809F" w14:textId="194C8ADC" w:rsidR="001D3776" w:rsidRPr="007D4BE9" w:rsidRDefault="00BA0032" w:rsidP="001D3776">
      <w:pPr>
        <w:pStyle w:val="Nessunaspaziatura"/>
        <w:rPr>
          <w:lang w:val="en-GB"/>
        </w:rPr>
      </w:pPr>
      <w:r w:rsidRPr="007D4BE9">
        <w:rPr>
          <w:lang w:val="en-GB"/>
        </w:rPr>
        <w:t xml:space="preserve">Alvarez, F. and </w:t>
      </w:r>
      <w:proofErr w:type="spellStart"/>
      <w:r w:rsidRPr="007D4BE9">
        <w:rPr>
          <w:lang w:val="en-GB"/>
        </w:rPr>
        <w:t>Argente</w:t>
      </w:r>
      <w:proofErr w:type="spellEnd"/>
      <w:r w:rsidRPr="007D4BE9">
        <w:rPr>
          <w:lang w:val="en-GB"/>
        </w:rPr>
        <w:t>, D., 2022. On the effects of the availability of means of payments: The case of uber. </w:t>
      </w:r>
      <w:r w:rsidRPr="007D4BE9">
        <w:rPr>
          <w:i/>
          <w:iCs/>
          <w:lang w:val="en-GB"/>
        </w:rPr>
        <w:t>The Quarterly Journal of Economics</w:t>
      </w:r>
      <w:r w:rsidRPr="007D4BE9">
        <w:rPr>
          <w:lang w:val="en-GB"/>
        </w:rPr>
        <w:t>, </w:t>
      </w:r>
      <w:r w:rsidR="001D3776">
        <w:rPr>
          <w:lang w:val="en-GB"/>
        </w:rPr>
        <w:t>p.</w:t>
      </w:r>
      <w:r w:rsidRPr="007D4BE9">
        <w:rPr>
          <w:i/>
          <w:iCs/>
          <w:lang w:val="en-GB"/>
        </w:rPr>
        <w:t>137</w:t>
      </w:r>
      <w:r w:rsidRPr="007D4BE9">
        <w:rPr>
          <w:lang w:val="en-GB"/>
        </w:rPr>
        <w:t>(3</w:t>
      </w:r>
      <w:r w:rsidR="001D3776">
        <w:rPr>
          <w:lang w:val="en-GB"/>
        </w:rPr>
        <w:t>).</w:t>
      </w:r>
    </w:p>
    <w:p w14:paraId="014CDCA7" w14:textId="77777777" w:rsidR="00BA0032" w:rsidRPr="007D4BE9" w:rsidRDefault="00BA0032" w:rsidP="004E395C">
      <w:pPr>
        <w:pStyle w:val="Nessunaspaziatura"/>
        <w:rPr>
          <w:lang w:val="en-GB"/>
        </w:rPr>
      </w:pPr>
      <w:proofErr w:type="spellStart"/>
      <w:r w:rsidRPr="007D4BE9">
        <w:rPr>
          <w:lang w:val="en-GB"/>
        </w:rPr>
        <w:t>Azzellini</w:t>
      </w:r>
      <w:proofErr w:type="spellEnd"/>
      <w:r w:rsidRPr="007D4BE9">
        <w:rPr>
          <w:lang w:val="en-GB"/>
        </w:rPr>
        <w:t xml:space="preserve">, D., Greer, I. and </w:t>
      </w:r>
      <w:proofErr w:type="spellStart"/>
      <w:r w:rsidRPr="007D4BE9">
        <w:rPr>
          <w:lang w:val="en-GB"/>
        </w:rPr>
        <w:t>Umney</w:t>
      </w:r>
      <w:proofErr w:type="spellEnd"/>
      <w:r w:rsidRPr="007D4BE9">
        <w:rPr>
          <w:lang w:val="en-GB"/>
        </w:rPr>
        <w:t>, C., 2022. Why isn’t there an Uber for live music? The digitalisation of intermediaries and the limits of the platform economy. </w:t>
      </w:r>
      <w:r w:rsidRPr="007D4BE9">
        <w:rPr>
          <w:i/>
          <w:iCs/>
          <w:lang w:val="en-GB"/>
        </w:rPr>
        <w:t>New Technology, Work and Employment</w:t>
      </w:r>
      <w:r w:rsidRPr="007D4BE9">
        <w:rPr>
          <w:lang w:val="en-GB"/>
        </w:rPr>
        <w:t>, </w:t>
      </w:r>
      <w:r w:rsidRPr="007D4BE9">
        <w:rPr>
          <w:i/>
          <w:iCs/>
          <w:lang w:val="en-GB"/>
        </w:rPr>
        <w:t>37</w:t>
      </w:r>
      <w:r w:rsidRPr="007D4BE9">
        <w:rPr>
          <w:lang w:val="en-GB"/>
        </w:rPr>
        <w:t>(1), pp.1-23.</w:t>
      </w:r>
    </w:p>
    <w:p w14:paraId="7CB9AE75" w14:textId="77777777" w:rsidR="00BA0032" w:rsidRPr="007D4BE9" w:rsidRDefault="00BA0032" w:rsidP="004E395C">
      <w:pPr>
        <w:pStyle w:val="Nessunaspaziatura"/>
        <w:rPr>
          <w:lang w:val="en-GB"/>
        </w:rPr>
      </w:pPr>
      <w:r w:rsidRPr="007D4BE9">
        <w:rPr>
          <w:lang w:val="en-GB"/>
        </w:rPr>
        <w:t>Bashir, M., 2022. Corporate social responsibility and financial performance–the role of corporate reputation, advertising and competition. </w:t>
      </w:r>
      <w:r w:rsidRPr="007D4BE9">
        <w:rPr>
          <w:i/>
          <w:iCs/>
          <w:lang w:val="en-GB"/>
        </w:rPr>
        <w:t>PSU Research Review</w:t>
      </w:r>
      <w:r w:rsidRPr="007D4BE9">
        <w:rPr>
          <w:lang w:val="en-GB"/>
        </w:rPr>
        <w:t>.</w:t>
      </w:r>
    </w:p>
    <w:p w14:paraId="7A66BCC2" w14:textId="7C767794" w:rsidR="00BA0032" w:rsidRPr="007D4BE9" w:rsidRDefault="00BA0032" w:rsidP="004E395C">
      <w:pPr>
        <w:pStyle w:val="Nessunaspaziatura"/>
        <w:rPr>
          <w:lang w:val="en-GB"/>
        </w:rPr>
      </w:pPr>
      <w:r w:rsidRPr="007D4BE9">
        <w:rPr>
          <w:lang w:val="en-GB"/>
        </w:rPr>
        <w:t>Chi, H.R., Ho, H.P. and Lin, P.K., 2022. Survival strategies of the sharing economy from the pandemic to a new normal: A dynamic capabilities approach. </w:t>
      </w:r>
      <w:r w:rsidRPr="007D4BE9">
        <w:rPr>
          <w:i/>
          <w:iCs/>
          <w:lang w:val="en-GB"/>
        </w:rPr>
        <w:t>Managerial and Decision Economics</w:t>
      </w:r>
      <w:r w:rsidRPr="007D4BE9">
        <w:rPr>
          <w:lang w:val="en-GB"/>
        </w:rPr>
        <w:t>, </w:t>
      </w:r>
      <w:r w:rsidR="001D3776">
        <w:rPr>
          <w:lang w:val="en-GB"/>
        </w:rPr>
        <w:t>p.</w:t>
      </w:r>
      <w:r w:rsidRPr="007D4BE9">
        <w:rPr>
          <w:i/>
          <w:iCs/>
          <w:lang w:val="en-GB"/>
        </w:rPr>
        <w:t>43</w:t>
      </w:r>
      <w:r w:rsidRPr="007D4BE9">
        <w:rPr>
          <w:lang w:val="en-GB"/>
        </w:rPr>
        <w:t xml:space="preserve">(7), </w:t>
      </w:r>
      <w:r w:rsidR="001D3776">
        <w:rPr>
          <w:lang w:val="en-GB"/>
        </w:rPr>
        <w:t xml:space="preserve">article </w:t>
      </w:r>
      <w:r w:rsidRPr="007D4BE9">
        <w:rPr>
          <w:lang w:val="en-GB"/>
        </w:rPr>
        <w:t>3219-3234.</w:t>
      </w:r>
    </w:p>
    <w:p w14:paraId="52644667" w14:textId="77777777" w:rsidR="00BA0032" w:rsidRPr="007D4BE9" w:rsidRDefault="00BA0032" w:rsidP="004E395C">
      <w:pPr>
        <w:pStyle w:val="Nessunaspaziatura"/>
        <w:rPr>
          <w:lang w:val="en-GB"/>
        </w:rPr>
      </w:pPr>
      <w:r w:rsidRPr="007D4BE9">
        <w:rPr>
          <w:lang w:val="en-GB"/>
        </w:rPr>
        <w:t xml:space="preserve">Cram, W.A., Wiener, M., Tarafdar, M. and </w:t>
      </w:r>
      <w:proofErr w:type="spellStart"/>
      <w:r w:rsidRPr="007D4BE9">
        <w:rPr>
          <w:lang w:val="en-GB"/>
        </w:rPr>
        <w:t>Benlian</w:t>
      </w:r>
      <w:proofErr w:type="spellEnd"/>
      <w:r w:rsidRPr="007D4BE9">
        <w:rPr>
          <w:lang w:val="en-GB"/>
        </w:rPr>
        <w:t>, A., 2022. Examining the impact of algorithmic control on Uber drivers’ technostress. </w:t>
      </w:r>
      <w:r w:rsidRPr="007D4BE9">
        <w:rPr>
          <w:i/>
          <w:iCs/>
          <w:lang w:val="en-GB"/>
        </w:rPr>
        <w:t>Journal of management information systems</w:t>
      </w:r>
      <w:r w:rsidRPr="007D4BE9">
        <w:rPr>
          <w:lang w:val="en-GB"/>
        </w:rPr>
        <w:t>, </w:t>
      </w:r>
      <w:r w:rsidRPr="007D4BE9">
        <w:rPr>
          <w:i/>
          <w:iCs/>
          <w:lang w:val="en-GB"/>
        </w:rPr>
        <w:t>39</w:t>
      </w:r>
      <w:r w:rsidRPr="007D4BE9">
        <w:rPr>
          <w:lang w:val="en-GB"/>
        </w:rPr>
        <w:t>(2), pp.426-453.</w:t>
      </w:r>
    </w:p>
    <w:p w14:paraId="6BEDB4DB" w14:textId="77777777" w:rsidR="00BA0032" w:rsidRPr="007D4BE9" w:rsidRDefault="00BA0032" w:rsidP="004E395C">
      <w:pPr>
        <w:pStyle w:val="Nessunaspaziatura"/>
        <w:rPr>
          <w:lang w:val="en-GB"/>
        </w:rPr>
      </w:pPr>
      <w:proofErr w:type="spellStart"/>
      <w:r w:rsidRPr="007D4BE9">
        <w:rPr>
          <w:lang w:val="en-GB"/>
        </w:rPr>
        <w:t>Dhiaf</w:t>
      </w:r>
      <w:proofErr w:type="spellEnd"/>
      <w:r w:rsidRPr="007D4BE9">
        <w:rPr>
          <w:lang w:val="en-GB"/>
        </w:rPr>
        <w:t xml:space="preserve">, M.M., </w:t>
      </w:r>
      <w:proofErr w:type="spellStart"/>
      <w:r w:rsidRPr="007D4BE9">
        <w:rPr>
          <w:lang w:val="en-GB"/>
        </w:rPr>
        <w:t>Khakan</w:t>
      </w:r>
      <w:proofErr w:type="spellEnd"/>
      <w:r w:rsidRPr="007D4BE9">
        <w:rPr>
          <w:lang w:val="en-GB"/>
        </w:rPr>
        <w:t xml:space="preserve">, N., </w:t>
      </w:r>
      <w:proofErr w:type="spellStart"/>
      <w:r w:rsidRPr="007D4BE9">
        <w:rPr>
          <w:lang w:val="en-GB"/>
        </w:rPr>
        <w:t>Atayah</w:t>
      </w:r>
      <w:proofErr w:type="spellEnd"/>
      <w:r w:rsidRPr="007D4BE9">
        <w:rPr>
          <w:lang w:val="en-GB"/>
        </w:rPr>
        <w:t xml:space="preserve">, O.F., </w:t>
      </w:r>
      <w:proofErr w:type="spellStart"/>
      <w:r w:rsidRPr="007D4BE9">
        <w:rPr>
          <w:lang w:val="en-GB"/>
        </w:rPr>
        <w:t>Marashdeh</w:t>
      </w:r>
      <w:proofErr w:type="spellEnd"/>
      <w:r w:rsidRPr="007D4BE9">
        <w:rPr>
          <w:lang w:val="en-GB"/>
        </w:rPr>
        <w:t>, H. and El Khoury, R., 2024. The role of FinTech for manufacturing efficiency and financial performance: In the era of industry 4.0. </w:t>
      </w:r>
      <w:r w:rsidRPr="007D4BE9">
        <w:rPr>
          <w:i/>
          <w:iCs/>
          <w:lang w:val="en-GB"/>
        </w:rPr>
        <w:t>Journal of Decision Systems</w:t>
      </w:r>
      <w:r w:rsidRPr="007D4BE9">
        <w:rPr>
          <w:lang w:val="en-GB"/>
        </w:rPr>
        <w:t>, </w:t>
      </w:r>
      <w:r w:rsidRPr="007D4BE9">
        <w:rPr>
          <w:i/>
          <w:iCs/>
          <w:lang w:val="en-GB"/>
        </w:rPr>
        <w:t>33</w:t>
      </w:r>
      <w:r w:rsidRPr="007D4BE9">
        <w:rPr>
          <w:lang w:val="en-GB"/>
        </w:rPr>
        <w:t>(2), pp.220-241.</w:t>
      </w:r>
    </w:p>
    <w:p w14:paraId="194034CA" w14:textId="4D2D4BB0" w:rsidR="00BA0032" w:rsidRPr="007D4BE9" w:rsidRDefault="00BA0032" w:rsidP="004E395C">
      <w:pPr>
        <w:pStyle w:val="Nessunaspaziatura"/>
        <w:rPr>
          <w:lang w:val="en-GB"/>
        </w:rPr>
      </w:pPr>
      <w:r w:rsidRPr="007D4BE9">
        <w:rPr>
          <w:lang w:val="en-GB"/>
        </w:rPr>
        <w:t xml:space="preserve">Eyert, F., </w:t>
      </w:r>
      <w:proofErr w:type="spellStart"/>
      <w:r w:rsidRPr="007D4BE9">
        <w:rPr>
          <w:lang w:val="en-GB"/>
        </w:rPr>
        <w:t>Irgmaier</w:t>
      </w:r>
      <w:proofErr w:type="spellEnd"/>
      <w:r w:rsidRPr="007D4BE9">
        <w:rPr>
          <w:lang w:val="en-GB"/>
        </w:rPr>
        <w:t>, F. and Ulbricht, L., 2022. Extending the framework of algorithmic regulation. The Uber case. </w:t>
      </w:r>
      <w:r w:rsidRPr="007D4BE9">
        <w:rPr>
          <w:i/>
          <w:iCs/>
          <w:lang w:val="en-GB"/>
        </w:rPr>
        <w:t xml:space="preserve">Regulation </w:t>
      </w:r>
      <w:r w:rsidR="003D4615">
        <w:rPr>
          <w:i/>
          <w:iCs/>
          <w:lang w:val="en-GB"/>
        </w:rPr>
        <w:t>and</w:t>
      </w:r>
      <w:r w:rsidRPr="007D4BE9">
        <w:rPr>
          <w:i/>
          <w:iCs/>
          <w:lang w:val="en-GB"/>
        </w:rPr>
        <w:t xml:space="preserve"> Governance</w:t>
      </w:r>
      <w:r w:rsidRPr="007D4BE9">
        <w:rPr>
          <w:lang w:val="en-GB"/>
        </w:rPr>
        <w:t>, </w:t>
      </w:r>
      <w:r w:rsidRPr="007D4BE9">
        <w:rPr>
          <w:i/>
          <w:iCs/>
          <w:lang w:val="en-GB"/>
        </w:rPr>
        <w:t>16</w:t>
      </w:r>
      <w:r w:rsidRPr="007D4BE9">
        <w:rPr>
          <w:lang w:val="en-GB"/>
        </w:rPr>
        <w:t>(1), pp.23-44.</w:t>
      </w:r>
    </w:p>
    <w:p w14:paraId="4F35ED58" w14:textId="6CF72F0D" w:rsidR="00BA0032" w:rsidRPr="007D4BE9" w:rsidRDefault="00BA0032" w:rsidP="004E395C">
      <w:pPr>
        <w:pStyle w:val="Nessunaspaziatura"/>
        <w:rPr>
          <w:lang w:val="en-GB"/>
        </w:rPr>
      </w:pPr>
      <w:r w:rsidRPr="007D4BE9">
        <w:rPr>
          <w:lang w:val="en-GB"/>
        </w:rPr>
        <w:t>Ferreira, W.S.D.S., Vale, G.M.V. and Corrêa, V.S., 2022. Diffusion of innovation in technological platforms: The Uber case. </w:t>
      </w:r>
      <w:r w:rsidRPr="007D4BE9">
        <w:rPr>
          <w:i/>
          <w:iCs/>
          <w:lang w:val="en-GB"/>
        </w:rPr>
        <w:t>BAR-Brazilian Administration Review</w:t>
      </w:r>
      <w:r w:rsidRPr="007D4BE9">
        <w:rPr>
          <w:lang w:val="en-GB"/>
        </w:rPr>
        <w:t>, </w:t>
      </w:r>
      <w:r w:rsidR="001D3776">
        <w:rPr>
          <w:lang w:val="en-GB"/>
        </w:rPr>
        <w:t>p.</w:t>
      </w:r>
      <w:r w:rsidRPr="007D4BE9">
        <w:rPr>
          <w:i/>
          <w:iCs/>
          <w:lang w:val="en-GB"/>
        </w:rPr>
        <w:t>19</w:t>
      </w:r>
      <w:r w:rsidRPr="007D4BE9">
        <w:rPr>
          <w:lang w:val="en-GB"/>
        </w:rPr>
        <w:t xml:space="preserve">, </w:t>
      </w:r>
      <w:r w:rsidR="001D3776">
        <w:rPr>
          <w:lang w:val="en-GB"/>
        </w:rPr>
        <w:t xml:space="preserve">article </w:t>
      </w:r>
      <w:r w:rsidRPr="007D4BE9">
        <w:rPr>
          <w:lang w:val="en-GB"/>
        </w:rPr>
        <w:t>210101.</w:t>
      </w:r>
    </w:p>
    <w:p w14:paraId="62DF1924" w14:textId="77777777" w:rsidR="00BA0032" w:rsidRPr="007D4BE9" w:rsidRDefault="00BA0032" w:rsidP="004E395C">
      <w:pPr>
        <w:pStyle w:val="Nessunaspaziatura"/>
        <w:rPr>
          <w:lang w:val="en-GB"/>
        </w:rPr>
      </w:pPr>
      <w:r w:rsidRPr="007D4BE9">
        <w:rPr>
          <w:lang w:val="en-GB"/>
        </w:rPr>
        <w:t>García, M.L. and Poggi, C., 2022. Labour market trajectories and conciliation efforts among female Uber drivers. </w:t>
      </w:r>
      <w:r w:rsidRPr="007D4BE9">
        <w:rPr>
          <w:i/>
          <w:iCs/>
          <w:lang w:val="en-GB"/>
        </w:rPr>
        <w:t>AFD Research Papers</w:t>
      </w:r>
      <w:r w:rsidRPr="007D4BE9">
        <w:rPr>
          <w:lang w:val="en-GB"/>
        </w:rPr>
        <w:t>, (237), pp.1-19.</w:t>
      </w:r>
    </w:p>
    <w:p w14:paraId="23D4618E" w14:textId="77777777" w:rsidR="00BA0032" w:rsidRPr="007D4BE9" w:rsidRDefault="00BA0032" w:rsidP="004E395C">
      <w:pPr>
        <w:pStyle w:val="Nessunaspaziatura"/>
        <w:rPr>
          <w:lang w:val="en-GB"/>
        </w:rPr>
      </w:pPr>
      <w:r w:rsidRPr="007D4BE9">
        <w:rPr>
          <w:lang w:val="en-GB"/>
        </w:rPr>
        <w:t>Garud, R., Kumaraswamy, A., Roberts, A. and Xu, L., 2022. Liminal movement by digital platform‐based sharing economy ventures: The case of Uber Technologies. </w:t>
      </w:r>
      <w:r w:rsidRPr="007D4BE9">
        <w:rPr>
          <w:i/>
          <w:iCs/>
          <w:lang w:val="en-GB"/>
        </w:rPr>
        <w:t>Strategic Management Journal</w:t>
      </w:r>
      <w:r w:rsidRPr="007D4BE9">
        <w:rPr>
          <w:lang w:val="en-GB"/>
        </w:rPr>
        <w:t>, </w:t>
      </w:r>
      <w:r w:rsidRPr="007D4BE9">
        <w:rPr>
          <w:i/>
          <w:iCs/>
          <w:lang w:val="en-GB"/>
        </w:rPr>
        <w:t>43</w:t>
      </w:r>
      <w:r w:rsidRPr="007D4BE9">
        <w:rPr>
          <w:lang w:val="en-GB"/>
        </w:rPr>
        <w:t>(3), pp.447-475.</w:t>
      </w:r>
    </w:p>
    <w:p w14:paraId="25AF5882" w14:textId="71815602" w:rsidR="00BA0032" w:rsidRPr="007D4BE9" w:rsidRDefault="00BA0032" w:rsidP="004E395C">
      <w:pPr>
        <w:pStyle w:val="Nessunaspaziatura"/>
        <w:rPr>
          <w:lang w:val="en-GB"/>
        </w:rPr>
      </w:pPr>
      <w:proofErr w:type="spellStart"/>
      <w:r w:rsidRPr="007D4BE9">
        <w:rPr>
          <w:lang w:val="en-GB"/>
        </w:rPr>
        <w:t>Gebrial</w:t>
      </w:r>
      <w:proofErr w:type="spellEnd"/>
      <w:r w:rsidRPr="007D4BE9">
        <w:rPr>
          <w:lang w:val="en-GB"/>
        </w:rPr>
        <w:t>, D., 2022. Racial platform capitalism: Empire, migration and the making of Uber in London. </w:t>
      </w:r>
      <w:r w:rsidRPr="007D4BE9">
        <w:rPr>
          <w:i/>
          <w:iCs/>
          <w:lang w:val="en-GB"/>
        </w:rPr>
        <w:t>Environment and Planning A: Economy and Space</w:t>
      </w:r>
      <w:r w:rsidRPr="007D4BE9">
        <w:rPr>
          <w:lang w:val="en-GB"/>
        </w:rPr>
        <w:t>.</w:t>
      </w:r>
    </w:p>
    <w:p w14:paraId="52E3377C" w14:textId="77777777" w:rsidR="00BA0032" w:rsidRPr="007D4BE9" w:rsidRDefault="00BA0032" w:rsidP="004E395C">
      <w:pPr>
        <w:pStyle w:val="Nessunaspaziatura"/>
        <w:rPr>
          <w:lang w:val="en-GB"/>
        </w:rPr>
      </w:pPr>
      <w:r w:rsidRPr="007D4BE9">
        <w:rPr>
          <w:lang w:val="en-GB"/>
        </w:rPr>
        <w:t xml:space="preserve">Hanifah, F.N. and </w:t>
      </w:r>
      <w:proofErr w:type="spellStart"/>
      <w:r w:rsidRPr="007D4BE9">
        <w:rPr>
          <w:lang w:val="en-GB"/>
        </w:rPr>
        <w:t>Winarna</w:t>
      </w:r>
      <w:proofErr w:type="spellEnd"/>
      <w:r w:rsidRPr="007D4BE9">
        <w:rPr>
          <w:lang w:val="en-GB"/>
        </w:rPr>
        <w:t>, J., 2023. The Development of Local Government Financial Performance Research in Indonesia in the VUCA Era: A Conceptual Review. In </w:t>
      </w:r>
      <w:r w:rsidRPr="007D4BE9">
        <w:rPr>
          <w:i/>
          <w:iCs/>
          <w:lang w:val="en-GB"/>
        </w:rPr>
        <w:t>International Student Conference on Business, Education, Economics, Accounting, and Management (ISC-BEAM)</w:t>
      </w:r>
      <w:r w:rsidRPr="007D4BE9">
        <w:rPr>
          <w:lang w:val="en-GB"/>
        </w:rPr>
        <w:t> (Vol. 1, No. 1, pp. 815-831).</w:t>
      </w:r>
    </w:p>
    <w:p w14:paraId="71D47C17" w14:textId="77777777" w:rsidR="00BA0032" w:rsidRPr="007D4BE9" w:rsidRDefault="00BA0032" w:rsidP="004E395C">
      <w:pPr>
        <w:pStyle w:val="Nessunaspaziatura"/>
        <w:rPr>
          <w:lang w:val="en-GB"/>
        </w:rPr>
      </w:pPr>
      <w:r w:rsidRPr="007D4BE9">
        <w:rPr>
          <w:lang w:val="en-GB"/>
        </w:rPr>
        <w:t>Johann, M.S., Block, J.H. and Benz, L., 2022. Financial performance of hidden champions: Evidence from German manufacturing firms. </w:t>
      </w:r>
      <w:r w:rsidRPr="007D4BE9">
        <w:rPr>
          <w:i/>
          <w:iCs/>
          <w:lang w:val="en-GB"/>
        </w:rPr>
        <w:t>Small Business Economics</w:t>
      </w:r>
      <w:r w:rsidRPr="007D4BE9">
        <w:rPr>
          <w:lang w:val="en-GB"/>
        </w:rPr>
        <w:t>, </w:t>
      </w:r>
      <w:r w:rsidRPr="007D4BE9">
        <w:rPr>
          <w:i/>
          <w:iCs/>
          <w:lang w:val="en-GB"/>
        </w:rPr>
        <w:t>59</w:t>
      </w:r>
      <w:r w:rsidRPr="007D4BE9">
        <w:rPr>
          <w:lang w:val="en-GB"/>
        </w:rPr>
        <w:t>(3), pp.873-892.</w:t>
      </w:r>
    </w:p>
    <w:p w14:paraId="7FA97BB5" w14:textId="77777777" w:rsidR="00BA0032" w:rsidRPr="007D4BE9" w:rsidRDefault="00BA0032" w:rsidP="004E395C">
      <w:pPr>
        <w:pStyle w:val="Nessunaspaziatura"/>
        <w:rPr>
          <w:lang w:val="en-GB"/>
        </w:rPr>
      </w:pPr>
      <w:r w:rsidRPr="007D4BE9">
        <w:rPr>
          <w:lang w:val="en-GB"/>
        </w:rPr>
        <w:lastRenderedPageBreak/>
        <w:t>Kirchner, S., Dittmar, N. and Ziegler, E.S., 2022. Moving beyond Uber: two modes of organization and work in the German platform economy. </w:t>
      </w:r>
      <w:proofErr w:type="spellStart"/>
      <w:r w:rsidRPr="007D4BE9">
        <w:rPr>
          <w:i/>
          <w:iCs/>
          <w:lang w:val="en-GB"/>
        </w:rPr>
        <w:t>KZfSS</w:t>
      </w:r>
      <w:proofErr w:type="spellEnd"/>
      <w:r w:rsidRPr="007D4BE9">
        <w:rPr>
          <w:i/>
          <w:iCs/>
          <w:lang w:val="en-GB"/>
        </w:rPr>
        <w:t xml:space="preserve"> </w:t>
      </w:r>
      <w:proofErr w:type="spellStart"/>
      <w:r w:rsidRPr="007D4BE9">
        <w:rPr>
          <w:i/>
          <w:iCs/>
          <w:lang w:val="en-GB"/>
        </w:rPr>
        <w:t>Kölner</w:t>
      </w:r>
      <w:proofErr w:type="spellEnd"/>
      <w:r w:rsidRPr="007D4BE9">
        <w:rPr>
          <w:i/>
          <w:iCs/>
          <w:lang w:val="en-GB"/>
        </w:rPr>
        <w:t xml:space="preserve"> </w:t>
      </w:r>
      <w:proofErr w:type="spellStart"/>
      <w:r w:rsidRPr="007D4BE9">
        <w:rPr>
          <w:i/>
          <w:iCs/>
          <w:lang w:val="en-GB"/>
        </w:rPr>
        <w:t>Zeitschrift</w:t>
      </w:r>
      <w:proofErr w:type="spellEnd"/>
      <w:r w:rsidRPr="007D4BE9">
        <w:rPr>
          <w:i/>
          <w:iCs/>
          <w:lang w:val="en-GB"/>
        </w:rPr>
        <w:t xml:space="preserve"> für </w:t>
      </w:r>
      <w:proofErr w:type="spellStart"/>
      <w:r w:rsidRPr="007D4BE9">
        <w:rPr>
          <w:i/>
          <w:iCs/>
          <w:lang w:val="en-GB"/>
        </w:rPr>
        <w:t>Soziologie</w:t>
      </w:r>
      <w:proofErr w:type="spellEnd"/>
      <w:r w:rsidRPr="007D4BE9">
        <w:rPr>
          <w:i/>
          <w:iCs/>
          <w:lang w:val="en-GB"/>
        </w:rPr>
        <w:t xml:space="preserve"> und </w:t>
      </w:r>
      <w:proofErr w:type="spellStart"/>
      <w:r w:rsidRPr="007D4BE9">
        <w:rPr>
          <w:i/>
          <w:iCs/>
          <w:lang w:val="en-GB"/>
        </w:rPr>
        <w:t>Sozialpsychologie</w:t>
      </w:r>
      <w:proofErr w:type="spellEnd"/>
      <w:r w:rsidRPr="007D4BE9">
        <w:rPr>
          <w:lang w:val="en-GB"/>
        </w:rPr>
        <w:t>, </w:t>
      </w:r>
      <w:r w:rsidRPr="007D4BE9">
        <w:rPr>
          <w:i/>
          <w:iCs/>
          <w:lang w:val="en-GB"/>
        </w:rPr>
        <w:t>74</w:t>
      </w:r>
      <w:r w:rsidRPr="007D4BE9">
        <w:rPr>
          <w:lang w:val="en-GB"/>
        </w:rPr>
        <w:t>(</w:t>
      </w:r>
      <w:proofErr w:type="spellStart"/>
      <w:r w:rsidRPr="007D4BE9">
        <w:rPr>
          <w:lang w:val="en-GB"/>
        </w:rPr>
        <w:t>Suppl</w:t>
      </w:r>
      <w:proofErr w:type="spellEnd"/>
      <w:r w:rsidRPr="007D4BE9">
        <w:rPr>
          <w:lang w:val="en-GB"/>
        </w:rPr>
        <w:t xml:space="preserve"> 1), pp.109-131.</w:t>
      </w:r>
    </w:p>
    <w:p w14:paraId="23FBCA9D" w14:textId="260BFA7C" w:rsidR="00BA0032" w:rsidRPr="007D4BE9" w:rsidRDefault="00BA0032" w:rsidP="004E395C">
      <w:pPr>
        <w:pStyle w:val="Nessunaspaziatura"/>
        <w:rPr>
          <w:lang w:val="en-GB"/>
        </w:rPr>
      </w:pPr>
      <w:r w:rsidRPr="007D4BE9">
        <w:rPr>
          <w:lang w:val="en-GB"/>
        </w:rPr>
        <w:t>Lawless, W., 2022. Toward a physics of interdependence for autonomous human-machine systems: The case of the Uber fatal accident, 2018. </w:t>
      </w:r>
      <w:r w:rsidRPr="007D4BE9">
        <w:rPr>
          <w:i/>
          <w:iCs/>
          <w:lang w:val="en-GB"/>
        </w:rPr>
        <w:t>Frontiers in Physics</w:t>
      </w:r>
      <w:r w:rsidRPr="007D4BE9">
        <w:rPr>
          <w:lang w:val="en-GB"/>
        </w:rPr>
        <w:t>, </w:t>
      </w:r>
      <w:r w:rsidR="001D3776">
        <w:rPr>
          <w:i/>
          <w:iCs/>
          <w:lang w:val="en-GB"/>
        </w:rPr>
        <w:t>p.10 article</w:t>
      </w:r>
      <w:r w:rsidR="001D3776" w:rsidRPr="001D3776">
        <w:rPr>
          <w:rFonts w:ascii="AdvOTd86a71d2_5v" w:hAnsi="AdvOTd86a71d2_5v"/>
          <w:color w:val="6D6F71"/>
          <w:spacing w:val="-2"/>
          <w:sz w:val="17"/>
          <w:szCs w:val="17"/>
          <w:shd w:val="clear" w:color="auto" w:fill="FFFFFF"/>
          <w:lang w:val="en-GB"/>
        </w:rPr>
        <w:t xml:space="preserve"> </w:t>
      </w:r>
      <w:r w:rsidR="001D3776" w:rsidRPr="001D3776">
        <w:rPr>
          <w:i/>
          <w:iCs/>
          <w:lang w:val="en-GB"/>
        </w:rPr>
        <w:t>879171</w:t>
      </w:r>
      <w:r w:rsidR="001D3776">
        <w:rPr>
          <w:i/>
          <w:iCs/>
          <w:lang w:val="en-GB"/>
        </w:rPr>
        <w:t xml:space="preserve"> </w:t>
      </w:r>
    </w:p>
    <w:p w14:paraId="0D98A641" w14:textId="2FF20487" w:rsidR="00BA0032" w:rsidRPr="007D4BE9" w:rsidRDefault="00BA0032" w:rsidP="004E395C">
      <w:pPr>
        <w:pStyle w:val="Nessunaspaziatura"/>
        <w:rPr>
          <w:lang w:val="en-GB"/>
        </w:rPr>
      </w:pPr>
      <w:r w:rsidRPr="007D4BE9">
        <w:rPr>
          <w:lang w:val="en-GB"/>
        </w:rPr>
        <w:t>McDaid, E., Andon, P. and Free, C., 2023. Algorithmic management and the politics of demand: Control and resistance at Uber. </w:t>
      </w:r>
      <w:r w:rsidRPr="007D4BE9">
        <w:rPr>
          <w:i/>
          <w:iCs/>
          <w:lang w:val="en-GB"/>
        </w:rPr>
        <w:t>Accounting, Organizations and Society</w:t>
      </w:r>
      <w:r w:rsidRPr="007D4BE9">
        <w:rPr>
          <w:lang w:val="en-GB"/>
        </w:rPr>
        <w:t>, </w:t>
      </w:r>
      <w:r w:rsidR="001D3776">
        <w:rPr>
          <w:lang w:val="en-GB"/>
        </w:rPr>
        <w:t>p.</w:t>
      </w:r>
      <w:r w:rsidRPr="007D4BE9">
        <w:rPr>
          <w:i/>
          <w:iCs/>
          <w:lang w:val="en-GB"/>
        </w:rPr>
        <w:t>109</w:t>
      </w:r>
      <w:r w:rsidRPr="007D4BE9">
        <w:rPr>
          <w:lang w:val="en-GB"/>
        </w:rPr>
        <w:t xml:space="preserve">, </w:t>
      </w:r>
      <w:r w:rsidR="001D3776">
        <w:rPr>
          <w:lang w:val="en-GB"/>
        </w:rPr>
        <w:t xml:space="preserve">article </w:t>
      </w:r>
      <w:r w:rsidRPr="007D4BE9">
        <w:rPr>
          <w:lang w:val="en-GB"/>
        </w:rPr>
        <w:t>101465.</w:t>
      </w:r>
    </w:p>
    <w:p w14:paraId="342ECE73" w14:textId="77777777" w:rsidR="00BA0032" w:rsidRPr="007D4BE9" w:rsidRDefault="00BA0032" w:rsidP="004E395C">
      <w:pPr>
        <w:pStyle w:val="Nessunaspaziatura"/>
        <w:rPr>
          <w:lang w:val="en-GB"/>
        </w:rPr>
      </w:pPr>
      <w:r w:rsidRPr="007D4BE9">
        <w:rPr>
          <w:lang w:val="en-GB"/>
        </w:rPr>
        <w:t>Mika, B. and Winczewski, D., 2024. The work-on-demand platform as a part of monopoly capital: the example of a global ride-hailing company. </w:t>
      </w:r>
      <w:r w:rsidRPr="007D4BE9">
        <w:rPr>
          <w:i/>
          <w:iCs/>
          <w:lang w:val="en-GB"/>
        </w:rPr>
        <w:t>Polish Sociological Review</w:t>
      </w:r>
      <w:r w:rsidRPr="007D4BE9">
        <w:rPr>
          <w:lang w:val="en-GB"/>
        </w:rPr>
        <w:t>, (1 (225)).</w:t>
      </w:r>
    </w:p>
    <w:p w14:paraId="02B2EC85" w14:textId="77777777" w:rsidR="00BA0032" w:rsidRPr="007D4BE9" w:rsidRDefault="00BA0032" w:rsidP="004E395C">
      <w:pPr>
        <w:pStyle w:val="Nessunaspaziatura"/>
        <w:rPr>
          <w:lang w:val="en-GB"/>
        </w:rPr>
      </w:pPr>
      <w:r w:rsidRPr="007D4BE9">
        <w:rPr>
          <w:lang w:val="en-GB"/>
        </w:rPr>
        <w:t xml:space="preserve">Ryan Conmy, P., </w:t>
      </w:r>
      <w:proofErr w:type="spellStart"/>
      <w:r w:rsidRPr="007D4BE9">
        <w:rPr>
          <w:lang w:val="en-GB"/>
        </w:rPr>
        <w:t>Mcdermid</w:t>
      </w:r>
      <w:proofErr w:type="spellEnd"/>
      <w:r w:rsidRPr="007D4BE9">
        <w:rPr>
          <w:lang w:val="en-GB"/>
        </w:rPr>
        <w:t>, J., Habli, I. and Porter, Z., 2023, July. Safety engineering, role responsibility and lessons from the Uber ATG Tempe Accident. In </w:t>
      </w:r>
      <w:r w:rsidRPr="007D4BE9">
        <w:rPr>
          <w:i/>
          <w:iCs/>
          <w:lang w:val="en-GB"/>
        </w:rPr>
        <w:t>Proceedings of the First International Symposium on Trustworthy Autonomous Systems</w:t>
      </w:r>
      <w:r w:rsidRPr="007D4BE9">
        <w:rPr>
          <w:lang w:val="en-GB"/>
        </w:rPr>
        <w:t> (pp. 1-10).</w:t>
      </w:r>
    </w:p>
    <w:p w14:paraId="25285C85" w14:textId="77777777" w:rsidR="00BA0032" w:rsidRPr="007D4BE9" w:rsidRDefault="00BA0032" w:rsidP="004E395C">
      <w:pPr>
        <w:pStyle w:val="Nessunaspaziatura"/>
        <w:rPr>
          <w:lang w:val="en-GB"/>
        </w:rPr>
      </w:pPr>
      <w:r w:rsidRPr="007D4BE9">
        <w:rPr>
          <w:lang w:val="en-GB"/>
        </w:rPr>
        <w:t>Singh, G., Singh, J. and Singh, P.K., 2022, November. Preliminary Analysis of Data Visualization based Uber Technology using R: A Review. In </w:t>
      </w:r>
      <w:r w:rsidRPr="007D4BE9">
        <w:rPr>
          <w:i/>
          <w:iCs/>
          <w:lang w:val="en-GB"/>
        </w:rPr>
        <w:t>2022 International Conference on Augmented Intelligence and Sustainable Systems (ICAISS)</w:t>
      </w:r>
      <w:r w:rsidRPr="007D4BE9">
        <w:rPr>
          <w:lang w:val="en-GB"/>
        </w:rPr>
        <w:t> (pp. 721-725). IEEE.</w:t>
      </w:r>
    </w:p>
    <w:p w14:paraId="1872289F" w14:textId="76DFD294" w:rsidR="00BA0032" w:rsidRPr="007D4BE9" w:rsidRDefault="00BA0032" w:rsidP="004E395C">
      <w:pPr>
        <w:pStyle w:val="Nessunaspaziatura"/>
        <w:rPr>
          <w:lang w:val="en-GB"/>
        </w:rPr>
      </w:pPr>
      <w:r w:rsidRPr="007D4BE9">
        <w:rPr>
          <w:lang w:val="en-GB"/>
        </w:rPr>
        <w:t>Sull, D. and Sull, C., 2024. Two experts predict AI will transform companies' understanding of themselves. </w:t>
      </w:r>
      <w:r w:rsidRPr="007D4BE9">
        <w:rPr>
          <w:i/>
          <w:iCs/>
          <w:lang w:val="en-GB"/>
        </w:rPr>
        <w:t>The Economist</w:t>
      </w:r>
    </w:p>
    <w:p w14:paraId="6E8D1F1F" w14:textId="77777777" w:rsidR="00BA0032" w:rsidRPr="007D4BE9" w:rsidRDefault="00BA0032" w:rsidP="004E395C">
      <w:pPr>
        <w:pStyle w:val="Nessunaspaziatura"/>
        <w:rPr>
          <w:lang w:val="en-GB"/>
        </w:rPr>
      </w:pPr>
      <w:r w:rsidRPr="007D4BE9">
        <w:rPr>
          <w:lang w:val="en-GB"/>
        </w:rPr>
        <w:t>Swaminathan, V., Gupta, S., Keller, K.L. and Lehmann, D., 2022. Brand actions and financial consequences: A review of key findings and directions for future research. </w:t>
      </w:r>
      <w:r w:rsidRPr="007D4BE9">
        <w:rPr>
          <w:i/>
          <w:iCs/>
          <w:lang w:val="en-GB"/>
        </w:rPr>
        <w:t>Journal of the Academy of Marketing Science</w:t>
      </w:r>
      <w:r w:rsidRPr="007D4BE9">
        <w:rPr>
          <w:lang w:val="en-GB"/>
        </w:rPr>
        <w:t>, </w:t>
      </w:r>
      <w:r w:rsidRPr="007D4BE9">
        <w:rPr>
          <w:i/>
          <w:iCs/>
          <w:lang w:val="en-GB"/>
        </w:rPr>
        <w:t>50</w:t>
      </w:r>
      <w:r w:rsidRPr="007D4BE9">
        <w:rPr>
          <w:lang w:val="en-GB"/>
        </w:rPr>
        <w:t>(4), pp.639-664.</w:t>
      </w:r>
    </w:p>
    <w:p w14:paraId="36EFCD6A" w14:textId="77777777" w:rsidR="00BA0032" w:rsidRPr="007D4BE9" w:rsidRDefault="00BA0032" w:rsidP="004E395C">
      <w:pPr>
        <w:pStyle w:val="Nessunaspaziatura"/>
        <w:rPr>
          <w:lang w:val="en-GB"/>
        </w:rPr>
      </w:pPr>
      <w:r w:rsidRPr="007D4BE9">
        <w:rPr>
          <w:lang w:val="en-GB"/>
        </w:rPr>
        <w:t xml:space="preserve">Tripp, J., McKnight, D.H. and Lankton, N., 2023. What most influences consumers’ intention to use? different motivation and trust stories for uber, </w:t>
      </w:r>
      <w:proofErr w:type="spellStart"/>
      <w:r w:rsidRPr="007D4BE9">
        <w:rPr>
          <w:lang w:val="en-GB"/>
        </w:rPr>
        <w:t>airbnb</w:t>
      </w:r>
      <w:proofErr w:type="spellEnd"/>
      <w:r w:rsidRPr="007D4BE9">
        <w:rPr>
          <w:lang w:val="en-GB"/>
        </w:rPr>
        <w:t xml:space="preserve">, and </w:t>
      </w:r>
      <w:proofErr w:type="spellStart"/>
      <w:r w:rsidRPr="007D4BE9">
        <w:rPr>
          <w:lang w:val="en-GB"/>
        </w:rPr>
        <w:t>taskrabbit</w:t>
      </w:r>
      <w:proofErr w:type="spellEnd"/>
      <w:r w:rsidRPr="007D4BE9">
        <w:rPr>
          <w:lang w:val="en-GB"/>
        </w:rPr>
        <w:t>. </w:t>
      </w:r>
      <w:r w:rsidRPr="007D4BE9">
        <w:rPr>
          <w:i/>
          <w:iCs/>
          <w:lang w:val="en-GB"/>
        </w:rPr>
        <w:t>European Journal of Information Systems</w:t>
      </w:r>
      <w:r w:rsidRPr="007D4BE9">
        <w:rPr>
          <w:lang w:val="en-GB"/>
        </w:rPr>
        <w:t>, </w:t>
      </w:r>
      <w:r w:rsidRPr="007D4BE9">
        <w:rPr>
          <w:i/>
          <w:iCs/>
          <w:lang w:val="en-GB"/>
        </w:rPr>
        <w:t>32</w:t>
      </w:r>
      <w:r w:rsidRPr="007D4BE9">
        <w:rPr>
          <w:lang w:val="en-GB"/>
        </w:rPr>
        <w:t>(5), pp.818-840.</w:t>
      </w:r>
    </w:p>
    <w:p w14:paraId="28A83DBE" w14:textId="77777777" w:rsidR="00BA0032" w:rsidRPr="007D4BE9" w:rsidRDefault="00BA0032" w:rsidP="004E395C">
      <w:pPr>
        <w:pStyle w:val="Nessunaspaziatura"/>
        <w:rPr>
          <w:lang w:val="en-GB"/>
        </w:rPr>
      </w:pPr>
      <w:proofErr w:type="spellStart"/>
      <w:r w:rsidRPr="007D4BE9">
        <w:rPr>
          <w:lang w:val="en-GB"/>
        </w:rPr>
        <w:t>Türegün</w:t>
      </w:r>
      <w:proofErr w:type="spellEnd"/>
      <w:r w:rsidRPr="007D4BE9">
        <w:rPr>
          <w:lang w:val="en-GB"/>
        </w:rPr>
        <w:t>, N., 2022. Financial performance evaluation by multi-criteria decision-making techniques. </w:t>
      </w:r>
      <w:proofErr w:type="spellStart"/>
      <w:r w:rsidRPr="007D4BE9">
        <w:rPr>
          <w:i/>
          <w:iCs/>
          <w:lang w:val="en-GB"/>
        </w:rPr>
        <w:t>Heliyon</w:t>
      </w:r>
      <w:proofErr w:type="spellEnd"/>
      <w:r w:rsidRPr="007D4BE9">
        <w:rPr>
          <w:lang w:val="en-GB"/>
        </w:rPr>
        <w:t>, </w:t>
      </w:r>
      <w:r w:rsidRPr="007D4BE9">
        <w:rPr>
          <w:i/>
          <w:iCs/>
          <w:lang w:val="en-GB"/>
        </w:rPr>
        <w:t>8</w:t>
      </w:r>
      <w:r w:rsidRPr="007D4BE9">
        <w:rPr>
          <w:lang w:val="en-GB"/>
        </w:rPr>
        <w:t>(5).</w:t>
      </w:r>
    </w:p>
    <w:p w14:paraId="59555A85" w14:textId="77777777" w:rsidR="00BA0032" w:rsidRPr="007D4BE9" w:rsidRDefault="00BA0032" w:rsidP="004E395C">
      <w:pPr>
        <w:pStyle w:val="Nessunaspaziatura"/>
        <w:rPr>
          <w:lang w:val="en-GB"/>
        </w:rPr>
      </w:pPr>
      <w:proofErr w:type="spellStart"/>
      <w:r w:rsidRPr="007D4BE9">
        <w:rPr>
          <w:lang w:val="en-GB"/>
        </w:rPr>
        <w:t>Uzunca</w:t>
      </w:r>
      <w:proofErr w:type="spellEnd"/>
      <w:r w:rsidRPr="007D4BE9">
        <w:rPr>
          <w:lang w:val="en-GB"/>
        </w:rPr>
        <w:t>, B. and Kas, J., 2023. Automated governance mechanisms in digital labour platforms: how Uber nudges and sludges its drivers. </w:t>
      </w:r>
      <w:r w:rsidRPr="007D4BE9">
        <w:rPr>
          <w:i/>
          <w:iCs/>
          <w:lang w:val="en-GB"/>
        </w:rPr>
        <w:t>Industry and Innovation</w:t>
      </w:r>
      <w:r w:rsidRPr="007D4BE9">
        <w:rPr>
          <w:lang w:val="en-GB"/>
        </w:rPr>
        <w:t>, </w:t>
      </w:r>
      <w:r w:rsidRPr="007D4BE9">
        <w:rPr>
          <w:i/>
          <w:iCs/>
          <w:lang w:val="en-GB"/>
        </w:rPr>
        <w:t>30</w:t>
      </w:r>
      <w:r w:rsidRPr="007D4BE9">
        <w:rPr>
          <w:lang w:val="en-GB"/>
        </w:rPr>
        <w:t>(6), pp.664-693.</w:t>
      </w:r>
    </w:p>
    <w:p w14:paraId="3A7E7882" w14:textId="4A30CC0F" w:rsidR="00BA0032" w:rsidRPr="007D4BE9" w:rsidRDefault="00BA0032" w:rsidP="004E395C">
      <w:pPr>
        <w:pStyle w:val="Nessunaspaziatura"/>
        <w:rPr>
          <w:lang w:val="en-GB"/>
        </w:rPr>
      </w:pPr>
      <w:r w:rsidRPr="007D4BE9">
        <w:rPr>
          <w:lang w:val="en-GB"/>
        </w:rPr>
        <w:t>Vasudevan, K. and Chan, N.K., 2022. Gamification and work games: Examining consent and resistance among Uber drivers. </w:t>
      </w:r>
      <w:r w:rsidRPr="007D4BE9">
        <w:rPr>
          <w:i/>
          <w:iCs/>
          <w:lang w:val="en-GB"/>
        </w:rPr>
        <w:t xml:space="preserve">new media </w:t>
      </w:r>
      <w:r w:rsidR="003D4615">
        <w:rPr>
          <w:i/>
          <w:iCs/>
          <w:lang w:val="en-GB"/>
        </w:rPr>
        <w:t>and</w:t>
      </w:r>
      <w:r w:rsidRPr="007D4BE9">
        <w:rPr>
          <w:i/>
          <w:iCs/>
          <w:lang w:val="en-GB"/>
        </w:rPr>
        <w:t xml:space="preserve"> society</w:t>
      </w:r>
      <w:r w:rsidRPr="007D4BE9">
        <w:rPr>
          <w:lang w:val="en-GB"/>
        </w:rPr>
        <w:t>, </w:t>
      </w:r>
      <w:r w:rsidRPr="007D4BE9">
        <w:rPr>
          <w:i/>
          <w:iCs/>
          <w:lang w:val="en-GB"/>
        </w:rPr>
        <w:t>24</w:t>
      </w:r>
      <w:r w:rsidRPr="007D4BE9">
        <w:rPr>
          <w:lang w:val="en-GB"/>
        </w:rPr>
        <w:t>(4), pp.866-886.</w:t>
      </w:r>
    </w:p>
    <w:sectPr w:rsidR="00BA0032" w:rsidRPr="007D4BE9" w:rsidSect="002278ED">
      <w:footerReference w:type="default" r:id="rId13"/>
      <w:pgSz w:w="12240" w:h="15840"/>
      <w:pgMar w:top="1440" w:right="1440" w:bottom="1440" w:left="1440" w:header="720" w:footer="720" w:gutter="0"/>
      <w:pgBorders w:offsetFrom="page">
        <w:top w:val="single" w:sz="6" w:space="24" w:color="auto"/>
        <w:left w:val="single" w:sz="6" w:space="24" w:color="auto"/>
        <w:bottom w:val="single" w:sz="6" w:space="24" w:color="auto"/>
        <w:right w:val="single" w:sz="6"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EA10D" w14:textId="77777777" w:rsidR="002278ED" w:rsidRDefault="002278ED" w:rsidP="00BF432D">
      <w:pPr>
        <w:spacing w:before="0" w:after="0" w:line="240" w:lineRule="auto"/>
      </w:pPr>
      <w:r>
        <w:separator/>
      </w:r>
    </w:p>
  </w:endnote>
  <w:endnote w:type="continuationSeparator" w:id="0">
    <w:p w14:paraId="595BB919" w14:textId="77777777" w:rsidR="002278ED" w:rsidRDefault="002278ED" w:rsidP="00BF432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dvOTd86a71d2_5v">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839926"/>
      <w:docPartObj>
        <w:docPartGallery w:val="Page Numbers (Bottom of Page)"/>
        <w:docPartUnique/>
      </w:docPartObj>
    </w:sdtPr>
    <w:sdtContent>
      <w:p w14:paraId="6E4B8DBD" w14:textId="6DC8B2A0" w:rsidR="003159ED" w:rsidRDefault="003159ED">
        <w:pPr>
          <w:pStyle w:val="Pidipagina"/>
          <w:jc w:val="right"/>
        </w:pPr>
      </w:p>
      <w:p w14:paraId="3F41549A" w14:textId="77777777" w:rsidR="003159ED" w:rsidRDefault="003159ED">
        <w:pPr>
          <w:pStyle w:val="Pidipagina"/>
          <w:jc w:val="right"/>
        </w:pPr>
      </w:p>
      <w:p w14:paraId="61748AEA" w14:textId="698C1CFF" w:rsidR="003159ED" w:rsidRDefault="003159ED">
        <w:pPr>
          <w:pStyle w:val="Pidipagina"/>
          <w:jc w:val="right"/>
        </w:pPr>
        <w:r>
          <w:fldChar w:fldCharType="begin"/>
        </w:r>
        <w:r>
          <w:instrText>PAGE   \* MERGEFORMAT</w:instrText>
        </w:r>
        <w:r>
          <w:fldChar w:fldCharType="separate"/>
        </w:r>
        <w:r>
          <w:rPr>
            <w:lang w:val="it-IT"/>
          </w:rPr>
          <w:t>2</w:t>
        </w:r>
        <w:r>
          <w:fldChar w:fldCharType="end"/>
        </w:r>
      </w:p>
    </w:sdtContent>
  </w:sdt>
  <w:p w14:paraId="52977978" w14:textId="77777777" w:rsidR="00BF432D" w:rsidRDefault="00BF432D">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20648" w14:textId="77777777" w:rsidR="002278ED" w:rsidRDefault="002278ED" w:rsidP="00BF432D">
      <w:pPr>
        <w:spacing w:before="0" w:after="0" w:line="240" w:lineRule="auto"/>
      </w:pPr>
      <w:r>
        <w:separator/>
      </w:r>
    </w:p>
  </w:footnote>
  <w:footnote w:type="continuationSeparator" w:id="0">
    <w:p w14:paraId="5803E8E4" w14:textId="77777777" w:rsidR="002278ED" w:rsidRDefault="002278ED" w:rsidP="00BF432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471"/>
    <w:rsid w:val="00012F7E"/>
    <w:rsid w:val="00020224"/>
    <w:rsid w:val="00032E4C"/>
    <w:rsid w:val="0009607D"/>
    <w:rsid w:val="000D6190"/>
    <w:rsid w:val="000F3F90"/>
    <w:rsid w:val="00122B9F"/>
    <w:rsid w:val="001A7529"/>
    <w:rsid w:val="001D3776"/>
    <w:rsid w:val="002278ED"/>
    <w:rsid w:val="00256DB1"/>
    <w:rsid w:val="0026237B"/>
    <w:rsid w:val="00267F22"/>
    <w:rsid w:val="002A556D"/>
    <w:rsid w:val="002C0D58"/>
    <w:rsid w:val="002C46BC"/>
    <w:rsid w:val="003054A5"/>
    <w:rsid w:val="003159ED"/>
    <w:rsid w:val="00365D78"/>
    <w:rsid w:val="003A4613"/>
    <w:rsid w:val="003D4615"/>
    <w:rsid w:val="003D6419"/>
    <w:rsid w:val="003E7AD3"/>
    <w:rsid w:val="003F629A"/>
    <w:rsid w:val="00402B68"/>
    <w:rsid w:val="00423386"/>
    <w:rsid w:val="004C2C36"/>
    <w:rsid w:val="004E2EDF"/>
    <w:rsid w:val="004E395C"/>
    <w:rsid w:val="004F2472"/>
    <w:rsid w:val="00592FB6"/>
    <w:rsid w:val="006253C5"/>
    <w:rsid w:val="006401FB"/>
    <w:rsid w:val="006564E2"/>
    <w:rsid w:val="00675A38"/>
    <w:rsid w:val="007046E4"/>
    <w:rsid w:val="00775976"/>
    <w:rsid w:val="0077657A"/>
    <w:rsid w:val="00783368"/>
    <w:rsid w:val="00786CE3"/>
    <w:rsid w:val="0079021E"/>
    <w:rsid w:val="007A4091"/>
    <w:rsid w:val="007B2E05"/>
    <w:rsid w:val="007D4BE9"/>
    <w:rsid w:val="008321A4"/>
    <w:rsid w:val="00834B51"/>
    <w:rsid w:val="00835E2D"/>
    <w:rsid w:val="00837484"/>
    <w:rsid w:val="008C7C4A"/>
    <w:rsid w:val="00907FE4"/>
    <w:rsid w:val="00A001E4"/>
    <w:rsid w:val="00A229E3"/>
    <w:rsid w:val="00A30B1A"/>
    <w:rsid w:val="00A46231"/>
    <w:rsid w:val="00A77BBA"/>
    <w:rsid w:val="00A87172"/>
    <w:rsid w:val="00A949D2"/>
    <w:rsid w:val="00AE068E"/>
    <w:rsid w:val="00B01471"/>
    <w:rsid w:val="00B10F1D"/>
    <w:rsid w:val="00B97530"/>
    <w:rsid w:val="00BA0032"/>
    <w:rsid w:val="00BA24CA"/>
    <w:rsid w:val="00BE6699"/>
    <w:rsid w:val="00BE70E9"/>
    <w:rsid w:val="00BF432D"/>
    <w:rsid w:val="00C0183D"/>
    <w:rsid w:val="00C27DB0"/>
    <w:rsid w:val="00CA35B3"/>
    <w:rsid w:val="00D64554"/>
    <w:rsid w:val="00D97A37"/>
    <w:rsid w:val="00DA6033"/>
    <w:rsid w:val="00E26B3F"/>
    <w:rsid w:val="00E324E4"/>
    <w:rsid w:val="00E43133"/>
    <w:rsid w:val="00E93DDD"/>
    <w:rsid w:val="00E960EC"/>
    <w:rsid w:val="00EE7ADC"/>
    <w:rsid w:val="00F03E32"/>
    <w:rsid w:val="00F267D8"/>
    <w:rsid w:val="00F4416D"/>
    <w:rsid w:val="00F547B9"/>
    <w:rsid w:val="00F647C9"/>
    <w:rsid w:val="00F95B07"/>
    <w:rsid w:val="00FF1B1B"/>
    <w:rsid w:val="00FF7D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13DF9D"/>
  <w15:chartTrackingRefBased/>
  <w15:docId w15:val="{69346C05-0F7A-4840-9D1A-120A53745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3F629A"/>
    <w:pPr>
      <w:spacing w:before="60" w:after="60" w:line="360" w:lineRule="auto"/>
    </w:pPr>
    <w:rPr>
      <w:rFonts w:ascii="Times New Roman" w:hAnsi="Times New Roman"/>
      <w:sz w:val="24"/>
      <w:lang w:val="en-GB"/>
    </w:rPr>
  </w:style>
  <w:style w:type="paragraph" w:styleId="Titolo1">
    <w:name w:val="heading 1"/>
    <w:basedOn w:val="Normale"/>
    <w:next w:val="Normale"/>
    <w:link w:val="Titolo1Carattere"/>
    <w:uiPriority w:val="9"/>
    <w:qFormat/>
    <w:rsid w:val="003054A5"/>
    <w:pPr>
      <w:keepNext/>
      <w:keepLines/>
      <w:outlineLvl w:val="0"/>
    </w:pPr>
    <w:rPr>
      <w:rFonts w:eastAsiaTheme="majorEastAsia" w:cstheme="majorBidi"/>
      <w:b/>
      <w:color w:val="000000" w:themeColor="text1"/>
      <w:szCs w:val="32"/>
    </w:rPr>
  </w:style>
  <w:style w:type="paragraph" w:styleId="Titolo2">
    <w:name w:val="heading 2"/>
    <w:basedOn w:val="Normale"/>
    <w:next w:val="Normale"/>
    <w:link w:val="Titolo2Carattere"/>
    <w:uiPriority w:val="9"/>
    <w:unhideWhenUsed/>
    <w:qFormat/>
    <w:rsid w:val="003054A5"/>
    <w:pPr>
      <w:keepNext/>
      <w:keepLines/>
      <w:outlineLvl w:val="1"/>
    </w:pPr>
    <w:rPr>
      <w:rFonts w:eastAsiaTheme="majorEastAsia" w:cstheme="majorBidi"/>
      <w:b/>
      <w:i/>
      <w:szCs w:val="26"/>
    </w:rPr>
  </w:style>
  <w:style w:type="paragraph" w:styleId="Titolo3">
    <w:name w:val="heading 3"/>
    <w:basedOn w:val="Normale"/>
    <w:next w:val="Normale"/>
    <w:link w:val="Titolo3Carattere"/>
    <w:uiPriority w:val="9"/>
    <w:unhideWhenUsed/>
    <w:qFormat/>
    <w:rsid w:val="003054A5"/>
    <w:pPr>
      <w:keepNext/>
      <w:keepLines/>
      <w:outlineLvl w:val="2"/>
    </w:pPr>
    <w:rPr>
      <w:rFonts w:eastAsiaTheme="majorEastAsia" w:cstheme="majorBidi"/>
      <w:i/>
      <w:color w:val="000000" w:themeColor="text1"/>
      <w:szCs w:val="24"/>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uiPriority w:val="1"/>
    <w:qFormat/>
    <w:rsid w:val="003054A5"/>
    <w:pPr>
      <w:spacing w:before="120" w:after="120" w:line="240" w:lineRule="auto"/>
      <w:ind w:left="720" w:hanging="720"/>
    </w:pPr>
    <w:rPr>
      <w:rFonts w:ascii="Times New Roman" w:hAnsi="Times New Roman"/>
      <w:sz w:val="24"/>
    </w:rPr>
  </w:style>
  <w:style w:type="character" w:customStyle="1" w:styleId="Titolo1Carattere">
    <w:name w:val="Titolo 1 Carattere"/>
    <w:basedOn w:val="Carpredefinitoparagrafo"/>
    <w:link w:val="Titolo1"/>
    <w:uiPriority w:val="9"/>
    <w:rsid w:val="003054A5"/>
    <w:rPr>
      <w:rFonts w:ascii="Times New Roman" w:eastAsiaTheme="majorEastAsia" w:hAnsi="Times New Roman" w:cstheme="majorBidi"/>
      <w:b/>
      <w:color w:val="000000" w:themeColor="text1"/>
      <w:sz w:val="24"/>
      <w:szCs w:val="32"/>
    </w:rPr>
  </w:style>
  <w:style w:type="character" w:customStyle="1" w:styleId="Titolo2Carattere">
    <w:name w:val="Titolo 2 Carattere"/>
    <w:basedOn w:val="Carpredefinitoparagrafo"/>
    <w:link w:val="Titolo2"/>
    <w:uiPriority w:val="9"/>
    <w:rsid w:val="003054A5"/>
    <w:rPr>
      <w:rFonts w:ascii="Times New Roman" w:eastAsiaTheme="majorEastAsia" w:hAnsi="Times New Roman" w:cstheme="majorBidi"/>
      <w:b/>
      <w:i/>
      <w:sz w:val="24"/>
      <w:szCs w:val="26"/>
    </w:rPr>
  </w:style>
  <w:style w:type="character" w:customStyle="1" w:styleId="Titolo3Carattere">
    <w:name w:val="Titolo 3 Carattere"/>
    <w:basedOn w:val="Carpredefinitoparagrafo"/>
    <w:link w:val="Titolo3"/>
    <w:uiPriority w:val="9"/>
    <w:rsid w:val="003054A5"/>
    <w:rPr>
      <w:rFonts w:ascii="Times New Roman" w:eastAsiaTheme="majorEastAsia" w:hAnsi="Times New Roman" w:cstheme="majorBidi"/>
      <w:i/>
      <w:color w:val="000000" w:themeColor="text1"/>
      <w:sz w:val="24"/>
      <w:szCs w:val="24"/>
    </w:rPr>
  </w:style>
  <w:style w:type="table" w:styleId="Grigliatabella">
    <w:name w:val="Table Grid"/>
    <w:basedOn w:val="Tabellanormale"/>
    <w:uiPriority w:val="39"/>
    <w:rsid w:val="00B014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olosommario">
    <w:name w:val="TOC Heading"/>
    <w:basedOn w:val="Titolo1"/>
    <w:next w:val="Normale"/>
    <w:uiPriority w:val="39"/>
    <w:unhideWhenUsed/>
    <w:qFormat/>
    <w:rsid w:val="00BE70E9"/>
    <w:pPr>
      <w:spacing w:before="240" w:after="0" w:line="259" w:lineRule="auto"/>
      <w:outlineLvl w:val="9"/>
    </w:pPr>
    <w:rPr>
      <w:rFonts w:asciiTheme="majorHAnsi" w:hAnsiTheme="majorHAnsi"/>
      <w:b w:val="0"/>
      <w:color w:val="2F5496" w:themeColor="accent1" w:themeShade="BF"/>
      <w:sz w:val="32"/>
      <w:lang w:val="en-US"/>
    </w:rPr>
  </w:style>
  <w:style w:type="paragraph" w:styleId="Sommario1">
    <w:name w:val="toc 1"/>
    <w:basedOn w:val="Normale"/>
    <w:next w:val="Normale"/>
    <w:autoRedefine/>
    <w:uiPriority w:val="39"/>
    <w:unhideWhenUsed/>
    <w:rsid w:val="00BE70E9"/>
    <w:pPr>
      <w:spacing w:after="100"/>
    </w:pPr>
  </w:style>
  <w:style w:type="paragraph" w:styleId="Sommario2">
    <w:name w:val="toc 2"/>
    <w:basedOn w:val="Normale"/>
    <w:next w:val="Normale"/>
    <w:autoRedefine/>
    <w:uiPriority w:val="39"/>
    <w:unhideWhenUsed/>
    <w:rsid w:val="00BE70E9"/>
    <w:pPr>
      <w:spacing w:after="100"/>
      <w:ind w:left="240"/>
    </w:pPr>
  </w:style>
  <w:style w:type="character" w:styleId="Collegamentoipertestuale">
    <w:name w:val="Hyperlink"/>
    <w:basedOn w:val="Carpredefinitoparagrafo"/>
    <w:uiPriority w:val="99"/>
    <w:unhideWhenUsed/>
    <w:rsid w:val="00BE70E9"/>
    <w:rPr>
      <w:color w:val="0563C1" w:themeColor="hyperlink"/>
      <w:u w:val="single"/>
    </w:rPr>
  </w:style>
  <w:style w:type="paragraph" w:styleId="Didascalia">
    <w:name w:val="caption"/>
    <w:basedOn w:val="Normale"/>
    <w:next w:val="Normale"/>
    <w:uiPriority w:val="35"/>
    <w:unhideWhenUsed/>
    <w:qFormat/>
    <w:rsid w:val="00B97530"/>
    <w:pPr>
      <w:spacing w:before="0" w:after="200" w:line="240" w:lineRule="auto"/>
    </w:pPr>
    <w:rPr>
      <w:i/>
      <w:iCs/>
      <w:color w:val="44546A" w:themeColor="text2"/>
      <w:sz w:val="18"/>
      <w:szCs w:val="18"/>
    </w:rPr>
  </w:style>
  <w:style w:type="paragraph" w:styleId="Intestazione">
    <w:name w:val="header"/>
    <w:basedOn w:val="Normale"/>
    <w:link w:val="IntestazioneCarattere"/>
    <w:uiPriority w:val="99"/>
    <w:unhideWhenUsed/>
    <w:rsid w:val="00BF432D"/>
    <w:pPr>
      <w:tabs>
        <w:tab w:val="center" w:pos="4513"/>
        <w:tab w:val="right" w:pos="9026"/>
      </w:tabs>
      <w:spacing w:before="0" w:after="0" w:line="240" w:lineRule="auto"/>
    </w:pPr>
  </w:style>
  <w:style w:type="character" w:customStyle="1" w:styleId="IntestazioneCarattere">
    <w:name w:val="Intestazione Carattere"/>
    <w:basedOn w:val="Carpredefinitoparagrafo"/>
    <w:link w:val="Intestazione"/>
    <w:uiPriority w:val="99"/>
    <w:rsid w:val="00BF432D"/>
    <w:rPr>
      <w:rFonts w:ascii="Times New Roman" w:hAnsi="Times New Roman"/>
      <w:sz w:val="24"/>
      <w:lang w:val="en-GB"/>
    </w:rPr>
  </w:style>
  <w:style w:type="paragraph" w:styleId="Pidipagina">
    <w:name w:val="footer"/>
    <w:basedOn w:val="Normale"/>
    <w:link w:val="PidipaginaCarattere"/>
    <w:uiPriority w:val="99"/>
    <w:unhideWhenUsed/>
    <w:rsid w:val="00BF432D"/>
    <w:pPr>
      <w:tabs>
        <w:tab w:val="center" w:pos="4513"/>
        <w:tab w:val="right" w:pos="9026"/>
      </w:tabs>
      <w:spacing w:before="0" w:after="0" w:line="240" w:lineRule="auto"/>
    </w:pPr>
  </w:style>
  <w:style w:type="character" w:customStyle="1" w:styleId="PidipaginaCarattere">
    <w:name w:val="Piè di pagina Carattere"/>
    <w:basedOn w:val="Carpredefinitoparagrafo"/>
    <w:link w:val="Pidipagina"/>
    <w:uiPriority w:val="99"/>
    <w:rsid w:val="00BF432D"/>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079799">
      <w:bodyDiv w:val="1"/>
      <w:marLeft w:val="0"/>
      <w:marRight w:val="0"/>
      <w:marTop w:val="0"/>
      <w:marBottom w:val="0"/>
      <w:divBdr>
        <w:top w:val="none" w:sz="0" w:space="0" w:color="auto"/>
        <w:left w:val="none" w:sz="0" w:space="0" w:color="auto"/>
        <w:bottom w:val="none" w:sz="0" w:space="0" w:color="auto"/>
        <w:right w:val="none" w:sz="0" w:space="0" w:color="auto"/>
      </w:divBdr>
    </w:div>
    <w:div w:id="209075889">
      <w:bodyDiv w:val="1"/>
      <w:marLeft w:val="0"/>
      <w:marRight w:val="0"/>
      <w:marTop w:val="0"/>
      <w:marBottom w:val="0"/>
      <w:divBdr>
        <w:top w:val="none" w:sz="0" w:space="0" w:color="auto"/>
        <w:left w:val="none" w:sz="0" w:space="0" w:color="auto"/>
        <w:bottom w:val="none" w:sz="0" w:space="0" w:color="auto"/>
        <w:right w:val="none" w:sz="0" w:space="0" w:color="auto"/>
      </w:divBdr>
      <w:divsChild>
        <w:div w:id="240988140">
          <w:marLeft w:val="0"/>
          <w:marRight w:val="0"/>
          <w:marTop w:val="0"/>
          <w:marBottom w:val="0"/>
          <w:divBdr>
            <w:top w:val="single" w:sz="2" w:space="0" w:color="E3E3E3"/>
            <w:left w:val="single" w:sz="2" w:space="0" w:color="E3E3E3"/>
            <w:bottom w:val="single" w:sz="2" w:space="0" w:color="E3E3E3"/>
            <w:right w:val="single" w:sz="2" w:space="0" w:color="E3E3E3"/>
          </w:divBdr>
          <w:divsChild>
            <w:div w:id="1202423">
              <w:marLeft w:val="0"/>
              <w:marRight w:val="0"/>
              <w:marTop w:val="0"/>
              <w:marBottom w:val="0"/>
              <w:divBdr>
                <w:top w:val="single" w:sz="2" w:space="0" w:color="E3E3E3"/>
                <w:left w:val="single" w:sz="2" w:space="0" w:color="E3E3E3"/>
                <w:bottom w:val="single" w:sz="2" w:space="0" w:color="E3E3E3"/>
                <w:right w:val="single" w:sz="2" w:space="0" w:color="E3E3E3"/>
              </w:divBdr>
              <w:divsChild>
                <w:div w:id="2086762698">
                  <w:marLeft w:val="0"/>
                  <w:marRight w:val="0"/>
                  <w:marTop w:val="0"/>
                  <w:marBottom w:val="0"/>
                  <w:divBdr>
                    <w:top w:val="single" w:sz="2" w:space="0" w:color="E3E3E3"/>
                    <w:left w:val="single" w:sz="2" w:space="0" w:color="E3E3E3"/>
                    <w:bottom w:val="single" w:sz="2" w:space="0" w:color="E3E3E3"/>
                    <w:right w:val="single" w:sz="2" w:space="0" w:color="E3E3E3"/>
                  </w:divBdr>
                  <w:divsChild>
                    <w:div w:id="1022904602">
                      <w:marLeft w:val="0"/>
                      <w:marRight w:val="0"/>
                      <w:marTop w:val="0"/>
                      <w:marBottom w:val="0"/>
                      <w:divBdr>
                        <w:top w:val="single" w:sz="2" w:space="0" w:color="E3E3E3"/>
                        <w:left w:val="single" w:sz="2" w:space="0" w:color="E3E3E3"/>
                        <w:bottom w:val="single" w:sz="2" w:space="0" w:color="E3E3E3"/>
                        <w:right w:val="single" w:sz="2" w:space="0" w:color="E3E3E3"/>
                      </w:divBdr>
                      <w:divsChild>
                        <w:div w:id="624702145">
                          <w:marLeft w:val="0"/>
                          <w:marRight w:val="0"/>
                          <w:marTop w:val="0"/>
                          <w:marBottom w:val="0"/>
                          <w:divBdr>
                            <w:top w:val="single" w:sz="2" w:space="0" w:color="E3E3E3"/>
                            <w:left w:val="single" w:sz="2" w:space="0" w:color="E3E3E3"/>
                            <w:bottom w:val="single" w:sz="2" w:space="0" w:color="E3E3E3"/>
                            <w:right w:val="single" w:sz="2" w:space="0" w:color="E3E3E3"/>
                          </w:divBdr>
                          <w:divsChild>
                            <w:div w:id="1172143604">
                              <w:marLeft w:val="0"/>
                              <w:marRight w:val="0"/>
                              <w:marTop w:val="0"/>
                              <w:marBottom w:val="0"/>
                              <w:divBdr>
                                <w:top w:val="single" w:sz="2" w:space="0" w:color="E3E3E3"/>
                                <w:left w:val="single" w:sz="2" w:space="0" w:color="E3E3E3"/>
                                <w:bottom w:val="single" w:sz="2" w:space="0" w:color="E3E3E3"/>
                                <w:right w:val="single" w:sz="2" w:space="0" w:color="E3E3E3"/>
                              </w:divBdr>
                              <w:divsChild>
                                <w:div w:id="814447940">
                                  <w:marLeft w:val="0"/>
                                  <w:marRight w:val="0"/>
                                  <w:marTop w:val="100"/>
                                  <w:marBottom w:val="100"/>
                                  <w:divBdr>
                                    <w:top w:val="single" w:sz="2" w:space="0" w:color="E3E3E3"/>
                                    <w:left w:val="single" w:sz="2" w:space="0" w:color="E3E3E3"/>
                                    <w:bottom w:val="single" w:sz="2" w:space="0" w:color="E3E3E3"/>
                                    <w:right w:val="single" w:sz="2" w:space="0" w:color="E3E3E3"/>
                                  </w:divBdr>
                                  <w:divsChild>
                                    <w:div w:id="1319920835">
                                      <w:marLeft w:val="0"/>
                                      <w:marRight w:val="0"/>
                                      <w:marTop w:val="0"/>
                                      <w:marBottom w:val="0"/>
                                      <w:divBdr>
                                        <w:top w:val="single" w:sz="2" w:space="0" w:color="E3E3E3"/>
                                        <w:left w:val="single" w:sz="2" w:space="0" w:color="E3E3E3"/>
                                        <w:bottom w:val="single" w:sz="2" w:space="0" w:color="E3E3E3"/>
                                        <w:right w:val="single" w:sz="2" w:space="0" w:color="E3E3E3"/>
                                      </w:divBdr>
                                      <w:divsChild>
                                        <w:div w:id="1765615494">
                                          <w:marLeft w:val="0"/>
                                          <w:marRight w:val="0"/>
                                          <w:marTop w:val="0"/>
                                          <w:marBottom w:val="0"/>
                                          <w:divBdr>
                                            <w:top w:val="single" w:sz="2" w:space="0" w:color="E3E3E3"/>
                                            <w:left w:val="single" w:sz="2" w:space="0" w:color="E3E3E3"/>
                                            <w:bottom w:val="single" w:sz="2" w:space="0" w:color="E3E3E3"/>
                                            <w:right w:val="single" w:sz="2" w:space="0" w:color="E3E3E3"/>
                                          </w:divBdr>
                                          <w:divsChild>
                                            <w:div w:id="1599556256">
                                              <w:marLeft w:val="0"/>
                                              <w:marRight w:val="0"/>
                                              <w:marTop w:val="0"/>
                                              <w:marBottom w:val="0"/>
                                              <w:divBdr>
                                                <w:top w:val="single" w:sz="2" w:space="0" w:color="E3E3E3"/>
                                                <w:left w:val="single" w:sz="2" w:space="0" w:color="E3E3E3"/>
                                                <w:bottom w:val="single" w:sz="2" w:space="0" w:color="E3E3E3"/>
                                                <w:right w:val="single" w:sz="2" w:space="0" w:color="E3E3E3"/>
                                              </w:divBdr>
                                              <w:divsChild>
                                                <w:div w:id="1888682940">
                                                  <w:marLeft w:val="0"/>
                                                  <w:marRight w:val="0"/>
                                                  <w:marTop w:val="0"/>
                                                  <w:marBottom w:val="0"/>
                                                  <w:divBdr>
                                                    <w:top w:val="single" w:sz="2" w:space="0" w:color="E3E3E3"/>
                                                    <w:left w:val="single" w:sz="2" w:space="0" w:color="E3E3E3"/>
                                                    <w:bottom w:val="single" w:sz="2" w:space="0" w:color="E3E3E3"/>
                                                    <w:right w:val="single" w:sz="2" w:space="0" w:color="E3E3E3"/>
                                                  </w:divBdr>
                                                  <w:divsChild>
                                                    <w:div w:id="1883860409">
                                                      <w:marLeft w:val="0"/>
                                                      <w:marRight w:val="0"/>
                                                      <w:marTop w:val="0"/>
                                                      <w:marBottom w:val="0"/>
                                                      <w:divBdr>
                                                        <w:top w:val="single" w:sz="2" w:space="0" w:color="E3E3E3"/>
                                                        <w:left w:val="single" w:sz="2" w:space="0" w:color="E3E3E3"/>
                                                        <w:bottom w:val="single" w:sz="2" w:space="0" w:color="E3E3E3"/>
                                                        <w:right w:val="single" w:sz="2" w:space="0" w:color="E3E3E3"/>
                                                      </w:divBdr>
                                                      <w:divsChild>
                                                        <w:div w:id="345323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88913315">
          <w:marLeft w:val="0"/>
          <w:marRight w:val="0"/>
          <w:marTop w:val="0"/>
          <w:marBottom w:val="0"/>
          <w:divBdr>
            <w:top w:val="none" w:sz="0" w:space="0" w:color="auto"/>
            <w:left w:val="none" w:sz="0" w:space="0" w:color="auto"/>
            <w:bottom w:val="none" w:sz="0" w:space="0" w:color="auto"/>
            <w:right w:val="none" w:sz="0" w:space="0" w:color="auto"/>
          </w:divBdr>
        </w:div>
      </w:divsChild>
    </w:div>
    <w:div w:id="407919225">
      <w:bodyDiv w:val="1"/>
      <w:marLeft w:val="0"/>
      <w:marRight w:val="0"/>
      <w:marTop w:val="0"/>
      <w:marBottom w:val="0"/>
      <w:divBdr>
        <w:top w:val="none" w:sz="0" w:space="0" w:color="auto"/>
        <w:left w:val="none" w:sz="0" w:space="0" w:color="auto"/>
        <w:bottom w:val="none" w:sz="0" w:space="0" w:color="auto"/>
        <w:right w:val="none" w:sz="0" w:space="0" w:color="auto"/>
      </w:divBdr>
    </w:div>
    <w:div w:id="468207664">
      <w:bodyDiv w:val="1"/>
      <w:marLeft w:val="0"/>
      <w:marRight w:val="0"/>
      <w:marTop w:val="0"/>
      <w:marBottom w:val="0"/>
      <w:divBdr>
        <w:top w:val="none" w:sz="0" w:space="0" w:color="auto"/>
        <w:left w:val="none" w:sz="0" w:space="0" w:color="auto"/>
        <w:bottom w:val="none" w:sz="0" w:space="0" w:color="auto"/>
        <w:right w:val="none" w:sz="0" w:space="0" w:color="auto"/>
      </w:divBdr>
    </w:div>
    <w:div w:id="602497457">
      <w:bodyDiv w:val="1"/>
      <w:marLeft w:val="0"/>
      <w:marRight w:val="0"/>
      <w:marTop w:val="0"/>
      <w:marBottom w:val="0"/>
      <w:divBdr>
        <w:top w:val="none" w:sz="0" w:space="0" w:color="auto"/>
        <w:left w:val="none" w:sz="0" w:space="0" w:color="auto"/>
        <w:bottom w:val="none" w:sz="0" w:space="0" w:color="auto"/>
        <w:right w:val="none" w:sz="0" w:space="0" w:color="auto"/>
      </w:divBdr>
    </w:div>
    <w:div w:id="942766948">
      <w:bodyDiv w:val="1"/>
      <w:marLeft w:val="0"/>
      <w:marRight w:val="0"/>
      <w:marTop w:val="0"/>
      <w:marBottom w:val="0"/>
      <w:divBdr>
        <w:top w:val="none" w:sz="0" w:space="0" w:color="auto"/>
        <w:left w:val="none" w:sz="0" w:space="0" w:color="auto"/>
        <w:bottom w:val="none" w:sz="0" w:space="0" w:color="auto"/>
        <w:right w:val="none" w:sz="0" w:space="0" w:color="auto"/>
      </w:divBdr>
    </w:div>
    <w:div w:id="967055886">
      <w:bodyDiv w:val="1"/>
      <w:marLeft w:val="0"/>
      <w:marRight w:val="0"/>
      <w:marTop w:val="0"/>
      <w:marBottom w:val="0"/>
      <w:divBdr>
        <w:top w:val="none" w:sz="0" w:space="0" w:color="auto"/>
        <w:left w:val="none" w:sz="0" w:space="0" w:color="auto"/>
        <w:bottom w:val="none" w:sz="0" w:space="0" w:color="auto"/>
        <w:right w:val="none" w:sz="0" w:space="0" w:color="auto"/>
      </w:divBdr>
    </w:div>
    <w:div w:id="1005088653">
      <w:bodyDiv w:val="1"/>
      <w:marLeft w:val="0"/>
      <w:marRight w:val="0"/>
      <w:marTop w:val="0"/>
      <w:marBottom w:val="0"/>
      <w:divBdr>
        <w:top w:val="none" w:sz="0" w:space="0" w:color="auto"/>
        <w:left w:val="none" w:sz="0" w:space="0" w:color="auto"/>
        <w:bottom w:val="none" w:sz="0" w:space="0" w:color="auto"/>
        <w:right w:val="none" w:sz="0" w:space="0" w:color="auto"/>
      </w:divBdr>
    </w:div>
    <w:div w:id="1065647664">
      <w:bodyDiv w:val="1"/>
      <w:marLeft w:val="0"/>
      <w:marRight w:val="0"/>
      <w:marTop w:val="0"/>
      <w:marBottom w:val="0"/>
      <w:divBdr>
        <w:top w:val="none" w:sz="0" w:space="0" w:color="auto"/>
        <w:left w:val="none" w:sz="0" w:space="0" w:color="auto"/>
        <w:bottom w:val="none" w:sz="0" w:space="0" w:color="auto"/>
        <w:right w:val="none" w:sz="0" w:space="0" w:color="auto"/>
      </w:divBdr>
    </w:div>
    <w:div w:id="1102994898">
      <w:bodyDiv w:val="1"/>
      <w:marLeft w:val="0"/>
      <w:marRight w:val="0"/>
      <w:marTop w:val="0"/>
      <w:marBottom w:val="0"/>
      <w:divBdr>
        <w:top w:val="none" w:sz="0" w:space="0" w:color="auto"/>
        <w:left w:val="none" w:sz="0" w:space="0" w:color="auto"/>
        <w:bottom w:val="none" w:sz="0" w:space="0" w:color="auto"/>
        <w:right w:val="none" w:sz="0" w:space="0" w:color="auto"/>
      </w:divBdr>
    </w:div>
    <w:div w:id="1130823704">
      <w:bodyDiv w:val="1"/>
      <w:marLeft w:val="0"/>
      <w:marRight w:val="0"/>
      <w:marTop w:val="0"/>
      <w:marBottom w:val="0"/>
      <w:divBdr>
        <w:top w:val="none" w:sz="0" w:space="0" w:color="auto"/>
        <w:left w:val="none" w:sz="0" w:space="0" w:color="auto"/>
        <w:bottom w:val="none" w:sz="0" w:space="0" w:color="auto"/>
        <w:right w:val="none" w:sz="0" w:space="0" w:color="auto"/>
      </w:divBdr>
    </w:div>
    <w:div w:id="1136140407">
      <w:bodyDiv w:val="1"/>
      <w:marLeft w:val="0"/>
      <w:marRight w:val="0"/>
      <w:marTop w:val="0"/>
      <w:marBottom w:val="0"/>
      <w:divBdr>
        <w:top w:val="none" w:sz="0" w:space="0" w:color="auto"/>
        <w:left w:val="none" w:sz="0" w:space="0" w:color="auto"/>
        <w:bottom w:val="none" w:sz="0" w:space="0" w:color="auto"/>
        <w:right w:val="none" w:sz="0" w:space="0" w:color="auto"/>
      </w:divBdr>
    </w:div>
    <w:div w:id="1226525432">
      <w:bodyDiv w:val="1"/>
      <w:marLeft w:val="0"/>
      <w:marRight w:val="0"/>
      <w:marTop w:val="0"/>
      <w:marBottom w:val="0"/>
      <w:divBdr>
        <w:top w:val="none" w:sz="0" w:space="0" w:color="auto"/>
        <w:left w:val="none" w:sz="0" w:space="0" w:color="auto"/>
        <w:bottom w:val="none" w:sz="0" w:space="0" w:color="auto"/>
        <w:right w:val="none" w:sz="0" w:space="0" w:color="auto"/>
      </w:divBdr>
    </w:div>
    <w:div w:id="1414546623">
      <w:bodyDiv w:val="1"/>
      <w:marLeft w:val="0"/>
      <w:marRight w:val="0"/>
      <w:marTop w:val="0"/>
      <w:marBottom w:val="0"/>
      <w:divBdr>
        <w:top w:val="none" w:sz="0" w:space="0" w:color="auto"/>
        <w:left w:val="none" w:sz="0" w:space="0" w:color="auto"/>
        <w:bottom w:val="none" w:sz="0" w:space="0" w:color="auto"/>
        <w:right w:val="none" w:sz="0" w:space="0" w:color="auto"/>
      </w:divBdr>
    </w:div>
    <w:div w:id="2016376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nas\Documents\UAS-10019216.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nas\Documents\UAS-1001921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nas\Documents\UAS-10019216.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strRef>
              <c:f>Ratios!$A$2:$A$21</c:f>
              <c:strCache>
                <c:ptCount val="20"/>
                <c:pt idx="0">
                  <c:v>Current Ratio</c:v>
                </c:pt>
                <c:pt idx="1">
                  <c:v>Long-term Debt / 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c:v>
                </c:pt>
                <c:pt idx="11">
                  <c:v>Receivable Turnover</c:v>
                </c:pt>
                <c:pt idx="12">
                  <c:v>Days Sales In Receivables</c:v>
                </c:pt>
                <c:pt idx="13">
                  <c:v>ROE - Return On Equity</c:v>
                </c:pt>
                <c:pt idx="14">
                  <c:v>Return On Tangible Equity</c:v>
                </c:pt>
                <c:pt idx="15">
                  <c:v>ROA - Return On Assets</c:v>
                </c:pt>
                <c:pt idx="16">
                  <c:v>ROI - Return On Investment</c:v>
                </c:pt>
                <c:pt idx="17">
                  <c:v>Book Value Per Share</c:v>
                </c:pt>
                <c:pt idx="18">
                  <c:v>Operating Cash Flow Per Share</c:v>
                </c:pt>
                <c:pt idx="19">
                  <c:v>Free Cash Flow Per Share</c:v>
                </c:pt>
              </c:strCache>
            </c:strRef>
          </c:xVal>
          <c:yVal>
            <c:numRef>
              <c:f>Ratios!$B$2:$B$21</c:f>
              <c:numCache>
                <c:formatCode>General</c:formatCode>
                <c:ptCount val="20"/>
                <c:pt idx="0">
                  <c:v>1.1949000000000001</c:v>
                </c:pt>
                <c:pt idx="1">
                  <c:v>1.4395</c:v>
                </c:pt>
                <c:pt idx="2">
                  <c:v>0.38829999999999998</c:v>
                </c:pt>
                <c:pt idx="3">
                  <c:v>0.58299999999999996</c:v>
                </c:pt>
                <c:pt idx="4">
                  <c:v>-0.93010000000000004</c:v>
                </c:pt>
                <c:pt idx="5">
                  <c:v>-29.071200000000001</c:v>
                </c:pt>
                <c:pt idx="6">
                  <c:v>6.2256999999999998</c:v>
                </c:pt>
                <c:pt idx="7">
                  <c:v>0.4093</c:v>
                </c:pt>
                <c:pt idx="8">
                  <c:v>-65.430800000000005</c:v>
                </c:pt>
                <c:pt idx="9">
                  <c:v>0.99280000000000002</c:v>
                </c:pt>
                <c:pt idx="10">
                  <c:v>-28.675899999999999</c:v>
                </c:pt>
                <c:pt idx="11">
                  <c:v>-16.132899999999999</c:v>
                </c:pt>
                <c:pt idx="12">
                  <c:v>51.437199999999997</c:v>
                </c:pt>
                <c:pt idx="13">
                  <c:v>-21.985099999999999</c:v>
                </c:pt>
                <c:pt idx="14">
                  <c:v>-2.6884999999999999</c:v>
                </c:pt>
                <c:pt idx="15">
                  <c:v>-34.888500000000001</c:v>
                </c:pt>
                <c:pt idx="16">
                  <c:v>-62.357500000000002</c:v>
                </c:pt>
                <c:pt idx="17">
                  <c:v>0.4093</c:v>
                </c:pt>
                <c:pt idx="18">
                  <c:v>-13.2159</c:v>
                </c:pt>
                <c:pt idx="19">
                  <c:v>73.207499999999996</c:v>
                </c:pt>
              </c:numCache>
            </c:numRef>
          </c:yVal>
          <c:smooth val="0"/>
          <c:extLst>
            <c:ext xmlns:c16="http://schemas.microsoft.com/office/drawing/2014/chart" uri="{C3380CC4-5D6E-409C-BE32-E72D297353CC}">
              <c16:uniqueId val="{00000000-9A82-4C97-A43C-4DD5008306AC}"/>
            </c:ext>
          </c:extLst>
        </c:ser>
        <c:ser>
          <c:idx val="1"/>
          <c:order val="1"/>
          <c:spPr>
            <a:ln w="19050" cap="rnd">
              <a:solidFill>
                <a:schemeClr val="accent2"/>
              </a:solidFill>
              <a:round/>
            </a:ln>
            <a:effectLst/>
          </c:spPr>
          <c:marker>
            <c:symbol val="circle"/>
            <c:size val="5"/>
            <c:spPr>
              <a:solidFill>
                <a:schemeClr val="accent2"/>
              </a:solidFill>
              <a:ln w="9525">
                <a:solidFill>
                  <a:schemeClr val="accent2"/>
                </a:solidFill>
              </a:ln>
              <a:effectLst/>
            </c:spPr>
          </c:marker>
          <c:xVal>
            <c:strRef>
              <c:f>Ratios!$A$2:$A$21</c:f>
              <c:strCache>
                <c:ptCount val="20"/>
                <c:pt idx="0">
                  <c:v>Current Ratio</c:v>
                </c:pt>
                <c:pt idx="1">
                  <c:v>Long-term Debt / 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c:v>
                </c:pt>
                <c:pt idx="11">
                  <c:v>Receivable Turnover</c:v>
                </c:pt>
                <c:pt idx="12">
                  <c:v>Days Sales In Receivables</c:v>
                </c:pt>
                <c:pt idx="13">
                  <c:v>ROE - Return On Equity</c:v>
                </c:pt>
                <c:pt idx="14">
                  <c:v>Return On Tangible Equity</c:v>
                </c:pt>
                <c:pt idx="15">
                  <c:v>ROA - Return On Assets</c:v>
                </c:pt>
                <c:pt idx="16">
                  <c:v>ROI - Return On Investment</c:v>
                </c:pt>
                <c:pt idx="17">
                  <c:v>Book Value Per Share</c:v>
                </c:pt>
                <c:pt idx="18">
                  <c:v>Operating Cash Flow Per Share</c:v>
                </c:pt>
                <c:pt idx="19">
                  <c:v>Free Cash Flow Per Share</c:v>
                </c:pt>
              </c:strCache>
            </c:strRef>
          </c:xVal>
          <c:yVal>
            <c:numRef>
              <c:f>Ratios!$C$2:$C$21</c:f>
              <c:numCache>
                <c:formatCode>General</c:formatCode>
                <c:ptCount val="20"/>
                <c:pt idx="0">
                  <c:v>1.0447</c:v>
                </c:pt>
                <c:pt idx="1">
                  <c:v>2.4893999999999998</c:v>
                </c:pt>
                <c:pt idx="2">
                  <c:v>0.27729999999999999</c:v>
                </c:pt>
                <c:pt idx="3">
                  <c:v>0.38369999999999999</c:v>
                </c:pt>
                <c:pt idx="4">
                  <c:v>-0.35620000000000002</c:v>
                </c:pt>
                <c:pt idx="5">
                  <c:v>-51.437199999999997</c:v>
                </c:pt>
                <c:pt idx="6">
                  <c:v>-29.569900000000001</c:v>
                </c:pt>
                <c:pt idx="7">
                  <c:v>0.43490000000000001</c:v>
                </c:pt>
                <c:pt idx="8">
                  <c:v>-50.844700000000003</c:v>
                </c:pt>
                <c:pt idx="9">
                  <c:v>0.45019999999999999</c:v>
                </c:pt>
                <c:pt idx="10">
                  <c:v>-21.985099999999999</c:v>
                </c:pt>
                <c:pt idx="11">
                  <c:v>-5.7470999999999997</c:v>
                </c:pt>
                <c:pt idx="12">
                  <c:v>48.427999999999997</c:v>
                </c:pt>
                <c:pt idx="13">
                  <c:v>-5.7470999999999997</c:v>
                </c:pt>
                <c:pt idx="14">
                  <c:v>-16.132899999999999</c:v>
                </c:pt>
                <c:pt idx="15">
                  <c:v>-62.4923</c:v>
                </c:pt>
                <c:pt idx="16">
                  <c:v>-64.880200000000002</c:v>
                </c:pt>
                <c:pt idx="17">
                  <c:v>0.43490000000000001</c:v>
                </c:pt>
                <c:pt idx="18">
                  <c:v>-128.221</c:v>
                </c:pt>
                <c:pt idx="19">
                  <c:v>5.8074000000000003</c:v>
                </c:pt>
              </c:numCache>
            </c:numRef>
          </c:yVal>
          <c:smooth val="0"/>
          <c:extLst>
            <c:ext xmlns:c16="http://schemas.microsoft.com/office/drawing/2014/chart" uri="{C3380CC4-5D6E-409C-BE32-E72D297353CC}">
              <c16:uniqueId val="{00000001-9A82-4C97-A43C-4DD5008306AC}"/>
            </c:ext>
          </c:extLst>
        </c:ser>
        <c:ser>
          <c:idx val="2"/>
          <c:order val="2"/>
          <c:spPr>
            <a:ln w="19050" cap="rnd">
              <a:solidFill>
                <a:schemeClr val="accent3"/>
              </a:solidFill>
              <a:round/>
            </a:ln>
            <a:effectLst/>
          </c:spPr>
          <c:marker>
            <c:symbol val="circle"/>
            <c:size val="5"/>
            <c:spPr>
              <a:solidFill>
                <a:schemeClr val="accent3"/>
              </a:solidFill>
              <a:ln w="9525">
                <a:solidFill>
                  <a:schemeClr val="accent3"/>
                </a:solidFill>
              </a:ln>
              <a:effectLst/>
            </c:spPr>
          </c:marker>
          <c:xVal>
            <c:strRef>
              <c:f>Ratios!$A$2:$A$21</c:f>
              <c:strCache>
                <c:ptCount val="20"/>
                <c:pt idx="0">
                  <c:v>Current Ratio</c:v>
                </c:pt>
                <c:pt idx="1">
                  <c:v>Long-term Debt / 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c:v>
                </c:pt>
                <c:pt idx="11">
                  <c:v>Receivable Turnover</c:v>
                </c:pt>
                <c:pt idx="12">
                  <c:v>Days Sales In Receivables</c:v>
                </c:pt>
                <c:pt idx="13">
                  <c:v>ROE - Return On Equity</c:v>
                </c:pt>
                <c:pt idx="14">
                  <c:v>Return On Tangible Equity</c:v>
                </c:pt>
                <c:pt idx="15">
                  <c:v>ROA - Return On Assets</c:v>
                </c:pt>
                <c:pt idx="16">
                  <c:v>ROI - Return On Investment</c:v>
                </c:pt>
                <c:pt idx="17">
                  <c:v>Book Value Per Share</c:v>
                </c:pt>
                <c:pt idx="18">
                  <c:v>Operating Cash Flow Per Share</c:v>
                </c:pt>
                <c:pt idx="19">
                  <c:v>Free Cash Flow Per Share</c:v>
                </c:pt>
              </c:strCache>
            </c:strRef>
          </c:xVal>
          <c:yVal>
            <c:numRef>
              <c:f>Ratios!$D$2:$D$21</c:f>
              <c:numCache>
                <c:formatCode>General</c:formatCode>
                <c:ptCount val="20"/>
                <c:pt idx="0">
                  <c:v>0.97729999999999995</c:v>
                </c:pt>
                <c:pt idx="1">
                  <c:v>2.0329000000000002</c:v>
                </c:pt>
                <c:pt idx="2">
                  <c:v>-13.311999999999999</c:v>
                </c:pt>
                <c:pt idx="3">
                  <c:v>0.58299999999999996</c:v>
                </c:pt>
                <c:pt idx="4">
                  <c:v>39.762900000000002</c:v>
                </c:pt>
                <c:pt idx="5">
                  <c:v>-78.621600000000001</c:v>
                </c:pt>
                <c:pt idx="6">
                  <c:v>-5.8722000000000003</c:v>
                </c:pt>
                <c:pt idx="7">
                  <c:v>0.43490000000000001</c:v>
                </c:pt>
                <c:pt idx="8">
                  <c:v>-9.6228999999999996</c:v>
                </c:pt>
                <c:pt idx="9">
                  <c:v>0.33500000000000002</c:v>
                </c:pt>
                <c:pt idx="10">
                  <c:v>-43.657400000000003</c:v>
                </c:pt>
                <c:pt idx="11">
                  <c:v>-21.985099999999999</c:v>
                </c:pt>
                <c:pt idx="12">
                  <c:v>42.0548</c:v>
                </c:pt>
                <c:pt idx="13">
                  <c:v>-21.985099999999999</c:v>
                </c:pt>
                <c:pt idx="14">
                  <c:v>-34.888500000000001</c:v>
                </c:pt>
                <c:pt idx="15">
                  <c:v>-24.988</c:v>
                </c:pt>
                <c:pt idx="16">
                  <c:v>12.5755</c:v>
                </c:pt>
                <c:pt idx="17">
                  <c:v>0.51419999999999999</c:v>
                </c:pt>
                <c:pt idx="18">
                  <c:v>-58.165900000000001</c:v>
                </c:pt>
                <c:pt idx="19">
                  <c:v>4.0279999999999996</c:v>
                </c:pt>
              </c:numCache>
            </c:numRef>
          </c:yVal>
          <c:smooth val="0"/>
          <c:extLst>
            <c:ext xmlns:c16="http://schemas.microsoft.com/office/drawing/2014/chart" uri="{C3380CC4-5D6E-409C-BE32-E72D297353CC}">
              <c16:uniqueId val="{00000002-9A82-4C97-A43C-4DD5008306AC}"/>
            </c:ext>
          </c:extLst>
        </c:ser>
        <c:ser>
          <c:idx val="3"/>
          <c:order val="3"/>
          <c:spPr>
            <a:ln w="19050" cap="rnd">
              <a:solidFill>
                <a:schemeClr val="accent4"/>
              </a:solidFill>
              <a:round/>
            </a:ln>
            <a:effectLst/>
          </c:spPr>
          <c:marker>
            <c:symbol val="circle"/>
            <c:size val="5"/>
            <c:spPr>
              <a:solidFill>
                <a:schemeClr val="accent4"/>
              </a:solidFill>
              <a:ln w="9525">
                <a:solidFill>
                  <a:schemeClr val="accent4"/>
                </a:solidFill>
              </a:ln>
              <a:effectLst/>
            </c:spPr>
          </c:marker>
          <c:xVal>
            <c:strRef>
              <c:f>Ratios!$A$2:$A$21</c:f>
              <c:strCache>
                <c:ptCount val="20"/>
                <c:pt idx="0">
                  <c:v>Current Ratio</c:v>
                </c:pt>
                <c:pt idx="1">
                  <c:v>Long-term Debt / 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c:v>
                </c:pt>
                <c:pt idx="11">
                  <c:v>Receivable Turnover</c:v>
                </c:pt>
                <c:pt idx="12">
                  <c:v>Days Sales In Receivables</c:v>
                </c:pt>
                <c:pt idx="13">
                  <c:v>ROE - Return On Equity</c:v>
                </c:pt>
                <c:pt idx="14">
                  <c:v>Return On Tangible Equity</c:v>
                </c:pt>
                <c:pt idx="15">
                  <c:v>ROA - Return On Assets</c:v>
                </c:pt>
                <c:pt idx="16">
                  <c:v>ROI - Return On Investment</c:v>
                </c:pt>
                <c:pt idx="17">
                  <c:v>Book Value Per Share</c:v>
                </c:pt>
                <c:pt idx="18">
                  <c:v>Operating Cash Flow Per Share</c:v>
                </c:pt>
                <c:pt idx="19">
                  <c:v>Free Cash Flow Per Share</c:v>
                </c:pt>
              </c:strCache>
            </c:strRef>
          </c:xVal>
          <c:yVal>
            <c:numRef>
              <c:f>Ratios!$E$2:$E$21</c:f>
              <c:numCache>
                <c:formatCode>General</c:formatCode>
                <c:ptCount val="20"/>
                <c:pt idx="0">
                  <c:v>1.4395</c:v>
                </c:pt>
                <c:pt idx="1">
                  <c:v>1.7771999999999999</c:v>
                </c:pt>
                <c:pt idx="2">
                  <c:v>-0.55330000000000001</c:v>
                </c:pt>
                <c:pt idx="3">
                  <c:v>0.61250000000000004</c:v>
                </c:pt>
                <c:pt idx="4">
                  <c:v>0.78839999999999999</c:v>
                </c:pt>
                <c:pt idx="5">
                  <c:v>-83.693100000000001</c:v>
                </c:pt>
                <c:pt idx="6">
                  <c:v>-62.357500000000002</c:v>
                </c:pt>
                <c:pt idx="7">
                  <c:v>0.33500000000000002</c:v>
                </c:pt>
                <c:pt idx="8">
                  <c:v>0.96340000000000003</c:v>
                </c:pt>
                <c:pt idx="9">
                  <c:v>0.4093</c:v>
                </c:pt>
                <c:pt idx="10">
                  <c:v>-88.123099999999994</c:v>
                </c:pt>
                <c:pt idx="11">
                  <c:v>-43.657400000000003</c:v>
                </c:pt>
                <c:pt idx="12">
                  <c:v>53.7301</c:v>
                </c:pt>
                <c:pt idx="13">
                  <c:v>-43.657400000000003</c:v>
                </c:pt>
                <c:pt idx="14">
                  <c:v>-62.357500000000002</c:v>
                </c:pt>
                <c:pt idx="15">
                  <c:v>-45.007599999999996</c:v>
                </c:pt>
                <c:pt idx="16">
                  <c:v>-57.677799999999998</c:v>
                </c:pt>
                <c:pt idx="17">
                  <c:v>0.33500000000000002</c:v>
                </c:pt>
                <c:pt idx="18">
                  <c:v>-12.9528</c:v>
                </c:pt>
                <c:pt idx="19">
                  <c:v>7.7893999999999997</c:v>
                </c:pt>
              </c:numCache>
            </c:numRef>
          </c:yVal>
          <c:smooth val="0"/>
          <c:extLst>
            <c:ext xmlns:c16="http://schemas.microsoft.com/office/drawing/2014/chart" uri="{C3380CC4-5D6E-409C-BE32-E72D297353CC}">
              <c16:uniqueId val="{00000003-9A82-4C97-A43C-4DD5008306AC}"/>
            </c:ext>
          </c:extLst>
        </c:ser>
        <c:ser>
          <c:idx val="4"/>
          <c:order val="4"/>
          <c:spPr>
            <a:ln w="19050" cap="rnd">
              <a:solidFill>
                <a:schemeClr val="accent5"/>
              </a:solidFill>
              <a:round/>
            </a:ln>
            <a:effectLst/>
          </c:spPr>
          <c:marker>
            <c:symbol val="circle"/>
            <c:size val="5"/>
            <c:spPr>
              <a:solidFill>
                <a:schemeClr val="accent5"/>
              </a:solidFill>
              <a:ln w="9525">
                <a:solidFill>
                  <a:schemeClr val="accent5"/>
                </a:solidFill>
              </a:ln>
              <a:effectLst/>
            </c:spPr>
          </c:marker>
          <c:xVal>
            <c:strRef>
              <c:f>Ratios!$A$2:$A$21</c:f>
              <c:strCache>
                <c:ptCount val="20"/>
                <c:pt idx="0">
                  <c:v>Current Ratio</c:v>
                </c:pt>
                <c:pt idx="1">
                  <c:v>Long-term Debt / Capital</c:v>
                </c:pt>
                <c:pt idx="2">
                  <c:v>Debt/Equity Ratio</c:v>
                </c:pt>
                <c:pt idx="3">
                  <c:v>Gross Margin</c:v>
                </c:pt>
                <c:pt idx="4">
                  <c:v>Operating Margin</c:v>
                </c:pt>
                <c:pt idx="5">
                  <c:v>EBIT Margin</c:v>
                </c:pt>
                <c:pt idx="6">
                  <c:v>EBITDA Margin</c:v>
                </c:pt>
                <c:pt idx="7">
                  <c:v>Pre-Tax Profit Margin</c:v>
                </c:pt>
                <c:pt idx="8">
                  <c:v>Net Profit Margin</c:v>
                </c:pt>
                <c:pt idx="9">
                  <c:v>Asset Turnover</c:v>
                </c:pt>
                <c:pt idx="10">
                  <c:v>Inventory Turnover Ratio</c:v>
                </c:pt>
                <c:pt idx="11">
                  <c:v>Receivable Turnover</c:v>
                </c:pt>
                <c:pt idx="12">
                  <c:v>Days Sales In Receivables</c:v>
                </c:pt>
                <c:pt idx="13">
                  <c:v>ROE - Return On Equity</c:v>
                </c:pt>
                <c:pt idx="14">
                  <c:v>Return On Tangible Equity</c:v>
                </c:pt>
                <c:pt idx="15">
                  <c:v>ROA - Return On Assets</c:v>
                </c:pt>
                <c:pt idx="16">
                  <c:v>ROI - Return On Investment</c:v>
                </c:pt>
                <c:pt idx="17">
                  <c:v>Book Value Per Share</c:v>
                </c:pt>
                <c:pt idx="18">
                  <c:v>Operating Cash Flow Per Share</c:v>
                </c:pt>
                <c:pt idx="19">
                  <c:v>Free Cash Flow Per Share</c:v>
                </c:pt>
              </c:strCache>
            </c:strRef>
          </c:xVal>
          <c:yVal>
            <c:numRef>
              <c:f>Ratios!$F$2:$F$21</c:f>
              <c:numCache>
                <c:formatCode>General</c:formatCode>
                <c:ptCount val="20"/>
                <c:pt idx="0">
                  <c:v>2.4893999999999998</c:v>
                </c:pt>
                <c:pt idx="1">
                  <c:v>0.44019999999999998</c:v>
                </c:pt>
                <c:pt idx="2">
                  <c:v>0.27729999999999999</c:v>
                </c:pt>
                <c:pt idx="3">
                  <c:v>0.58299999999999996</c:v>
                </c:pt>
                <c:pt idx="4">
                  <c:v>1.1475</c:v>
                </c:pt>
                <c:pt idx="5">
                  <c:v>-51.437199999999997</c:v>
                </c:pt>
                <c:pt idx="6">
                  <c:v>-64.880200000000002</c:v>
                </c:pt>
                <c:pt idx="7">
                  <c:v>0.99280000000000002</c:v>
                </c:pt>
                <c:pt idx="8">
                  <c:v>0.99280000000000002</c:v>
                </c:pt>
                <c:pt idx="9">
                  <c:v>0.4093</c:v>
                </c:pt>
                <c:pt idx="10">
                  <c:v>-68.123099999999994</c:v>
                </c:pt>
                <c:pt idx="11">
                  <c:v>-88.123099999999994</c:v>
                </c:pt>
                <c:pt idx="12">
                  <c:v>47.554200000000002</c:v>
                </c:pt>
                <c:pt idx="13">
                  <c:v>-88.123099999999994</c:v>
                </c:pt>
                <c:pt idx="14">
                  <c:v>10.3812</c:v>
                </c:pt>
                <c:pt idx="15">
                  <c:v>-69.596900000000005</c:v>
                </c:pt>
                <c:pt idx="16">
                  <c:v>-83.693100000000001</c:v>
                </c:pt>
                <c:pt idx="17">
                  <c:v>0.99280000000000002</c:v>
                </c:pt>
                <c:pt idx="18">
                  <c:v>48.624299999999998</c:v>
                </c:pt>
                <c:pt idx="19">
                  <c:v>7.01</c:v>
                </c:pt>
              </c:numCache>
            </c:numRef>
          </c:yVal>
          <c:smooth val="0"/>
          <c:extLst>
            <c:ext xmlns:c16="http://schemas.microsoft.com/office/drawing/2014/chart" uri="{C3380CC4-5D6E-409C-BE32-E72D297353CC}">
              <c16:uniqueId val="{00000004-9A82-4C97-A43C-4DD5008306AC}"/>
            </c:ext>
          </c:extLst>
        </c:ser>
        <c:dLbls>
          <c:showLegendKey val="0"/>
          <c:showVal val="0"/>
          <c:showCatName val="0"/>
          <c:showSerName val="0"/>
          <c:showPercent val="0"/>
          <c:showBubbleSize val="0"/>
        </c:dLbls>
        <c:axId val="1994431920"/>
        <c:axId val="1994406960"/>
      </c:scatterChart>
      <c:valAx>
        <c:axId val="1994431920"/>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4406960"/>
        <c:crosses val="autoZero"/>
        <c:crossBetween val="midCat"/>
      </c:valAx>
      <c:valAx>
        <c:axId val="1994406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44319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'Income Statement'!$B$3</c:f>
              <c:strCache>
                <c:ptCount val="1"/>
              </c:strCache>
            </c:strRef>
          </c:tx>
          <c:spPr>
            <a:solidFill>
              <a:schemeClr val="accent1"/>
            </a:solidFill>
            <a:ln>
              <a:noFill/>
            </a:ln>
            <a:effectLst/>
          </c:spPr>
          <c:invertIfNegative val="0"/>
          <c:cat>
            <c:strRef>
              <c:f>'Income Statement'!$A$4:$A$19</c:f>
              <c:strCache>
                <c:ptCount val="16"/>
                <c:pt idx="0">
                  <c:v>Revenue</c:v>
                </c:pt>
                <c:pt idx="1">
                  <c:v>Costs and expenses</c:v>
                </c:pt>
                <c:pt idx="2">
                  <c:v>Cost of revenue, exclusive of depreciation and amortization shown separately below</c:v>
                </c:pt>
                <c:pt idx="3">
                  <c:v>Operations and support</c:v>
                </c:pt>
                <c:pt idx="4">
                  <c:v>Sales and marketing</c:v>
                </c:pt>
                <c:pt idx="5">
                  <c:v>Research and development</c:v>
                </c:pt>
                <c:pt idx="6">
                  <c:v>General and administrative</c:v>
                </c:pt>
                <c:pt idx="7">
                  <c:v>Depreciation and amortization</c:v>
                </c:pt>
                <c:pt idx="8">
                  <c:v>Total costs and expenses</c:v>
                </c:pt>
                <c:pt idx="9">
                  <c:v>Income (loss) from operations</c:v>
                </c:pt>
                <c:pt idx="10">
                  <c:v>Interest expense</c:v>
                </c:pt>
                <c:pt idx="11">
                  <c:v>Other income (expense), net</c:v>
                </c:pt>
                <c:pt idx="12">
                  <c:v>Income (loss) before income taxes and income from equity method investments</c:v>
                </c:pt>
                <c:pt idx="13">
                  <c:v>Provision for (benefit from) income taxes</c:v>
                </c:pt>
                <c:pt idx="14">
                  <c:v>Income (loss) from equity method investments</c:v>
                </c:pt>
                <c:pt idx="15">
                  <c:v>Net income (loss) including non-controlling interests</c:v>
                </c:pt>
              </c:strCache>
            </c:strRef>
          </c:cat>
          <c:val>
            <c:numRef>
              <c:f>'Income Statement'!$B$4:$B$19</c:f>
              <c:numCache>
                <c:formatCode>General</c:formatCode>
                <c:ptCount val="16"/>
                <c:pt idx="0" formatCode="&quot;$&quot;#,##0_);[Red]\(&quot;$&quot;#,##0\)">
                  <c:v>37281</c:v>
                </c:pt>
                <c:pt idx="2" formatCode="#,##0">
                  <c:v>22457</c:v>
                </c:pt>
                <c:pt idx="3" formatCode="#,##0">
                  <c:v>2689</c:v>
                </c:pt>
                <c:pt idx="4" formatCode="#,##0">
                  <c:v>4356</c:v>
                </c:pt>
                <c:pt idx="5" formatCode="#,##0">
                  <c:v>3164</c:v>
                </c:pt>
                <c:pt idx="6" formatCode="#,##0">
                  <c:v>2682</c:v>
                </c:pt>
                <c:pt idx="7">
                  <c:v>823</c:v>
                </c:pt>
                <c:pt idx="8" formatCode="#,##0">
                  <c:v>36171</c:v>
                </c:pt>
                <c:pt idx="9" formatCode="#,##0">
                  <c:v>1110</c:v>
                </c:pt>
                <c:pt idx="10">
                  <c:v>-633</c:v>
                </c:pt>
                <c:pt idx="11" formatCode="#,##0">
                  <c:v>1844</c:v>
                </c:pt>
                <c:pt idx="12" formatCode="#,##0">
                  <c:v>2321</c:v>
                </c:pt>
                <c:pt idx="13">
                  <c:v>213</c:v>
                </c:pt>
                <c:pt idx="14">
                  <c:v>48</c:v>
                </c:pt>
                <c:pt idx="15" formatCode="#,##0">
                  <c:v>2156</c:v>
                </c:pt>
              </c:numCache>
            </c:numRef>
          </c:val>
          <c:extLst>
            <c:ext xmlns:c16="http://schemas.microsoft.com/office/drawing/2014/chart" uri="{C3380CC4-5D6E-409C-BE32-E72D297353CC}">
              <c16:uniqueId val="{00000000-C54E-4ADB-A680-BEB5421054E5}"/>
            </c:ext>
          </c:extLst>
        </c:ser>
        <c:ser>
          <c:idx val="1"/>
          <c:order val="1"/>
          <c:tx>
            <c:strRef>
              <c:f>'Income Statement'!$C$3</c:f>
              <c:strCache>
                <c:ptCount val="1"/>
              </c:strCache>
            </c:strRef>
          </c:tx>
          <c:spPr>
            <a:solidFill>
              <a:schemeClr val="accent2"/>
            </a:solidFill>
            <a:ln>
              <a:noFill/>
            </a:ln>
            <a:effectLst/>
          </c:spPr>
          <c:invertIfNegative val="0"/>
          <c:cat>
            <c:strRef>
              <c:f>'Income Statement'!$A$4:$A$19</c:f>
              <c:strCache>
                <c:ptCount val="16"/>
                <c:pt idx="0">
                  <c:v>Revenue</c:v>
                </c:pt>
                <c:pt idx="1">
                  <c:v>Costs and expenses</c:v>
                </c:pt>
                <c:pt idx="2">
                  <c:v>Cost of revenue, exclusive of depreciation and amortization shown separately below</c:v>
                </c:pt>
                <c:pt idx="3">
                  <c:v>Operations and support</c:v>
                </c:pt>
                <c:pt idx="4">
                  <c:v>Sales and marketing</c:v>
                </c:pt>
                <c:pt idx="5">
                  <c:v>Research and development</c:v>
                </c:pt>
                <c:pt idx="6">
                  <c:v>General and administrative</c:v>
                </c:pt>
                <c:pt idx="7">
                  <c:v>Depreciation and amortization</c:v>
                </c:pt>
                <c:pt idx="8">
                  <c:v>Total costs and expenses</c:v>
                </c:pt>
                <c:pt idx="9">
                  <c:v>Income (loss) from operations</c:v>
                </c:pt>
                <c:pt idx="10">
                  <c:v>Interest expense</c:v>
                </c:pt>
                <c:pt idx="11">
                  <c:v>Other income (expense), net</c:v>
                </c:pt>
                <c:pt idx="12">
                  <c:v>Income (loss) before income taxes and income from equity method investments</c:v>
                </c:pt>
                <c:pt idx="13">
                  <c:v>Provision for (benefit from) income taxes</c:v>
                </c:pt>
                <c:pt idx="14">
                  <c:v>Income (loss) from equity method investments</c:v>
                </c:pt>
                <c:pt idx="15">
                  <c:v>Net income (loss) including non-controlling interests</c:v>
                </c:pt>
              </c:strCache>
            </c:strRef>
          </c:cat>
          <c:val>
            <c:numRef>
              <c:f>'Income Statement'!$C$4:$C$19</c:f>
              <c:numCache>
                <c:formatCode>General</c:formatCode>
                <c:ptCount val="16"/>
                <c:pt idx="0" formatCode="&quot;$&quot;#,##0_);[Red]\(&quot;$&quot;#,##0\)">
                  <c:v>31877</c:v>
                </c:pt>
                <c:pt idx="2" formatCode="#,##0">
                  <c:v>19659</c:v>
                </c:pt>
                <c:pt idx="3" formatCode="#,##0">
                  <c:v>2413</c:v>
                </c:pt>
                <c:pt idx="4" formatCode="#,##0">
                  <c:v>4756</c:v>
                </c:pt>
                <c:pt idx="5" formatCode="#,##0">
                  <c:v>2798</c:v>
                </c:pt>
                <c:pt idx="6" formatCode="#,##0">
                  <c:v>3136</c:v>
                </c:pt>
                <c:pt idx="7">
                  <c:v>947</c:v>
                </c:pt>
                <c:pt idx="8" formatCode="#,##0">
                  <c:v>33709</c:v>
                </c:pt>
                <c:pt idx="9" formatCode="#,##0">
                  <c:v>-1832</c:v>
                </c:pt>
                <c:pt idx="10">
                  <c:v>-565</c:v>
                </c:pt>
                <c:pt idx="11" formatCode="#,##0">
                  <c:v>-7029</c:v>
                </c:pt>
                <c:pt idx="12" formatCode="#,##0">
                  <c:v>-9426</c:v>
                </c:pt>
                <c:pt idx="13">
                  <c:v>-181</c:v>
                </c:pt>
                <c:pt idx="14">
                  <c:v>107</c:v>
                </c:pt>
                <c:pt idx="15" formatCode="#,##0">
                  <c:v>-9138</c:v>
                </c:pt>
              </c:numCache>
            </c:numRef>
          </c:val>
          <c:extLst>
            <c:ext xmlns:c16="http://schemas.microsoft.com/office/drawing/2014/chart" uri="{C3380CC4-5D6E-409C-BE32-E72D297353CC}">
              <c16:uniqueId val="{00000001-C54E-4ADB-A680-BEB5421054E5}"/>
            </c:ext>
          </c:extLst>
        </c:ser>
        <c:ser>
          <c:idx val="2"/>
          <c:order val="2"/>
          <c:tx>
            <c:strRef>
              <c:f>'Income Statement'!$D$3</c:f>
              <c:strCache>
                <c:ptCount val="1"/>
              </c:strCache>
            </c:strRef>
          </c:tx>
          <c:spPr>
            <a:solidFill>
              <a:schemeClr val="accent3"/>
            </a:solidFill>
            <a:ln>
              <a:noFill/>
            </a:ln>
            <a:effectLst/>
          </c:spPr>
          <c:invertIfNegative val="0"/>
          <c:cat>
            <c:strRef>
              <c:f>'Income Statement'!$A$4:$A$19</c:f>
              <c:strCache>
                <c:ptCount val="16"/>
                <c:pt idx="0">
                  <c:v>Revenue</c:v>
                </c:pt>
                <c:pt idx="1">
                  <c:v>Costs and expenses</c:v>
                </c:pt>
                <c:pt idx="2">
                  <c:v>Cost of revenue, exclusive of depreciation and amortization shown separately below</c:v>
                </c:pt>
                <c:pt idx="3">
                  <c:v>Operations and support</c:v>
                </c:pt>
                <c:pt idx="4">
                  <c:v>Sales and marketing</c:v>
                </c:pt>
                <c:pt idx="5">
                  <c:v>Research and development</c:v>
                </c:pt>
                <c:pt idx="6">
                  <c:v>General and administrative</c:v>
                </c:pt>
                <c:pt idx="7">
                  <c:v>Depreciation and amortization</c:v>
                </c:pt>
                <c:pt idx="8">
                  <c:v>Total costs and expenses</c:v>
                </c:pt>
                <c:pt idx="9">
                  <c:v>Income (loss) from operations</c:v>
                </c:pt>
                <c:pt idx="10">
                  <c:v>Interest expense</c:v>
                </c:pt>
                <c:pt idx="11">
                  <c:v>Other income (expense), net</c:v>
                </c:pt>
                <c:pt idx="12">
                  <c:v>Income (loss) before income taxes and income from equity method investments</c:v>
                </c:pt>
                <c:pt idx="13">
                  <c:v>Provision for (benefit from) income taxes</c:v>
                </c:pt>
                <c:pt idx="14">
                  <c:v>Income (loss) from equity method investments</c:v>
                </c:pt>
                <c:pt idx="15">
                  <c:v>Net income (loss) including non-controlling interests</c:v>
                </c:pt>
              </c:strCache>
            </c:strRef>
          </c:cat>
          <c:val>
            <c:numRef>
              <c:f>'Income Statement'!$D$4:$D$19</c:f>
              <c:numCache>
                <c:formatCode>General</c:formatCode>
                <c:ptCount val="16"/>
                <c:pt idx="0" formatCode="&quot;$&quot;#,##0_);[Red]\(&quot;$&quot;#,##0\)">
                  <c:v>17455</c:v>
                </c:pt>
                <c:pt idx="2" formatCode="#,##0">
                  <c:v>9351</c:v>
                </c:pt>
                <c:pt idx="3" formatCode="#,##0">
                  <c:v>1877</c:v>
                </c:pt>
                <c:pt idx="4" formatCode="#,##0">
                  <c:v>4789</c:v>
                </c:pt>
                <c:pt idx="5" formatCode="#,##0">
                  <c:v>2054</c:v>
                </c:pt>
                <c:pt idx="6" formatCode="#,##0">
                  <c:v>2316</c:v>
                </c:pt>
                <c:pt idx="7">
                  <c:v>902</c:v>
                </c:pt>
                <c:pt idx="8" formatCode="#,##0">
                  <c:v>21289</c:v>
                </c:pt>
                <c:pt idx="9" formatCode="#,##0">
                  <c:v>-3834</c:v>
                </c:pt>
                <c:pt idx="10">
                  <c:v>-483</c:v>
                </c:pt>
                <c:pt idx="11" formatCode="#,##0">
                  <c:v>3292</c:v>
                </c:pt>
                <c:pt idx="12" formatCode="#,##0">
                  <c:v>-1025</c:v>
                </c:pt>
                <c:pt idx="13">
                  <c:v>-492</c:v>
                </c:pt>
                <c:pt idx="14">
                  <c:v>-37</c:v>
                </c:pt>
                <c:pt idx="15">
                  <c:v>-570</c:v>
                </c:pt>
              </c:numCache>
            </c:numRef>
          </c:val>
          <c:extLst>
            <c:ext xmlns:c16="http://schemas.microsoft.com/office/drawing/2014/chart" uri="{C3380CC4-5D6E-409C-BE32-E72D297353CC}">
              <c16:uniqueId val="{00000002-C54E-4ADB-A680-BEB5421054E5}"/>
            </c:ext>
          </c:extLst>
        </c:ser>
        <c:ser>
          <c:idx val="3"/>
          <c:order val="3"/>
          <c:tx>
            <c:strRef>
              <c:f>'Income Statement'!$E$3</c:f>
              <c:strCache>
                <c:ptCount val="1"/>
              </c:strCache>
            </c:strRef>
          </c:tx>
          <c:spPr>
            <a:solidFill>
              <a:schemeClr val="accent4"/>
            </a:solidFill>
            <a:ln>
              <a:noFill/>
            </a:ln>
            <a:effectLst/>
          </c:spPr>
          <c:invertIfNegative val="0"/>
          <c:cat>
            <c:strRef>
              <c:f>'Income Statement'!$A$4:$A$19</c:f>
              <c:strCache>
                <c:ptCount val="16"/>
                <c:pt idx="0">
                  <c:v>Revenue</c:v>
                </c:pt>
                <c:pt idx="1">
                  <c:v>Costs and expenses</c:v>
                </c:pt>
                <c:pt idx="2">
                  <c:v>Cost of revenue, exclusive of depreciation and amortization shown separately below</c:v>
                </c:pt>
                <c:pt idx="3">
                  <c:v>Operations and support</c:v>
                </c:pt>
                <c:pt idx="4">
                  <c:v>Sales and marketing</c:v>
                </c:pt>
                <c:pt idx="5">
                  <c:v>Research and development</c:v>
                </c:pt>
                <c:pt idx="6">
                  <c:v>General and administrative</c:v>
                </c:pt>
                <c:pt idx="7">
                  <c:v>Depreciation and amortization</c:v>
                </c:pt>
                <c:pt idx="8">
                  <c:v>Total costs and expenses</c:v>
                </c:pt>
                <c:pt idx="9">
                  <c:v>Income (loss) from operations</c:v>
                </c:pt>
                <c:pt idx="10">
                  <c:v>Interest expense</c:v>
                </c:pt>
                <c:pt idx="11">
                  <c:v>Other income (expense), net</c:v>
                </c:pt>
                <c:pt idx="12">
                  <c:v>Income (loss) before income taxes and income from equity method investments</c:v>
                </c:pt>
                <c:pt idx="13">
                  <c:v>Provision for (benefit from) income taxes</c:v>
                </c:pt>
                <c:pt idx="14">
                  <c:v>Income (loss) from equity method investments</c:v>
                </c:pt>
                <c:pt idx="15">
                  <c:v>Net income (loss) including non-controlling interests</c:v>
                </c:pt>
              </c:strCache>
            </c:strRef>
          </c:cat>
          <c:val>
            <c:numRef>
              <c:f>'Income Statement'!$E$4:$E$19</c:f>
              <c:numCache>
                <c:formatCode>General</c:formatCode>
                <c:ptCount val="16"/>
                <c:pt idx="0" formatCode="&quot;$&quot;#,##0_);[Red]\(&quot;$&quot;#,##0\)">
                  <c:v>11139</c:v>
                </c:pt>
                <c:pt idx="2" formatCode="#,##0">
                  <c:v>5154</c:v>
                </c:pt>
                <c:pt idx="3" formatCode="#,##0">
                  <c:v>1819</c:v>
                </c:pt>
                <c:pt idx="4" formatCode="#,##0">
                  <c:v>3583</c:v>
                </c:pt>
                <c:pt idx="5" formatCode="#,##0">
                  <c:v>2205</c:v>
                </c:pt>
                <c:pt idx="6" formatCode="#,##0">
                  <c:v>2666</c:v>
                </c:pt>
                <c:pt idx="7">
                  <c:v>575</c:v>
                </c:pt>
                <c:pt idx="8" formatCode="#,##0">
                  <c:v>16002</c:v>
                </c:pt>
                <c:pt idx="9" formatCode="#,##0">
                  <c:v>-4863</c:v>
                </c:pt>
                <c:pt idx="10">
                  <c:v>-458</c:v>
                </c:pt>
                <c:pt idx="11" formatCode="#,##0">
                  <c:v>-1625</c:v>
                </c:pt>
                <c:pt idx="12" formatCode="#,##0">
                  <c:v>-6946</c:v>
                </c:pt>
                <c:pt idx="13">
                  <c:v>-192</c:v>
                </c:pt>
                <c:pt idx="14">
                  <c:v>-34</c:v>
                </c:pt>
                <c:pt idx="15" formatCode="#,##0">
                  <c:v>-6788</c:v>
                </c:pt>
              </c:numCache>
            </c:numRef>
          </c:val>
          <c:extLst>
            <c:ext xmlns:c16="http://schemas.microsoft.com/office/drawing/2014/chart" uri="{C3380CC4-5D6E-409C-BE32-E72D297353CC}">
              <c16:uniqueId val="{00000003-C54E-4ADB-A680-BEB5421054E5}"/>
            </c:ext>
          </c:extLst>
        </c:ser>
        <c:ser>
          <c:idx val="4"/>
          <c:order val="4"/>
          <c:tx>
            <c:strRef>
              <c:f>'Income Statement'!$F$3</c:f>
              <c:strCache>
                <c:ptCount val="1"/>
              </c:strCache>
            </c:strRef>
          </c:tx>
          <c:spPr>
            <a:solidFill>
              <a:schemeClr val="accent5"/>
            </a:solidFill>
            <a:ln>
              <a:noFill/>
            </a:ln>
            <a:effectLst/>
          </c:spPr>
          <c:invertIfNegative val="0"/>
          <c:cat>
            <c:strRef>
              <c:f>'Income Statement'!$A$4:$A$19</c:f>
              <c:strCache>
                <c:ptCount val="16"/>
                <c:pt idx="0">
                  <c:v>Revenue</c:v>
                </c:pt>
                <c:pt idx="1">
                  <c:v>Costs and expenses</c:v>
                </c:pt>
                <c:pt idx="2">
                  <c:v>Cost of revenue, exclusive of depreciation and amortization shown separately below</c:v>
                </c:pt>
                <c:pt idx="3">
                  <c:v>Operations and support</c:v>
                </c:pt>
                <c:pt idx="4">
                  <c:v>Sales and marketing</c:v>
                </c:pt>
                <c:pt idx="5">
                  <c:v>Research and development</c:v>
                </c:pt>
                <c:pt idx="6">
                  <c:v>General and administrative</c:v>
                </c:pt>
                <c:pt idx="7">
                  <c:v>Depreciation and amortization</c:v>
                </c:pt>
                <c:pt idx="8">
                  <c:v>Total costs and expenses</c:v>
                </c:pt>
                <c:pt idx="9">
                  <c:v>Income (loss) from operations</c:v>
                </c:pt>
                <c:pt idx="10">
                  <c:v>Interest expense</c:v>
                </c:pt>
                <c:pt idx="11">
                  <c:v>Other income (expense), net</c:v>
                </c:pt>
                <c:pt idx="12">
                  <c:v>Income (loss) before income taxes and income from equity method investments</c:v>
                </c:pt>
                <c:pt idx="13">
                  <c:v>Provision for (benefit from) income taxes</c:v>
                </c:pt>
                <c:pt idx="14">
                  <c:v>Income (loss) from equity method investments</c:v>
                </c:pt>
                <c:pt idx="15">
                  <c:v>Net income (loss) including non-controlling interests</c:v>
                </c:pt>
              </c:strCache>
            </c:strRef>
          </c:cat>
          <c:val>
            <c:numRef>
              <c:f>'Income Statement'!$F$4:$F$19</c:f>
              <c:numCache>
                <c:formatCode>General</c:formatCode>
                <c:ptCount val="16"/>
                <c:pt idx="0" formatCode="&quot;$&quot;#,##0_);[Red]\(&quot;$&quot;#,##0\)">
                  <c:v>13000</c:v>
                </c:pt>
                <c:pt idx="2" formatCode="#,##0">
                  <c:v>6061</c:v>
                </c:pt>
                <c:pt idx="3" formatCode="#,##0">
                  <c:v>2302</c:v>
                </c:pt>
                <c:pt idx="4" formatCode="#,##0">
                  <c:v>4626</c:v>
                </c:pt>
                <c:pt idx="5" formatCode="#,##0">
                  <c:v>4836</c:v>
                </c:pt>
                <c:pt idx="6" formatCode="#,##0">
                  <c:v>3299</c:v>
                </c:pt>
                <c:pt idx="7">
                  <c:v>472</c:v>
                </c:pt>
                <c:pt idx="8" formatCode="#,##0">
                  <c:v>21596</c:v>
                </c:pt>
                <c:pt idx="9" formatCode="#,##0">
                  <c:v>-8596</c:v>
                </c:pt>
                <c:pt idx="10">
                  <c:v>-559</c:v>
                </c:pt>
                <c:pt idx="11">
                  <c:v>722</c:v>
                </c:pt>
                <c:pt idx="12" formatCode="#,##0">
                  <c:v>-8433</c:v>
                </c:pt>
                <c:pt idx="13">
                  <c:v>45</c:v>
                </c:pt>
                <c:pt idx="14">
                  <c:v>-34</c:v>
                </c:pt>
                <c:pt idx="15" formatCode="#,##0">
                  <c:v>-8512</c:v>
                </c:pt>
              </c:numCache>
            </c:numRef>
          </c:val>
          <c:extLst>
            <c:ext xmlns:c16="http://schemas.microsoft.com/office/drawing/2014/chart" uri="{C3380CC4-5D6E-409C-BE32-E72D297353CC}">
              <c16:uniqueId val="{00000004-C54E-4ADB-A680-BEB5421054E5}"/>
            </c:ext>
          </c:extLst>
        </c:ser>
        <c:dLbls>
          <c:showLegendKey val="0"/>
          <c:showVal val="0"/>
          <c:showCatName val="0"/>
          <c:showSerName val="0"/>
          <c:showPercent val="0"/>
          <c:showBubbleSize val="0"/>
        </c:dLbls>
        <c:gapWidth val="219"/>
        <c:overlap val="-27"/>
        <c:axId val="1902310752"/>
        <c:axId val="1902331552"/>
      </c:barChart>
      <c:catAx>
        <c:axId val="1902310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2331552"/>
        <c:crosses val="autoZero"/>
        <c:auto val="1"/>
        <c:lblAlgn val="ctr"/>
        <c:lblOffset val="100"/>
        <c:noMultiLvlLbl val="0"/>
      </c:catAx>
      <c:valAx>
        <c:axId val="1902331552"/>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23107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'Uber Stocks'!$B$1</c:f>
              <c:strCache>
                <c:ptCount val="1"/>
                <c:pt idx="0">
                  <c:v>Average Stock Price</c:v>
                </c:pt>
              </c:strCache>
            </c:strRef>
          </c:tx>
          <c:spPr>
            <a:ln w="28575" cap="rnd">
              <a:solidFill>
                <a:schemeClr val="accent1"/>
              </a:solidFill>
              <a:round/>
            </a:ln>
            <a:effectLst/>
          </c:spPr>
          <c:marker>
            <c:symbol val="none"/>
          </c:marker>
          <c:cat>
            <c:numRef>
              <c:f>'Uber Stocks'!$A$2:$A$6</c:f>
              <c:numCache>
                <c:formatCode>General</c:formatCode>
                <c:ptCount val="5"/>
                <c:pt idx="0">
                  <c:v>2024</c:v>
                </c:pt>
                <c:pt idx="1">
                  <c:v>2023</c:v>
                </c:pt>
                <c:pt idx="2">
                  <c:v>2022</c:v>
                </c:pt>
                <c:pt idx="3">
                  <c:v>2021</c:v>
                </c:pt>
                <c:pt idx="4">
                  <c:v>2020</c:v>
                </c:pt>
              </c:numCache>
            </c:numRef>
          </c:cat>
          <c:val>
            <c:numRef>
              <c:f>'Uber Stocks'!$B$2:$B$6</c:f>
              <c:numCache>
                <c:formatCode>General</c:formatCode>
                <c:ptCount val="5"/>
                <c:pt idx="0">
                  <c:v>72.352099999999993</c:v>
                </c:pt>
                <c:pt idx="1">
                  <c:v>41.780099999999997</c:v>
                </c:pt>
                <c:pt idx="2">
                  <c:v>29.352</c:v>
                </c:pt>
                <c:pt idx="3">
                  <c:v>48.61</c:v>
                </c:pt>
                <c:pt idx="4">
                  <c:v>35.511699999999998</c:v>
                </c:pt>
              </c:numCache>
            </c:numRef>
          </c:val>
          <c:smooth val="0"/>
          <c:extLst>
            <c:ext xmlns:c16="http://schemas.microsoft.com/office/drawing/2014/chart" uri="{C3380CC4-5D6E-409C-BE32-E72D297353CC}">
              <c16:uniqueId val="{00000000-5802-4689-9694-B0A3388E863D}"/>
            </c:ext>
          </c:extLst>
        </c:ser>
        <c:ser>
          <c:idx val="1"/>
          <c:order val="1"/>
          <c:tx>
            <c:strRef>
              <c:f>'Uber Stocks'!$C$1</c:f>
              <c:strCache>
                <c:ptCount val="1"/>
                <c:pt idx="0">
                  <c:v>Year Open</c:v>
                </c:pt>
              </c:strCache>
            </c:strRef>
          </c:tx>
          <c:spPr>
            <a:ln w="28575" cap="rnd">
              <a:solidFill>
                <a:schemeClr val="accent2"/>
              </a:solidFill>
              <a:round/>
            </a:ln>
            <a:effectLst/>
          </c:spPr>
          <c:marker>
            <c:symbol val="none"/>
          </c:marker>
          <c:cat>
            <c:numRef>
              <c:f>'Uber Stocks'!$A$2:$A$6</c:f>
              <c:numCache>
                <c:formatCode>General</c:formatCode>
                <c:ptCount val="5"/>
                <c:pt idx="0">
                  <c:v>2024</c:v>
                </c:pt>
                <c:pt idx="1">
                  <c:v>2023</c:v>
                </c:pt>
                <c:pt idx="2">
                  <c:v>2022</c:v>
                </c:pt>
                <c:pt idx="3">
                  <c:v>2021</c:v>
                </c:pt>
                <c:pt idx="4">
                  <c:v>2020</c:v>
                </c:pt>
              </c:numCache>
            </c:numRef>
          </c:cat>
          <c:val>
            <c:numRef>
              <c:f>'Uber Stocks'!$C$2:$C$6</c:f>
              <c:numCache>
                <c:formatCode>General</c:formatCode>
                <c:ptCount val="5"/>
                <c:pt idx="0">
                  <c:v>58.38</c:v>
                </c:pt>
                <c:pt idx="1">
                  <c:v>25.36</c:v>
                </c:pt>
                <c:pt idx="2">
                  <c:v>43.95</c:v>
                </c:pt>
                <c:pt idx="3">
                  <c:v>51.14</c:v>
                </c:pt>
                <c:pt idx="4">
                  <c:v>30.99</c:v>
                </c:pt>
              </c:numCache>
            </c:numRef>
          </c:val>
          <c:smooth val="0"/>
          <c:extLst>
            <c:ext xmlns:c16="http://schemas.microsoft.com/office/drawing/2014/chart" uri="{C3380CC4-5D6E-409C-BE32-E72D297353CC}">
              <c16:uniqueId val="{00000001-5802-4689-9694-B0A3388E863D}"/>
            </c:ext>
          </c:extLst>
        </c:ser>
        <c:ser>
          <c:idx val="2"/>
          <c:order val="2"/>
          <c:tx>
            <c:strRef>
              <c:f>'Uber Stocks'!$D$1</c:f>
              <c:strCache>
                <c:ptCount val="1"/>
                <c:pt idx="0">
                  <c:v>Year High</c:v>
                </c:pt>
              </c:strCache>
            </c:strRef>
          </c:tx>
          <c:spPr>
            <a:ln w="28575" cap="rnd">
              <a:solidFill>
                <a:schemeClr val="accent3"/>
              </a:solidFill>
              <a:round/>
            </a:ln>
            <a:effectLst/>
          </c:spPr>
          <c:marker>
            <c:symbol val="none"/>
          </c:marker>
          <c:cat>
            <c:numRef>
              <c:f>'Uber Stocks'!$A$2:$A$6</c:f>
              <c:numCache>
                <c:formatCode>General</c:formatCode>
                <c:ptCount val="5"/>
                <c:pt idx="0">
                  <c:v>2024</c:v>
                </c:pt>
                <c:pt idx="1">
                  <c:v>2023</c:v>
                </c:pt>
                <c:pt idx="2">
                  <c:v>2022</c:v>
                </c:pt>
                <c:pt idx="3">
                  <c:v>2021</c:v>
                </c:pt>
                <c:pt idx="4">
                  <c:v>2020</c:v>
                </c:pt>
              </c:numCache>
            </c:numRef>
          </c:cat>
          <c:val>
            <c:numRef>
              <c:f>'Uber Stocks'!$D$2:$D$6</c:f>
              <c:numCache>
                <c:formatCode>General</c:formatCode>
                <c:ptCount val="5"/>
                <c:pt idx="0">
                  <c:v>81.39</c:v>
                </c:pt>
                <c:pt idx="1">
                  <c:v>63.28</c:v>
                </c:pt>
                <c:pt idx="2">
                  <c:v>44.42</c:v>
                </c:pt>
                <c:pt idx="3">
                  <c:v>63.18</c:v>
                </c:pt>
                <c:pt idx="4">
                  <c:v>54.86</c:v>
                </c:pt>
              </c:numCache>
            </c:numRef>
          </c:val>
          <c:smooth val="0"/>
          <c:extLst>
            <c:ext xmlns:c16="http://schemas.microsoft.com/office/drawing/2014/chart" uri="{C3380CC4-5D6E-409C-BE32-E72D297353CC}">
              <c16:uniqueId val="{00000002-5802-4689-9694-B0A3388E863D}"/>
            </c:ext>
          </c:extLst>
        </c:ser>
        <c:ser>
          <c:idx val="3"/>
          <c:order val="3"/>
          <c:tx>
            <c:strRef>
              <c:f>'Uber Stocks'!$E$1</c:f>
              <c:strCache>
                <c:ptCount val="1"/>
                <c:pt idx="0">
                  <c:v>Year Low</c:v>
                </c:pt>
              </c:strCache>
            </c:strRef>
          </c:tx>
          <c:spPr>
            <a:ln w="28575" cap="rnd">
              <a:solidFill>
                <a:schemeClr val="accent4"/>
              </a:solidFill>
              <a:round/>
            </a:ln>
            <a:effectLst/>
          </c:spPr>
          <c:marker>
            <c:symbol val="none"/>
          </c:marker>
          <c:cat>
            <c:numRef>
              <c:f>'Uber Stocks'!$A$2:$A$6</c:f>
              <c:numCache>
                <c:formatCode>General</c:formatCode>
                <c:ptCount val="5"/>
                <c:pt idx="0">
                  <c:v>2024</c:v>
                </c:pt>
                <c:pt idx="1">
                  <c:v>2023</c:v>
                </c:pt>
                <c:pt idx="2">
                  <c:v>2022</c:v>
                </c:pt>
                <c:pt idx="3">
                  <c:v>2021</c:v>
                </c:pt>
                <c:pt idx="4">
                  <c:v>2020</c:v>
                </c:pt>
              </c:numCache>
            </c:numRef>
          </c:cat>
          <c:val>
            <c:numRef>
              <c:f>'Uber Stocks'!$E$2:$E$6</c:f>
              <c:numCache>
                <c:formatCode>General</c:formatCode>
                <c:ptCount val="5"/>
                <c:pt idx="0">
                  <c:v>57.58</c:v>
                </c:pt>
                <c:pt idx="1">
                  <c:v>25.36</c:v>
                </c:pt>
                <c:pt idx="2">
                  <c:v>20.46</c:v>
                </c:pt>
                <c:pt idx="3">
                  <c:v>35.729999999999997</c:v>
                </c:pt>
                <c:pt idx="4">
                  <c:v>14.82</c:v>
                </c:pt>
              </c:numCache>
            </c:numRef>
          </c:val>
          <c:smooth val="0"/>
          <c:extLst>
            <c:ext xmlns:c16="http://schemas.microsoft.com/office/drawing/2014/chart" uri="{C3380CC4-5D6E-409C-BE32-E72D297353CC}">
              <c16:uniqueId val="{00000003-5802-4689-9694-B0A3388E863D}"/>
            </c:ext>
          </c:extLst>
        </c:ser>
        <c:ser>
          <c:idx val="4"/>
          <c:order val="4"/>
          <c:tx>
            <c:strRef>
              <c:f>'Uber Stocks'!$F$1</c:f>
              <c:strCache>
                <c:ptCount val="1"/>
                <c:pt idx="0">
                  <c:v>Year Close</c:v>
                </c:pt>
              </c:strCache>
            </c:strRef>
          </c:tx>
          <c:spPr>
            <a:ln w="28575" cap="rnd">
              <a:solidFill>
                <a:schemeClr val="accent5"/>
              </a:solidFill>
              <a:round/>
            </a:ln>
            <a:effectLst/>
          </c:spPr>
          <c:marker>
            <c:symbol val="none"/>
          </c:marker>
          <c:cat>
            <c:numRef>
              <c:f>'Uber Stocks'!$A$2:$A$6</c:f>
              <c:numCache>
                <c:formatCode>General</c:formatCode>
                <c:ptCount val="5"/>
                <c:pt idx="0">
                  <c:v>2024</c:v>
                </c:pt>
                <c:pt idx="1">
                  <c:v>2023</c:v>
                </c:pt>
                <c:pt idx="2">
                  <c:v>2022</c:v>
                </c:pt>
                <c:pt idx="3">
                  <c:v>2021</c:v>
                </c:pt>
                <c:pt idx="4">
                  <c:v>2020</c:v>
                </c:pt>
              </c:numCache>
            </c:numRef>
          </c:cat>
          <c:val>
            <c:numRef>
              <c:f>'Uber Stocks'!$F$2:$F$6</c:f>
              <c:numCache>
                <c:formatCode>General</c:formatCode>
                <c:ptCount val="5"/>
                <c:pt idx="0">
                  <c:v>75.28</c:v>
                </c:pt>
                <c:pt idx="1">
                  <c:v>61.57</c:v>
                </c:pt>
                <c:pt idx="2">
                  <c:v>24.73</c:v>
                </c:pt>
                <c:pt idx="3">
                  <c:v>41.93</c:v>
                </c:pt>
                <c:pt idx="4">
                  <c:v>51</c:v>
                </c:pt>
              </c:numCache>
            </c:numRef>
          </c:val>
          <c:smooth val="0"/>
          <c:extLst>
            <c:ext xmlns:c16="http://schemas.microsoft.com/office/drawing/2014/chart" uri="{C3380CC4-5D6E-409C-BE32-E72D297353CC}">
              <c16:uniqueId val="{00000004-5802-4689-9694-B0A3388E863D}"/>
            </c:ext>
          </c:extLst>
        </c:ser>
        <c:ser>
          <c:idx val="5"/>
          <c:order val="5"/>
          <c:tx>
            <c:strRef>
              <c:f>'Uber Stocks'!$G$1</c:f>
              <c:strCache>
                <c:ptCount val="1"/>
                <c:pt idx="0">
                  <c:v>Annual % Change</c:v>
                </c:pt>
              </c:strCache>
            </c:strRef>
          </c:tx>
          <c:spPr>
            <a:ln w="28575" cap="rnd">
              <a:solidFill>
                <a:schemeClr val="accent6"/>
              </a:solidFill>
              <a:round/>
            </a:ln>
            <a:effectLst/>
          </c:spPr>
          <c:marker>
            <c:symbol val="none"/>
          </c:marker>
          <c:cat>
            <c:numRef>
              <c:f>'Uber Stocks'!$A$2:$A$6</c:f>
              <c:numCache>
                <c:formatCode>General</c:formatCode>
                <c:ptCount val="5"/>
                <c:pt idx="0">
                  <c:v>2024</c:v>
                </c:pt>
                <c:pt idx="1">
                  <c:v>2023</c:v>
                </c:pt>
                <c:pt idx="2">
                  <c:v>2022</c:v>
                </c:pt>
                <c:pt idx="3">
                  <c:v>2021</c:v>
                </c:pt>
                <c:pt idx="4">
                  <c:v>2020</c:v>
                </c:pt>
              </c:numCache>
            </c:numRef>
          </c:cat>
          <c:val>
            <c:numRef>
              <c:f>'Uber Stocks'!$G$2:$G$6</c:f>
              <c:numCache>
                <c:formatCode>0.00%</c:formatCode>
                <c:ptCount val="5"/>
                <c:pt idx="0">
                  <c:v>0.22270000000000001</c:v>
                </c:pt>
                <c:pt idx="1">
                  <c:v>1.4897</c:v>
                </c:pt>
                <c:pt idx="2">
                  <c:v>-0.41020000000000001</c:v>
                </c:pt>
                <c:pt idx="3">
                  <c:v>-0.17780000000000001</c:v>
                </c:pt>
                <c:pt idx="4">
                  <c:v>0.71489999999999998</c:v>
                </c:pt>
              </c:numCache>
            </c:numRef>
          </c:val>
          <c:smooth val="0"/>
          <c:extLst>
            <c:ext xmlns:c16="http://schemas.microsoft.com/office/drawing/2014/chart" uri="{C3380CC4-5D6E-409C-BE32-E72D297353CC}">
              <c16:uniqueId val="{00000005-5802-4689-9694-B0A3388E863D}"/>
            </c:ext>
          </c:extLst>
        </c:ser>
        <c:dLbls>
          <c:showLegendKey val="0"/>
          <c:showVal val="0"/>
          <c:showCatName val="0"/>
          <c:showSerName val="0"/>
          <c:showPercent val="0"/>
          <c:showBubbleSize val="0"/>
        </c:dLbls>
        <c:smooth val="0"/>
        <c:axId val="1994409040"/>
        <c:axId val="1994423600"/>
      </c:lineChart>
      <c:catAx>
        <c:axId val="1994409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4423600"/>
        <c:crosses val="autoZero"/>
        <c:auto val="1"/>
        <c:lblAlgn val="ctr"/>
        <c:lblOffset val="100"/>
        <c:noMultiLvlLbl val="0"/>
      </c:catAx>
      <c:valAx>
        <c:axId val="1994423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4409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08603C-4C67-440B-A7F2-F6B85059D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5988</Words>
  <Characters>34133</Characters>
  <Application>Microsoft Office Word</Application>
  <DocSecurity>0</DocSecurity>
  <Lines>284</Lines>
  <Paragraphs>80</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40041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Manal Talharchet</cp:lastModifiedBy>
  <cp:revision>2</cp:revision>
  <dcterms:created xsi:type="dcterms:W3CDTF">2024-04-22T16:06:00Z</dcterms:created>
  <dcterms:modified xsi:type="dcterms:W3CDTF">2024-04-22T16:06:00Z</dcterms:modified>
</cp:coreProperties>
</file>