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13103C" w14:textId="0EEDD53B" w:rsidR="00BE557F" w:rsidRDefault="008E65FC">
      <w:r>
        <w:rPr>
          <w:noProof/>
          <w:sz w:val="40"/>
          <w:szCs w:val="40"/>
        </w:rPr>
        <w:drawing>
          <wp:anchor distT="0" distB="0" distL="114300" distR="114300" simplePos="0" relativeHeight="251659264" behindDoc="1" locked="0" layoutInCell="1" allowOverlap="1" wp14:anchorId="47A8D672" wp14:editId="5519FCB1">
            <wp:simplePos x="0" y="0"/>
            <wp:positionH relativeFrom="margin">
              <wp:align>center</wp:align>
            </wp:positionH>
            <wp:positionV relativeFrom="paragraph">
              <wp:posOffset>0</wp:posOffset>
            </wp:positionV>
            <wp:extent cx="2952750" cy="1552575"/>
            <wp:effectExtent l="0" t="0" r="0" b="9525"/>
            <wp:wrapTight wrapText="bothSides">
              <wp:wrapPolygon edited="0">
                <wp:start x="0" y="0"/>
                <wp:lineTo x="0" y="21467"/>
                <wp:lineTo x="21461" y="21467"/>
                <wp:lineTo x="21461" y="0"/>
                <wp:lineTo x="0" y="0"/>
              </wp:wrapPolygon>
            </wp:wrapTight>
            <wp:docPr id="19800499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52750" cy="1552575"/>
                    </a:xfrm>
                    <a:prstGeom prst="rect">
                      <a:avLst/>
                    </a:prstGeom>
                    <a:noFill/>
                  </pic:spPr>
                </pic:pic>
              </a:graphicData>
            </a:graphic>
          </wp:anchor>
        </w:drawing>
      </w:r>
    </w:p>
    <w:p w14:paraId="06AABEAD" w14:textId="383FDE87" w:rsidR="00BE557F" w:rsidRDefault="00BE557F" w:rsidP="008E65FC">
      <w:pPr>
        <w:jc w:val="center"/>
        <w:rPr>
          <w:sz w:val="40"/>
          <w:szCs w:val="40"/>
        </w:rPr>
      </w:pPr>
      <w:r>
        <w:rPr>
          <w:sz w:val="40"/>
          <w:szCs w:val="40"/>
        </w:rPr>
        <w:t>Finley McGrat</w:t>
      </w:r>
      <w:r w:rsidR="008E65FC">
        <w:rPr>
          <w:sz w:val="40"/>
          <w:szCs w:val="40"/>
        </w:rPr>
        <w:t>h</w:t>
      </w:r>
      <w:r>
        <w:rPr>
          <w:sz w:val="40"/>
          <w:szCs w:val="40"/>
        </w:rPr>
        <w:t xml:space="preserve"> </w:t>
      </w:r>
    </w:p>
    <w:p w14:paraId="23083B61" w14:textId="5D31780E" w:rsidR="00BE557F" w:rsidRDefault="00BE557F" w:rsidP="00BE557F">
      <w:pPr>
        <w:jc w:val="center"/>
        <w:rPr>
          <w:sz w:val="40"/>
          <w:szCs w:val="40"/>
        </w:rPr>
      </w:pPr>
      <w:r>
        <w:rPr>
          <w:sz w:val="40"/>
          <w:szCs w:val="40"/>
        </w:rPr>
        <w:t xml:space="preserve">Assessment </w:t>
      </w:r>
    </w:p>
    <w:p w14:paraId="612495D4" w14:textId="1FF91984" w:rsidR="00BE557F" w:rsidRDefault="00BE557F" w:rsidP="00BE557F">
      <w:pPr>
        <w:jc w:val="center"/>
        <w:rPr>
          <w:sz w:val="40"/>
          <w:szCs w:val="40"/>
        </w:rPr>
      </w:pPr>
      <w:r>
        <w:rPr>
          <w:sz w:val="40"/>
          <w:szCs w:val="40"/>
        </w:rPr>
        <w:t>Table of contents</w:t>
      </w:r>
    </w:p>
    <w:p w14:paraId="6F6B9EC7" w14:textId="7C8D2B61" w:rsidR="00BE557F" w:rsidRDefault="00BE557F">
      <w:pPr>
        <w:rPr>
          <w:sz w:val="40"/>
          <w:szCs w:val="40"/>
        </w:rPr>
      </w:pPr>
      <w:r>
        <w:rPr>
          <w:sz w:val="40"/>
          <w:szCs w:val="40"/>
        </w:rPr>
        <w:t>Part 1………………………………………………………….1/2</w:t>
      </w:r>
    </w:p>
    <w:p w14:paraId="2073B6A6" w14:textId="21262431" w:rsidR="00BE557F" w:rsidRPr="00BE557F" w:rsidRDefault="00BE557F">
      <w:pPr>
        <w:rPr>
          <w:sz w:val="40"/>
          <w:szCs w:val="40"/>
        </w:rPr>
      </w:pPr>
      <w:r>
        <w:rPr>
          <w:sz w:val="40"/>
          <w:szCs w:val="40"/>
        </w:rPr>
        <w:t>Part 2…………………………………………………………..3</w:t>
      </w:r>
    </w:p>
    <w:p w14:paraId="263B8F18" w14:textId="77777777" w:rsidR="00BE557F" w:rsidRDefault="00BE557F"/>
    <w:p w14:paraId="0DD42258" w14:textId="77777777" w:rsidR="00BE557F" w:rsidRDefault="00BE557F"/>
    <w:p w14:paraId="202E039E" w14:textId="77777777" w:rsidR="00BE557F" w:rsidRDefault="00BE557F"/>
    <w:p w14:paraId="4381B620" w14:textId="1E363222" w:rsidR="00BE557F" w:rsidRDefault="00BE557F">
      <w:r>
        <w:t>Part 1</w:t>
      </w:r>
    </w:p>
    <w:p w14:paraId="419F6B09" w14:textId="340F216A" w:rsidR="00121BCE" w:rsidRDefault="00D21BAB">
      <w:r>
        <w:t xml:space="preserve">The commonwealth games is often seen as an exciting time for the host City, as it provides potential prosperity for a city and an opportunity to demonstrate positive economic growth within the host City. The purpose of this paper is to research into the quote ‘The benefits of hosting the commonwealth games in Birmingham 2022 justified the money invested to deliver the event.’ </w:t>
      </w:r>
    </w:p>
    <w:p w14:paraId="7E9BB8EB" w14:textId="55F80CC2" w:rsidR="00B5386B" w:rsidRDefault="00B5386B">
      <w:r>
        <w:t xml:space="preserve">To discuss this subject it is important to trace back to 2017 when Birmingham was officially announced as the host for the commonwealth games 2022 where </w:t>
      </w:r>
      <w:r w:rsidRPr="00B5386B">
        <w:t>Secretary of State for Digital, Culture, Media and Sport Karen Bradley</w:t>
      </w:r>
      <w:r>
        <w:t xml:space="preserve"> (2017) claimed that ‘Birmingham would put on fantastic commonwealth games’ and </w:t>
      </w:r>
      <w:r w:rsidRPr="00B5386B">
        <w:t>Sports Minister Tracey Crouch</w:t>
      </w:r>
      <w:r>
        <w:t xml:space="preserve"> (2017) claimed that they would put an event on that would ‘make the country proud and</w:t>
      </w:r>
      <w:r w:rsidRPr="00B5386B">
        <w:t> leave a strong sporting legacy and strengthen relationships with our friends across the Commonwealth.</w:t>
      </w:r>
      <w:r>
        <w:t>’ Looking back on these claims it seemed as though they were very excited and confident in their ability to put on a fantastic event, but it was also met with criticism</w:t>
      </w:r>
      <w:r w:rsidR="00061CC7">
        <w:t xml:space="preserve"> with ex-advisor to Birmingham Council reporting to BBC (2023) that he believed “</w:t>
      </w:r>
      <w:r w:rsidR="00061CC7" w:rsidRPr="00061CC7">
        <w:t>the hosting of the Commonwealth Games was a mistake given its legacy of financial problems.</w:t>
      </w:r>
      <w:r w:rsidR="00061CC7">
        <w:t>” To help analyse both sides to this disagreement it is important to look at both the successes the commonwealth games had and the potential failures or improvements it could have made.</w:t>
      </w:r>
    </w:p>
    <w:p w14:paraId="469A415E" w14:textId="76B6438E" w:rsidR="00061CC7" w:rsidRDefault="00AD2CED">
      <w:r>
        <w:lastRenderedPageBreak/>
        <w:t>First</w:t>
      </w:r>
      <w:r w:rsidR="00061CC7">
        <w:t xml:space="preserve">, looking at the successes of the Commonwealth games in Birmingham it is reported by the president of the </w:t>
      </w:r>
      <w:r w:rsidR="00061CC7" w:rsidRPr="00061CC7">
        <w:t>Commonwealth Games Federation</w:t>
      </w:r>
      <w:r w:rsidR="00061CC7">
        <w:t xml:space="preserve"> </w:t>
      </w:r>
      <w:r w:rsidR="00061CC7" w:rsidRPr="00061CC7">
        <w:t>Chris Jenkins OBE</w:t>
      </w:r>
      <w:r w:rsidR="00061CC7">
        <w:t xml:space="preserve"> in a GOV.UK (2024) article that the commonwealth games had a</w:t>
      </w:r>
      <w:r>
        <w:t xml:space="preserve"> £1.2 Billion contribution to the UK Economy followed on by a £79.5 Billion contribution in social value. These findings are reassuring towards measuring successes of the Commonwealth games in Birmingham as they demonstrate that economically speaking the games had been successful.</w:t>
      </w:r>
    </w:p>
    <w:p w14:paraId="4B1A06D4" w14:textId="01EC98C5" w:rsidR="00AD2CED" w:rsidRDefault="00AD2CED">
      <w:r>
        <w:t xml:space="preserve">While </w:t>
      </w:r>
      <w:r w:rsidR="00D51FD6">
        <w:t>economy-based</w:t>
      </w:r>
      <w:r>
        <w:t xml:space="preserve"> goals are an important factor to consider when measuring success, there are other factors to consider </w:t>
      </w:r>
      <w:r w:rsidR="00EC28BF">
        <w:t>as well</w:t>
      </w:r>
      <w:r>
        <w:t xml:space="preserve">, one of the being Sustainability. </w:t>
      </w:r>
      <w:r w:rsidR="00EC28BF">
        <w:t>Sustainability</w:t>
      </w:r>
      <w:r>
        <w:t xml:space="preserve"> is important because the Organising committee had set out a goal of </w:t>
      </w:r>
      <w:r w:rsidR="00EC28BF">
        <w:t xml:space="preserve"> ‘</w:t>
      </w:r>
      <w:r w:rsidR="00EC28BF" w:rsidRPr="00EC28BF">
        <w:t>deliver</w:t>
      </w:r>
      <w:r w:rsidR="00EC28BF">
        <w:t>ing</w:t>
      </w:r>
      <w:r w:rsidR="00EC28BF" w:rsidRPr="00EC28BF">
        <w:t xml:space="preserve"> the most sustainable Commonwealth Games to date</w:t>
      </w:r>
      <w:r w:rsidR="00EC28BF">
        <w:t>’ , to help with this they took steps such as Reusing existing buildings and including public transport on spectator tickets. The goals surrounding environmental sustainability were another area of success according to the Commonwealth Games Interim Evaluation Report (2023) as they reported that “these steps limited the total carbon footprint to 201,800 tonnes of Carbon”.</w:t>
      </w:r>
    </w:p>
    <w:p w14:paraId="1E27EF06" w14:textId="6CAD655A" w:rsidR="00D51FD6" w:rsidRDefault="00A1278F">
      <w:r>
        <w:t xml:space="preserve">While looking at the successes the games had it is also fair to consider where the games faced criticism, one of the areas is in the ‘The Legacy Project’ surrounding once planned athlete village in Perry Barr, This planned athlete village was meant to take place in a housing estate known as Perry Barr, this area had a legacy scheme attached to it which looked </w:t>
      </w:r>
      <w:r w:rsidR="00D51FD6">
        <w:t xml:space="preserve">to redevelop the existing Perry Barr area into suitable housing after the games, but not only did the athlete village get scrapped but </w:t>
      </w:r>
      <w:r w:rsidR="00D51FD6" w:rsidRPr="00D51FD6">
        <w:t xml:space="preserve">The BBC reported in August that </w:t>
      </w:r>
      <w:r w:rsidR="00D51FD6">
        <w:t>“</w:t>
      </w:r>
      <w:r w:rsidR="00D51FD6" w:rsidRPr="00D51FD6">
        <w:t>the flats would make a loss of about £320m to taxpayers</w:t>
      </w:r>
      <w:r w:rsidR="00D51FD6">
        <w:t xml:space="preserve">”. This demonstrates that while the Commonwealth games had economic benefits, poorly managed plans have restricted the success of the commonwealth games. </w:t>
      </w:r>
    </w:p>
    <w:p w14:paraId="11C3FDA6" w14:textId="6C4A20D3" w:rsidR="00D51FD6" w:rsidRDefault="00D51FD6">
      <w:r>
        <w:t xml:space="preserve">Conclusively the research undertaken aligns correctly with the statement claiming that the investments made </w:t>
      </w:r>
      <w:r w:rsidR="00BE557F">
        <w:t>were justified due to the success of the games in Birmingham, but it is important to look at the failure of the legacy project to help with future planning of events to avoid further potential risks and costs to the taxpayers.</w:t>
      </w:r>
    </w:p>
    <w:p w14:paraId="262B638F" w14:textId="77777777" w:rsidR="00352EFE" w:rsidRDefault="00352EFE"/>
    <w:p w14:paraId="686DB2C7" w14:textId="77777777" w:rsidR="00352EFE" w:rsidRDefault="00352EFE"/>
    <w:p w14:paraId="1D98A37C" w14:textId="462FBD71" w:rsidR="00352EFE" w:rsidRDefault="00352EFE">
      <w:r>
        <w:t>Part 2</w:t>
      </w:r>
    </w:p>
    <w:p w14:paraId="39D54771" w14:textId="77777777" w:rsidR="00BE557F" w:rsidRDefault="00BE557F"/>
    <w:p w14:paraId="25AF1CD2" w14:textId="77777777" w:rsidR="00BE557F" w:rsidRDefault="00BE557F" w:rsidP="00BE557F">
      <w:pPr>
        <w:pStyle w:val="NormalWeb"/>
      </w:pPr>
      <w:r>
        <w:rPr>
          <w:noProof/>
        </w:rPr>
        <w:lastRenderedPageBreak/>
        <w:drawing>
          <wp:anchor distT="0" distB="0" distL="114300" distR="114300" simplePos="0" relativeHeight="251658240" behindDoc="1" locked="0" layoutInCell="1" allowOverlap="1" wp14:anchorId="49F16D58" wp14:editId="55AE5B18">
            <wp:simplePos x="0" y="0"/>
            <wp:positionH relativeFrom="column">
              <wp:posOffset>0</wp:posOffset>
            </wp:positionH>
            <wp:positionV relativeFrom="paragraph">
              <wp:posOffset>71755</wp:posOffset>
            </wp:positionV>
            <wp:extent cx="5819775" cy="4364831"/>
            <wp:effectExtent l="0" t="0" r="0" b="0"/>
            <wp:wrapTight wrapText="bothSides">
              <wp:wrapPolygon edited="0">
                <wp:start x="0" y="0"/>
                <wp:lineTo x="0" y="21496"/>
                <wp:lineTo x="21494" y="21496"/>
                <wp:lineTo x="21494" y="0"/>
                <wp:lineTo x="0" y="0"/>
              </wp:wrapPolygon>
            </wp:wrapTight>
            <wp:docPr id="2" name="Picture 5" descr="A close-up of a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5" descr="A close-up of a card&#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19775" cy="4364831"/>
                    </a:xfrm>
                    <a:prstGeom prst="rect">
                      <a:avLst/>
                    </a:prstGeom>
                    <a:noFill/>
                    <a:ln>
                      <a:noFill/>
                    </a:ln>
                  </pic:spPr>
                </pic:pic>
              </a:graphicData>
            </a:graphic>
          </wp:anchor>
        </w:drawing>
      </w:r>
    </w:p>
    <w:p w14:paraId="3614F492" w14:textId="77777777" w:rsidR="00BE557F" w:rsidRDefault="00BE557F"/>
    <w:p w14:paraId="19F6E44A" w14:textId="77777777" w:rsidR="00BE557F" w:rsidRDefault="00BE557F"/>
    <w:p w14:paraId="4437CF6F" w14:textId="77777777" w:rsidR="00BE557F" w:rsidRDefault="00BE557F"/>
    <w:p w14:paraId="08548143" w14:textId="77777777" w:rsidR="00BE557F" w:rsidRDefault="00BE557F"/>
    <w:p w14:paraId="01467C41" w14:textId="77777777" w:rsidR="00BE557F" w:rsidRDefault="00BE557F"/>
    <w:p w14:paraId="1214866C" w14:textId="2CEFA981" w:rsidR="00352EFE" w:rsidRDefault="00352EFE">
      <w:r>
        <w:t xml:space="preserve">Based on the Findings taken from the previous SWOT Analysis, a suitable sporting event that Swansea could host is taking a developing sport and hosting it as there would be less competition from potentially more developed cities, the perfect example of this could be Esports, as it still faces controversy on its classification on being </w:t>
      </w:r>
      <w:r w:rsidR="00D51FD6">
        <w:t>a real sport, but it’s rise suggests that it will continue to grow and the conversation’s report in 2020 claiming that ‘</w:t>
      </w:r>
      <w:r w:rsidR="00D51FD6" w:rsidRPr="00D51FD6">
        <w:t>Professional tournaments now have prize pools of o</w:t>
      </w:r>
      <w:r w:rsidR="00D51FD6">
        <w:t>ver $34 Million’ demonstrate the seriousness of investment put behind Esports. R</w:t>
      </w:r>
      <w:r>
        <w:t>ecently built Swansea Arena provides a desirable location</w:t>
      </w:r>
      <w:r w:rsidR="00D51FD6">
        <w:t xml:space="preserve"> to host such an event due to </w:t>
      </w:r>
      <w:proofErr w:type="spellStart"/>
      <w:r w:rsidR="00D51FD6">
        <w:t>to</w:t>
      </w:r>
      <w:proofErr w:type="spellEnd"/>
      <w:r w:rsidR="00D51FD6">
        <w:t xml:space="preserve"> its tidy 3500 capacity venue being a suitable location for a developing sport.</w:t>
      </w:r>
    </w:p>
    <w:p w14:paraId="48E7B0E9" w14:textId="77777777" w:rsidR="00BE557F" w:rsidRDefault="00BE557F"/>
    <w:p w14:paraId="2B935FEE" w14:textId="77777777" w:rsidR="00BE557F" w:rsidRDefault="00BE557F"/>
    <w:p w14:paraId="11EA0083" w14:textId="40C6893C" w:rsidR="00BE557F" w:rsidRDefault="00BE557F">
      <w:r>
        <w:t>Reference List:</w:t>
      </w:r>
    </w:p>
    <w:p w14:paraId="4C2457EC" w14:textId="77777777" w:rsidR="00BE557F" w:rsidRDefault="00BE557F" w:rsidP="00BE557F">
      <w:r>
        <w:t>Andrew, S. (2024). Birmingham 2022 Commonwealth Games contributed £1.2 billion to UK economy. [online] GOV.UK. Available at: https://www.gov.uk/government/news/birmingham-2022-commonwealth-games-contributed-12-billion-to-uk-economy.</w:t>
      </w:r>
    </w:p>
    <w:p w14:paraId="294DE070" w14:textId="77777777" w:rsidR="00BE557F" w:rsidRDefault="00BE557F" w:rsidP="00BE557F"/>
    <w:p w14:paraId="2BA7EB27" w14:textId="77777777" w:rsidR="00BE557F" w:rsidRDefault="00BE557F" w:rsidP="00BE557F">
      <w:r>
        <w:t>Childs, M. (2023). Is flooding in Wales getting worse? | Policy and insight. [online] policy.friendsoftheearth.uk. Available at: https://policy.friendsoftheearth.uk/insight/flooding-wales-getting-worse.</w:t>
      </w:r>
    </w:p>
    <w:p w14:paraId="63F4EF10" w14:textId="77777777" w:rsidR="00BE557F" w:rsidRDefault="00BE557F" w:rsidP="00BE557F"/>
    <w:p w14:paraId="468425FC" w14:textId="77777777" w:rsidR="00BE557F" w:rsidRDefault="00BE557F" w:rsidP="00BE557F">
      <w:r>
        <w:t>Coliseum (2024). Ospreys new home-hunt end at St Helen’s Ground - Coliseum. [online] Coliseum. Available at: https://www.coliseum-online.com/ospreys-new-home-hunt-end-at-st-helens-ground/ [Accessed 17 Jan. 2025].</w:t>
      </w:r>
    </w:p>
    <w:p w14:paraId="56B200F9" w14:textId="77777777" w:rsidR="00BE557F" w:rsidRDefault="00BE557F" w:rsidP="00BE557F"/>
    <w:p w14:paraId="05DC34CA" w14:textId="77777777" w:rsidR="00BE557F" w:rsidRDefault="00BE557F" w:rsidP="00BE557F">
      <w:r>
        <w:t>Evaluation of the INTERIM EVALUATION OF Birmingham 2022 THE BIRMINGHAM 2022 Commonwealth Games COMMONWEALTH GAMES Interim Evaluation Report. (2023). Available at: https://pure-oai.bham.ac.uk/ws/files/186747458/Interim_Evaluation_of_the_Birmingham_2022_Commonwealth_Games_Interim_Evaluation_Report.pdf.</w:t>
      </w:r>
    </w:p>
    <w:p w14:paraId="6BE1E52C" w14:textId="77777777" w:rsidR="00BE557F" w:rsidRDefault="00BE557F" w:rsidP="00BE557F"/>
    <w:p w14:paraId="5421C73D" w14:textId="77777777" w:rsidR="00BE557F" w:rsidRDefault="00BE557F" w:rsidP="00BE557F">
      <w:r>
        <w:t>for, D. (2017). Birmingham selected as host city for the 2022 Commonwealth Games. [online] GOV.UK. Available at: https://www.gov.uk/government/news/birmingham-selected-as-host-city-for-the-2022-commonwealth-games [Accessed 17 Jan. 2025].</w:t>
      </w:r>
    </w:p>
    <w:p w14:paraId="2EE54B8C" w14:textId="77777777" w:rsidR="00BE557F" w:rsidRDefault="00BE557F" w:rsidP="00BE557F"/>
    <w:p w14:paraId="2D901247" w14:textId="77777777" w:rsidR="00BE557F" w:rsidRDefault="00BE557F" w:rsidP="00BE557F">
      <w:r>
        <w:t>Madden, S. and Gall, C. (2023). Birmingham Commonwealth Games was a mistake - ex-adviser. BBC News. [online] 6 Sep. Available at: https://www.bbc.co.uk/news/uk-england-birmingham-66724469.</w:t>
      </w:r>
    </w:p>
    <w:p w14:paraId="0B19EE29" w14:textId="77777777" w:rsidR="00BE557F" w:rsidRDefault="00BE557F" w:rsidP="00BE557F"/>
    <w:p w14:paraId="7CD24F7E" w14:textId="77777777" w:rsidR="00BE557F" w:rsidRDefault="00BE557F" w:rsidP="00BE557F">
      <w:r>
        <w:t>North East Trophies. (2023). The Top 10 Sports Increasing in Popularity in 2023: From Ultimate Frisbee to Pickleball. [online] Available at: https://www.netrophies.co.uk/blogs/news/top-10-sports-increasing-in-popularity-in-2023-from-ultimate-frisbee-to-pickleball.</w:t>
      </w:r>
    </w:p>
    <w:p w14:paraId="2B40823F" w14:textId="77777777" w:rsidR="00BE557F" w:rsidRDefault="00BE557F" w:rsidP="00BE557F"/>
    <w:p w14:paraId="64D16CE6" w14:textId="77777777" w:rsidR="00BE557F" w:rsidRDefault="00BE557F" w:rsidP="00BE557F">
      <w:r>
        <w:lastRenderedPageBreak/>
        <w:t>Swansea Bay Sports Park. (2024). Facilities &amp; Events - Swansea Bay Sports Park. [online] Available at: https://www.swanseabaysportspark.wales/facilities-and-events/ [Accessed 17 Jan. 2025].</w:t>
      </w:r>
    </w:p>
    <w:p w14:paraId="514B8E5E" w14:textId="77777777" w:rsidR="00BE557F" w:rsidRDefault="00BE557F" w:rsidP="00BE557F"/>
    <w:p w14:paraId="5AA18BAE" w14:textId="77777777" w:rsidR="00BE557F" w:rsidRDefault="00BE557F" w:rsidP="00BE557F">
      <w:r>
        <w:t>Swansea. (n.d.). The Swansea.com Stadium. [online] Available at: https://www.swanseacity.com/club/swanseacom-stadium.</w:t>
      </w:r>
    </w:p>
    <w:p w14:paraId="027882C2" w14:textId="77777777" w:rsidR="00BE557F" w:rsidRDefault="00BE557F" w:rsidP="00BE557F"/>
    <w:p w14:paraId="643CF935" w14:textId="77777777" w:rsidR="00BE557F" w:rsidRDefault="00BE557F" w:rsidP="00BE557F">
      <w:r>
        <w:t>Todd, J. (2020). Critics who say online gaming is ‘just a game’ completely miss the point. [online] The Conversation. Available at: https://theconversation.com/critics-who-say-online-gaming-is-just-a-game-completely-miss-the-point-132845.</w:t>
      </w:r>
    </w:p>
    <w:p w14:paraId="123150F5" w14:textId="77777777" w:rsidR="00BE557F" w:rsidRDefault="00BE557F" w:rsidP="00BE557F"/>
    <w:p w14:paraId="53D1843C" w14:textId="08FB844D" w:rsidR="00BE557F" w:rsidRDefault="00BE557F" w:rsidP="00BE557F">
      <w:r>
        <w:t xml:space="preserve">Visitwales.com. (2025). Swansea Arena | </w:t>
      </w:r>
      <w:proofErr w:type="spellStart"/>
      <w:r>
        <w:t>VisitWales</w:t>
      </w:r>
      <w:proofErr w:type="spellEnd"/>
      <w:r>
        <w:t>. [online] Available at: https://www.visitwales.com/attraction/theatre-or-performing-arts-venue/swansea-arena-2169354.</w:t>
      </w:r>
    </w:p>
    <w:sectPr w:rsidR="00BE55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BAB"/>
    <w:rsid w:val="00061CC7"/>
    <w:rsid w:val="00121BCE"/>
    <w:rsid w:val="00352EFE"/>
    <w:rsid w:val="003E2601"/>
    <w:rsid w:val="008E65FC"/>
    <w:rsid w:val="00A1278F"/>
    <w:rsid w:val="00AD2CED"/>
    <w:rsid w:val="00B5386B"/>
    <w:rsid w:val="00B56BAE"/>
    <w:rsid w:val="00BE557F"/>
    <w:rsid w:val="00D21BAB"/>
    <w:rsid w:val="00D51FD6"/>
    <w:rsid w:val="00EC28B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63C5618"/>
  <w15:chartTrackingRefBased/>
  <w15:docId w15:val="{F51AFCB8-5B2F-4A88-96FC-F108AD1260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1B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1B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1B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1B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1B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1B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1B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1B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1B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1B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1B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1B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1B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1B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1B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1B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1B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1BAB"/>
    <w:rPr>
      <w:rFonts w:eastAsiaTheme="majorEastAsia" w:cstheme="majorBidi"/>
      <w:color w:val="272727" w:themeColor="text1" w:themeTint="D8"/>
    </w:rPr>
  </w:style>
  <w:style w:type="paragraph" w:styleId="Title">
    <w:name w:val="Title"/>
    <w:basedOn w:val="Normal"/>
    <w:next w:val="Normal"/>
    <w:link w:val="TitleChar"/>
    <w:uiPriority w:val="10"/>
    <w:qFormat/>
    <w:rsid w:val="00D21B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1B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1B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1B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1BAB"/>
    <w:pPr>
      <w:spacing w:before="160"/>
      <w:jc w:val="center"/>
    </w:pPr>
    <w:rPr>
      <w:i/>
      <w:iCs/>
      <w:color w:val="404040" w:themeColor="text1" w:themeTint="BF"/>
    </w:rPr>
  </w:style>
  <w:style w:type="character" w:customStyle="1" w:styleId="QuoteChar">
    <w:name w:val="Quote Char"/>
    <w:basedOn w:val="DefaultParagraphFont"/>
    <w:link w:val="Quote"/>
    <w:uiPriority w:val="29"/>
    <w:rsid w:val="00D21BAB"/>
    <w:rPr>
      <w:i/>
      <w:iCs/>
      <w:color w:val="404040" w:themeColor="text1" w:themeTint="BF"/>
    </w:rPr>
  </w:style>
  <w:style w:type="paragraph" w:styleId="ListParagraph">
    <w:name w:val="List Paragraph"/>
    <w:basedOn w:val="Normal"/>
    <w:uiPriority w:val="34"/>
    <w:qFormat/>
    <w:rsid w:val="00D21BAB"/>
    <w:pPr>
      <w:ind w:left="720"/>
      <w:contextualSpacing/>
    </w:pPr>
  </w:style>
  <w:style w:type="character" w:styleId="IntenseEmphasis">
    <w:name w:val="Intense Emphasis"/>
    <w:basedOn w:val="DefaultParagraphFont"/>
    <w:uiPriority w:val="21"/>
    <w:qFormat/>
    <w:rsid w:val="00D21BAB"/>
    <w:rPr>
      <w:i/>
      <w:iCs/>
      <w:color w:val="0F4761" w:themeColor="accent1" w:themeShade="BF"/>
    </w:rPr>
  </w:style>
  <w:style w:type="paragraph" w:styleId="IntenseQuote">
    <w:name w:val="Intense Quote"/>
    <w:basedOn w:val="Normal"/>
    <w:next w:val="Normal"/>
    <w:link w:val="IntenseQuoteChar"/>
    <w:uiPriority w:val="30"/>
    <w:qFormat/>
    <w:rsid w:val="00D21B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1BAB"/>
    <w:rPr>
      <w:i/>
      <w:iCs/>
      <w:color w:val="0F4761" w:themeColor="accent1" w:themeShade="BF"/>
    </w:rPr>
  </w:style>
  <w:style w:type="character" w:styleId="IntenseReference">
    <w:name w:val="Intense Reference"/>
    <w:basedOn w:val="DefaultParagraphFont"/>
    <w:uiPriority w:val="32"/>
    <w:qFormat/>
    <w:rsid w:val="00D21BAB"/>
    <w:rPr>
      <w:b/>
      <w:bCs/>
      <w:smallCaps/>
      <w:color w:val="0F4761" w:themeColor="accent1" w:themeShade="BF"/>
      <w:spacing w:val="5"/>
    </w:rPr>
  </w:style>
  <w:style w:type="character" w:styleId="Hyperlink">
    <w:name w:val="Hyperlink"/>
    <w:basedOn w:val="DefaultParagraphFont"/>
    <w:uiPriority w:val="99"/>
    <w:unhideWhenUsed/>
    <w:rsid w:val="00D51FD6"/>
    <w:rPr>
      <w:color w:val="467886" w:themeColor="hyperlink"/>
      <w:u w:val="single"/>
    </w:rPr>
  </w:style>
  <w:style w:type="character" w:styleId="UnresolvedMention">
    <w:name w:val="Unresolved Mention"/>
    <w:basedOn w:val="DefaultParagraphFont"/>
    <w:uiPriority w:val="99"/>
    <w:semiHidden/>
    <w:unhideWhenUsed/>
    <w:rsid w:val="00D51FD6"/>
    <w:rPr>
      <w:color w:val="605E5C"/>
      <w:shd w:val="clear" w:color="auto" w:fill="E1DFDD"/>
    </w:rPr>
  </w:style>
  <w:style w:type="paragraph" w:styleId="NormalWeb">
    <w:name w:val="Normal (Web)"/>
    <w:basedOn w:val="Normal"/>
    <w:uiPriority w:val="99"/>
    <w:semiHidden/>
    <w:unhideWhenUsed/>
    <w:rsid w:val="00BE557F"/>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5951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4" ma:contentTypeDescription="Create a new document." ma:contentTypeScope="" ma:versionID="286f735cd84cfc72cf152fa0610cd09d">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4efe44cf132ff34d20055de5fe5cc7c2"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5F7C471B-5945-4231-BF6F-C86480D691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A1BD6DC-C338-43E6-B405-5F7E35FF79E8}">
  <ds:schemaRefs>
    <ds:schemaRef ds:uri="http://schemas.microsoft.com/sharepoint/v3/contenttype/forms"/>
  </ds:schemaRefs>
</ds:datastoreItem>
</file>

<file path=customXml/itemProps3.xml><?xml version="1.0" encoding="utf-8"?>
<ds:datastoreItem xmlns:ds="http://schemas.openxmlformats.org/officeDocument/2006/customXml" ds:itemID="{2C07521D-67BB-4EE9-9156-DBF408D76793}">
  <ds:schemaRefs>
    <ds:schemaRef ds:uri="http://www.w3.org/XML/1998/namespace"/>
    <ds:schemaRef ds:uri="4055ddc6-ee7b-4b5b-b8fb-52871646f80e"/>
    <ds:schemaRef ds:uri="http://purl.org/dc/elements/1.1/"/>
    <ds:schemaRef ds:uri="http://schemas.microsoft.com/office/2006/documentManagement/types"/>
    <ds:schemaRef ds:uri="http://purl.org/dc/terms/"/>
    <ds:schemaRef ds:uri="http://purl.org/dc/dcmitype/"/>
    <ds:schemaRef ds:uri="http://schemas.microsoft.com/office/2006/metadata/properties"/>
    <ds:schemaRef ds:uri="http://schemas.microsoft.com/office/infopath/2007/PartnerControls"/>
    <ds:schemaRef ds:uri="http://schemas.openxmlformats.org/package/2006/metadata/core-properties"/>
    <ds:schemaRef ds:uri="0338428b-3fc8-4989-9d03-78e16c931d9f"/>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5</Pages>
  <Words>1039</Words>
  <Characters>5928</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Finley McGrath (2215276)</dc:creator>
  <cp:keywords/>
  <dc:description/>
  <cp:lastModifiedBy>Finley McGrath (2215276)</cp:lastModifiedBy>
  <cp:revision>1</cp:revision>
  <dcterms:created xsi:type="dcterms:W3CDTF">2025-01-17T09:18:00Z</dcterms:created>
  <dcterms:modified xsi:type="dcterms:W3CDTF">2025-01-17T11:30:00Z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