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9631C" w14:textId="77777777" w:rsidR="00745BC3" w:rsidRDefault="001C7773">
      <w:pPr>
        <w:spacing w:line="360" w:lineRule="auto"/>
        <w:rPr>
          <w:rFonts w:ascii="Arial" w:eastAsia="Arial" w:hAnsi="Arial" w:cs="Arial"/>
        </w:rPr>
      </w:pPr>
      <w:r>
        <w:rPr>
          <w:noProof/>
        </w:rPr>
        <w:drawing>
          <wp:anchor distT="0" distB="0" distL="114300" distR="114300" simplePos="0" relativeHeight="251658240" behindDoc="0" locked="0" layoutInCell="1" hidden="0" allowOverlap="1" wp14:anchorId="12DCD03D" wp14:editId="3C2D8229">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17DC0111" w14:textId="77777777" w:rsidR="00745BC3" w:rsidRDefault="00745BC3">
      <w:pPr>
        <w:spacing w:line="360" w:lineRule="auto"/>
        <w:rPr>
          <w:rFonts w:ascii="Arial" w:eastAsia="Arial" w:hAnsi="Arial" w:cs="Arial"/>
        </w:rPr>
      </w:pPr>
    </w:p>
    <w:p w14:paraId="6E219F1F" w14:textId="77777777" w:rsidR="00745BC3" w:rsidRDefault="00745BC3">
      <w:pPr>
        <w:spacing w:line="360" w:lineRule="auto"/>
        <w:rPr>
          <w:rFonts w:ascii="Arial" w:eastAsia="Arial" w:hAnsi="Arial" w:cs="Arial"/>
        </w:rPr>
      </w:pPr>
    </w:p>
    <w:p w14:paraId="1AE26013" w14:textId="77777777" w:rsidR="00745BC3" w:rsidRDefault="00745BC3">
      <w:pPr>
        <w:spacing w:line="360" w:lineRule="auto"/>
        <w:rPr>
          <w:rFonts w:ascii="Arial" w:eastAsia="Arial" w:hAnsi="Arial" w:cs="Arial"/>
        </w:rPr>
      </w:pPr>
    </w:p>
    <w:p w14:paraId="798C7D75" w14:textId="77777777" w:rsidR="00745BC3" w:rsidRDefault="00745BC3">
      <w:pPr>
        <w:tabs>
          <w:tab w:val="left" w:pos="6540"/>
        </w:tabs>
        <w:spacing w:line="360" w:lineRule="auto"/>
        <w:rPr>
          <w:rFonts w:ascii="Arial" w:eastAsia="Arial" w:hAnsi="Arial" w:cs="Arial"/>
          <w:sz w:val="28"/>
          <w:szCs w:val="28"/>
        </w:rPr>
      </w:pPr>
    </w:p>
    <w:p w14:paraId="1DB5F96D" w14:textId="77777777" w:rsidR="00745BC3" w:rsidRDefault="001C7773">
      <w:pPr>
        <w:tabs>
          <w:tab w:val="left" w:pos="6540"/>
        </w:tabs>
        <w:spacing w:line="360" w:lineRule="auto"/>
        <w:rPr>
          <w:rFonts w:ascii="Arial" w:eastAsia="Arial" w:hAnsi="Arial" w:cs="Arial"/>
          <w:sz w:val="28"/>
          <w:szCs w:val="28"/>
        </w:rPr>
      </w:pPr>
      <w:r>
        <w:rPr>
          <w:rFonts w:ascii="Arial" w:eastAsia="Arial" w:hAnsi="Arial" w:cs="Arial"/>
          <w:b/>
          <w:sz w:val="28"/>
          <w:szCs w:val="28"/>
        </w:rPr>
        <w:t xml:space="preserve">Student </w:t>
      </w:r>
      <w:proofErr w:type="spellStart"/>
      <w:proofErr w:type="gramStart"/>
      <w:r>
        <w:rPr>
          <w:rFonts w:ascii="Arial" w:eastAsia="Arial" w:hAnsi="Arial" w:cs="Arial"/>
          <w:b/>
          <w:sz w:val="28"/>
          <w:szCs w:val="28"/>
        </w:rPr>
        <w:t>name</w:t>
      </w:r>
      <w:r>
        <w:rPr>
          <w:rFonts w:ascii="Arial" w:eastAsia="Arial" w:hAnsi="Arial" w:cs="Arial"/>
          <w:sz w:val="28"/>
          <w:szCs w:val="28"/>
        </w:rPr>
        <w:t>:Emanuella</w:t>
      </w:r>
      <w:proofErr w:type="spellEnd"/>
      <w:proofErr w:type="gramEnd"/>
      <w:r>
        <w:rPr>
          <w:rFonts w:ascii="Arial" w:eastAsia="Arial" w:hAnsi="Arial" w:cs="Arial"/>
          <w:sz w:val="28"/>
          <w:szCs w:val="28"/>
        </w:rPr>
        <w:t xml:space="preserve"> </w:t>
      </w:r>
      <w:proofErr w:type="spellStart"/>
      <w:r>
        <w:rPr>
          <w:rFonts w:ascii="Arial" w:eastAsia="Arial" w:hAnsi="Arial" w:cs="Arial"/>
          <w:sz w:val="28"/>
          <w:szCs w:val="28"/>
        </w:rPr>
        <w:t>sesay</w:t>
      </w:r>
      <w:proofErr w:type="spellEnd"/>
      <w:r>
        <w:rPr>
          <w:rFonts w:ascii="Arial" w:eastAsia="Arial" w:hAnsi="Arial" w:cs="Arial"/>
          <w:sz w:val="28"/>
          <w:szCs w:val="28"/>
        </w:rPr>
        <w:t xml:space="preserve"> </w:t>
      </w:r>
    </w:p>
    <w:p w14:paraId="692E9141" w14:textId="77777777" w:rsidR="00745BC3" w:rsidRDefault="001C7773">
      <w:pPr>
        <w:tabs>
          <w:tab w:val="left" w:pos="6540"/>
        </w:tabs>
        <w:spacing w:line="360" w:lineRule="auto"/>
        <w:rPr>
          <w:rFonts w:ascii="Arial" w:eastAsia="Arial" w:hAnsi="Arial" w:cs="Arial"/>
          <w:sz w:val="28"/>
          <w:szCs w:val="28"/>
        </w:rPr>
      </w:pPr>
      <w:r>
        <w:rPr>
          <w:rFonts w:ascii="Arial" w:eastAsia="Arial" w:hAnsi="Arial" w:cs="Arial"/>
          <w:b/>
          <w:sz w:val="28"/>
          <w:szCs w:val="28"/>
        </w:rPr>
        <w:t>Student ID</w:t>
      </w:r>
      <w:r>
        <w:rPr>
          <w:rFonts w:ascii="Arial" w:eastAsia="Arial" w:hAnsi="Arial" w:cs="Arial"/>
          <w:sz w:val="28"/>
          <w:szCs w:val="28"/>
        </w:rPr>
        <w:t>:1916051</w:t>
      </w:r>
    </w:p>
    <w:p w14:paraId="3A874F78" w14:textId="77777777" w:rsidR="00745BC3" w:rsidRDefault="00745BC3">
      <w:pPr>
        <w:tabs>
          <w:tab w:val="left" w:pos="6540"/>
        </w:tabs>
        <w:spacing w:line="360" w:lineRule="auto"/>
        <w:rPr>
          <w:rFonts w:ascii="Arial" w:eastAsia="Arial" w:hAnsi="Arial" w:cs="Arial"/>
          <w:sz w:val="28"/>
          <w:szCs w:val="28"/>
        </w:rPr>
      </w:pPr>
    </w:p>
    <w:p w14:paraId="740074CC" w14:textId="77777777" w:rsidR="00745BC3" w:rsidRDefault="001C7773">
      <w:r>
        <w:rPr>
          <w:rFonts w:ascii="Arial" w:eastAsia="Arial" w:hAnsi="Arial" w:cs="Arial"/>
          <w:b/>
          <w:sz w:val="28"/>
          <w:szCs w:val="28"/>
        </w:rPr>
        <w:t>Module name</w:t>
      </w:r>
      <w:r>
        <w:rPr>
          <w:rFonts w:ascii="Arial" w:eastAsia="Arial" w:hAnsi="Arial" w:cs="Arial"/>
          <w:sz w:val="28"/>
          <w:szCs w:val="28"/>
        </w:rPr>
        <w:t xml:space="preserve">: </w:t>
      </w:r>
      <w:r>
        <w:rPr>
          <w:rFonts w:ascii="Arial" w:eastAsia="Arial" w:hAnsi="Arial" w:cs="Arial"/>
          <w:sz w:val="28"/>
          <w:szCs w:val="28"/>
        </w:rPr>
        <w:tab/>
      </w:r>
      <w:r>
        <w:rPr>
          <w:rFonts w:ascii="Arial" w:eastAsia="Arial" w:hAnsi="Arial" w:cs="Arial"/>
          <w:b/>
          <w:color w:val="000000"/>
          <w:sz w:val="28"/>
          <w:szCs w:val="28"/>
        </w:rPr>
        <w:t>Living with Care: The Older Person</w:t>
      </w:r>
    </w:p>
    <w:p w14:paraId="508DBDE1" w14:textId="77777777" w:rsidR="00745BC3" w:rsidRDefault="001C7773">
      <w:r>
        <w:rPr>
          <w:rFonts w:ascii="Arial" w:eastAsia="Arial" w:hAnsi="Arial" w:cs="Arial"/>
          <w:b/>
          <w:sz w:val="28"/>
          <w:szCs w:val="28"/>
        </w:rPr>
        <w:t>Module code</w:t>
      </w:r>
      <w:r>
        <w:rPr>
          <w:rFonts w:ascii="Arial" w:eastAsia="Arial" w:hAnsi="Arial" w:cs="Arial"/>
          <w:sz w:val="28"/>
          <w:szCs w:val="28"/>
        </w:rPr>
        <w:t xml:space="preserve">: </w:t>
      </w:r>
      <w:r>
        <w:rPr>
          <w:rFonts w:ascii="Arial" w:eastAsia="Arial" w:hAnsi="Arial" w:cs="Arial"/>
          <w:sz w:val="28"/>
          <w:szCs w:val="28"/>
        </w:rPr>
        <w:tab/>
      </w:r>
      <w:r>
        <w:rPr>
          <w:rFonts w:ascii="Arial" w:eastAsia="Arial" w:hAnsi="Arial" w:cs="Arial"/>
          <w:b/>
          <w:color w:val="000000"/>
          <w:sz w:val="28"/>
          <w:szCs w:val="28"/>
        </w:rPr>
        <w:t>BMHP6009</w:t>
      </w:r>
    </w:p>
    <w:p w14:paraId="68BA3FAC" w14:textId="77777777" w:rsidR="00745BC3" w:rsidRDefault="001C7773">
      <w:pPr>
        <w:tabs>
          <w:tab w:val="left" w:pos="6540"/>
        </w:tabs>
        <w:spacing w:line="360" w:lineRule="auto"/>
        <w:rPr>
          <w:rFonts w:ascii="Arial" w:eastAsia="Arial" w:hAnsi="Arial" w:cs="Arial"/>
          <w:sz w:val="28"/>
          <w:szCs w:val="28"/>
        </w:rPr>
      </w:pPr>
      <w:r>
        <w:rPr>
          <w:rFonts w:ascii="Arial" w:eastAsia="Arial" w:hAnsi="Arial" w:cs="Arial"/>
          <w:b/>
          <w:sz w:val="28"/>
          <w:szCs w:val="28"/>
        </w:rPr>
        <w:t xml:space="preserve">Lecturer </w:t>
      </w:r>
      <w:proofErr w:type="spellStart"/>
      <w:proofErr w:type="gramStart"/>
      <w:r>
        <w:rPr>
          <w:rFonts w:ascii="Arial" w:eastAsia="Arial" w:hAnsi="Arial" w:cs="Arial"/>
          <w:b/>
          <w:sz w:val="28"/>
          <w:szCs w:val="28"/>
        </w:rPr>
        <w:t>name</w:t>
      </w:r>
      <w:r>
        <w:rPr>
          <w:rFonts w:ascii="Arial" w:eastAsia="Arial" w:hAnsi="Arial" w:cs="Arial"/>
          <w:sz w:val="28"/>
          <w:szCs w:val="28"/>
        </w:rPr>
        <w:t>:Diola</w:t>
      </w:r>
      <w:proofErr w:type="spellEnd"/>
      <w:proofErr w:type="gramEnd"/>
      <w:r>
        <w:rPr>
          <w:rFonts w:ascii="Arial" w:eastAsia="Arial" w:hAnsi="Arial" w:cs="Arial"/>
          <w:sz w:val="28"/>
          <w:szCs w:val="28"/>
        </w:rPr>
        <w:t xml:space="preserve"> Bijlhout </w:t>
      </w:r>
    </w:p>
    <w:p w14:paraId="4C2988A5" w14:textId="77777777" w:rsidR="00745BC3" w:rsidRDefault="001C7773">
      <w:pPr>
        <w:rPr>
          <w:color w:val="0E101A"/>
        </w:rPr>
      </w:pPr>
      <w:r>
        <w:br w:type="page"/>
      </w:r>
    </w:p>
    <w:p w14:paraId="706BEFA4" w14:textId="77777777" w:rsidR="00745BC3" w:rsidRDefault="001C7773">
      <w:pPr>
        <w:keepNext/>
        <w:keepLines/>
        <w:pBdr>
          <w:top w:val="nil"/>
          <w:left w:val="nil"/>
          <w:bottom w:val="nil"/>
          <w:right w:val="nil"/>
          <w:between w:val="nil"/>
        </w:pBdr>
        <w:spacing w:before="240" w:after="0"/>
        <w:rPr>
          <w:rFonts w:ascii="Arial" w:eastAsia="Arial" w:hAnsi="Arial" w:cs="Arial"/>
          <w:b/>
          <w:color w:val="000000"/>
          <w:sz w:val="32"/>
          <w:szCs w:val="32"/>
        </w:rPr>
      </w:pPr>
      <w:r>
        <w:rPr>
          <w:rFonts w:ascii="Arial" w:eastAsia="Arial" w:hAnsi="Arial" w:cs="Arial"/>
          <w:b/>
          <w:color w:val="000000"/>
          <w:sz w:val="32"/>
          <w:szCs w:val="32"/>
        </w:rPr>
        <w:lastRenderedPageBreak/>
        <w:t>Table of Contents</w:t>
      </w:r>
    </w:p>
    <w:sdt>
      <w:sdtPr>
        <w:id w:val="-828058244"/>
        <w:docPartObj>
          <w:docPartGallery w:val="Table of Contents"/>
          <w:docPartUnique/>
        </w:docPartObj>
      </w:sdtPr>
      <w:sdtEndPr/>
      <w:sdtContent>
        <w:p w14:paraId="77D54E47" w14:textId="77777777" w:rsidR="00745BC3" w:rsidRDefault="001C7773">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color w:val="000000"/>
              </w:rPr>
              <w:t>1. Introduction</w:t>
            </w:r>
            <w:r>
              <w:rPr>
                <w:color w:val="000000"/>
              </w:rPr>
              <w:tab/>
              <w:t>3</w:t>
            </w:r>
          </w:hyperlink>
        </w:p>
        <w:p w14:paraId="4D28E29E" w14:textId="77777777" w:rsidR="00745BC3" w:rsidRDefault="001C7773">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30j0zll">
            <w:r>
              <w:rPr>
                <w:rFonts w:ascii="Arial" w:eastAsia="Arial" w:hAnsi="Arial" w:cs="Arial"/>
                <w:b/>
                <w:color w:val="000000"/>
              </w:rPr>
              <w:t>What it means to be an older person in the UK and another country of your choice [Point a]</w:t>
            </w:r>
          </w:hyperlink>
          <w:hyperlink w:anchor="_heading=h.30j0zll">
            <w:r>
              <w:rPr>
                <w:color w:val="000000"/>
              </w:rPr>
              <w:tab/>
              <w:t>3</w:t>
            </w:r>
          </w:hyperlink>
        </w:p>
        <w:p w14:paraId="348AA5BC" w14:textId="77777777" w:rsidR="00745BC3" w:rsidRDefault="001C7773">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1fob9te">
            <w:r>
              <w:rPr>
                <w:rFonts w:ascii="Arial" w:eastAsia="Arial" w:hAnsi="Arial" w:cs="Arial"/>
                <w:b/>
                <w:color w:val="000000"/>
              </w:rPr>
              <w:t>Statistics on the ageing population and how these have changed in recent years (UK and country of your ch</w:t>
            </w:r>
            <w:r>
              <w:rPr>
                <w:rFonts w:ascii="Arial" w:eastAsia="Arial" w:hAnsi="Arial" w:cs="Arial"/>
                <w:b/>
                <w:color w:val="000000"/>
              </w:rPr>
              <w:t>oice) [Point b]</w:t>
            </w:r>
          </w:hyperlink>
          <w:hyperlink w:anchor="_heading=h.1fob9te">
            <w:r>
              <w:rPr>
                <w:color w:val="000000"/>
              </w:rPr>
              <w:tab/>
              <w:t>3</w:t>
            </w:r>
          </w:hyperlink>
        </w:p>
        <w:p w14:paraId="4604EB13" w14:textId="77777777" w:rsidR="00745BC3" w:rsidRDefault="001C7773">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3znysh7">
            <w:r>
              <w:rPr>
                <w:rFonts w:ascii="Arial" w:eastAsia="Arial" w:hAnsi="Arial" w:cs="Arial"/>
                <w:b/>
                <w:color w:val="000000"/>
              </w:rPr>
              <w:t>Exploration of relevant theories of loneliness and isolation and concepts associated with</w:t>
            </w:r>
            <w:r>
              <w:rPr>
                <w:rFonts w:ascii="Arial" w:eastAsia="Arial" w:hAnsi="Arial" w:cs="Arial"/>
                <w:b/>
                <w:color w:val="000000"/>
              </w:rPr>
              <w:t xml:space="preserve"> loneliness, alluded to in literature. [Point c]</w:t>
            </w:r>
          </w:hyperlink>
          <w:hyperlink w:anchor="_heading=h.3znysh7">
            <w:r>
              <w:rPr>
                <w:color w:val="000000"/>
              </w:rPr>
              <w:tab/>
              <w:t>4</w:t>
            </w:r>
          </w:hyperlink>
        </w:p>
        <w:p w14:paraId="45BB0035" w14:textId="77777777" w:rsidR="00745BC3" w:rsidRDefault="001C7773">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2et92p0">
            <w:r>
              <w:rPr>
                <w:color w:val="000000"/>
              </w:rPr>
              <w:t>2. Comparison between two countries</w:t>
            </w:r>
            <w:r>
              <w:rPr>
                <w:color w:val="000000"/>
              </w:rPr>
              <w:tab/>
              <w:t>5</w:t>
            </w:r>
          </w:hyperlink>
        </w:p>
        <w:p w14:paraId="3203D5F5" w14:textId="77777777" w:rsidR="00745BC3" w:rsidRDefault="001C7773">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tyjcwt">
            <w:r>
              <w:rPr>
                <w:rFonts w:ascii="Arial" w:eastAsia="Arial" w:hAnsi="Arial" w:cs="Arial"/>
                <w:b/>
                <w:color w:val="000000"/>
              </w:rPr>
              <w:t>The impact of loneliness and isolation on an older person living within a care setting. (UK and country of choice) [Point d]</w:t>
            </w:r>
          </w:hyperlink>
          <w:hyperlink w:anchor="_heading=h.tyjcwt">
            <w:r>
              <w:rPr>
                <w:color w:val="000000"/>
              </w:rPr>
              <w:tab/>
              <w:t>5</w:t>
            </w:r>
          </w:hyperlink>
        </w:p>
        <w:p w14:paraId="5833F6A3" w14:textId="77777777" w:rsidR="00745BC3" w:rsidRDefault="001C7773">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3dy6vkm">
            <w:r>
              <w:rPr>
                <w:rFonts w:ascii="Arial" w:eastAsia="Arial" w:hAnsi="Arial" w:cs="Arial"/>
                <w:b/>
                <w:color w:val="000000"/>
              </w:rPr>
              <w:t>Current legislation and policies that deal with or aim to raise awareness or reduce loneliness and isolation in the elderly population (UK and country of choice) [Point e]</w:t>
            </w:r>
          </w:hyperlink>
          <w:hyperlink w:anchor="_heading=h.3dy6vkm">
            <w:r>
              <w:rPr>
                <w:color w:val="000000"/>
              </w:rPr>
              <w:tab/>
              <w:t>6</w:t>
            </w:r>
          </w:hyperlink>
        </w:p>
        <w:p w14:paraId="5C89B4DD" w14:textId="77777777" w:rsidR="00745BC3" w:rsidRDefault="001C7773">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1t3h5sf">
            <w:r>
              <w:rPr>
                <w:rFonts w:ascii="Arial" w:eastAsia="Arial" w:hAnsi="Arial" w:cs="Arial"/>
                <w:b/>
                <w:color w:val="000000"/>
              </w:rPr>
              <w:t>Local, national and global provider of services for the older person in line with current initiatives and policy (UK and country of choice) [Point f]</w:t>
            </w:r>
          </w:hyperlink>
          <w:hyperlink w:anchor="_heading=h.1t3h5sf">
            <w:r>
              <w:rPr>
                <w:color w:val="000000"/>
              </w:rPr>
              <w:tab/>
              <w:t>7</w:t>
            </w:r>
          </w:hyperlink>
        </w:p>
        <w:p w14:paraId="29EC6079" w14:textId="77777777" w:rsidR="00745BC3" w:rsidRDefault="001C7773">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4d34og8">
            <w:r>
              <w:rPr>
                <w:rFonts w:ascii="Arial" w:eastAsia="Arial" w:hAnsi="Arial" w:cs="Arial"/>
                <w:b/>
                <w:color w:val="000000"/>
              </w:rPr>
              <w:t>The prospective future of the care of the older person; what changes could be made to the programmes aimed at addressing the pr</w:t>
            </w:r>
            <w:r>
              <w:rPr>
                <w:rFonts w:ascii="Arial" w:eastAsia="Arial" w:hAnsi="Arial" w:cs="Arial"/>
                <w:b/>
                <w:color w:val="000000"/>
              </w:rPr>
              <w:t>oblem of loneliness among the elderly (UK and country of choice [Point g]</w:t>
            </w:r>
          </w:hyperlink>
          <w:hyperlink w:anchor="_heading=h.4d34og8">
            <w:r>
              <w:rPr>
                <w:color w:val="000000"/>
              </w:rPr>
              <w:tab/>
              <w:t>8</w:t>
            </w:r>
          </w:hyperlink>
        </w:p>
        <w:p w14:paraId="6C3DC1CB" w14:textId="77777777" w:rsidR="00745BC3" w:rsidRDefault="001C7773">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2s8eyo1">
            <w:r>
              <w:rPr>
                <w:rFonts w:ascii="Arial" w:eastAsia="Arial" w:hAnsi="Arial" w:cs="Arial"/>
                <w:b/>
                <w:color w:val="000000"/>
              </w:rPr>
              <w:t>Use of technology for the provision of care provision to lonely older persons. (UK and country of choice) [Point g]</w:t>
            </w:r>
          </w:hyperlink>
          <w:hyperlink w:anchor="_heading=h.2s8eyo1">
            <w:r>
              <w:rPr>
                <w:color w:val="000000"/>
              </w:rPr>
              <w:tab/>
              <w:t>8</w:t>
            </w:r>
          </w:hyperlink>
        </w:p>
        <w:p w14:paraId="18407FA9" w14:textId="77777777" w:rsidR="00745BC3" w:rsidRDefault="001C7773">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17dp8vu">
            <w:r>
              <w:rPr>
                <w:color w:val="000000"/>
              </w:rPr>
              <w:t>3. Recommendations</w:t>
            </w:r>
            <w:r>
              <w:rPr>
                <w:color w:val="000000"/>
              </w:rPr>
              <w:tab/>
              <w:t>9</w:t>
            </w:r>
          </w:hyperlink>
        </w:p>
        <w:p w14:paraId="7D6E340F" w14:textId="77777777" w:rsidR="00745BC3" w:rsidRDefault="001C7773">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3rdcrjn">
            <w:r>
              <w:rPr>
                <w:color w:val="000000"/>
              </w:rPr>
              <w:t>4. Conclusion</w:t>
            </w:r>
            <w:r>
              <w:rPr>
                <w:color w:val="000000"/>
              </w:rPr>
              <w:tab/>
              <w:t>9</w:t>
            </w:r>
          </w:hyperlink>
        </w:p>
        <w:p w14:paraId="07D01019" w14:textId="77777777" w:rsidR="00745BC3" w:rsidRDefault="001C7773">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26in1rg">
            <w:r>
              <w:rPr>
                <w:color w:val="000000"/>
              </w:rPr>
              <w:t>Bibliography</w:t>
            </w:r>
            <w:r>
              <w:rPr>
                <w:color w:val="000000"/>
              </w:rPr>
              <w:tab/>
              <w:t>10</w:t>
            </w:r>
          </w:hyperlink>
        </w:p>
        <w:p w14:paraId="5406513E" w14:textId="77777777" w:rsidR="00745BC3" w:rsidRDefault="001C7773">
          <w:r>
            <w:fldChar w:fldCharType="end"/>
          </w:r>
        </w:p>
      </w:sdtContent>
    </w:sdt>
    <w:p w14:paraId="1167A047" w14:textId="77777777" w:rsidR="00745BC3" w:rsidRDefault="00745BC3">
      <w:pPr>
        <w:pStyle w:val="Heading1"/>
      </w:pPr>
    </w:p>
    <w:p w14:paraId="4F7C74B8" w14:textId="77777777" w:rsidR="00745BC3" w:rsidRDefault="00745BC3">
      <w:pPr>
        <w:pStyle w:val="Heading1"/>
      </w:pPr>
    </w:p>
    <w:p w14:paraId="7496A822" w14:textId="77777777" w:rsidR="00745BC3" w:rsidRDefault="001C7773">
      <w:pPr>
        <w:rPr>
          <w:rFonts w:ascii="Arial" w:eastAsia="Arial" w:hAnsi="Arial" w:cs="Arial"/>
          <w:b/>
          <w:color w:val="0E101A"/>
          <w:sz w:val="22"/>
          <w:szCs w:val="22"/>
        </w:rPr>
      </w:pPr>
      <w:r>
        <w:br w:type="page"/>
      </w:r>
    </w:p>
    <w:p w14:paraId="52BD12C4" w14:textId="77777777" w:rsidR="00745BC3" w:rsidRDefault="001C7773">
      <w:pPr>
        <w:pStyle w:val="Heading1"/>
      </w:pPr>
      <w:bookmarkStart w:id="0" w:name="_heading=h.gjdgxs" w:colFirst="0" w:colLast="0"/>
      <w:bookmarkEnd w:id="0"/>
      <w:r>
        <w:lastRenderedPageBreak/>
        <w:t>1. Introduction</w:t>
      </w:r>
    </w:p>
    <w:p w14:paraId="3A85D121" w14:textId="77777777" w:rsidR="00745BC3" w:rsidRDefault="001C7773">
      <w:pPr>
        <w:pStyle w:val="Heading2"/>
        <w:rPr>
          <w:rFonts w:ascii="Arial" w:eastAsia="Arial" w:hAnsi="Arial" w:cs="Arial"/>
          <w:color w:val="000000"/>
          <w:sz w:val="22"/>
          <w:szCs w:val="22"/>
        </w:rPr>
      </w:pPr>
      <w:bookmarkStart w:id="1" w:name="_heading=h.30j0zll" w:colFirst="0" w:colLast="0"/>
      <w:bookmarkEnd w:id="1"/>
      <w:r>
        <w:rPr>
          <w:rFonts w:ascii="Arial" w:eastAsia="Arial" w:hAnsi="Arial" w:cs="Arial"/>
          <w:b/>
          <w:color w:val="000000"/>
          <w:sz w:val="22"/>
          <w:szCs w:val="22"/>
        </w:rPr>
        <w:t>What it means to be an older person in the UK and another country of your choice [Point a] </w:t>
      </w:r>
    </w:p>
    <w:p w14:paraId="3AB4B65B"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 xml:space="preserve">Terms associated with age advancement can vary in meaning depending on their context. 'Ageing' or the reference of an elderly person commonly refers to the process </w:t>
      </w:r>
      <w:r>
        <w:rPr>
          <w:rFonts w:ascii="Arial" w:eastAsia="Arial" w:hAnsi="Arial" w:cs="Arial"/>
          <w:color w:val="0E101A"/>
          <w:sz w:val="22"/>
          <w:szCs w:val="22"/>
        </w:rPr>
        <w:t>of growing older and is often understood from a chronological perspective and a biological process. Statistics, however, on 'elderly persons' categorize people based on age. An elderly person, for instance, is defined by the United Nations as a person over</w:t>
      </w:r>
      <w:r>
        <w:rPr>
          <w:rFonts w:ascii="Arial" w:eastAsia="Arial" w:hAnsi="Arial" w:cs="Arial"/>
          <w:color w:val="0E101A"/>
          <w:sz w:val="22"/>
          <w:szCs w:val="22"/>
        </w:rPr>
        <w:t xml:space="preserve"> the age of 60 years </w:t>
      </w:r>
      <w:r>
        <w:rPr>
          <w:rFonts w:ascii="Arial" w:eastAsia="Arial" w:hAnsi="Arial" w:cs="Arial"/>
          <w:color w:val="000000"/>
          <w:sz w:val="22"/>
          <w:szCs w:val="22"/>
        </w:rPr>
        <w:t>(Barbosa Neves et al., 2019)</w:t>
      </w:r>
      <w:r>
        <w:rPr>
          <w:rFonts w:ascii="Arial" w:eastAsia="Arial" w:hAnsi="Arial" w:cs="Arial"/>
          <w:color w:val="0E101A"/>
          <w:sz w:val="22"/>
          <w:szCs w:val="22"/>
        </w:rPr>
        <w:t>. The Office for National Statistics (ONS) quotes data on the elderly based on individuals above the age of 65, while those above 85 years are referred to as the 'oldest old.' The World Health Organization (</w:t>
      </w:r>
      <w:r>
        <w:rPr>
          <w:rFonts w:ascii="Arial" w:eastAsia="Arial" w:hAnsi="Arial" w:cs="Arial"/>
          <w:color w:val="0E101A"/>
          <w:sz w:val="22"/>
          <w:szCs w:val="22"/>
        </w:rPr>
        <w:t>WHO) describes the 'older person' as individuals who have passed the median life expectancy at birth, which in the UK is 81.2 years for both women and men.</w:t>
      </w:r>
    </w:p>
    <w:p w14:paraId="41C492F5"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 In Canada, on the other hand, 'elderly people,' commonly referred to as 'senior citizens,' are peop</w:t>
      </w:r>
      <w:r>
        <w:rPr>
          <w:rFonts w:ascii="Arial" w:eastAsia="Arial" w:hAnsi="Arial" w:cs="Arial"/>
          <w:color w:val="0E101A"/>
          <w:sz w:val="22"/>
          <w:szCs w:val="22"/>
        </w:rPr>
        <w:t xml:space="preserve">le over 65 years. According to the Oxford Canadian Dictionary, this same reference, a 'senior', is also referred to as one who is 'rather old' or is 'past middle age.' However, considering that many people outlive the life expectancy of about 80 years, </w:t>
      </w:r>
      <w:proofErr w:type="spellStart"/>
      <w:r>
        <w:rPr>
          <w:rFonts w:ascii="Arial" w:eastAsia="Arial" w:hAnsi="Arial" w:cs="Arial"/>
          <w:color w:val="000000"/>
          <w:sz w:val="22"/>
          <w:szCs w:val="22"/>
        </w:rPr>
        <w:t>Pos</w:t>
      </w:r>
      <w:r>
        <w:rPr>
          <w:rFonts w:ascii="Arial" w:eastAsia="Arial" w:hAnsi="Arial" w:cs="Arial"/>
          <w:color w:val="000000"/>
          <w:sz w:val="22"/>
          <w:szCs w:val="22"/>
        </w:rPr>
        <w:t>cia</w:t>
      </w:r>
      <w:proofErr w:type="spellEnd"/>
      <w:r>
        <w:rPr>
          <w:rFonts w:ascii="Arial" w:eastAsia="Arial" w:hAnsi="Arial" w:cs="Arial"/>
          <w:color w:val="000000"/>
          <w:sz w:val="22"/>
          <w:szCs w:val="22"/>
        </w:rPr>
        <w:t xml:space="preserve"> et al., (2018)</w:t>
      </w:r>
      <w:r>
        <w:rPr>
          <w:rFonts w:ascii="Arial" w:eastAsia="Arial" w:hAnsi="Arial" w:cs="Arial"/>
          <w:color w:val="0E101A"/>
          <w:sz w:val="22"/>
          <w:szCs w:val="22"/>
        </w:rPr>
        <w:t xml:space="preserve"> argues that instead of using 65 years as a standard marker for old age, the concept could be delimited by using a certain number of years before death. Generally, in both countries, the elderly is considered important persons and are giv</w:t>
      </w:r>
      <w:r>
        <w:rPr>
          <w:rFonts w:ascii="Arial" w:eastAsia="Arial" w:hAnsi="Arial" w:cs="Arial"/>
          <w:color w:val="0E101A"/>
          <w:sz w:val="22"/>
          <w:szCs w:val="22"/>
        </w:rPr>
        <w:t>en much care and attention by the respective governments. For example, all matters concerning seniors' well-being in Canada are taken care of by the National Seniors Council (NSC). At the same time, in the UK, the National Service Framework for Older Peopl</w:t>
      </w:r>
      <w:r>
        <w:rPr>
          <w:rFonts w:ascii="Arial" w:eastAsia="Arial" w:hAnsi="Arial" w:cs="Arial"/>
          <w:color w:val="0E101A"/>
          <w:sz w:val="22"/>
          <w:szCs w:val="22"/>
        </w:rPr>
        <w:t>e sets quality standards for health and social care.</w:t>
      </w:r>
    </w:p>
    <w:p w14:paraId="2D4688F0" w14:textId="77777777" w:rsidR="00745BC3" w:rsidRDefault="001C7773">
      <w:pPr>
        <w:pStyle w:val="Heading2"/>
        <w:spacing w:line="360" w:lineRule="auto"/>
        <w:rPr>
          <w:rFonts w:ascii="Arial" w:eastAsia="Arial" w:hAnsi="Arial" w:cs="Arial"/>
          <w:sz w:val="22"/>
          <w:szCs w:val="22"/>
        </w:rPr>
      </w:pPr>
      <w:bookmarkStart w:id="2" w:name="_heading=h.1fob9te" w:colFirst="0" w:colLast="0"/>
      <w:bookmarkEnd w:id="2"/>
      <w:r>
        <w:rPr>
          <w:rFonts w:ascii="Arial" w:eastAsia="Arial" w:hAnsi="Arial" w:cs="Arial"/>
          <w:b/>
          <w:color w:val="0E101A"/>
          <w:sz w:val="22"/>
          <w:szCs w:val="22"/>
        </w:rPr>
        <w:t>Statistics on the ageing population and how these have changed in recent years (UK and country of your choice) [Point b] </w:t>
      </w:r>
    </w:p>
    <w:p w14:paraId="0600210E"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The ageing of the world's population and the shifting demographics are considered</w:t>
      </w:r>
      <w:r>
        <w:rPr>
          <w:rFonts w:ascii="Arial" w:eastAsia="Arial" w:hAnsi="Arial" w:cs="Arial"/>
          <w:color w:val="0E101A"/>
          <w:sz w:val="22"/>
          <w:szCs w:val="22"/>
        </w:rPr>
        <w:t xml:space="preserve"> significant human issue that warrants comprehensive public health action. Life expectancy in the UK has been rising gradually </w:t>
      </w:r>
      <w:proofErr w:type="gramStart"/>
      <w:r>
        <w:rPr>
          <w:rFonts w:ascii="Arial" w:eastAsia="Arial" w:hAnsi="Arial" w:cs="Arial"/>
          <w:color w:val="0E101A"/>
          <w:sz w:val="22"/>
          <w:szCs w:val="22"/>
        </w:rPr>
        <w:t>where</w:t>
      </w:r>
      <w:proofErr w:type="gramEnd"/>
      <w:r>
        <w:rPr>
          <w:rFonts w:ascii="Arial" w:eastAsia="Arial" w:hAnsi="Arial" w:cs="Arial"/>
          <w:color w:val="0E101A"/>
          <w:sz w:val="22"/>
          <w:szCs w:val="22"/>
        </w:rPr>
        <w:t>. For instance, a person aged 65 could be expected to live to 77 in 1951. Today, the person can live up to 86, and by 2050 h</w:t>
      </w:r>
      <w:r>
        <w:rPr>
          <w:rFonts w:ascii="Arial" w:eastAsia="Arial" w:hAnsi="Arial" w:cs="Arial"/>
          <w:color w:val="0E101A"/>
          <w:sz w:val="22"/>
          <w:szCs w:val="22"/>
        </w:rPr>
        <w:t xml:space="preserve">e can live to 91 years. The latest projection shows that there is likely to be an increased population of up to 8.6 million older people due to the increased population, as the Office for National Statistics (ONS) reported </w:t>
      </w:r>
      <w:r>
        <w:rPr>
          <w:rFonts w:ascii="Arial" w:eastAsia="Arial" w:hAnsi="Arial" w:cs="Arial"/>
          <w:color w:val="000000"/>
          <w:sz w:val="22"/>
          <w:szCs w:val="22"/>
        </w:rPr>
        <w:t>(</w:t>
      </w:r>
      <w:proofErr w:type="spellStart"/>
      <w:r>
        <w:rPr>
          <w:rFonts w:ascii="Arial" w:eastAsia="Arial" w:hAnsi="Arial" w:cs="Arial"/>
          <w:color w:val="000000"/>
          <w:sz w:val="22"/>
          <w:szCs w:val="22"/>
        </w:rPr>
        <w:t>Tagupa</w:t>
      </w:r>
      <w:proofErr w:type="spellEnd"/>
      <w:r>
        <w:rPr>
          <w:rFonts w:ascii="Arial" w:eastAsia="Arial" w:hAnsi="Arial" w:cs="Arial"/>
          <w:color w:val="000000"/>
          <w:sz w:val="22"/>
          <w:szCs w:val="22"/>
        </w:rPr>
        <w:t>, 2020)</w:t>
      </w:r>
      <w:r>
        <w:rPr>
          <w:rFonts w:ascii="Arial" w:eastAsia="Arial" w:hAnsi="Arial" w:cs="Arial"/>
          <w:color w:val="0E101A"/>
          <w:sz w:val="22"/>
          <w:szCs w:val="22"/>
        </w:rPr>
        <w:t>. Also, in 2020, ON</w:t>
      </w:r>
      <w:r>
        <w:rPr>
          <w:rFonts w:ascii="Arial" w:eastAsia="Arial" w:hAnsi="Arial" w:cs="Arial"/>
          <w:color w:val="0E101A"/>
          <w:sz w:val="22"/>
          <w:szCs w:val="22"/>
        </w:rPr>
        <w:t>S predicted that people over 50 would comprise almost 32% of the working-age population and almost 48% of the adult population. </w:t>
      </w:r>
    </w:p>
    <w:p w14:paraId="4E00BC99"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lastRenderedPageBreak/>
        <w:t>On the other hand, in Canada, the population of seniors aged 85 and above is also growing steadily and is believed to accelerate further in the coming years. According to statistics in Canada, the population of people aged 85and above has doubled since 200</w:t>
      </w:r>
      <w:r>
        <w:rPr>
          <w:rFonts w:ascii="Arial" w:eastAsia="Arial" w:hAnsi="Arial" w:cs="Arial"/>
          <w:color w:val="0E101A"/>
          <w:sz w:val="22"/>
          <w:szCs w:val="22"/>
        </w:rPr>
        <w:t>1. The population increased twice as high as the overall Canadian population between 2016 and 2021. Currently, 2.3% of the population are seniors, and it is expected that by 2050, the older population could have increased to more than 2.7 million people du</w:t>
      </w:r>
      <w:r>
        <w:rPr>
          <w:rFonts w:ascii="Arial" w:eastAsia="Arial" w:hAnsi="Arial" w:cs="Arial"/>
          <w:color w:val="0E101A"/>
          <w:sz w:val="22"/>
          <w:szCs w:val="22"/>
        </w:rPr>
        <w:t xml:space="preserve">e to the rapid growth of the overall population in Canada </w:t>
      </w:r>
      <w:r>
        <w:rPr>
          <w:rFonts w:ascii="Arial" w:eastAsia="Arial" w:hAnsi="Arial" w:cs="Arial"/>
          <w:color w:val="000000"/>
          <w:sz w:val="22"/>
          <w:szCs w:val="22"/>
        </w:rPr>
        <w:t>(</w:t>
      </w:r>
      <w:proofErr w:type="spellStart"/>
      <w:r>
        <w:rPr>
          <w:rFonts w:ascii="Arial" w:eastAsia="Arial" w:hAnsi="Arial" w:cs="Arial"/>
          <w:color w:val="000000"/>
          <w:sz w:val="22"/>
          <w:szCs w:val="22"/>
        </w:rPr>
        <w:t>Tagupa</w:t>
      </w:r>
      <w:proofErr w:type="spellEnd"/>
      <w:r>
        <w:rPr>
          <w:rFonts w:ascii="Arial" w:eastAsia="Arial" w:hAnsi="Arial" w:cs="Arial"/>
          <w:color w:val="000000"/>
          <w:sz w:val="22"/>
          <w:szCs w:val="22"/>
        </w:rPr>
        <w:t>, 2020)</w:t>
      </w:r>
      <w:r>
        <w:rPr>
          <w:rFonts w:ascii="Arial" w:eastAsia="Arial" w:hAnsi="Arial" w:cs="Arial"/>
          <w:color w:val="0E101A"/>
          <w:sz w:val="22"/>
          <w:szCs w:val="22"/>
        </w:rPr>
        <w:t>. However, due to the breakout of 2020’s COVID -19, the growth rate drastically reduced, leading to the death of more than 30,000 Canadians. Nevertheless, in mid-2021, projections argu</w:t>
      </w:r>
      <w:r>
        <w:rPr>
          <w:rFonts w:ascii="Arial" w:eastAsia="Arial" w:hAnsi="Arial" w:cs="Arial"/>
          <w:color w:val="0E101A"/>
          <w:sz w:val="22"/>
          <w:szCs w:val="22"/>
        </w:rPr>
        <w:t xml:space="preserve">e that Canada's population growth is back to normal levels. Therefore, when expressed as a factor, </w:t>
      </w:r>
      <w:proofErr w:type="gramStart"/>
      <w:r>
        <w:rPr>
          <w:rFonts w:ascii="Arial" w:eastAsia="Arial" w:hAnsi="Arial" w:cs="Arial"/>
          <w:color w:val="0E101A"/>
          <w:sz w:val="22"/>
          <w:szCs w:val="22"/>
        </w:rPr>
        <w:t>it is clear that the</w:t>
      </w:r>
      <w:proofErr w:type="gramEnd"/>
      <w:r>
        <w:rPr>
          <w:rFonts w:ascii="Arial" w:eastAsia="Arial" w:hAnsi="Arial" w:cs="Arial"/>
          <w:color w:val="0E101A"/>
          <w:sz w:val="22"/>
          <w:szCs w:val="22"/>
        </w:rPr>
        <w:t xml:space="preserve"> overall Canadian population's growth rate, more so that of the seniors, is growing faster, influencing change in the country.</w:t>
      </w:r>
    </w:p>
    <w:p w14:paraId="0D50215C" w14:textId="77777777" w:rsidR="00745BC3" w:rsidRDefault="001C7773">
      <w:pPr>
        <w:pStyle w:val="Heading2"/>
        <w:spacing w:line="360" w:lineRule="auto"/>
        <w:rPr>
          <w:rFonts w:ascii="Arial" w:eastAsia="Arial" w:hAnsi="Arial" w:cs="Arial"/>
          <w:sz w:val="22"/>
          <w:szCs w:val="22"/>
        </w:rPr>
      </w:pPr>
      <w:bookmarkStart w:id="3" w:name="_heading=h.3znysh7" w:colFirst="0" w:colLast="0"/>
      <w:bookmarkEnd w:id="3"/>
      <w:r>
        <w:rPr>
          <w:rFonts w:ascii="Arial" w:eastAsia="Arial" w:hAnsi="Arial" w:cs="Arial"/>
          <w:b/>
          <w:color w:val="0E101A"/>
          <w:sz w:val="22"/>
          <w:szCs w:val="22"/>
        </w:rPr>
        <w:t>Exploratio</w:t>
      </w:r>
      <w:r>
        <w:rPr>
          <w:rFonts w:ascii="Arial" w:eastAsia="Arial" w:hAnsi="Arial" w:cs="Arial"/>
          <w:b/>
          <w:color w:val="0E101A"/>
          <w:sz w:val="22"/>
          <w:szCs w:val="22"/>
        </w:rPr>
        <w:t>n of relevant theories of loneliness and isolation and concepts associated with loneliness, alluded to in literature. [Point c] </w:t>
      </w:r>
    </w:p>
    <w:p w14:paraId="561C8FDA"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 xml:space="preserve">The experience of loneliness is highly prejudiced: where an individual can be lonely when not with other people. Psychologists </w:t>
      </w:r>
      <w:r>
        <w:rPr>
          <w:rFonts w:ascii="Arial" w:eastAsia="Arial" w:hAnsi="Arial" w:cs="Arial"/>
          <w:color w:val="0E101A"/>
          <w:sz w:val="22"/>
          <w:szCs w:val="22"/>
        </w:rPr>
        <w:t xml:space="preserve">view loneliness as when an individual has a different set-point for feeling lonely, depending on the circumstances of life. Loneliness is a distressing experience when a person's social needs are not met in the quantity and quality desired. Some theories, </w:t>
      </w:r>
      <w:r>
        <w:rPr>
          <w:rFonts w:ascii="Arial" w:eastAsia="Arial" w:hAnsi="Arial" w:cs="Arial"/>
          <w:color w:val="0E101A"/>
          <w:sz w:val="22"/>
          <w:szCs w:val="22"/>
        </w:rPr>
        <w:t>therefore, were discovered to aid in curbing loneliness among people. </w:t>
      </w:r>
    </w:p>
    <w:p w14:paraId="20C77856"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 xml:space="preserve">Attachment theory, founded by the sociologist Robert </w:t>
      </w:r>
      <w:proofErr w:type="spellStart"/>
      <w:proofErr w:type="gramStart"/>
      <w:r>
        <w:rPr>
          <w:rFonts w:ascii="Arial" w:eastAsia="Arial" w:hAnsi="Arial" w:cs="Arial"/>
          <w:color w:val="0E101A"/>
          <w:sz w:val="22"/>
          <w:szCs w:val="22"/>
        </w:rPr>
        <w:t>S.Weiss</w:t>
      </w:r>
      <w:proofErr w:type="spellEnd"/>
      <w:proofErr w:type="gramEnd"/>
      <w:r>
        <w:rPr>
          <w:rFonts w:ascii="Arial" w:eastAsia="Arial" w:hAnsi="Arial" w:cs="Arial"/>
          <w:color w:val="0E101A"/>
          <w:sz w:val="22"/>
          <w:szCs w:val="22"/>
        </w:rPr>
        <w:t xml:space="preserve"> is influential in contributing to the feeling of loneliness. Those feelings may </w:t>
      </w:r>
      <w:proofErr w:type="gramStart"/>
      <w:r>
        <w:rPr>
          <w:rFonts w:ascii="Arial" w:eastAsia="Arial" w:hAnsi="Arial" w:cs="Arial"/>
          <w:color w:val="0E101A"/>
          <w:sz w:val="22"/>
          <w:szCs w:val="22"/>
        </w:rPr>
        <w:t>include;</w:t>
      </w:r>
      <w:proofErr w:type="gramEnd"/>
      <w:r>
        <w:rPr>
          <w:rFonts w:ascii="Arial" w:eastAsia="Arial" w:hAnsi="Arial" w:cs="Arial"/>
          <w:color w:val="0E101A"/>
          <w:sz w:val="22"/>
          <w:szCs w:val="22"/>
        </w:rPr>
        <w:t xml:space="preserve"> a sense of reliability, social inte</w:t>
      </w:r>
      <w:r>
        <w:rPr>
          <w:rFonts w:ascii="Arial" w:eastAsia="Arial" w:hAnsi="Arial" w:cs="Arial"/>
          <w:color w:val="0E101A"/>
          <w:sz w:val="22"/>
          <w:szCs w:val="22"/>
        </w:rPr>
        <w:t xml:space="preserve">gration, attachment and reassurance of worth. Weiss seeks to maintain a friendly relationship with persons experiencing loneliness </w:t>
      </w:r>
      <w:r>
        <w:rPr>
          <w:rFonts w:ascii="Arial" w:eastAsia="Arial" w:hAnsi="Arial" w:cs="Arial"/>
          <w:color w:val="000000"/>
          <w:sz w:val="22"/>
          <w:szCs w:val="22"/>
        </w:rPr>
        <w:t>(</w:t>
      </w:r>
      <w:proofErr w:type="spellStart"/>
      <w:r>
        <w:rPr>
          <w:rFonts w:ascii="Arial" w:eastAsia="Arial" w:hAnsi="Arial" w:cs="Arial"/>
          <w:color w:val="000000"/>
          <w:sz w:val="22"/>
          <w:szCs w:val="22"/>
        </w:rPr>
        <w:t>Poscia</w:t>
      </w:r>
      <w:proofErr w:type="spellEnd"/>
      <w:r>
        <w:rPr>
          <w:rFonts w:ascii="Arial" w:eastAsia="Arial" w:hAnsi="Arial" w:cs="Arial"/>
          <w:color w:val="000000"/>
          <w:sz w:val="22"/>
          <w:szCs w:val="22"/>
        </w:rPr>
        <w:t xml:space="preserve"> et al., 2018)</w:t>
      </w:r>
      <w:r>
        <w:rPr>
          <w:rFonts w:ascii="Arial" w:eastAsia="Arial" w:hAnsi="Arial" w:cs="Arial"/>
          <w:color w:val="0E101A"/>
          <w:sz w:val="22"/>
          <w:szCs w:val="22"/>
        </w:rPr>
        <w:t>.</w:t>
      </w:r>
    </w:p>
    <w:p w14:paraId="1F60426D"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The cognitive approach is another theory characterized by differences in attributions and perceptions.</w:t>
      </w:r>
      <w:r>
        <w:rPr>
          <w:rFonts w:ascii="Arial" w:eastAsia="Arial" w:hAnsi="Arial" w:cs="Arial"/>
          <w:color w:val="0E101A"/>
          <w:sz w:val="22"/>
          <w:szCs w:val="22"/>
        </w:rPr>
        <w:t xml:space="preserve"> It seeks to explain how failure to meet the need for attachment and other social needs can be distressful and hence considered loneliness. Also, it explains how a lack of skills to meet targeted goals can lead to negative results, leading to isolation.</w:t>
      </w:r>
    </w:p>
    <w:p w14:paraId="4AE11881"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An</w:t>
      </w:r>
      <w:r>
        <w:rPr>
          <w:rFonts w:ascii="Arial" w:eastAsia="Arial" w:hAnsi="Arial" w:cs="Arial"/>
          <w:color w:val="0E101A"/>
          <w:sz w:val="22"/>
          <w:szCs w:val="22"/>
        </w:rPr>
        <w:t xml:space="preserve">other perspective is the </w:t>
      </w:r>
      <w:proofErr w:type="spellStart"/>
      <w:r>
        <w:rPr>
          <w:rFonts w:ascii="Arial" w:eastAsia="Arial" w:hAnsi="Arial" w:cs="Arial"/>
          <w:color w:val="0E101A"/>
          <w:sz w:val="22"/>
          <w:szCs w:val="22"/>
        </w:rPr>
        <w:t>behavioral</w:t>
      </w:r>
      <w:proofErr w:type="spellEnd"/>
      <w:r>
        <w:rPr>
          <w:rFonts w:ascii="Arial" w:eastAsia="Arial" w:hAnsi="Arial" w:cs="Arial"/>
          <w:color w:val="0E101A"/>
          <w:sz w:val="22"/>
          <w:szCs w:val="22"/>
        </w:rPr>
        <w:t xml:space="preserve"> approach. This theory is characterized by a person's personality, such as anxiety, hostility, low self-esteem and characters that hinder one's ability to interact. Generally, lonely people are known to be difficulty main</w:t>
      </w:r>
      <w:r>
        <w:rPr>
          <w:rFonts w:ascii="Arial" w:eastAsia="Arial" w:hAnsi="Arial" w:cs="Arial"/>
          <w:color w:val="0E101A"/>
          <w:sz w:val="22"/>
          <w:szCs w:val="22"/>
        </w:rPr>
        <w:t>taining meaningful relationships and share less information about themselves. Therefore, the theory helps the lonely to develop their social skills and be confident.</w:t>
      </w:r>
    </w:p>
    <w:p w14:paraId="3875DC96"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Many distinctions have been made between loneliness and isolation; however, the theoretica</w:t>
      </w:r>
      <w:r>
        <w:rPr>
          <w:rFonts w:ascii="Arial" w:eastAsia="Arial" w:hAnsi="Arial" w:cs="Arial"/>
          <w:color w:val="0E101A"/>
          <w:sz w:val="22"/>
          <w:szCs w:val="22"/>
        </w:rPr>
        <w:t xml:space="preserve">l distinction is not fully reflected in loneliness research. Loneliness is considered a </w:t>
      </w:r>
      <w:r>
        <w:rPr>
          <w:rFonts w:ascii="Arial" w:eastAsia="Arial" w:hAnsi="Arial" w:cs="Arial"/>
          <w:color w:val="0E101A"/>
          <w:sz w:val="22"/>
          <w:szCs w:val="22"/>
        </w:rPr>
        <w:lastRenderedPageBreak/>
        <w:t xml:space="preserve">subjective experience </w:t>
      </w:r>
      <w:r>
        <w:rPr>
          <w:rFonts w:ascii="Arial" w:eastAsia="Arial" w:hAnsi="Arial" w:cs="Arial"/>
          <w:color w:val="000000"/>
          <w:sz w:val="22"/>
          <w:szCs w:val="22"/>
        </w:rPr>
        <w:t>(Barbosa Neves et al., 2019)</w:t>
      </w:r>
      <w:r>
        <w:rPr>
          <w:rFonts w:ascii="Arial" w:eastAsia="Arial" w:hAnsi="Arial" w:cs="Arial"/>
          <w:color w:val="0E101A"/>
          <w:sz w:val="22"/>
          <w:szCs w:val="22"/>
        </w:rPr>
        <w:t>. However, the subjective aspect lacks a clear feature essential to understanding loneliness. </w:t>
      </w:r>
    </w:p>
    <w:p w14:paraId="1C9C4A86"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Loneliness includes exp</w:t>
      </w:r>
      <w:r>
        <w:rPr>
          <w:rFonts w:ascii="Arial" w:eastAsia="Arial" w:hAnsi="Arial" w:cs="Arial"/>
          <w:color w:val="0E101A"/>
          <w:sz w:val="22"/>
          <w:szCs w:val="22"/>
        </w:rPr>
        <w:t>eriential abnormalities uttered within our time experience that may result in fluctuations in the intensity and quality of loneliness according to context. Apart from social disruption, it is important to understand other aspects of loneliness experiences.</w:t>
      </w:r>
      <w:r>
        <w:rPr>
          <w:rFonts w:ascii="Arial" w:eastAsia="Arial" w:hAnsi="Arial" w:cs="Arial"/>
          <w:color w:val="0E101A"/>
          <w:sz w:val="22"/>
          <w:szCs w:val="22"/>
        </w:rPr>
        <w:t xml:space="preserve"> The concept of loneliness being characterized by emotions, </w:t>
      </w:r>
      <w:proofErr w:type="spellStart"/>
      <w:r>
        <w:rPr>
          <w:rFonts w:ascii="Arial" w:eastAsia="Arial" w:hAnsi="Arial" w:cs="Arial"/>
          <w:color w:val="0E101A"/>
          <w:sz w:val="22"/>
          <w:szCs w:val="22"/>
        </w:rPr>
        <w:t>behaviors</w:t>
      </w:r>
      <w:proofErr w:type="spellEnd"/>
      <w:r>
        <w:rPr>
          <w:rFonts w:ascii="Arial" w:eastAsia="Arial" w:hAnsi="Arial" w:cs="Arial"/>
          <w:color w:val="0E101A"/>
          <w:sz w:val="22"/>
          <w:szCs w:val="22"/>
        </w:rPr>
        <w:t xml:space="preserve"> and thoughts leads to the subjectivity of different views and manifestations. Therefore, exploring various issues would have major implications for future research and terminologies on t</w:t>
      </w:r>
      <w:r>
        <w:rPr>
          <w:rFonts w:ascii="Arial" w:eastAsia="Arial" w:hAnsi="Arial" w:cs="Arial"/>
          <w:color w:val="0E101A"/>
          <w:sz w:val="22"/>
          <w:szCs w:val="22"/>
        </w:rPr>
        <w:t>he types of loneliness, resulting in new interventions and treatments.</w:t>
      </w:r>
    </w:p>
    <w:p w14:paraId="32E3BCF7" w14:textId="77777777" w:rsidR="00745BC3" w:rsidRDefault="001C7773">
      <w:pPr>
        <w:pStyle w:val="Heading1"/>
      </w:pPr>
      <w:bookmarkStart w:id="4" w:name="_heading=h.2et92p0" w:colFirst="0" w:colLast="0"/>
      <w:bookmarkEnd w:id="4"/>
      <w:r>
        <w:t>2. Comparison between two countries</w:t>
      </w:r>
    </w:p>
    <w:p w14:paraId="65D511BE" w14:textId="77777777" w:rsidR="00745BC3" w:rsidRDefault="001C7773">
      <w:pPr>
        <w:pStyle w:val="Heading2"/>
        <w:spacing w:line="360" w:lineRule="auto"/>
        <w:rPr>
          <w:rFonts w:ascii="Arial" w:eastAsia="Arial" w:hAnsi="Arial" w:cs="Arial"/>
          <w:sz w:val="22"/>
          <w:szCs w:val="22"/>
        </w:rPr>
      </w:pPr>
      <w:bookmarkStart w:id="5" w:name="_heading=h.tyjcwt" w:colFirst="0" w:colLast="0"/>
      <w:bookmarkEnd w:id="5"/>
      <w:r>
        <w:rPr>
          <w:rFonts w:ascii="Arial" w:eastAsia="Arial" w:hAnsi="Arial" w:cs="Arial"/>
          <w:b/>
          <w:color w:val="0E101A"/>
          <w:sz w:val="22"/>
          <w:szCs w:val="22"/>
        </w:rPr>
        <w:t>The impact of loneliness and isolation on an older person living within a care setting. (UK and country of choice) [Point d] </w:t>
      </w:r>
    </w:p>
    <w:p w14:paraId="3A1680D6"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Loneliness is an emotio</w:t>
      </w:r>
      <w:r>
        <w:rPr>
          <w:rFonts w:ascii="Arial" w:eastAsia="Arial" w:hAnsi="Arial" w:cs="Arial"/>
          <w:color w:val="0E101A"/>
          <w:sz w:val="22"/>
          <w:szCs w:val="22"/>
        </w:rPr>
        <w:t>nal state described as having dominant feelings of discontentedness, isolation and psychological distance. As a result, people can feel lonely when alone, while others can feel the same when surrounded by others. When actual results of social relations are</w:t>
      </w:r>
      <w:r>
        <w:rPr>
          <w:rFonts w:ascii="Arial" w:eastAsia="Arial" w:hAnsi="Arial" w:cs="Arial"/>
          <w:color w:val="0E101A"/>
          <w:sz w:val="22"/>
          <w:szCs w:val="22"/>
        </w:rPr>
        <w:t xml:space="preserve"> not satisfied, the risk of loneliness for older adults living in care homes and other long-term care environments can be heightened. The social environment in which older people spend most of their time can be perceived as hostile or friendly and can have</w:t>
      </w:r>
      <w:r>
        <w:rPr>
          <w:rFonts w:ascii="Arial" w:eastAsia="Arial" w:hAnsi="Arial" w:cs="Arial"/>
          <w:color w:val="0E101A"/>
          <w:sz w:val="22"/>
          <w:szCs w:val="22"/>
        </w:rPr>
        <w:t xml:space="preserve"> a powerful bearing on loneliness and isolation. In the UK, for instance, a meta-analysis on loneliness in care and residential homes estimated that 35% of residents could be severely lonely while 65% can be moderately lonely </w:t>
      </w:r>
      <w:r>
        <w:rPr>
          <w:rFonts w:ascii="Arial" w:eastAsia="Arial" w:hAnsi="Arial" w:cs="Arial"/>
          <w:color w:val="000000"/>
          <w:sz w:val="22"/>
          <w:szCs w:val="22"/>
        </w:rPr>
        <w:t>(</w:t>
      </w:r>
      <w:proofErr w:type="spellStart"/>
      <w:r>
        <w:rPr>
          <w:rFonts w:ascii="Arial" w:eastAsia="Arial" w:hAnsi="Arial" w:cs="Arial"/>
          <w:color w:val="000000"/>
          <w:sz w:val="22"/>
          <w:szCs w:val="22"/>
        </w:rPr>
        <w:t>Poscia</w:t>
      </w:r>
      <w:proofErr w:type="spellEnd"/>
      <w:r>
        <w:rPr>
          <w:rFonts w:ascii="Arial" w:eastAsia="Arial" w:hAnsi="Arial" w:cs="Arial"/>
          <w:color w:val="000000"/>
          <w:sz w:val="22"/>
          <w:szCs w:val="22"/>
        </w:rPr>
        <w:t xml:space="preserve"> et al., 2018)</w:t>
      </w:r>
      <w:r>
        <w:rPr>
          <w:rFonts w:ascii="Arial" w:eastAsia="Arial" w:hAnsi="Arial" w:cs="Arial"/>
          <w:color w:val="0E101A"/>
          <w:sz w:val="22"/>
          <w:szCs w:val="22"/>
        </w:rPr>
        <w:t>. However</w:t>
      </w:r>
      <w:r>
        <w:rPr>
          <w:rFonts w:ascii="Arial" w:eastAsia="Arial" w:hAnsi="Arial" w:cs="Arial"/>
          <w:color w:val="0E101A"/>
          <w:sz w:val="22"/>
          <w:szCs w:val="22"/>
        </w:rPr>
        <w:t>, these figures differ considerably depending on geographic location, sample size and eligibility criteria.    </w:t>
      </w:r>
    </w:p>
    <w:p w14:paraId="0C597147"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Negative health effects commonly attributed to isolation and loneliness have led to these phenomena being described among the ''geriatric giants</w:t>
      </w:r>
      <w:r>
        <w:rPr>
          <w:rFonts w:ascii="Arial" w:eastAsia="Arial" w:hAnsi="Arial" w:cs="Arial"/>
          <w:color w:val="0E101A"/>
          <w:sz w:val="22"/>
          <w:szCs w:val="22"/>
        </w:rPr>
        <w:t>.'' Elderly individuals living in congregate settings such as care homes may be at heightened risk for the negative impacts associated with loneliness and isolation. Such risks occur because of the nature of the care homes, the composition of the social ne</w:t>
      </w:r>
      <w:r>
        <w:rPr>
          <w:rFonts w:ascii="Arial" w:eastAsia="Arial" w:hAnsi="Arial" w:cs="Arial"/>
          <w:color w:val="0E101A"/>
          <w:sz w:val="22"/>
          <w:szCs w:val="22"/>
        </w:rPr>
        <w:t>tworks, and the existing medical complexities, including mental health, disability, reduced cognitive function, mobility problems and significantly higher mortality risks.</w:t>
      </w:r>
    </w:p>
    <w:p w14:paraId="5E5B7AF8"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00000"/>
          <w:sz w:val="22"/>
          <w:szCs w:val="22"/>
        </w:rPr>
        <w:t>Killam, (2021)</w:t>
      </w:r>
      <w:r>
        <w:rPr>
          <w:rFonts w:ascii="Arial" w:eastAsia="Arial" w:hAnsi="Arial" w:cs="Arial"/>
          <w:color w:val="0E101A"/>
          <w:sz w:val="22"/>
          <w:szCs w:val="22"/>
        </w:rPr>
        <w:t xml:space="preserve"> suggests a strong relationship between sensory impairment and lonelin</w:t>
      </w:r>
      <w:r>
        <w:rPr>
          <w:rFonts w:ascii="Arial" w:eastAsia="Arial" w:hAnsi="Arial" w:cs="Arial"/>
          <w:color w:val="0E101A"/>
          <w:sz w:val="22"/>
          <w:szCs w:val="22"/>
        </w:rPr>
        <w:t>ess and isolation, especially with elderly people living in care homes. He further asserts that loneliness is linked more to an individual’s sight loss than the extent of visual impairment. Studies conducted by Scharf et al. in the UK revealed higher rates</w:t>
      </w:r>
      <w:r>
        <w:rPr>
          <w:rFonts w:ascii="Arial" w:eastAsia="Arial" w:hAnsi="Arial" w:cs="Arial"/>
          <w:color w:val="0E101A"/>
          <w:sz w:val="22"/>
          <w:szCs w:val="22"/>
        </w:rPr>
        <w:t xml:space="preserve"> of lonely elderlies living in </w:t>
      </w:r>
      <w:r>
        <w:rPr>
          <w:rFonts w:ascii="Arial" w:eastAsia="Arial" w:hAnsi="Arial" w:cs="Arial"/>
          <w:color w:val="0E101A"/>
          <w:sz w:val="22"/>
          <w:szCs w:val="22"/>
        </w:rPr>
        <w:lastRenderedPageBreak/>
        <w:t xml:space="preserve">low-income </w:t>
      </w:r>
      <w:proofErr w:type="spellStart"/>
      <w:r>
        <w:rPr>
          <w:rFonts w:ascii="Arial" w:eastAsia="Arial" w:hAnsi="Arial" w:cs="Arial"/>
          <w:color w:val="0E101A"/>
          <w:sz w:val="22"/>
          <w:szCs w:val="22"/>
        </w:rPr>
        <w:t>neighborhoods</w:t>
      </w:r>
      <w:proofErr w:type="spellEnd"/>
      <w:r>
        <w:rPr>
          <w:rFonts w:ascii="Arial" w:eastAsia="Arial" w:hAnsi="Arial" w:cs="Arial"/>
          <w:color w:val="0E101A"/>
          <w:sz w:val="22"/>
          <w:szCs w:val="22"/>
        </w:rPr>
        <w:t xml:space="preserve"> and the care homes within them compared to those found by Mann et al., which focused primarily on older adults living within general populations in Canada. The role played by the family after the elde</w:t>
      </w:r>
      <w:r>
        <w:rPr>
          <w:rFonts w:ascii="Arial" w:eastAsia="Arial" w:hAnsi="Arial" w:cs="Arial"/>
          <w:color w:val="0E101A"/>
          <w:sz w:val="22"/>
          <w:szCs w:val="22"/>
        </w:rPr>
        <w:t>rly person is admitted to the care home directly affects the levels and intensity of feelings of isolation and loneliness. The nature and frequency </w:t>
      </w:r>
    </w:p>
    <w:p w14:paraId="7689758D" w14:textId="77777777" w:rsidR="00745BC3" w:rsidRDefault="001C7773">
      <w:pPr>
        <w:pStyle w:val="Heading2"/>
        <w:spacing w:line="360" w:lineRule="auto"/>
        <w:rPr>
          <w:rFonts w:ascii="Arial" w:eastAsia="Arial" w:hAnsi="Arial" w:cs="Arial"/>
          <w:sz w:val="22"/>
          <w:szCs w:val="22"/>
        </w:rPr>
      </w:pPr>
      <w:bookmarkStart w:id="6" w:name="_heading=h.3dy6vkm" w:colFirst="0" w:colLast="0"/>
      <w:bookmarkEnd w:id="6"/>
      <w:r>
        <w:rPr>
          <w:rFonts w:ascii="Arial" w:eastAsia="Arial" w:hAnsi="Arial" w:cs="Arial"/>
          <w:b/>
          <w:color w:val="0E101A"/>
          <w:sz w:val="22"/>
          <w:szCs w:val="22"/>
        </w:rPr>
        <w:t>Current legislation and policies that deal with or aim to raise awareness or reduce loneliness and isolatio</w:t>
      </w:r>
      <w:r>
        <w:rPr>
          <w:rFonts w:ascii="Arial" w:eastAsia="Arial" w:hAnsi="Arial" w:cs="Arial"/>
          <w:b/>
          <w:color w:val="0E101A"/>
          <w:sz w:val="22"/>
          <w:szCs w:val="22"/>
        </w:rPr>
        <w:t>n in the elderly population (UK and country of choice) [Point e] </w:t>
      </w:r>
    </w:p>
    <w:p w14:paraId="126F8CEC"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Isolation and loneliness in later life often result in significant health problems, social exclusion and reduced well-being. However, there remain limited studies and data that elderly peopl</w:t>
      </w:r>
      <w:r>
        <w:rPr>
          <w:rFonts w:ascii="Arial" w:eastAsia="Arial" w:hAnsi="Arial" w:cs="Arial"/>
          <w:color w:val="0E101A"/>
          <w:sz w:val="22"/>
          <w:szCs w:val="22"/>
        </w:rPr>
        <w:t>e ascribe to isolation and loneliness and how they cope and live through these stresses. Much of the available research exists as reflections of people living within the community. However, little is known regarding the lived experiences of people living i</w:t>
      </w:r>
      <w:r>
        <w:rPr>
          <w:rFonts w:ascii="Arial" w:eastAsia="Arial" w:hAnsi="Arial" w:cs="Arial"/>
          <w:color w:val="0E101A"/>
          <w:sz w:val="22"/>
          <w:szCs w:val="22"/>
        </w:rPr>
        <w:t xml:space="preserve">n care settings in the United Kingdom. According to the Prime Minister’s office, a minister for loneliness was appointed in 2018 after evidence began to mount that loneliness and isolation make people sick </w:t>
      </w:r>
      <w:r>
        <w:rPr>
          <w:rFonts w:ascii="Arial" w:eastAsia="Arial" w:hAnsi="Arial" w:cs="Arial"/>
          <w:color w:val="000000"/>
          <w:sz w:val="22"/>
          <w:szCs w:val="22"/>
        </w:rPr>
        <w:t>(Barbosa Neves et al., 2019)</w:t>
      </w:r>
      <w:r>
        <w:rPr>
          <w:rFonts w:ascii="Arial" w:eastAsia="Arial" w:hAnsi="Arial" w:cs="Arial"/>
          <w:color w:val="0E101A"/>
          <w:sz w:val="22"/>
          <w:szCs w:val="22"/>
        </w:rPr>
        <w:t xml:space="preserve">. Across the seas, in </w:t>
      </w:r>
      <w:r>
        <w:rPr>
          <w:rFonts w:ascii="Arial" w:eastAsia="Arial" w:hAnsi="Arial" w:cs="Arial"/>
          <w:color w:val="0E101A"/>
          <w:sz w:val="22"/>
          <w:szCs w:val="22"/>
        </w:rPr>
        <w:t>Canada, for instance, Canadian ministers for Seniors (Government of Canada, 2018) are concerned about the impact of isolation and loneliness among seniors (people above 65 years). </w:t>
      </w:r>
    </w:p>
    <w:p w14:paraId="5C7E0662"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 xml:space="preserve">The Canadian government has taken bold steps in creating awareness towards </w:t>
      </w:r>
      <w:r>
        <w:rPr>
          <w:rFonts w:ascii="Arial" w:eastAsia="Arial" w:hAnsi="Arial" w:cs="Arial"/>
          <w:color w:val="0E101A"/>
          <w:sz w:val="22"/>
          <w:szCs w:val="22"/>
        </w:rPr>
        <w:t xml:space="preserve">dealing with the geriatric giants of loneliness, isolation and elder abuse. Some of the key initiatives as explained by </w:t>
      </w:r>
      <w:r>
        <w:rPr>
          <w:rFonts w:ascii="Arial" w:eastAsia="Arial" w:hAnsi="Arial" w:cs="Arial"/>
          <w:color w:val="000000"/>
          <w:sz w:val="22"/>
          <w:szCs w:val="22"/>
        </w:rPr>
        <w:t xml:space="preserve">Killam (2021) </w:t>
      </w:r>
      <w:r>
        <w:rPr>
          <w:rFonts w:ascii="Arial" w:eastAsia="Arial" w:hAnsi="Arial" w:cs="Arial"/>
          <w:color w:val="0E101A"/>
          <w:sz w:val="22"/>
          <w:szCs w:val="22"/>
        </w:rPr>
        <w:t>include:</w:t>
      </w:r>
    </w:p>
    <w:p w14:paraId="69C7D6D5" w14:textId="77777777" w:rsidR="00745BC3" w:rsidRDefault="001C7773">
      <w:pPr>
        <w:numPr>
          <w:ilvl w:val="0"/>
          <w:numId w:val="1"/>
        </w:numP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In 2009, the government launched the </w:t>
      </w:r>
      <w:r>
        <w:rPr>
          <w:rFonts w:ascii="Arial" w:eastAsia="Arial" w:hAnsi="Arial" w:cs="Arial"/>
          <w:i/>
          <w:color w:val="0E101A"/>
          <w:sz w:val="22"/>
          <w:szCs w:val="22"/>
        </w:rPr>
        <w:t>Elder Abuse – It’s Time to Face the Reality, </w:t>
      </w:r>
      <w:r>
        <w:rPr>
          <w:rFonts w:ascii="Arial" w:eastAsia="Arial" w:hAnsi="Arial" w:cs="Arial"/>
          <w:color w:val="0E101A"/>
          <w:sz w:val="22"/>
          <w:szCs w:val="22"/>
        </w:rPr>
        <w:t>an awareness campaign in both print and television.</w:t>
      </w:r>
    </w:p>
    <w:p w14:paraId="3289A589" w14:textId="77777777" w:rsidR="00745BC3" w:rsidRDefault="001C7773">
      <w:pPr>
        <w:numPr>
          <w:ilvl w:val="0"/>
          <w:numId w:val="1"/>
        </w:numP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In 2013, the Canadian government passed the </w:t>
      </w:r>
      <w:r>
        <w:rPr>
          <w:rFonts w:ascii="Arial" w:eastAsia="Arial" w:hAnsi="Arial" w:cs="Arial"/>
          <w:i/>
          <w:color w:val="0E101A"/>
          <w:sz w:val="22"/>
          <w:szCs w:val="22"/>
        </w:rPr>
        <w:t>Protecting Canada’s Seniors Act </w:t>
      </w:r>
      <w:r>
        <w:rPr>
          <w:rFonts w:ascii="Arial" w:eastAsia="Arial" w:hAnsi="Arial" w:cs="Arial"/>
          <w:color w:val="0E101A"/>
          <w:sz w:val="22"/>
          <w:szCs w:val="22"/>
        </w:rPr>
        <w:t>which amended the criminal code, considering age as an aggravating factor for crimi</w:t>
      </w:r>
      <w:r>
        <w:rPr>
          <w:rFonts w:ascii="Arial" w:eastAsia="Arial" w:hAnsi="Arial" w:cs="Arial"/>
          <w:color w:val="0E101A"/>
          <w:sz w:val="22"/>
          <w:szCs w:val="22"/>
        </w:rPr>
        <w:t>nal sentencing. </w:t>
      </w:r>
    </w:p>
    <w:p w14:paraId="65A051C8" w14:textId="77777777" w:rsidR="00745BC3" w:rsidRDefault="001C7773">
      <w:pPr>
        <w:numPr>
          <w:ilvl w:val="0"/>
          <w:numId w:val="1"/>
        </w:numP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In 2014, the </w:t>
      </w:r>
      <w:r>
        <w:rPr>
          <w:rFonts w:ascii="Arial" w:eastAsia="Arial" w:hAnsi="Arial" w:cs="Arial"/>
          <w:i/>
          <w:color w:val="0E101A"/>
          <w:sz w:val="22"/>
          <w:szCs w:val="22"/>
        </w:rPr>
        <w:t>Canadian Victims Bill of Rights </w:t>
      </w:r>
      <w:r>
        <w:rPr>
          <w:rFonts w:ascii="Arial" w:eastAsia="Arial" w:hAnsi="Arial" w:cs="Arial"/>
          <w:color w:val="0E101A"/>
          <w:sz w:val="22"/>
          <w:szCs w:val="22"/>
        </w:rPr>
        <w:t>was adopted, where victims of crime were given statutory rights. </w:t>
      </w:r>
    </w:p>
    <w:p w14:paraId="526E5DC4" w14:textId="77777777" w:rsidR="00745BC3" w:rsidRDefault="001C7773">
      <w:pPr>
        <w:numPr>
          <w:ilvl w:val="0"/>
          <w:numId w:val="1"/>
        </w:numP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In 2015, the Canadian government launched the </w:t>
      </w:r>
      <w:hyperlink r:id="rId9">
        <w:r>
          <w:rPr>
            <w:rFonts w:ascii="Arial" w:eastAsia="Arial" w:hAnsi="Arial" w:cs="Arial"/>
            <w:i/>
            <w:color w:val="0E101A"/>
            <w:sz w:val="22"/>
            <w:szCs w:val="22"/>
            <w:u w:val="single"/>
          </w:rPr>
          <w:t>www.seniors.gc.ca</w:t>
        </w:r>
      </w:hyperlink>
      <w:r>
        <w:rPr>
          <w:rFonts w:ascii="Arial" w:eastAsia="Arial" w:hAnsi="Arial" w:cs="Arial"/>
          <w:i/>
          <w:color w:val="0E101A"/>
          <w:sz w:val="22"/>
          <w:szCs w:val="22"/>
        </w:rPr>
        <w:t> </w:t>
      </w:r>
      <w:r>
        <w:rPr>
          <w:rFonts w:ascii="Arial" w:eastAsia="Arial" w:hAnsi="Arial" w:cs="Arial"/>
          <w:color w:val="0E101A"/>
          <w:sz w:val="22"/>
          <w:szCs w:val="22"/>
        </w:rPr>
        <w:t>website to create awareness and act as a resource centre on issues of social isolation and elder abuse. </w:t>
      </w:r>
    </w:p>
    <w:p w14:paraId="6F10088F" w14:textId="77777777" w:rsidR="00745BC3" w:rsidRDefault="001C7773">
      <w:pPr>
        <w:numPr>
          <w:ilvl w:val="0"/>
          <w:numId w:val="1"/>
        </w:numP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The launch and funding of the </w:t>
      </w:r>
      <w:r>
        <w:rPr>
          <w:rFonts w:ascii="Arial" w:eastAsia="Arial" w:hAnsi="Arial" w:cs="Arial"/>
          <w:i/>
          <w:color w:val="0E101A"/>
          <w:sz w:val="22"/>
          <w:szCs w:val="22"/>
        </w:rPr>
        <w:t>New Horizons for Seniors Program (NHSP)</w:t>
      </w:r>
      <w:r>
        <w:rPr>
          <w:rFonts w:ascii="Arial" w:eastAsia="Arial" w:hAnsi="Arial" w:cs="Arial"/>
          <w:color w:val="0E101A"/>
          <w:sz w:val="22"/>
          <w:szCs w:val="22"/>
        </w:rPr>
        <w:t> in 2018 aimed at helping not-for-profit and for-profit organization</w:t>
      </w:r>
      <w:r>
        <w:rPr>
          <w:rFonts w:ascii="Arial" w:eastAsia="Arial" w:hAnsi="Arial" w:cs="Arial"/>
          <w:color w:val="0E101A"/>
          <w:sz w:val="22"/>
          <w:szCs w:val="22"/>
        </w:rPr>
        <w:t>s support older adults through projects that mitigate loneliness and social isolation risks.  </w:t>
      </w:r>
    </w:p>
    <w:p w14:paraId="5525466A"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In the UK, on the other hand, The Care Act 2014 identifies employment as a major aspect of well-being, volunteering, social connections and other aspects of soci</w:t>
      </w:r>
      <w:r>
        <w:rPr>
          <w:rFonts w:ascii="Arial" w:eastAsia="Arial" w:hAnsi="Arial" w:cs="Arial"/>
          <w:color w:val="0E101A"/>
          <w:sz w:val="22"/>
          <w:szCs w:val="22"/>
        </w:rPr>
        <w:t xml:space="preserve">al life. The </w:t>
      </w:r>
      <w:r>
        <w:rPr>
          <w:rFonts w:ascii="Arial" w:eastAsia="Arial" w:hAnsi="Arial" w:cs="Arial"/>
          <w:color w:val="0E101A"/>
          <w:sz w:val="22"/>
          <w:szCs w:val="22"/>
        </w:rPr>
        <w:lastRenderedPageBreak/>
        <w:t>government recognizes the broader issues of social isolation and loneliness through initiatives such as the campaign to end loneliness at </w:t>
      </w:r>
      <w:hyperlink r:id="rId10">
        <w:r>
          <w:rPr>
            <w:rFonts w:ascii="Arial" w:eastAsia="Arial" w:hAnsi="Arial" w:cs="Arial"/>
            <w:color w:val="4A6EE0"/>
            <w:sz w:val="22"/>
            <w:szCs w:val="22"/>
            <w:u w:val="single"/>
          </w:rPr>
          <w:t>www.campaintoendloneliness</w:t>
        </w:r>
      </w:hyperlink>
      <w:r>
        <w:rPr>
          <w:rFonts w:ascii="Arial" w:eastAsia="Arial" w:hAnsi="Arial" w:cs="Arial"/>
          <w:color w:val="0E101A"/>
          <w:sz w:val="22"/>
          <w:szCs w:val="22"/>
        </w:rPr>
        <w:t>. The UK government has also identified five underpinning programs to support national and local care implementation for elderly people. Such programs include Finance, research and development, workforce, information strategy for older people and cl</w:t>
      </w:r>
      <w:r>
        <w:rPr>
          <w:rFonts w:ascii="Arial" w:eastAsia="Arial" w:hAnsi="Arial" w:cs="Arial"/>
          <w:color w:val="0E101A"/>
          <w:sz w:val="22"/>
          <w:szCs w:val="22"/>
        </w:rPr>
        <w:t>inical and practice decision support services. </w:t>
      </w:r>
    </w:p>
    <w:p w14:paraId="120B4314" w14:textId="77777777" w:rsidR="00745BC3" w:rsidRDefault="001C7773">
      <w:pPr>
        <w:pStyle w:val="Heading2"/>
        <w:spacing w:line="360" w:lineRule="auto"/>
        <w:rPr>
          <w:rFonts w:ascii="Arial" w:eastAsia="Arial" w:hAnsi="Arial" w:cs="Arial"/>
          <w:sz w:val="22"/>
          <w:szCs w:val="22"/>
        </w:rPr>
      </w:pPr>
      <w:bookmarkStart w:id="7" w:name="_heading=h.1t3h5sf" w:colFirst="0" w:colLast="0"/>
      <w:bookmarkEnd w:id="7"/>
      <w:r>
        <w:rPr>
          <w:rFonts w:ascii="Arial" w:eastAsia="Arial" w:hAnsi="Arial" w:cs="Arial"/>
          <w:b/>
          <w:color w:val="0E101A"/>
          <w:sz w:val="22"/>
          <w:szCs w:val="22"/>
        </w:rPr>
        <w:t>Local, national and global provider of services for the older person in line with current initiatives and policy (UK and country of choice) [Point f]</w:t>
      </w:r>
    </w:p>
    <w:p w14:paraId="5518FF53"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      The National Service Framework is a comprehensive strategy aimed at ensuring integrated and high-quality social care services for older people in the UK. The 10-year program linked services to support to promote good health, support independence, cul</w:t>
      </w:r>
      <w:r>
        <w:rPr>
          <w:rFonts w:ascii="Arial" w:eastAsia="Arial" w:hAnsi="Arial" w:cs="Arial"/>
          <w:color w:val="0E101A"/>
          <w:sz w:val="22"/>
          <w:szCs w:val="22"/>
        </w:rPr>
        <w:t xml:space="preserve">ture change and specialized service delivery to promote quality health </w:t>
      </w:r>
      <w:r>
        <w:rPr>
          <w:rFonts w:ascii="Arial" w:eastAsia="Arial" w:hAnsi="Arial" w:cs="Arial"/>
          <w:color w:val="000000"/>
          <w:sz w:val="22"/>
          <w:szCs w:val="22"/>
        </w:rPr>
        <w:t>(Barbosa Neves et al., 2019)</w:t>
      </w:r>
      <w:r>
        <w:rPr>
          <w:rFonts w:ascii="Arial" w:eastAsia="Arial" w:hAnsi="Arial" w:cs="Arial"/>
          <w:color w:val="0E101A"/>
          <w:sz w:val="22"/>
          <w:szCs w:val="22"/>
        </w:rPr>
        <w:t xml:space="preserve">. As Global leaders in several aspects of care for the elderly in societies, the social care services and the NHS in England </w:t>
      </w:r>
      <w:proofErr w:type="gramStart"/>
      <w:r>
        <w:rPr>
          <w:rFonts w:ascii="Arial" w:eastAsia="Arial" w:hAnsi="Arial" w:cs="Arial"/>
          <w:color w:val="0E101A"/>
          <w:sz w:val="22"/>
          <w:szCs w:val="22"/>
        </w:rPr>
        <w:t>took action</w:t>
      </w:r>
      <w:proofErr w:type="gramEnd"/>
      <w:r>
        <w:rPr>
          <w:rFonts w:ascii="Arial" w:eastAsia="Arial" w:hAnsi="Arial" w:cs="Arial"/>
          <w:color w:val="0E101A"/>
          <w:sz w:val="22"/>
          <w:szCs w:val="22"/>
        </w:rPr>
        <w:t xml:space="preserve"> to; improve care sta</w:t>
      </w:r>
      <w:r>
        <w:rPr>
          <w:rFonts w:ascii="Arial" w:eastAsia="Arial" w:hAnsi="Arial" w:cs="Arial"/>
          <w:color w:val="0E101A"/>
          <w:sz w:val="22"/>
          <w:szCs w:val="22"/>
        </w:rPr>
        <w:t>ndards, extend service access, ensure long-term care funding, promote services intended to support independence and assist the elderly to stay healthy. The National Service Framework was designed to ensure service delivery across local, national, and, if a</w:t>
      </w:r>
      <w:r>
        <w:rPr>
          <w:rFonts w:ascii="Arial" w:eastAsia="Arial" w:hAnsi="Arial" w:cs="Arial"/>
          <w:color w:val="0E101A"/>
          <w:sz w:val="22"/>
          <w:szCs w:val="22"/>
        </w:rPr>
        <w:t xml:space="preserve">dopted, international borders. It is also through the National Service Framework that interventions to reduce loneliness and social isolation have been established. Such interventions </w:t>
      </w:r>
      <w:proofErr w:type="gramStart"/>
      <w:r>
        <w:rPr>
          <w:rFonts w:ascii="Arial" w:eastAsia="Arial" w:hAnsi="Arial" w:cs="Arial"/>
          <w:color w:val="0E101A"/>
          <w:sz w:val="22"/>
          <w:szCs w:val="22"/>
        </w:rPr>
        <w:t>include;</w:t>
      </w:r>
      <w:proofErr w:type="gramEnd"/>
      <w:r>
        <w:rPr>
          <w:rFonts w:ascii="Arial" w:eastAsia="Arial" w:hAnsi="Arial" w:cs="Arial"/>
          <w:color w:val="0E101A"/>
          <w:sz w:val="22"/>
          <w:szCs w:val="22"/>
        </w:rPr>
        <w:t xml:space="preserve"> one-on-one interventions, group-based interventions and technol</w:t>
      </w:r>
      <w:r>
        <w:rPr>
          <w:rFonts w:ascii="Arial" w:eastAsia="Arial" w:hAnsi="Arial" w:cs="Arial"/>
          <w:color w:val="0E101A"/>
          <w:sz w:val="22"/>
          <w:szCs w:val="22"/>
        </w:rPr>
        <w:t>ogy-focused interventions. </w:t>
      </w:r>
    </w:p>
    <w:p w14:paraId="3B0801AC"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           Canada’s office of the Minister of State (Seniors) within the Employment and Social Development Canada (ESDC) is tasked with cooperating with other ministries and departments involved in developing policies and progra</w:t>
      </w:r>
      <w:r>
        <w:rPr>
          <w:rFonts w:ascii="Arial" w:eastAsia="Arial" w:hAnsi="Arial" w:cs="Arial"/>
          <w:color w:val="0E101A"/>
          <w:sz w:val="22"/>
          <w:szCs w:val="22"/>
        </w:rPr>
        <w:t xml:space="preserve">ms affecting seniors. Among many of its tasks, the National Seniors Council (NSC) focuses on attracting and retaining older workers to tackle the issue of social isolation and loneliness among seniors </w:t>
      </w:r>
      <w:r>
        <w:rPr>
          <w:rFonts w:ascii="Arial" w:eastAsia="Arial" w:hAnsi="Arial" w:cs="Arial"/>
          <w:color w:val="000000"/>
          <w:sz w:val="22"/>
          <w:szCs w:val="22"/>
        </w:rPr>
        <w:t>(Killam, 2021)</w:t>
      </w:r>
      <w:r>
        <w:rPr>
          <w:rFonts w:ascii="Arial" w:eastAsia="Arial" w:hAnsi="Arial" w:cs="Arial"/>
          <w:color w:val="0E101A"/>
          <w:sz w:val="22"/>
          <w:szCs w:val="22"/>
        </w:rPr>
        <w:t>. To help seniors plan for Ageing and bal</w:t>
      </w:r>
      <w:r>
        <w:rPr>
          <w:rFonts w:ascii="Arial" w:eastAsia="Arial" w:hAnsi="Arial" w:cs="Arial"/>
          <w:color w:val="0E101A"/>
          <w:sz w:val="22"/>
          <w:szCs w:val="22"/>
        </w:rPr>
        <w:t>ance between work and elder care responsibilities throughout the nation, the Federal/Provincial/territorial ministers responsible for the seniors' Forum are tasked with meeting annually towards these efforts. Under The Old Age Security Program (OAS), elder</w:t>
      </w:r>
      <w:r>
        <w:rPr>
          <w:rFonts w:ascii="Arial" w:eastAsia="Arial" w:hAnsi="Arial" w:cs="Arial"/>
          <w:color w:val="0E101A"/>
          <w:sz w:val="22"/>
          <w:szCs w:val="22"/>
        </w:rPr>
        <w:t>ly people benefit from the OAS pension, the GIS (Guaranteed Income Supplement), and the allowances that ensure seniors do not struggle financially in their twilight years. The programs extend throughout the nation and are intended to reach every senior wit</w:t>
      </w:r>
      <w:r>
        <w:rPr>
          <w:rFonts w:ascii="Arial" w:eastAsia="Arial" w:hAnsi="Arial" w:cs="Arial"/>
          <w:color w:val="0E101A"/>
          <w:sz w:val="22"/>
          <w:szCs w:val="22"/>
        </w:rPr>
        <w:t>hin the country.        </w:t>
      </w:r>
    </w:p>
    <w:p w14:paraId="3D34FA40" w14:textId="77777777" w:rsidR="00745BC3" w:rsidRDefault="001C7773">
      <w:pPr>
        <w:pStyle w:val="Heading2"/>
        <w:spacing w:line="360" w:lineRule="auto"/>
        <w:rPr>
          <w:rFonts w:ascii="Arial" w:eastAsia="Arial" w:hAnsi="Arial" w:cs="Arial"/>
          <w:sz w:val="22"/>
          <w:szCs w:val="22"/>
        </w:rPr>
      </w:pPr>
      <w:bookmarkStart w:id="8" w:name="_heading=h.4d34og8" w:colFirst="0" w:colLast="0"/>
      <w:bookmarkEnd w:id="8"/>
      <w:r>
        <w:rPr>
          <w:rFonts w:ascii="Arial" w:eastAsia="Arial" w:hAnsi="Arial" w:cs="Arial"/>
          <w:b/>
          <w:color w:val="0E101A"/>
          <w:sz w:val="22"/>
          <w:szCs w:val="22"/>
        </w:rPr>
        <w:lastRenderedPageBreak/>
        <w:t>The prospective future of the care of the older person; what changes could be made to the programmes aimed at addressing the problem of loneliness among the elderly (UK and country of choice [Point g] </w:t>
      </w:r>
    </w:p>
    <w:p w14:paraId="34715021"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Research indicates that isola</w:t>
      </w:r>
      <w:r>
        <w:rPr>
          <w:rFonts w:ascii="Arial" w:eastAsia="Arial" w:hAnsi="Arial" w:cs="Arial"/>
          <w:color w:val="0E101A"/>
          <w:sz w:val="22"/>
          <w:szCs w:val="22"/>
        </w:rPr>
        <w:t xml:space="preserve">tion and loneliness increase the likelihood of individuals experiencing </w:t>
      </w:r>
      <w:proofErr w:type="spellStart"/>
      <w:r>
        <w:rPr>
          <w:rFonts w:ascii="Arial" w:eastAsia="Arial" w:hAnsi="Arial" w:cs="Arial"/>
          <w:color w:val="0E101A"/>
          <w:sz w:val="22"/>
          <w:szCs w:val="22"/>
        </w:rPr>
        <w:t>unfavorable</w:t>
      </w:r>
      <w:proofErr w:type="spellEnd"/>
      <w:r>
        <w:rPr>
          <w:rFonts w:ascii="Arial" w:eastAsia="Arial" w:hAnsi="Arial" w:cs="Arial"/>
          <w:color w:val="0E101A"/>
          <w:sz w:val="22"/>
          <w:szCs w:val="22"/>
        </w:rPr>
        <w:t xml:space="preserve"> health outcomes and conditions such as depression, Alzheimer’s disease, high blood pressure, heart disease, a decline in cognitive function, and obesity </w:t>
      </w:r>
      <w:r>
        <w:rPr>
          <w:rFonts w:ascii="Arial" w:eastAsia="Arial" w:hAnsi="Arial" w:cs="Arial"/>
          <w:color w:val="000000"/>
          <w:sz w:val="22"/>
          <w:szCs w:val="22"/>
        </w:rPr>
        <w:t>(</w:t>
      </w:r>
      <w:proofErr w:type="spellStart"/>
      <w:r>
        <w:rPr>
          <w:rFonts w:ascii="Arial" w:eastAsia="Arial" w:hAnsi="Arial" w:cs="Arial"/>
          <w:color w:val="000000"/>
          <w:sz w:val="22"/>
          <w:szCs w:val="22"/>
        </w:rPr>
        <w:t>Tagupa</w:t>
      </w:r>
      <w:proofErr w:type="spellEnd"/>
      <w:r>
        <w:rPr>
          <w:rFonts w:ascii="Arial" w:eastAsia="Arial" w:hAnsi="Arial" w:cs="Arial"/>
          <w:color w:val="000000"/>
          <w:sz w:val="22"/>
          <w:szCs w:val="22"/>
        </w:rPr>
        <w:t>, 2020)</w:t>
      </w:r>
      <w:r>
        <w:rPr>
          <w:rFonts w:ascii="Arial" w:eastAsia="Arial" w:hAnsi="Arial" w:cs="Arial"/>
          <w:color w:val="0E101A"/>
          <w:sz w:val="22"/>
          <w:szCs w:val="22"/>
        </w:rPr>
        <w:t>. Des</w:t>
      </w:r>
      <w:r>
        <w:rPr>
          <w:rFonts w:ascii="Arial" w:eastAsia="Arial" w:hAnsi="Arial" w:cs="Arial"/>
          <w:color w:val="0E101A"/>
          <w:sz w:val="22"/>
          <w:szCs w:val="22"/>
        </w:rPr>
        <w:t>pite the numerous interventions deployed to tackle loneliness and isolation among the elderly, there are significant heterogeneities between interventions. The effectiveness of the interventions largely depends on the content, specific group, and context w</w:t>
      </w:r>
      <w:r>
        <w:rPr>
          <w:rFonts w:ascii="Arial" w:eastAsia="Arial" w:hAnsi="Arial" w:cs="Arial"/>
          <w:color w:val="0E101A"/>
          <w:sz w:val="22"/>
          <w:szCs w:val="22"/>
        </w:rPr>
        <w:t>ithin which these interventions are offered. The WHO explains that the future of ''active ageing'' lies in creating and optimizing security and health participation to improve the quality of life as people progress in age. Providing opportunities for the o</w:t>
      </w:r>
      <w:r>
        <w:rPr>
          <w:rFonts w:ascii="Arial" w:eastAsia="Arial" w:hAnsi="Arial" w:cs="Arial"/>
          <w:color w:val="0E101A"/>
          <w:sz w:val="22"/>
          <w:szCs w:val="22"/>
        </w:rPr>
        <w:t>lder people to participate in cultural and social. Civic, economic and spiritual affairs should prioritize legislative leaders besides providing facilities that promote physical abilities. In the UK, 10% of the elderly (people above 65 years) have reported</w:t>
      </w:r>
      <w:r>
        <w:rPr>
          <w:rFonts w:ascii="Arial" w:eastAsia="Arial" w:hAnsi="Arial" w:cs="Arial"/>
          <w:color w:val="0E101A"/>
          <w:sz w:val="22"/>
          <w:szCs w:val="22"/>
        </w:rPr>
        <w:t xml:space="preserve"> feeling lonely and isolated, according to </w:t>
      </w:r>
      <w:r>
        <w:rPr>
          <w:rFonts w:ascii="Arial" w:eastAsia="Arial" w:hAnsi="Arial" w:cs="Arial"/>
          <w:color w:val="000000"/>
          <w:sz w:val="22"/>
          <w:szCs w:val="22"/>
        </w:rPr>
        <w:t>Conroy et al., (2020)</w:t>
      </w:r>
      <w:r>
        <w:rPr>
          <w:rFonts w:ascii="Arial" w:eastAsia="Arial" w:hAnsi="Arial" w:cs="Arial"/>
          <w:color w:val="0E101A"/>
          <w:sz w:val="22"/>
          <w:szCs w:val="22"/>
        </w:rPr>
        <w:t>. hence the need to identify and reduce barriers to older people's participation in society. </w:t>
      </w:r>
    </w:p>
    <w:p w14:paraId="7A1BC485"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In both the UK and Canada, several changes could be made to the programs to handle the geriatric g</w:t>
      </w:r>
      <w:r>
        <w:rPr>
          <w:rFonts w:ascii="Arial" w:eastAsia="Arial" w:hAnsi="Arial" w:cs="Arial"/>
          <w:color w:val="0E101A"/>
          <w:sz w:val="22"/>
          <w:szCs w:val="22"/>
        </w:rPr>
        <w:t>iants that are lonely and isolated. Identifying, optimizing and assessing the social determinants of health among the elderly living in care homes and within the community, such as the economic and environmental factors, can significantly help the ageing p</w:t>
      </w:r>
      <w:r>
        <w:rPr>
          <w:rFonts w:ascii="Arial" w:eastAsia="Arial" w:hAnsi="Arial" w:cs="Arial"/>
          <w:color w:val="0E101A"/>
          <w:sz w:val="22"/>
          <w:szCs w:val="22"/>
        </w:rPr>
        <w:t>opulation. Additionally, considering recommendations from studies such as the BMA's report on </w:t>
      </w:r>
      <w:r>
        <w:rPr>
          <w:rFonts w:ascii="Arial" w:eastAsia="Arial" w:hAnsi="Arial" w:cs="Arial"/>
          <w:i/>
          <w:color w:val="0E101A"/>
          <w:sz w:val="22"/>
          <w:szCs w:val="22"/>
        </w:rPr>
        <w:t>Ageing and the workplace </w:t>
      </w:r>
      <w:r>
        <w:rPr>
          <w:rFonts w:ascii="Arial" w:eastAsia="Arial" w:hAnsi="Arial" w:cs="Arial"/>
          <w:color w:val="0E101A"/>
          <w:sz w:val="22"/>
          <w:szCs w:val="22"/>
        </w:rPr>
        <w:t>will help legislators and policymakers draft policies that align with the needs of the older workers in society. </w:t>
      </w:r>
    </w:p>
    <w:p w14:paraId="164F2DE9" w14:textId="77777777" w:rsidR="00745BC3" w:rsidRDefault="001C7773">
      <w:pPr>
        <w:pStyle w:val="Heading2"/>
        <w:spacing w:line="360" w:lineRule="auto"/>
        <w:rPr>
          <w:rFonts w:ascii="Arial" w:eastAsia="Arial" w:hAnsi="Arial" w:cs="Arial"/>
          <w:sz w:val="22"/>
          <w:szCs w:val="22"/>
        </w:rPr>
      </w:pPr>
      <w:bookmarkStart w:id="9" w:name="_heading=h.2s8eyo1" w:colFirst="0" w:colLast="0"/>
      <w:bookmarkEnd w:id="9"/>
      <w:r>
        <w:rPr>
          <w:rFonts w:ascii="Arial" w:eastAsia="Arial" w:hAnsi="Arial" w:cs="Arial"/>
          <w:b/>
          <w:color w:val="0E101A"/>
          <w:sz w:val="22"/>
          <w:szCs w:val="22"/>
        </w:rPr>
        <w:t>Use of technology for t</w:t>
      </w:r>
      <w:r>
        <w:rPr>
          <w:rFonts w:ascii="Arial" w:eastAsia="Arial" w:hAnsi="Arial" w:cs="Arial"/>
          <w:b/>
          <w:color w:val="0E101A"/>
          <w:sz w:val="22"/>
          <w:szCs w:val="22"/>
        </w:rPr>
        <w:t>he provision of care provision to lonely older persons. (UK and country of choice) [Point g] </w:t>
      </w:r>
    </w:p>
    <w:p w14:paraId="76A10667"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In both the UK and Canada, the development trend of technological interventions for older people has gradually evolved from emotional support through animal robot</w:t>
      </w:r>
      <w:r>
        <w:rPr>
          <w:rFonts w:ascii="Arial" w:eastAsia="Arial" w:hAnsi="Arial" w:cs="Arial"/>
          <w:color w:val="0E101A"/>
          <w:sz w:val="22"/>
          <w:szCs w:val="22"/>
        </w:rPr>
        <w:t xml:space="preserve">s to online social platforms encouraging participation, nutrition, cognition, sleep and physical activity </w:t>
      </w:r>
      <w:r>
        <w:rPr>
          <w:rFonts w:ascii="Arial" w:eastAsia="Arial" w:hAnsi="Arial" w:cs="Arial"/>
          <w:color w:val="000000"/>
          <w:sz w:val="22"/>
          <w:szCs w:val="22"/>
        </w:rPr>
        <w:t>(Choi &amp; Lee, 2021)</w:t>
      </w:r>
      <w:r>
        <w:rPr>
          <w:rFonts w:ascii="Arial" w:eastAsia="Arial" w:hAnsi="Arial" w:cs="Arial"/>
          <w:color w:val="0E101A"/>
          <w:sz w:val="22"/>
          <w:szCs w:val="22"/>
        </w:rPr>
        <w:t>. Studies have shown that technological interventions have improved isolation cases, loneliness, social support, satisfaction, and o</w:t>
      </w:r>
      <w:r>
        <w:rPr>
          <w:rFonts w:ascii="Arial" w:eastAsia="Arial" w:hAnsi="Arial" w:cs="Arial"/>
          <w:color w:val="0E101A"/>
          <w:sz w:val="22"/>
          <w:szCs w:val="22"/>
        </w:rPr>
        <w:t>verall quality of life. According to the UN, while health services have been the most developed resource for the elderly, technological advancements are yet to reach such levels. Technology helps the elderly overcome age-related barriers in hearing, cognit</w:t>
      </w:r>
      <w:r>
        <w:rPr>
          <w:rFonts w:ascii="Arial" w:eastAsia="Arial" w:hAnsi="Arial" w:cs="Arial"/>
          <w:color w:val="0E101A"/>
          <w:sz w:val="22"/>
          <w:szCs w:val="22"/>
        </w:rPr>
        <w:t xml:space="preserve">ion, hearing and dexterity through text-to-voice and voice-to-text virtual assistants as the best example </w:t>
      </w:r>
      <w:r>
        <w:rPr>
          <w:rFonts w:ascii="Arial" w:eastAsia="Arial" w:hAnsi="Arial" w:cs="Arial"/>
          <w:color w:val="000000"/>
          <w:sz w:val="22"/>
          <w:szCs w:val="22"/>
        </w:rPr>
        <w:t>(Conroy et al., 2020)</w:t>
      </w:r>
      <w:r>
        <w:rPr>
          <w:rFonts w:ascii="Arial" w:eastAsia="Arial" w:hAnsi="Arial" w:cs="Arial"/>
          <w:color w:val="0E101A"/>
          <w:sz w:val="22"/>
          <w:szCs w:val="22"/>
        </w:rPr>
        <w:t xml:space="preserve">. The recent COVID-19 pandemic that </w:t>
      </w:r>
      <w:r>
        <w:rPr>
          <w:rFonts w:ascii="Arial" w:eastAsia="Arial" w:hAnsi="Arial" w:cs="Arial"/>
          <w:color w:val="0E101A"/>
          <w:sz w:val="22"/>
          <w:szCs w:val="22"/>
        </w:rPr>
        <w:lastRenderedPageBreak/>
        <w:t>rendered movement and social gatherings almost impossible highlighted the need for technology</w:t>
      </w:r>
      <w:r>
        <w:rPr>
          <w:rFonts w:ascii="Arial" w:eastAsia="Arial" w:hAnsi="Arial" w:cs="Arial"/>
          <w:color w:val="0E101A"/>
          <w:sz w:val="22"/>
          <w:szCs w:val="22"/>
        </w:rPr>
        <w:t xml:space="preserve"> in dealing with loneliness and isolation, especially among older people. </w:t>
      </w:r>
    </w:p>
    <w:p w14:paraId="1A7F978E" w14:textId="77777777" w:rsidR="00745BC3" w:rsidRDefault="001C7773">
      <w:pPr>
        <w:pStyle w:val="Heading1"/>
      </w:pPr>
      <w:bookmarkStart w:id="10" w:name="_heading=h.17dp8vu" w:colFirst="0" w:colLast="0"/>
      <w:bookmarkEnd w:id="10"/>
      <w:r>
        <w:t>3. Recommendations      </w:t>
      </w:r>
    </w:p>
    <w:p w14:paraId="2BE5D90F" w14:textId="77777777" w:rsidR="00745BC3" w:rsidRDefault="001C7773">
      <w:pPr>
        <w:pBdr>
          <w:top w:val="nil"/>
          <w:left w:val="nil"/>
          <w:bottom w:val="nil"/>
          <w:right w:val="nil"/>
          <w:between w:val="nil"/>
        </w:pBdr>
        <w:spacing w:after="0" w:line="360" w:lineRule="auto"/>
        <w:ind w:firstLine="720"/>
        <w:rPr>
          <w:rFonts w:ascii="Arial" w:eastAsia="Arial" w:hAnsi="Arial" w:cs="Arial"/>
          <w:color w:val="0E101A"/>
          <w:sz w:val="22"/>
          <w:szCs w:val="22"/>
        </w:rPr>
      </w:pPr>
      <w:r>
        <w:rPr>
          <w:rFonts w:ascii="Arial" w:eastAsia="Arial" w:hAnsi="Arial" w:cs="Arial"/>
          <w:color w:val="0E101A"/>
          <w:sz w:val="22"/>
          <w:szCs w:val="22"/>
        </w:rPr>
        <w:t xml:space="preserve">What does it mean to understand loneliness and social isolation among the elderly, and what can be done? First, there exists an obvious need to improve the </w:t>
      </w:r>
      <w:r>
        <w:rPr>
          <w:rFonts w:ascii="Arial" w:eastAsia="Arial" w:hAnsi="Arial" w:cs="Arial"/>
          <w:color w:val="0E101A"/>
          <w:sz w:val="22"/>
          <w:szCs w:val="22"/>
        </w:rPr>
        <w:t>existing body of literature by conducting more research in both the UK and Canada, especially regarding people living in care homes. Although there remains a complex relationship that is difficult to isolate between social service usage, social isolation a</w:t>
      </w:r>
      <w:r>
        <w:rPr>
          <w:rFonts w:ascii="Arial" w:eastAsia="Arial" w:hAnsi="Arial" w:cs="Arial"/>
          <w:color w:val="0E101A"/>
          <w:sz w:val="22"/>
          <w:szCs w:val="22"/>
        </w:rPr>
        <w:t xml:space="preserve">nd loneliness, links exist that can be exploited to help seniors live out their years with the same quality of life they had before or even better </w:t>
      </w:r>
      <w:r>
        <w:rPr>
          <w:rFonts w:ascii="Arial" w:eastAsia="Arial" w:hAnsi="Arial" w:cs="Arial"/>
          <w:color w:val="000000"/>
          <w:sz w:val="22"/>
          <w:szCs w:val="22"/>
        </w:rPr>
        <w:t>(</w:t>
      </w:r>
      <w:proofErr w:type="spellStart"/>
      <w:r>
        <w:rPr>
          <w:rFonts w:ascii="Arial" w:eastAsia="Arial" w:hAnsi="Arial" w:cs="Arial"/>
          <w:color w:val="000000"/>
          <w:sz w:val="22"/>
          <w:szCs w:val="22"/>
        </w:rPr>
        <w:t>Tagupa</w:t>
      </w:r>
      <w:proofErr w:type="spellEnd"/>
      <w:r>
        <w:rPr>
          <w:rFonts w:ascii="Arial" w:eastAsia="Arial" w:hAnsi="Arial" w:cs="Arial"/>
          <w:color w:val="000000"/>
          <w:sz w:val="22"/>
          <w:szCs w:val="22"/>
        </w:rPr>
        <w:t>, 2020)</w:t>
      </w:r>
      <w:r>
        <w:rPr>
          <w:rFonts w:ascii="Arial" w:eastAsia="Arial" w:hAnsi="Arial" w:cs="Arial"/>
          <w:color w:val="0E101A"/>
          <w:sz w:val="22"/>
          <w:szCs w:val="22"/>
        </w:rPr>
        <w:t>. Studies have alluded to the need for longitudinal studies to understand better the factors th</w:t>
      </w:r>
      <w:r>
        <w:rPr>
          <w:rFonts w:ascii="Arial" w:eastAsia="Arial" w:hAnsi="Arial" w:cs="Arial"/>
          <w:color w:val="0E101A"/>
          <w:sz w:val="22"/>
          <w:szCs w:val="22"/>
        </w:rPr>
        <w:t>at reduce or increase the risks of loneliness and social isolation. Additionally, several challenges regarding the research into loneliness and social isolation exist because of the lack of consistency in the usage of both terms. However, practitioners are</w:t>
      </w:r>
      <w:r>
        <w:rPr>
          <w:rFonts w:ascii="Arial" w:eastAsia="Arial" w:hAnsi="Arial" w:cs="Arial"/>
          <w:color w:val="0E101A"/>
          <w:sz w:val="22"/>
          <w:szCs w:val="22"/>
        </w:rPr>
        <w:t xml:space="preserve"> mandated with developing strategies that can eliminate or reduce causes of loneliness and social isolation to the possible extent </w:t>
      </w:r>
      <w:r>
        <w:rPr>
          <w:rFonts w:ascii="Arial" w:eastAsia="Arial" w:hAnsi="Arial" w:cs="Arial"/>
          <w:color w:val="000000"/>
          <w:sz w:val="22"/>
          <w:szCs w:val="22"/>
        </w:rPr>
        <w:t>(Choi &amp; Lee, 2021)</w:t>
      </w:r>
      <w:r>
        <w:rPr>
          <w:rFonts w:ascii="Arial" w:eastAsia="Arial" w:hAnsi="Arial" w:cs="Arial"/>
          <w:color w:val="0E101A"/>
          <w:sz w:val="22"/>
          <w:szCs w:val="22"/>
        </w:rPr>
        <w:t>. Other modes of intervention need to be researched and implemented, especially those that have already been proven effective. On the other hand, governments should consider incorporating strategies that promote health and well-being policies tailored to r</w:t>
      </w:r>
      <w:r>
        <w:rPr>
          <w:rFonts w:ascii="Arial" w:eastAsia="Arial" w:hAnsi="Arial" w:cs="Arial"/>
          <w:color w:val="0E101A"/>
          <w:sz w:val="22"/>
          <w:szCs w:val="22"/>
        </w:rPr>
        <w:t>educe loneliness and social isolation. </w:t>
      </w:r>
    </w:p>
    <w:p w14:paraId="2BC4F050" w14:textId="77777777" w:rsidR="00745BC3" w:rsidRDefault="001C7773">
      <w:pPr>
        <w:pStyle w:val="Heading1"/>
      </w:pPr>
      <w:bookmarkStart w:id="11" w:name="_heading=h.3rdcrjn" w:colFirst="0" w:colLast="0"/>
      <w:bookmarkEnd w:id="11"/>
      <w:r>
        <w:t>4. Conclusion</w:t>
      </w:r>
    </w:p>
    <w:p w14:paraId="3D43FB10" w14:textId="77777777" w:rsidR="00745BC3" w:rsidRDefault="001C7773">
      <w:pPr>
        <w:pBdr>
          <w:top w:val="nil"/>
          <w:left w:val="nil"/>
          <w:bottom w:val="nil"/>
          <w:right w:val="nil"/>
          <w:between w:val="nil"/>
        </w:pBdr>
        <w:spacing w:after="0" w:line="360" w:lineRule="auto"/>
        <w:ind w:firstLine="720"/>
        <w:rPr>
          <w:rFonts w:ascii="Arial" w:eastAsia="Arial" w:hAnsi="Arial" w:cs="Arial"/>
          <w:b/>
          <w:color w:val="000000"/>
          <w:sz w:val="22"/>
          <w:szCs w:val="22"/>
        </w:rPr>
      </w:pPr>
      <w:r>
        <w:rPr>
          <w:rFonts w:ascii="Arial" w:eastAsia="Arial" w:hAnsi="Arial" w:cs="Arial"/>
          <w:color w:val="0E101A"/>
          <w:sz w:val="22"/>
          <w:szCs w:val="22"/>
        </w:rPr>
        <w:t> This report contributes to the existing literature on the impact of loneliness and social isolation on the elderly population. Loneliness and social isolation among the elderly are common, especially w</w:t>
      </w:r>
      <w:r>
        <w:rPr>
          <w:rFonts w:ascii="Arial" w:eastAsia="Arial" w:hAnsi="Arial" w:cs="Arial"/>
          <w:color w:val="0E101A"/>
          <w:sz w:val="22"/>
          <w:szCs w:val="22"/>
        </w:rPr>
        <w:t xml:space="preserve">ith those living in care homes and other long-term care living settings. There remains a direct association between loneliness and social isolation with suicidal ideations, cognitive function, depression and frailty, but these associations' directionality </w:t>
      </w:r>
      <w:r>
        <w:rPr>
          <w:rFonts w:ascii="Arial" w:eastAsia="Arial" w:hAnsi="Arial" w:cs="Arial"/>
          <w:color w:val="0E101A"/>
          <w:sz w:val="22"/>
          <w:szCs w:val="22"/>
        </w:rPr>
        <w:t>remains unclear. The importance of involving older people (or relevant representatives) in policy formulation cannot be understated, and the UK's initiative to appoint a Minister of Loneliness is a step in the right direction. Additionally, there is a need</w:t>
      </w:r>
      <w:r>
        <w:rPr>
          <w:rFonts w:ascii="Arial" w:eastAsia="Arial" w:hAnsi="Arial" w:cs="Arial"/>
          <w:color w:val="0E101A"/>
          <w:sz w:val="22"/>
          <w:szCs w:val="22"/>
        </w:rPr>
        <w:t xml:space="preserve"> for innovative and flexible thinking on the part of all stakeholders so that the elderly population can be granted opportunities to remain a part of their communities for as long as possible to maintain a good quality of life. Given the destructive effect</w:t>
      </w:r>
      <w:r>
        <w:rPr>
          <w:rFonts w:ascii="Arial" w:eastAsia="Arial" w:hAnsi="Arial" w:cs="Arial"/>
          <w:color w:val="0E101A"/>
          <w:sz w:val="22"/>
          <w:szCs w:val="22"/>
        </w:rPr>
        <w:t>s of loneliness and social isolation among seniors, everyone in society should be involved in helping reduce these harmful effects. Between the UK and Canada, however, it is evident that the United Kingdom is the nation with a loneliness strategy whose onl</w:t>
      </w:r>
      <w:r>
        <w:rPr>
          <w:rFonts w:ascii="Arial" w:eastAsia="Arial" w:hAnsi="Arial" w:cs="Arial"/>
          <w:color w:val="0E101A"/>
          <w:sz w:val="22"/>
          <w:szCs w:val="22"/>
        </w:rPr>
        <w:t xml:space="preserve">y focus is not the elderly population. Policy levers such as information sharing, partnerships with employers, </w:t>
      </w:r>
      <w:r>
        <w:rPr>
          <w:rFonts w:ascii="Arial" w:eastAsia="Arial" w:hAnsi="Arial" w:cs="Arial"/>
          <w:color w:val="0E101A"/>
          <w:sz w:val="22"/>
          <w:szCs w:val="22"/>
        </w:rPr>
        <w:lastRenderedPageBreak/>
        <w:t xml:space="preserve">charitable organizations, local governments, the postal system, the education system, cultural organizations, public messaging campaigns and the </w:t>
      </w:r>
      <w:r>
        <w:rPr>
          <w:rFonts w:ascii="Arial" w:eastAsia="Arial" w:hAnsi="Arial" w:cs="Arial"/>
          <w:color w:val="0E101A"/>
          <w:sz w:val="22"/>
          <w:szCs w:val="22"/>
        </w:rPr>
        <w:t>healthcare system play a major role in helping those who would be victimized by loneliness and social isolation across the age spectrum. It is rather vital to point out that although the UK's strategy is the most sweeping between the two nations, it is not</w:t>
      </w:r>
      <w:r>
        <w:rPr>
          <w:rFonts w:ascii="Arial" w:eastAsia="Arial" w:hAnsi="Arial" w:cs="Arial"/>
          <w:color w:val="0E101A"/>
          <w:sz w:val="22"/>
          <w:szCs w:val="22"/>
        </w:rPr>
        <w:t xml:space="preserve"> the silver bullet necessary to curb the social isolation and loneliness menace. </w:t>
      </w:r>
    </w:p>
    <w:p w14:paraId="74037205" w14:textId="77777777" w:rsidR="00745BC3" w:rsidRDefault="00745BC3">
      <w:pPr>
        <w:pStyle w:val="Heading1"/>
      </w:pPr>
      <w:bookmarkStart w:id="12" w:name="_heading=h.26in1rg" w:colFirst="0" w:colLast="0"/>
      <w:bookmarkEnd w:id="12"/>
    </w:p>
    <w:p w14:paraId="433A2885" w14:textId="77777777" w:rsidR="00745BC3" w:rsidRDefault="00745BC3">
      <w:pPr>
        <w:pStyle w:val="Heading1"/>
      </w:pPr>
    </w:p>
    <w:p w14:paraId="29315627" w14:textId="77777777" w:rsidR="00745BC3" w:rsidRDefault="00745BC3">
      <w:pPr>
        <w:pStyle w:val="Heading1"/>
      </w:pPr>
    </w:p>
    <w:p w14:paraId="64C2D5DB" w14:textId="77777777" w:rsidR="00745BC3" w:rsidRDefault="00745BC3">
      <w:pPr>
        <w:pStyle w:val="Heading1"/>
      </w:pPr>
    </w:p>
    <w:p w14:paraId="21931B89" w14:textId="77777777" w:rsidR="00745BC3" w:rsidRDefault="00745BC3">
      <w:pPr>
        <w:pStyle w:val="Heading1"/>
      </w:pPr>
    </w:p>
    <w:p w14:paraId="23941C9B" w14:textId="77777777" w:rsidR="00745BC3" w:rsidRDefault="00745BC3">
      <w:pPr>
        <w:pStyle w:val="Heading1"/>
      </w:pPr>
    </w:p>
    <w:p w14:paraId="041A24E1" w14:textId="77777777" w:rsidR="00745BC3" w:rsidRDefault="00745BC3">
      <w:pPr>
        <w:pStyle w:val="Heading1"/>
      </w:pPr>
    </w:p>
    <w:p w14:paraId="7A05728C" w14:textId="77777777" w:rsidR="00745BC3" w:rsidRDefault="00745BC3">
      <w:pPr>
        <w:pStyle w:val="Heading1"/>
      </w:pPr>
    </w:p>
    <w:p w14:paraId="3E086882" w14:textId="77777777" w:rsidR="00745BC3" w:rsidRDefault="00745BC3">
      <w:pPr>
        <w:pStyle w:val="Heading1"/>
      </w:pPr>
    </w:p>
    <w:p w14:paraId="639E229C" w14:textId="77777777" w:rsidR="00745BC3" w:rsidRDefault="00745BC3">
      <w:pPr>
        <w:pStyle w:val="Heading1"/>
      </w:pPr>
    </w:p>
    <w:p w14:paraId="44A29D47" w14:textId="77777777" w:rsidR="00745BC3" w:rsidRDefault="00745BC3">
      <w:pPr>
        <w:pStyle w:val="Heading1"/>
      </w:pPr>
    </w:p>
    <w:p w14:paraId="2D788822" w14:textId="77777777" w:rsidR="00745BC3" w:rsidRDefault="00745BC3">
      <w:pPr>
        <w:pStyle w:val="Heading1"/>
      </w:pPr>
    </w:p>
    <w:p w14:paraId="040B43F1" w14:textId="77777777" w:rsidR="00745BC3" w:rsidRDefault="00745BC3">
      <w:pPr>
        <w:pStyle w:val="Heading1"/>
        <w:spacing w:line="240" w:lineRule="auto"/>
      </w:pPr>
    </w:p>
    <w:p w14:paraId="3F3A21E2" w14:textId="77777777" w:rsidR="00745BC3" w:rsidRDefault="00745BC3"/>
    <w:p w14:paraId="3432B0D2" w14:textId="77777777" w:rsidR="00745BC3" w:rsidRDefault="00745BC3"/>
    <w:p w14:paraId="17B63A57" w14:textId="77777777" w:rsidR="00745BC3" w:rsidRDefault="00745BC3"/>
    <w:p w14:paraId="44E8CB1C" w14:textId="77777777" w:rsidR="00745BC3" w:rsidRDefault="00745BC3">
      <w:pPr>
        <w:pStyle w:val="Heading1"/>
        <w:spacing w:line="240" w:lineRule="auto"/>
        <w:jc w:val="left"/>
      </w:pPr>
    </w:p>
    <w:p w14:paraId="31C4D128" w14:textId="77777777" w:rsidR="00745BC3" w:rsidRDefault="00745BC3"/>
    <w:p w14:paraId="6698B928" w14:textId="77777777" w:rsidR="00745BC3" w:rsidRDefault="00745BC3"/>
    <w:p w14:paraId="0C041444" w14:textId="77777777" w:rsidR="00745BC3" w:rsidRDefault="001C7773">
      <w:pPr>
        <w:pStyle w:val="Heading1"/>
      </w:pPr>
      <w:r>
        <w:lastRenderedPageBreak/>
        <w:t>Bibliography</w:t>
      </w:r>
    </w:p>
    <w:p w14:paraId="138A3B4A" w14:textId="77777777" w:rsidR="00745BC3" w:rsidRDefault="00745BC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Arial" w:hAnsi="Arial" w:cs="Arial"/>
          <w:color w:val="404040"/>
          <w:sz w:val="22"/>
          <w:szCs w:val="22"/>
        </w:rPr>
      </w:pPr>
    </w:p>
    <w:p w14:paraId="39113D68" w14:textId="77777777" w:rsidR="00745BC3" w:rsidRDefault="001C7773">
      <w:pPr>
        <w:spacing w:after="0" w:line="360" w:lineRule="auto"/>
        <w:ind w:left="720" w:hanging="720"/>
        <w:rPr>
          <w:rFonts w:ascii="Arial" w:eastAsia="Arial" w:hAnsi="Arial" w:cs="Arial"/>
          <w:sz w:val="22"/>
          <w:szCs w:val="22"/>
        </w:rPr>
      </w:pPr>
      <w:bookmarkStart w:id="13" w:name="_heading=h.lnxbz9" w:colFirst="0" w:colLast="0"/>
      <w:bookmarkEnd w:id="13"/>
      <w:r>
        <w:rPr>
          <w:rFonts w:ascii="Arial" w:eastAsia="Arial" w:hAnsi="Arial" w:cs="Arial"/>
          <w:sz w:val="22"/>
          <w:szCs w:val="22"/>
        </w:rPr>
        <w:t xml:space="preserve">Barbosa Neves, B., Sanders, A. and </w:t>
      </w:r>
      <w:proofErr w:type="spellStart"/>
      <w:r>
        <w:rPr>
          <w:rFonts w:ascii="Arial" w:eastAsia="Arial" w:hAnsi="Arial" w:cs="Arial"/>
          <w:sz w:val="22"/>
          <w:szCs w:val="22"/>
        </w:rPr>
        <w:t>Kokanović</w:t>
      </w:r>
      <w:proofErr w:type="spellEnd"/>
      <w:r>
        <w:rPr>
          <w:rFonts w:ascii="Arial" w:eastAsia="Arial" w:hAnsi="Arial" w:cs="Arial"/>
          <w:sz w:val="22"/>
          <w:szCs w:val="22"/>
        </w:rPr>
        <w:t xml:space="preserve">, R. (2019) “‘it's the worst bloody feeling in the world’: Experiences of loneliness and social isolation among older people living in care homes,” </w:t>
      </w:r>
      <w:r>
        <w:rPr>
          <w:rFonts w:ascii="Arial" w:eastAsia="Arial" w:hAnsi="Arial" w:cs="Arial"/>
          <w:i/>
          <w:sz w:val="22"/>
          <w:szCs w:val="22"/>
        </w:rPr>
        <w:t>Journal of Aging Studies</w:t>
      </w:r>
      <w:r>
        <w:rPr>
          <w:rFonts w:ascii="Arial" w:eastAsia="Arial" w:hAnsi="Arial" w:cs="Arial"/>
          <w:sz w:val="22"/>
          <w:szCs w:val="22"/>
        </w:rPr>
        <w:t>, 49, pp. 74–84. Available at: https://d</w:t>
      </w:r>
      <w:r>
        <w:rPr>
          <w:rFonts w:ascii="Arial" w:eastAsia="Arial" w:hAnsi="Arial" w:cs="Arial"/>
          <w:sz w:val="22"/>
          <w:szCs w:val="22"/>
        </w:rPr>
        <w:t xml:space="preserve">oi.org/10.1016/j.jaging.2019.100785. </w:t>
      </w:r>
    </w:p>
    <w:p w14:paraId="656D891C" w14:textId="77777777" w:rsidR="00745BC3" w:rsidRDefault="001C7773">
      <w:pPr>
        <w:spacing w:after="0" w:line="360" w:lineRule="auto"/>
        <w:ind w:left="720" w:hanging="720"/>
        <w:rPr>
          <w:rFonts w:ascii="Arial" w:eastAsia="Arial" w:hAnsi="Arial" w:cs="Arial"/>
          <w:sz w:val="22"/>
          <w:szCs w:val="22"/>
        </w:rPr>
      </w:pPr>
      <w:r>
        <w:rPr>
          <w:rFonts w:ascii="Arial" w:eastAsia="Arial" w:hAnsi="Arial" w:cs="Arial"/>
          <w:sz w:val="22"/>
          <w:szCs w:val="22"/>
        </w:rPr>
        <w:t xml:space="preserve">Choi, H.K. and Lee, S.H. (2021) “Trends and effectiveness of ICT interventions for the elderly to reduce loneliness: A systematic review,” </w:t>
      </w:r>
      <w:r>
        <w:rPr>
          <w:rFonts w:ascii="Arial" w:eastAsia="Arial" w:hAnsi="Arial" w:cs="Arial"/>
          <w:i/>
          <w:sz w:val="22"/>
          <w:szCs w:val="22"/>
        </w:rPr>
        <w:t>Healthcare</w:t>
      </w:r>
      <w:r>
        <w:rPr>
          <w:rFonts w:ascii="Arial" w:eastAsia="Arial" w:hAnsi="Arial" w:cs="Arial"/>
          <w:sz w:val="22"/>
          <w:szCs w:val="22"/>
        </w:rPr>
        <w:t>, 9(3), p. 293. Available at: https://doi.org/10.3390/healthcare90302</w:t>
      </w:r>
      <w:r>
        <w:rPr>
          <w:rFonts w:ascii="Arial" w:eastAsia="Arial" w:hAnsi="Arial" w:cs="Arial"/>
          <w:sz w:val="22"/>
          <w:szCs w:val="22"/>
        </w:rPr>
        <w:t xml:space="preserve">93. </w:t>
      </w:r>
    </w:p>
    <w:p w14:paraId="3631D834" w14:textId="77777777" w:rsidR="00745BC3" w:rsidRDefault="001C7773">
      <w:pPr>
        <w:spacing w:after="0" w:line="360" w:lineRule="auto"/>
        <w:ind w:left="720" w:hanging="720"/>
        <w:rPr>
          <w:rFonts w:ascii="Arial" w:eastAsia="Arial" w:hAnsi="Arial" w:cs="Arial"/>
          <w:sz w:val="22"/>
          <w:szCs w:val="22"/>
        </w:rPr>
      </w:pPr>
      <w:r>
        <w:rPr>
          <w:rFonts w:ascii="Arial" w:eastAsia="Arial" w:hAnsi="Arial" w:cs="Arial"/>
          <w:sz w:val="22"/>
          <w:szCs w:val="22"/>
        </w:rPr>
        <w:t xml:space="preserve">Conroy, K.M. </w:t>
      </w:r>
      <w:r>
        <w:rPr>
          <w:rFonts w:ascii="Arial" w:eastAsia="Arial" w:hAnsi="Arial" w:cs="Arial"/>
          <w:i/>
          <w:sz w:val="22"/>
          <w:szCs w:val="22"/>
        </w:rPr>
        <w:t>et al.</w:t>
      </w:r>
      <w:r>
        <w:rPr>
          <w:rFonts w:ascii="Arial" w:eastAsia="Arial" w:hAnsi="Arial" w:cs="Arial"/>
          <w:sz w:val="22"/>
          <w:szCs w:val="22"/>
        </w:rPr>
        <w:t xml:space="preserve"> (2020) “Technological advancements to address elderly loneliness: Practical considerations and community resilience implications for covid-19 pandemic,” </w:t>
      </w:r>
      <w:r>
        <w:rPr>
          <w:rFonts w:ascii="Arial" w:eastAsia="Arial" w:hAnsi="Arial" w:cs="Arial"/>
          <w:i/>
          <w:sz w:val="22"/>
          <w:szCs w:val="22"/>
        </w:rPr>
        <w:t>Working with Older People</w:t>
      </w:r>
      <w:r>
        <w:rPr>
          <w:rFonts w:ascii="Arial" w:eastAsia="Arial" w:hAnsi="Arial" w:cs="Arial"/>
          <w:sz w:val="22"/>
          <w:szCs w:val="22"/>
        </w:rPr>
        <w:t>, 24(4), pp. 257–264. Available at: https://doi.org/1</w:t>
      </w:r>
      <w:r>
        <w:rPr>
          <w:rFonts w:ascii="Arial" w:eastAsia="Arial" w:hAnsi="Arial" w:cs="Arial"/>
          <w:sz w:val="22"/>
          <w:szCs w:val="22"/>
        </w:rPr>
        <w:t xml:space="preserve">0.1108/wwop-07-2020-0036. </w:t>
      </w:r>
    </w:p>
    <w:p w14:paraId="31402559" w14:textId="77777777" w:rsidR="00745BC3" w:rsidRDefault="001C7773">
      <w:pPr>
        <w:spacing w:after="0" w:line="360" w:lineRule="auto"/>
        <w:ind w:left="720" w:hanging="720"/>
        <w:rPr>
          <w:rFonts w:ascii="Arial" w:eastAsia="Arial" w:hAnsi="Arial" w:cs="Arial"/>
          <w:sz w:val="22"/>
          <w:szCs w:val="22"/>
        </w:rPr>
      </w:pPr>
      <w:r>
        <w:rPr>
          <w:rFonts w:ascii="Arial" w:eastAsia="Arial" w:hAnsi="Arial" w:cs="Arial"/>
          <w:sz w:val="22"/>
          <w:szCs w:val="22"/>
        </w:rPr>
        <w:t xml:space="preserve">Killam, K. (2021) </w:t>
      </w:r>
      <w:r>
        <w:rPr>
          <w:rFonts w:ascii="Arial" w:eastAsia="Arial" w:hAnsi="Arial" w:cs="Arial"/>
          <w:i/>
          <w:sz w:val="22"/>
          <w:szCs w:val="22"/>
        </w:rPr>
        <w:t>Legislation can't solve loneliness, but it can help</w:t>
      </w:r>
      <w:r>
        <w:rPr>
          <w:rFonts w:ascii="Arial" w:eastAsia="Arial" w:hAnsi="Arial" w:cs="Arial"/>
          <w:sz w:val="22"/>
          <w:szCs w:val="22"/>
        </w:rPr>
        <w:t xml:space="preserve">, </w:t>
      </w:r>
      <w:r>
        <w:rPr>
          <w:rFonts w:ascii="Arial" w:eastAsia="Arial" w:hAnsi="Arial" w:cs="Arial"/>
          <w:i/>
          <w:sz w:val="22"/>
          <w:szCs w:val="22"/>
        </w:rPr>
        <w:t>Health Affairs Forefront</w:t>
      </w:r>
      <w:r>
        <w:rPr>
          <w:rFonts w:ascii="Arial" w:eastAsia="Arial" w:hAnsi="Arial" w:cs="Arial"/>
          <w:sz w:val="22"/>
          <w:szCs w:val="22"/>
        </w:rPr>
        <w:t xml:space="preserve">. Available at: https://www.healthaffairs.org/do/10.1377/forefront.20210908.63021/full/. </w:t>
      </w:r>
    </w:p>
    <w:p w14:paraId="04E594BD" w14:textId="77777777" w:rsidR="00745BC3" w:rsidRDefault="001C7773">
      <w:pPr>
        <w:spacing w:after="0" w:line="360" w:lineRule="auto"/>
        <w:ind w:left="720" w:hanging="720"/>
        <w:rPr>
          <w:rFonts w:ascii="Arial" w:eastAsia="Arial" w:hAnsi="Arial" w:cs="Arial"/>
          <w:sz w:val="22"/>
          <w:szCs w:val="22"/>
        </w:rPr>
      </w:pPr>
      <w:proofErr w:type="spellStart"/>
      <w:r>
        <w:rPr>
          <w:rFonts w:ascii="Arial" w:eastAsia="Arial" w:hAnsi="Arial" w:cs="Arial"/>
          <w:sz w:val="22"/>
          <w:szCs w:val="22"/>
        </w:rPr>
        <w:t>Lapane</w:t>
      </w:r>
      <w:proofErr w:type="spellEnd"/>
      <w:r>
        <w:rPr>
          <w:rFonts w:ascii="Arial" w:eastAsia="Arial" w:hAnsi="Arial" w:cs="Arial"/>
          <w:sz w:val="22"/>
          <w:szCs w:val="22"/>
        </w:rPr>
        <w:t xml:space="preserve">, K.L. </w:t>
      </w:r>
      <w:r>
        <w:rPr>
          <w:rFonts w:ascii="Arial" w:eastAsia="Arial" w:hAnsi="Arial" w:cs="Arial"/>
          <w:i/>
          <w:sz w:val="22"/>
          <w:szCs w:val="22"/>
        </w:rPr>
        <w:t>et al.</w:t>
      </w:r>
      <w:r>
        <w:rPr>
          <w:rFonts w:ascii="Arial" w:eastAsia="Arial" w:hAnsi="Arial" w:cs="Arial"/>
          <w:sz w:val="22"/>
          <w:szCs w:val="22"/>
        </w:rPr>
        <w:t xml:space="preserve"> (2022) “Health effects of loneliness and social isolation in older adults living in congregate long term care settings: A systematic review of quantitative and qualitative evidence,” </w:t>
      </w:r>
      <w:r>
        <w:rPr>
          <w:rFonts w:ascii="Arial" w:eastAsia="Arial" w:hAnsi="Arial" w:cs="Arial"/>
          <w:i/>
          <w:sz w:val="22"/>
          <w:szCs w:val="22"/>
        </w:rPr>
        <w:t>Archives of Gerontology and Geriatrics</w:t>
      </w:r>
      <w:r>
        <w:rPr>
          <w:rFonts w:ascii="Arial" w:eastAsia="Arial" w:hAnsi="Arial" w:cs="Arial"/>
          <w:sz w:val="22"/>
          <w:szCs w:val="22"/>
        </w:rPr>
        <w:t>, 102, p. 104728. Available at: ht</w:t>
      </w:r>
      <w:r>
        <w:rPr>
          <w:rFonts w:ascii="Arial" w:eastAsia="Arial" w:hAnsi="Arial" w:cs="Arial"/>
          <w:sz w:val="22"/>
          <w:szCs w:val="22"/>
        </w:rPr>
        <w:t xml:space="preserve">tps://doi.org/10.1016/j.archger.2022.104728. </w:t>
      </w:r>
    </w:p>
    <w:p w14:paraId="7687BC1F" w14:textId="77777777" w:rsidR="00745BC3" w:rsidRDefault="001C7773">
      <w:pPr>
        <w:spacing w:after="0" w:line="360" w:lineRule="auto"/>
        <w:ind w:left="720" w:hanging="720"/>
        <w:rPr>
          <w:rFonts w:ascii="Arial" w:eastAsia="Arial" w:hAnsi="Arial" w:cs="Arial"/>
          <w:sz w:val="22"/>
          <w:szCs w:val="22"/>
        </w:rPr>
      </w:pPr>
      <w:proofErr w:type="spellStart"/>
      <w:r>
        <w:rPr>
          <w:rFonts w:ascii="Arial" w:eastAsia="Arial" w:hAnsi="Arial" w:cs="Arial"/>
          <w:sz w:val="22"/>
          <w:szCs w:val="22"/>
        </w:rPr>
        <w:t>Poscia</w:t>
      </w:r>
      <w:proofErr w:type="spellEnd"/>
      <w:r>
        <w:rPr>
          <w:rFonts w:ascii="Arial" w:eastAsia="Arial" w:hAnsi="Arial" w:cs="Arial"/>
          <w:sz w:val="22"/>
          <w:szCs w:val="22"/>
        </w:rPr>
        <w:t xml:space="preserve">, A. </w:t>
      </w:r>
      <w:r>
        <w:rPr>
          <w:rFonts w:ascii="Arial" w:eastAsia="Arial" w:hAnsi="Arial" w:cs="Arial"/>
          <w:i/>
          <w:sz w:val="22"/>
          <w:szCs w:val="22"/>
        </w:rPr>
        <w:t>et al.</w:t>
      </w:r>
      <w:r>
        <w:rPr>
          <w:rFonts w:ascii="Arial" w:eastAsia="Arial" w:hAnsi="Arial" w:cs="Arial"/>
          <w:sz w:val="22"/>
          <w:szCs w:val="22"/>
        </w:rPr>
        <w:t xml:space="preserve"> (2018) “Interventions targeting loneliness and social isolation among the older people: An update systematic review,” </w:t>
      </w:r>
      <w:r>
        <w:rPr>
          <w:rFonts w:ascii="Arial" w:eastAsia="Arial" w:hAnsi="Arial" w:cs="Arial"/>
          <w:i/>
          <w:sz w:val="22"/>
          <w:szCs w:val="22"/>
        </w:rPr>
        <w:t>Experimental Gerontology</w:t>
      </w:r>
      <w:r>
        <w:rPr>
          <w:rFonts w:ascii="Arial" w:eastAsia="Arial" w:hAnsi="Arial" w:cs="Arial"/>
          <w:sz w:val="22"/>
          <w:szCs w:val="22"/>
        </w:rPr>
        <w:t xml:space="preserve">, 102, pp. 133–144. Available at: https://doi.org/10.1016/j.exger.2017.11.017. </w:t>
      </w:r>
    </w:p>
    <w:p w14:paraId="5048EA92" w14:textId="77777777" w:rsidR="00745BC3" w:rsidRDefault="001C7773">
      <w:pPr>
        <w:spacing w:after="0" w:line="360" w:lineRule="auto"/>
        <w:ind w:left="720" w:hanging="720"/>
        <w:rPr>
          <w:rFonts w:ascii="Arial" w:eastAsia="Arial" w:hAnsi="Arial" w:cs="Arial"/>
          <w:sz w:val="22"/>
          <w:szCs w:val="22"/>
        </w:rPr>
      </w:pPr>
      <w:proofErr w:type="spellStart"/>
      <w:r>
        <w:rPr>
          <w:rFonts w:ascii="Arial" w:eastAsia="Arial" w:hAnsi="Arial" w:cs="Arial"/>
          <w:sz w:val="22"/>
          <w:szCs w:val="22"/>
        </w:rPr>
        <w:t>Tagupa</w:t>
      </w:r>
      <w:proofErr w:type="spellEnd"/>
      <w:r>
        <w:rPr>
          <w:rFonts w:ascii="Arial" w:eastAsia="Arial" w:hAnsi="Arial" w:cs="Arial"/>
          <w:sz w:val="22"/>
          <w:szCs w:val="22"/>
        </w:rPr>
        <w:t>, H. (2020) “Social isolati</w:t>
      </w:r>
      <w:r>
        <w:rPr>
          <w:rFonts w:ascii="Arial" w:eastAsia="Arial" w:hAnsi="Arial" w:cs="Arial"/>
          <w:sz w:val="22"/>
          <w:szCs w:val="22"/>
        </w:rPr>
        <w:t xml:space="preserve">on, loneliness, and hearing loss during COVID-19,” </w:t>
      </w:r>
      <w:r>
        <w:rPr>
          <w:rFonts w:ascii="Arial" w:eastAsia="Arial" w:hAnsi="Arial" w:cs="Arial"/>
          <w:i/>
          <w:sz w:val="22"/>
          <w:szCs w:val="22"/>
        </w:rPr>
        <w:t>The Hearing Journal</w:t>
      </w:r>
      <w:r>
        <w:rPr>
          <w:rFonts w:ascii="Arial" w:eastAsia="Arial" w:hAnsi="Arial" w:cs="Arial"/>
          <w:sz w:val="22"/>
          <w:szCs w:val="22"/>
        </w:rPr>
        <w:t xml:space="preserve">, 73(5). Available at: https://doi.org/10.1097/01.hj.0000666456.65020.b9. </w:t>
      </w:r>
    </w:p>
    <w:p w14:paraId="185BBFE1" w14:textId="77777777" w:rsidR="00745BC3" w:rsidRDefault="00745BC3">
      <w:pPr>
        <w:spacing w:line="360" w:lineRule="auto"/>
        <w:ind w:firstLine="720"/>
        <w:rPr>
          <w:rFonts w:ascii="Arial" w:eastAsia="Arial" w:hAnsi="Arial" w:cs="Arial"/>
          <w:sz w:val="22"/>
          <w:szCs w:val="22"/>
        </w:rPr>
      </w:pPr>
    </w:p>
    <w:sectPr w:rsidR="00745BC3">
      <w:head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31FC9" w14:textId="77777777" w:rsidR="00000000" w:rsidRDefault="001C7773">
      <w:pPr>
        <w:spacing w:after="0" w:line="240" w:lineRule="auto"/>
      </w:pPr>
      <w:r>
        <w:separator/>
      </w:r>
    </w:p>
  </w:endnote>
  <w:endnote w:type="continuationSeparator" w:id="0">
    <w:p w14:paraId="04D2198F" w14:textId="77777777" w:rsidR="00000000" w:rsidRDefault="001C7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MT">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73C1B" w14:textId="77777777" w:rsidR="00000000" w:rsidRDefault="001C7773">
      <w:pPr>
        <w:spacing w:after="0" w:line="240" w:lineRule="auto"/>
      </w:pPr>
      <w:r>
        <w:separator/>
      </w:r>
    </w:p>
  </w:footnote>
  <w:footnote w:type="continuationSeparator" w:id="0">
    <w:p w14:paraId="1AE78191" w14:textId="77777777" w:rsidR="00000000" w:rsidRDefault="001C77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47790" w14:textId="77777777" w:rsidR="00745BC3" w:rsidRDefault="001C7773">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676B99DD" w14:textId="77777777" w:rsidR="00745BC3" w:rsidRDefault="00745BC3">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ED1173"/>
    <w:multiLevelType w:val="multilevel"/>
    <w:tmpl w:val="151C48A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795221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BC3"/>
    <w:rsid w:val="001C7773"/>
    <w:rsid w:val="00745B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7C7942"/>
  <w15:docId w15:val="{C4DF05E9-597A-42EE-B77B-E7235F164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4FD"/>
    <w:rPr>
      <w:lang w:val="en-GB"/>
    </w:rPr>
  </w:style>
  <w:style w:type="paragraph" w:styleId="Heading1">
    <w:name w:val="heading 1"/>
    <w:basedOn w:val="Normal"/>
    <w:next w:val="Normal"/>
    <w:link w:val="Heading1Char"/>
    <w:uiPriority w:val="9"/>
    <w:qFormat/>
    <w:rsid w:val="00E73AE3"/>
    <w:pPr>
      <w:keepNext/>
      <w:keepLines/>
      <w:spacing w:before="240" w:after="0" w:line="360" w:lineRule="auto"/>
      <w:jc w:val="center"/>
      <w:outlineLvl w:val="0"/>
    </w:pPr>
    <w:rPr>
      <w:rFonts w:ascii="Arial" w:eastAsiaTheme="majorEastAsia" w:hAnsi="Arial" w:cs="Arial"/>
      <w:b/>
      <w:color w:val="0E101A"/>
      <w:sz w:val="22"/>
    </w:rPr>
  </w:style>
  <w:style w:type="paragraph" w:styleId="Heading2">
    <w:name w:val="heading 2"/>
    <w:basedOn w:val="Normal"/>
    <w:next w:val="Normal"/>
    <w:link w:val="Heading2Char"/>
    <w:uiPriority w:val="9"/>
    <w:unhideWhenUsed/>
    <w:qFormat/>
    <w:rsid w:val="0046794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679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73AE3"/>
    <w:rPr>
      <w:rFonts w:ascii="Arial" w:eastAsiaTheme="majorEastAsia" w:hAnsi="Arial" w:cs="Arial"/>
      <w:b/>
      <w:color w:val="0E101A"/>
      <w:sz w:val="22"/>
      <w:lang w:val="en-GB"/>
    </w:rPr>
  </w:style>
  <w:style w:type="paragraph" w:styleId="ListParagraph">
    <w:name w:val="List Paragraph"/>
    <w:basedOn w:val="Normal"/>
    <w:uiPriority w:val="34"/>
    <w:qFormat/>
    <w:rsid w:val="003B135C"/>
    <w:pPr>
      <w:ind w:left="720"/>
      <w:contextualSpacing/>
    </w:pPr>
  </w:style>
  <w:style w:type="character" w:styleId="Hyperlink">
    <w:name w:val="Hyperlink"/>
    <w:basedOn w:val="DefaultParagraphFont"/>
    <w:uiPriority w:val="99"/>
    <w:unhideWhenUsed/>
    <w:rsid w:val="00F57A00"/>
    <w:rPr>
      <w:color w:val="0563C1" w:themeColor="hyperlink"/>
      <w:u w:val="single"/>
    </w:rPr>
  </w:style>
  <w:style w:type="character" w:customStyle="1" w:styleId="fontstyle01">
    <w:name w:val="fontstyle01"/>
    <w:basedOn w:val="DefaultParagraphFont"/>
    <w:rsid w:val="00866948"/>
    <w:rPr>
      <w:rFonts w:ascii="ArialMT" w:hAnsi="ArialMT" w:hint="default"/>
      <w:b w:val="0"/>
      <w:bCs w:val="0"/>
      <w:i w:val="0"/>
      <w:iCs w:val="0"/>
      <w:color w:val="000000"/>
      <w:sz w:val="20"/>
      <w:szCs w:val="20"/>
    </w:rPr>
  </w:style>
  <w:style w:type="paragraph" w:styleId="NormalWeb">
    <w:name w:val="Normal (Web)"/>
    <w:basedOn w:val="Normal"/>
    <w:uiPriority w:val="99"/>
    <w:unhideWhenUsed/>
    <w:rsid w:val="00157280"/>
    <w:pPr>
      <w:spacing w:before="100" w:beforeAutospacing="1" w:after="100" w:afterAutospacing="1" w:line="240" w:lineRule="auto"/>
    </w:pPr>
    <w:rPr>
      <w:lang w:val="en-US"/>
    </w:rPr>
  </w:style>
  <w:style w:type="character" w:styleId="Strong">
    <w:name w:val="Strong"/>
    <w:basedOn w:val="DefaultParagraphFont"/>
    <w:uiPriority w:val="22"/>
    <w:qFormat/>
    <w:rsid w:val="00157280"/>
    <w:rPr>
      <w:b/>
      <w:bCs/>
    </w:rPr>
  </w:style>
  <w:style w:type="character" w:styleId="Emphasis">
    <w:name w:val="Emphasis"/>
    <w:basedOn w:val="DefaultParagraphFont"/>
    <w:uiPriority w:val="20"/>
    <w:qFormat/>
    <w:rsid w:val="00157280"/>
    <w:rPr>
      <w:i/>
      <w:iCs/>
    </w:rPr>
  </w:style>
  <w:style w:type="character" w:customStyle="1" w:styleId="TitleChar">
    <w:name w:val="Title Char"/>
    <w:basedOn w:val="DefaultParagraphFont"/>
    <w:link w:val="Title"/>
    <w:uiPriority w:val="10"/>
    <w:rsid w:val="00467940"/>
    <w:rPr>
      <w:rFonts w:asciiTheme="majorHAnsi" w:eastAsiaTheme="majorEastAsia" w:hAnsiTheme="majorHAnsi" w:cstheme="majorBidi"/>
      <w:spacing w:val="-10"/>
      <w:kern w:val="28"/>
      <w:sz w:val="56"/>
      <w:szCs w:val="56"/>
      <w:lang w:val="en-GB"/>
    </w:rPr>
  </w:style>
  <w:style w:type="character" w:customStyle="1" w:styleId="Heading2Char">
    <w:name w:val="Heading 2 Char"/>
    <w:basedOn w:val="DefaultParagraphFont"/>
    <w:link w:val="Heading2"/>
    <w:uiPriority w:val="9"/>
    <w:rsid w:val="00467940"/>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102C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CDB"/>
    <w:rPr>
      <w:lang w:val="en-GB"/>
    </w:rPr>
  </w:style>
  <w:style w:type="paragraph" w:styleId="Footer">
    <w:name w:val="footer"/>
    <w:basedOn w:val="Normal"/>
    <w:link w:val="FooterChar"/>
    <w:uiPriority w:val="99"/>
    <w:unhideWhenUsed/>
    <w:rsid w:val="00102C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CDB"/>
    <w:rPr>
      <w:lang w:val="en-GB"/>
    </w:rPr>
  </w:style>
  <w:style w:type="paragraph" w:styleId="TOCHeading">
    <w:name w:val="TOC Heading"/>
    <w:basedOn w:val="Heading1"/>
    <w:next w:val="Normal"/>
    <w:uiPriority w:val="39"/>
    <w:unhideWhenUsed/>
    <w:qFormat/>
    <w:rsid w:val="00E36314"/>
    <w:pPr>
      <w:spacing w:line="259" w:lineRule="auto"/>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E36314"/>
    <w:pPr>
      <w:spacing w:after="100"/>
    </w:pPr>
  </w:style>
  <w:style w:type="paragraph" w:styleId="TOC2">
    <w:name w:val="toc 2"/>
    <w:basedOn w:val="Normal"/>
    <w:next w:val="Normal"/>
    <w:autoRedefine/>
    <w:uiPriority w:val="39"/>
    <w:unhideWhenUsed/>
    <w:rsid w:val="00E36314"/>
    <w:pPr>
      <w:spacing w:after="100"/>
      <w:ind w:left="240"/>
    </w:pPr>
  </w:style>
  <w:style w:type="paragraph" w:styleId="Subtitle">
    <w:name w:val="Subtitle"/>
    <w:basedOn w:val="Normal"/>
    <w:next w:val="Normal"/>
    <w:link w:val="SubtitleChar"/>
    <w:uiPriority w:val="11"/>
    <w:qFormat/>
    <w:rPr>
      <w:rFonts w:ascii="Calibri" w:eastAsia="Calibri" w:hAnsi="Calibri" w:cs="Calibri"/>
      <w:color w:val="5A5A5A"/>
      <w:sz w:val="22"/>
      <w:szCs w:val="22"/>
    </w:rPr>
  </w:style>
  <w:style w:type="character" w:customStyle="1" w:styleId="SubtitleChar">
    <w:name w:val="Subtitle Char"/>
    <w:basedOn w:val="DefaultParagraphFont"/>
    <w:link w:val="Subtitle"/>
    <w:uiPriority w:val="11"/>
    <w:rsid w:val="00AA7230"/>
    <w:rPr>
      <w:rFonts w:asciiTheme="minorHAnsi" w:eastAsiaTheme="minorEastAsia" w:hAnsiTheme="minorHAnsi"/>
      <w:color w:val="5A5A5A" w:themeColor="text1" w:themeTint="A5"/>
      <w:spacing w:val="15"/>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campaintoendloneliness" TargetMode="External"/><Relationship Id="rId4" Type="http://schemas.openxmlformats.org/officeDocument/2006/relationships/settings" Target="settings.xml"/><Relationship Id="rId9" Type="http://schemas.openxmlformats.org/officeDocument/2006/relationships/hyperlink" Target="http://www.seniors.gc.c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dcS6ohm6AIhZt5lVOEVZ/W4HKUQ==">AMUW2mVclFRId5iPF2pk/4CmY4T/X+cy9Sc2iIG5b1EUHOvni87Co2EspPpaubAeXLfwQbyrIrfwPYHIJc49Hc463PNg/FJzID7Rcd9xeYHv8EFX3HPJ8QDYfxZPXkDLUc0RhZgb+D7fiYsecxhl42YULoFOWbHSHqBqd4PvDdXZeJLu+cde2tWyqacj2ODIGgfnj81J3x4ePIeOcOs1XWtWX9Chz4IeMmrDckc4eAbbhffl9yEZLdeBWclqyJik/tJLYv+6Rpl/3Fv0KK1+bBVQRFTMTb8g/KkcyHBioUVLE+Q6o2oO0d0pkj+5fK+TKvjS+xXsQy43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3607</Words>
  <Characters>20565</Characters>
  <Application>Microsoft Office Word</Application>
  <DocSecurity>4</DocSecurity>
  <Lines>171</Lines>
  <Paragraphs>48</Paragraphs>
  <ScaleCrop>false</ScaleCrop>
  <Company>University of Wales Trinity Saint David</Company>
  <LinksUpToDate>false</LinksUpToDate>
  <CharactersWithSpaces>24124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Eliane Mukeba (Institute of Inner City Learning)</cp:lastModifiedBy>
  <cp:revision>2</cp:revision>
  <dcterms:created xsi:type="dcterms:W3CDTF">2023-01-26T13:22:00Z</dcterms:created>
  <dcterms:modified xsi:type="dcterms:W3CDTF">2023-01-26T13:22:00Z</dcterms:modified>
</cp:coreProperties>
</file>