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A87545" w14:textId="66BEB069" w:rsidR="00E10C90" w:rsidRPr="00CE25F3" w:rsidRDefault="00E10C90" w:rsidP="00EA783D">
      <w:pPr>
        <w:spacing w:line="360" w:lineRule="auto"/>
        <w:jc w:val="both"/>
        <w:rPr>
          <w:rFonts w:ascii="Arial" w:hAnsi="Arial" w:cs="Arial"/>
          <w:b/>
          <w:bCs/>
          <w:sz w:val="36"/>
          <w:szCs w:val="32"/>
        </w:rPr>
      </w:pPr>
      <w:r w:rsidRPr="00CE25F3">
        <w:rPr>
          <w:rFonts w:ascii="Arial" w:hAnsi="Arial" w:cs="Arial"/>
          <w:b/>
          <w:bCs/>
          <w:sz w:val="36"/>
          <w:szCs w:val="32"/>
        </w:rPr>
        <w:t>BA (Hons) International Hotel Management</w:t>
      </w:r>
    </w:p>
    <w:p w14:paraId="7124FB09" w14:textId="77777777" w:rsidR="00CE25F3" w:rsidRPr="00CE25F3" w:rsidRDefault="00E10C90" w:rsidP="00EA783D">
      <w:pPr>
        <w:spacing w:line="360" w:lineRule="auto"/>
        <w:jc w:val="both"/>
        <w:rPr>
          <w:rFonts w:ascii="Arial" w:hAnsi="Arial" w:cs="Arial"/>
          <w:b/>
          <w:bCs/>
          <w:sz w:val="36"/>
          <w:szCs w:val="32"/>
        </w:rPr>
      </w:pPr>
      <w:r w:rsidRPr="00CE25F3">
        <w:rPr>
          <w:rFonts w:ascii="Arial" w:hAnsi="Arial" w:cs="Arial"/>
          <w:b/>
          <w:bCs/>
          <w:sz w:val="36"/>
          <w:szCs w:val="32"/>
        </w:rPr>
        <w:t>Module: Personnel Resourcing and Development</w:t>
      </w:r>
    </w:p>
    <w:p w14:paraId="10D974BE" w14:textId="077C571F" w:rsidR="00E10C90" w:rsidRPr="00CE25F3" w:rsidRDefault="00E10C90" w:rsidP="00EA783D">
      <w:pPr>
        <w:spacing w:line="360" w:lineRule="auto"/>
        <w:jc w:val="both"/>
        <w:rPr>
          <w:rFonts w:ascii="Arial" w:hAnsi="Arial" w:cs="Arial"/>
          <w:b/>
          <w:bCs/>
          <w:sz w:val="36"/>
          <w:szCs w:val="32"/>
        </w:rPr>
      </w:pPr>
      <w:r w:rsidRPr="00CE25F3">
        <w:rPr>
          <w:rFonts w:ascii="Arial" w:hAnsi="Arial" w:cs="Arial"/>
          <w:b/>
          <w:bCs/>
          <w:sz w:val="36"/>
          <w:szCs w:val="32"/>
        </w:rPr>
        <w:t>Module code: BMIH5005</w:t>
      </w:r>
    </w:p>
    <w:p w14:paraId="172E04AF" w14:textId="71653B49" w:rsidR="00CE25F3" w:rsidRPr="00CE25F3" w:rsidRDefault="00CE25F3" w:rsidP="00EA783D">
      <w:pPr>
        <w:spacing w:line="360" w:lineRule="auto"/>
        <w:jc w:val="both"/>
        <w:rPr>
          <w:rFonts w:ascii="Arial" w:hAnsi="Arial" w:cs="Arial"/>
          <w:b/>
          <w:bCs/>
          <w:sz w:val="36"/>
          <w:szCs w:val="32"/>
        </w:rPr>
      </w:pPr>
      <w:r w:rsidRPr="00CE25F3">
        <w:rPr>
          <w:rFonts w:ascii="Arial" w:hAnsi="Arial" w:cs="Arial"/>
          <w:b/>
          <w:bCs/>
          <w:sz w:val="36"/>
          <w:szCs w:val="32"/>
        </w:rPr>
        <w:t xml:space="preserve">Lecturer Name: Jemma Smith </w:t>
      </w:r>
    </w:p>
    <w:p w14:paraId="6AABE5C0" w14:textId="5481DAB1" w:rsidR="00E10C90" w:rsidRPr="00CE25F3" w:rsidRDefault="00CE25F3" w:rsidP="00EA783D">
      <w:pPr>
        <w:spacing w:line="360" w:lineRule="auto"/>
        <w:jc w:val="both"/>
        <w:rPr>
          <w:rFonts w:ascii="Arial" w:hAnsi="Arial" w:cs="Arial"/>
          <w:b/>
          <w:bCs/>
          <w:sz w:val="32"/>
          <w:szCs w:val="32"/>
        </w:rPr>
      </w:pPr>
      <w:proofErr w:type="spellStart"/>
      <w:r w:rsidRPr="00CE25F3">
        <w:rPr>
          <w:rFonts w:ascii="Arial" w:hAnsi="Arial" w:cs="Arial"/>
          <w:b/>
          <w:bCs/>
          <w:sz w:val="32"/>
          <w:szCs w:val="32"/>
        </w:rPr>
        <w:t>Sudent</w:t>
      </w:r>
      <w:proofErr w:type="spellEnd"/>
      <w:r w:rsidRPr="00CE25F3">
        <w:rPr>
          <w:rFonts w:ascii="Arial" w:hAnsi="Arial" w:cs="Arial"/>
          <w:b/>
          <w:bCs/>
          <w:sz w:val="32"/>
          <w:szCs w:val="32"/>
        </w:rPr>
        <w:t xml:space="preserve"> Name: Rekha Begum</w:t>
      </w:r>
    </w:p>
    <w:p w14:paraId="31913DB4" w14:textId="4A52FC72" w:rsidR="00CE25F3" w:rsidRPr="00CE25F3" w:rsidRDefault="00CE25F3" w:rsidP="00EA783D">
      <w:pPr>
        <w:spacing w:line="360" w:lineRule="auto"/>
        <w:jc w:val="both"/>
        <w:rPr>
          <w:rFonts w:ascii="Arial" w:hAnsi="Arial" w:cs="Arial"/>
          <w:b/>
          <w:bCs/>
          <w:sz w:val="32"/>
          <w:szCs w:val="32"/>
        </w:rPr>
      </w:pPr>
      <w:r w:rsidRPr="00CE25F3">
        <w:rPr>
          <w:rFonts w:ascii="Arial" w:hAnsi="Arial" w:cs="Arial"/>
          <w:b/>
          <w:bCs/>
          <w:sz w:val="32"/>
          <w:szCs w:val="32"/>
        </w:rPr>
        <w:t>Student ID: 2125644</w:t>
      </w:r>
    </w:p>
    <w:p w14:paraId="7217550E" w14:textId="77777777" w:rsidR="00E10C90" w:rsidRPr="00CE25F3" w:rsidRDefault="00E10C90" w:rsidP="00EA783D">
      <w:pPr>
        <w:spacing w:line="360" w:lineRule="auto"/>
        <w:jc w:val="both"/>
        <w:rPr>
          <w:rFonts w:ascii="Arial" w:hAnsi="Arial" w:cs="Arial"/>
          <w:b/>
          <w:bCs/>
          <w:sz w:val="32"/>
          <w:szCs w:val="32"/>
        </w:rPr>
      </w:pPr>
      <w:r w:rsidRPr="00CE25F3">
        <w:rPr>
          <w:rFonts w:ascii="Arial" w:hAnsi="Arial" w:cs="Arial"/>
          <w:b/>
          <w:bCs/>
          <w:sz w:val="32"/>
          <w:szCs w:val="32"/>
        </w:rPr>
        <w:t xml:space="preserve">Assignment Title: </w:t>
      </w:r>
      <w:r w:rsidRPr="00CE25F3">
        <w:rPr>
          <w:rFonts w:ascii="Arial" w:hAnsi="Arial" w:cs="Arial"/>
          <w:bCs/>
          <w:sz w:val="32"/>
          <w:szCs w:val="32"/>
        </w:rPr>
        <w:t>Research Project Proposal –Analyse the impacts of socio-economic force on employees’ performance management and monitoring in different work modes: Hospitality HR’s perspective</w:t>
      </w:r>
    </w:p>
    <w:p w14:paraId="6393DAB3" w14:textId="77777777" w:rsidR="00E10C90" w:rsidRPr="00E10C90" w:rsidRDefault="00E10C90" w:rsidP="005C3D99">
      <w:pPr>
        <w:spacing w:line="360" w:lineRule="auto"/>
        <w:jc w:val="center"/>
        <w:rPr>
          <w:b/>
          <w:bCs/>
          <w:sz w:val="36"/>
          <w:szCs w:val="32"/>
        </w:rPr>
      </w:pPr>
    </w:p>
    <w:p w14:paraId="5DD0A6A6" w14:textId="77777777" w:rsidR="00E10C90" w:rsidRPr="00E10C90" w:rsidRDefault="00E10C90" w:rsidP="005C3D99">
      <w:pPr>
        <w:spacing w:line="360" w:lineRule="auto"/>
        <w:jc w:val="center"/>
        <w:rPr>
          <w:b/>
          <w:bCs/>
          <w:sz w:val="36"/>
          <w:szCs w:val="32"/>
        </w:rPr>
      </w:pPr>
    </w:p>
    <w:p w14:paraId="16C8481C" w14:textId="7A7302B7" w:rsidR="00E10C90" w:rsidRPr="00E10C90" w:rsidRDefault="00E10C90" w:rsidP="005C3D99">
      <w:pPr>
        <w:spacing w:line="360" w:lineRule="auto"/>
        <w:jc w:val="center"/>
      </w:pPr>
      <w:r>
        <w:br w:type="page"/>
      </w:r>
    </w:p>
    <w:sdt>
      <w:sdtPr>
        <w:rPr>
          <w:rFonts w:ascii="Arial" w:eastAsiaTheme="minorHAnsi" w:hAnsi="Arial" w:cs="Arial"/>
          <w:b/>
          <w:color w:val="000000" w:themeColor="text1"/>
          <w:sz w:val="24"/>
          <w:szCs w:val="22"/>
          <w:lang w:val="en-GB"/>
        </w:rPr>
        <w:id w:val="-1029641074"/>
        <w:docPartObj>
          <w:docPartGallery w:val="Table of Contents"/>
          <w:docPartUnique/>
        </w:docPartObj>
      </w:sdtPr>
      <w:sdtEndPr>
        <w:rPr>
          <w:rFonts w:ascii="Times New Roman" w:hAnsi="Times New Roman" w:cstheme="minorBidi"/>
          <w:b w:val="0"/>
          <w:bCs/>
          <w:color w:val="auto"/>
        </w:rPr>
      </w:sdtEndPr>
      <w:sdtContent>
        <w:p w14:paraId="0D2005F6" w14:textId="7F71C7AD" w:rsidR="00E10C90" w:rsidRPr="00CE25F3" w:rsidRDefault="00E10C90" w:rsidP="00FC4528">
          <w:pPr>
            <w:pStyle w:val="TOCHeading"/>
            <w:spacing w:line="360" w:lineRule="auto"/>
            <w:jc w:val="both"/>
            <w:rPr>
              <w:rFonts w:ascii="Arial" w:hAnsi="Arial" w:cs="Arial"/>
              <w:b/>
              <w:color w:val="000000" w:themeColor="text1"/>
            </w:rPr>
          </w:pPr>
          <w:r w:rsidRPr="00CE25F3">
            <w:rPr>
              <w:rFonts w:ascii="Arial" w:hAnsi="Arial" w:cs="Arial"/>
              <w:b/>
              <w:color w:val="000000" w:themeColor="text1"/>
              <w:lang w:val="en-GB"/>
            </w:rPr>
            <w:t>Table of Contents</w:t>
          </w:r>
        </w:p>
        <w:p w14:paraId="517C142B" w14:textId="0582FA1B" w:rsidR="00FC4528" w:rsidRPr="00CE25F3" w:rsidRDefault="00E10C90" w:rsidP="00FC4528">
          <w:pPr>
            <w:pStyle w:val="TOC1"/>
            <w:tabs>
              <w:tab w:val="right" w:leader="dot" w:pos="9350"/>
            </w:tabs>
            <w:spacing w:line="360" w:lineRule="auto"/>
            <w:rPr>
              <w:rFonts w:ascii="Arial" w:eastAsiaTheme="minorEastAsia" w:hAnsi="Arial" w:cs="Arial"/>
              <w:noProof/>
              <w:sz w:val="22"/>
            </w:rPr>
          </w:pPr>
          <w:r w:rsidRPr="00FC4528">
            <w:rPr>
              <w:rFonts w:cs="Times New Roman"/>
            </w:rPr>
            <w:fldChar w:fldCharType="begin"/>
          </w:r>
          <w:r w:rsidRPr="00FC4528">
            <w:rPr>
              <w:rFonts w:cs="Times New Roman"/>
            </w:rPr>
            <w:instrText xml:space="preserve"> TOC \o "1-3" \h \z \u </w:instrText>
          </w:r>
          <w:r w:rsidRPr="00FC4528">
            <w:rPr>
              <w:rFonts w:cs="Times New Roman"/>
            </w:rPr>
            <w:fldChar w:fldCharType="separate"/>
          </w:r>
          <w:hyperlink w:anchor="_Toc167920454" w:history="1">
            <w:r w:rsidR="00FC4528" w:rsidRPr="00CE25F3">
              <w:rPr>
                <w:rStyle w:val="Hyperlink"/>
                <w:rFonts w:ascii="Arial" w:hAnsi="Arial" w:cs="Arial"/>
                <w:noProof/>
              </w:rPr>
              <w:t>Introduction and Background</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_Toc167920454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3</w:t>
            </w:r>
            <w:r w:rsidR="00FC4528" w:rsidRPr="00CE25F3">
              <w:rPr>
                <w:rFonts w:ascii="Arial" w:hAnsi="Arial" w:cs="Arial"/>
                <w:noProof/>
                <w:webHidden/>
              </w:rPr>
              <w:fldChar w:fldCharType="end"/>
            </w:r>
          </w:hyperlink>
        </w:p>
        <w:p w14:paraId="201E9BC0" w14:textId="2A39256C" w:rsidR="00FC4528" w:rsidRPr="00CE25F3" w:rsidRDefault="00000000" w:rsidP="00FC4528">
          <w:pPr>
            <w:pStyle w:val="TOC1"/>
            <w:tabs>
              <w:tab w:val="right" w:leader="dot" w:pos="9350"/>
            </w:tabs>
            <w:spacing w:line="360" w:lineRule="auto"/>
            <w:rPr>
              <w:rFonts w:ascii="Arial" w:eastAsiaTheme="minorEastAsia" w:hAnsi="Arial" w:cs="Arial"/>
              <w:noProof/>
              <w:sz w:val="22"/>
            </w:rPr>
          </w:pPr>
          <w:hyperlink w:anchor="_Toc167920455" w:history="1">
            <w:r w:rsidR="00FC4528" w:rsidRPr="00CE25F3">
              <w:rPr>
                <w:rStyle w:val="Hyperlink"/>
                <w:rFonts w:ascii="Arial" w:hAnsi="Arial" w:cs="Arial"/>
                <w:noProof/>
              </w:rPr>
              <w:t>Discussion/Literature</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_Toc167920455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4</w:t>
            </w:r>
            <w:r w:rsidR="00FC4528" w:rsidRPr="00CE25F3">
              <w:rPr>
                <w:rFonts w:ascii="Arial" w:hAnsi="Arial" w:cs="Arial"/>
                <w:noProof/>
                <w:webHidden/>
              </w:rPr>
              <w:fldChar w:fldCharType="end"/>
            </w:r>
          </w:hyperlink>
        </w:p>
        <w:p w14:paraId="5149DE54" w14:textId="158B707B" w:rsidR="00FC4528" w:rsidRPr="00CE25F3" w:rsidRDefault="00000000" w:rsidP="00FC4528">
          <w:pPr>
            <w:pStyle w:val="TOC2"/>
            <w:tabs>
              <w:tab w:val="right" w:leader="dot" w:pos="9350"/>
            </w:tabs>
            <w:spacing w:line="360" w:lineRule="auto"/>
            <w:rPr>
              <w:rFonts w:ascii="Arial" w:eastAsiaTheme="minorEastAsia" w:hAnsi="Arial" w:cs="Arial"/>
              <w:noProof/>
              <w:sz w:val="22"/>
            </w:rPr>
          </w:pPr>
          <w:hyperlink w:anchor="_Toc167920456" w:history="1">
            <w:r w:rsidR="00FC4528" w:rsidRPr="00CE25F3">
              <w:rPr>
                <w:rStyle w:val="Hyperlink"/>
                <w:rFonts w:ascii="Arial" w:hAnsi="Arial" w:cs="Arial"/>
                <w:noProof/>
              </w:rPr>
              <w:t>Socio-economic Factors (PESTLE Analysis)</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_Toc167920456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4</w:t>
            </w:r>
            <w:r w:rsidR="00FC4528" w:rsidRPr="00CE25F3">
              <w:rPr>
                <w:rFonts w:ascii="Arial" w:hAnsi="Arial" w:cs="Arial"/>
                <w:noProof/>
                <w:webHidden/>
              </w:rPr>
              <w:fldChar w:fldCharType="end"/>
            </w:r>
          </w:hyperlink>
        </w:p>
        <w:p w14:paraId="19E32498" w14:textId="1765F040" w:rsidR="00FC4528" w:rsidRPr="00CE25F3" w:rsidRDefault="00000000" w:rsidP="00FC4528">
          <w:pPr>
            <w:pStyle w:val="TOC2"/>
            <w:tabs>
              <w:tab w:val="right" w:leader="dot" w:pos="9350"/>
            </w:tabs>
            <w:spacing w:line="360" w:lineRule="auto"/>
            <w:rPr>
              <w:rFonts w:ascii="Arial" w:eastAsiaTheme="minorEastAsia" w:hAnsi="Arial" w:cs="Arial"/>
              <w:noProof/>
              <w:sz w:val="22"/>
            </w:rPr>
          </w:pPr>
          <w:hyperlink w:anchor="_Toc167920457" w:history="1">
            <w:r w:rsidR="00FC4528" w:rsidRPr="00CE25F3">
              <w:rPr>
                <w:rStyle w:val="Hyperlink"/>
                <w:rFonts w:ascii="Arial" w:hAnsi="Arial" w:cs="Arial"/>
                <w:noProof/>
              </w:rPr>
              <w:t>Industry Trends</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_Toc167920457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7</w:t>
            </w:r>
            <w:r w:rsidR="00FC4528" w:rsidRPr="00CE25F3">
              <w:rPr>
                <w:rFonts w:ascii="Arial" w:hAnsi="Arial" w:cs="Arial"/>
                <w:noProof/>
                <w:webHidden/>
              </w:rPr>
              <w:fldChar w:fldCharType="end"/>
            </w:r>
          </w:hyperlink>
        </w:p>
        <w:p w14:paraId="39FF9A29" w14:textId="4105C24E" w:rsidR="00FC4528" w:rsidRPr="00CE25F3" w:rsidRDefault="00000000" w:rsidP="00FC4528">
          <w:pPr>
            <w:pStyle w:val="TOC2"/>
            <w:tabs>
              <w:tab w:val="right" w:leader="dot" w:pos="9350"/>
            </w:tabs>
            <w:spacing w:line="360" w:lineRule="auto"/>
            <w:rPr>
              <w:rFonts w:ascii="Arial" w:eastAsiaTheme="minorEastAsia" w:hAnsi="Arial" w:cs="Arial"/>
              <w:noProof/>
              <w:sz w:val="22"/>
            </w:rPr>
          </w:pPr>
          <w:hyperlink w:anchor="_Toc167920458" w:history="1">
            <w:r w:rsidR="00FC4528" w:rsidRPr="00CE25F3">
              <w:rPr>
                <w:rStyle w:val="Hyperlink"/>
                <w:rFonts w:ascii="Arial" w:hAnsi="Arial" w:cs="Arial"/>
                <w:noProof/>
              </w:rPr>
              <w:t>Industry Examples</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_Toc167920458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8</w:t>
            </w:r>
            <w:r w:rsidR="00FC4528" w:rsidRPr="00CE25F3">
              <w:rPr>
                <w:rFonts w:ascii="Arial" w:hAnsi="Arial" w:cs="Arial"/>
                <w:noProof/>
                <w:webHidden/>
              </w:rPr>
              <w:fldChar w:fldCharType="end"/>
            </w:r>
          </w:hyperlink>
        </w:p>
        <w:p w14:paraId="1DC9E08D" w14:textId="1BD4CFEE" w:rsidR="00FC4528" w:rsidRPr="00CE25F3" w:rsidRDefault="00000000" w:rsidP="00FC4528">
          <w:pPr>
            <w:pStyle w:val="TOC1"/>
            <w:tabs>
              <w:tab w:val="right" w:leader="dot" w:pos="9350"/>
            </w:tabs>
            <w:spacing w:line="360" w:lineRule="auto"/>
            <w:rPr>
              <w:rFonts w:ascii="Arial" w:eastAsiaTheme="minorEastAsia" w:hAnsi="Arial" w:cs="Arial"/>
              <w:noProof/>
              <w:sz w:val="22"/>
            </w:rPr>
          </w:pPr>
          <w:hyperlink w:anchor="_Toc167920459" w:history="1">
            <w:r w:rsidR="00FC4528" w:rsidRPr="00CE25F3">
              <w:rPr>
                <w:rStyle w:val="Hyperlink"/>
                <w:rFonts w:ascii="Arial" w:hAnsi="Arial" w:cs="Arial"/>
                <w:noProof/>
              </w:rPr>
              <w:t>Evaluation</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_Toc167920459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9</w:t>
            </w:r>
            <w:r w:rsidR="00FC4528" w:rsidRPr="00CE25F3">
              <w:rPr>
                <w:rFonts w:ascii="Arial" w:hAnsi="Arial" w:cs="Arial"/>
                <w:noProof/>
                <w:webHidden/>
              </w:rPr>
              <w:fldChar w:fldCharType="end"/>
            </w:r>
          </w:hyperlink>
        </w:p>
        <w:p w14:paraId="64B849E7" w14:textId="7F274F79" w:rsidR="00FC4528" w:rsidRPr="00CE25F3" w:rsidRDefault="00000000" w:rsidP="00FC4528">
          <w:pPr>
            <w:pStyle w:val="TOC1"/>
            <w:tabs>
              <w:tab w:val="right" w:leader="dot" w:pos="9350"/>
            </w:tabs>
            <w:spacing w:line="360" w:lineRule="auto"/>
            <w:rPr>
              <w:rFonts w:ascii="Arial" w:eastAsiaTheme="minorEastAsia" w:hAnsi="Arial" w:cs="Arial"/>
              <w:noProof/>
              <w:sz w:val="22"/>
            </w:rPr>
          </w:pPr>
          <w:hyperlink w:anchor="_Toc167920460" w:history="1">
            <w:r w:rsidR="00FC4528" w:rsidRPr="00CE25F3">
              <w:rPr>
                <w:rStyle w:val="Hyperlink"/>
                <w:rFonts w:ascii="Arial" w:hAnsi="Arial" w:cs="Arial"/>
                <w:noProof/>
              </w:rPr>
              <w:t>Conclusion</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_Toc167920460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11</w:t>
            </w:r>
            <w:r w:rsidR="00FC4528" w:rsidRPr="00CE25F3">
              <w:rPr>
                <w:rFonts w:ascii="Arial" w:hAnsi="Arial" w:cs="Arial"/>
                <w:noProof/>
                <w:webHidden/>
              </w:rPr>
              <w:fldChar w:fldCharType="end"/>
            </w:r>
          </w:hyperlink>
        </w:p>
        <w:p w14:paraId="0CF8041A" w14:textId="326AD74B" w:rsidR="00FC4528" w:rsidRPr="00CE25F3" w:rsidRDefault="00000000" w:rsidP="00FC4528">
          <w:pPr>
            <w:pStyle w:val="TOC1"/>
            <w:tabs>
              <w:tab w:val="right" w:leader="dot" w:pos="9350"/>
            </w:tabs>
            <w:spacing w:line="360" w:lineRule="auto"/>
            <w:rPr>
              <w:rFonts w:ascii="Arial" w:eastAsiaTheme="minorEastAsia" w:hAnsi="Arial" w:cs="Arial"/>
              <w:noProof/>
              <w:sz w:val="22"/>
            </w:rPr>
          </w:pPr>
          <w:hyperlink w:anchor="_Toc167920461" w:history="1">
            <w:r w:rsidR="00FC4528" w:rsidRPr="00CE25F3">
              <w:rPr>
                <w:rStyle w:val="Hyperlink"/>
                <w:rFonts w:ascii="Arial" w:hAnsi="Arial" w:cs="Arial"/>
                <w:noProof/>
              </w:rPr>
              <w:t>References</w:t>
            </w:r>
            <w:r w:rsidR="00FC4528" w:rsidRPr="00CE25F3">
              <w:rPr>
                <w:rFonts w:ascii="Arial" w:hAnsi="Arial" w:cs="Arial"/>
                <w:noProof/>
                <w:webHidden/>
              </w:rPr>
              <w:tab/>
            </w:r>
            <w:r w:rsidR="00FC4528" w:rsidRPr="00CE25F3">
              <w:rPr>
                <w:rFonts w:ascii="Arial" w:hAnsi="Arial" w:cs="Arial"/>
                <w:noProof/>
                <w:webHidden/>
              </w:rPr>
              <w:fldChar w:fldCharType="begin"/>
            </w:r>
            <w:r w:rsidR="00FC4528" w:rsidRPr="00CE25F3">
              <w:rPr>
                <w:rFonts w:ascii="Arial" w:hAnsi="Arial" w:cs="Arial"/>
                <w:noProof/>
                <w:webHidden/>
              </w:rPr>
              <w:instrText xml:space="preserve"> PAGEREF _Toc167920461 \h </w:instrText>
            </w:r>
            <w:r w:rsidR="00FC4528" w:rsidRPr="00CE25F3">
              <w:rPr>
                <w:rFonts w:ascii="Arial" w:hAnsi="Arial" w:cs="Arial"/>
                <w:noProof/>
                <w:webHidden/>
              </w:rPr>
            </w:r>
            <w:r w:rsidR="00FC4528" w:rsidRPr="00CE25F3">
              <w:rPr>
                <w:rFonts w:ascii="Arial" w:hAnsi="Arial" w:cs="Arial"/>
                <w:noProof/>
                <w:webHidden/>
              </w:rPr>
              <w:fldChar w:fldCharType="separate"/>
            </w:r>
            <w:r w:rsidR="00CE25F3">
              <w:rPr>
                <w:rFonts w:ascii="Arial" w:hAnsi="Arial" w:cs="Arial"/>
                <w:noProof/>
                <w:webHidden/>
              </w:rPr>
              <w:t>12</w:t>
            </w:r>
            <w:r w:rsidR="00FC4528" w:rsidRPr="00CE25F3">
              <w:rPr>
                <w:rFonts w:ascii="Arial" w:hAnsi="Arial" w:cs="Arial"/>
                <w:noProof/>
                <w:webHidden/>
              </w:rPr>
              <w:fldChar w:fldCharType="end"/>
            </w:r>
          </w:hyperlink>
        </w:p>
        <w:p w14:paraId="2091684B" w14:textId="1D5B453E" w:rsidR="00E10C90" w:rsidRPr="00FC4528" w:rsidRDefault="00E10C90" w:rsidP="00FC4528">
          <w:pPr>
            <w:spacing w:line="360" w:lineRule="auto"/>
            <w:jc w:val="both"/>
          </w:pPr>
          <w:r w:rsidRPr="00FC4528">
            <w:rPr>
              <w:rFonts w:cs="Times New Roman"/>
              <w:bCs/>
              <w:lang w:val="en-GB"/>
            </w:rPr>
            <w:fldChar w:fldCharType="end"/>
          </w:r>
        </w:p>
      </w:sdtContent>
    </w:sdt>
    <w:p w14:paraId="6A1711D4" w14:textId="77777777" w:rsidR="00E10C90" w:rsidRPr="00FC4528" w:rsidRDefault="00E10C90" w:rsidP="00FC4528">
      <w:pPr>
        <w:spacing w:line="360" w:lineRule="auto"/>
        <w:rPr>
          <w:rFonts w:eastAsiaTheme="majorEastAsia" w:cstheme="majorBidi"/>
          <w:color w:val="2F5496" w:themeColor="accent1" w:themeShade="BF"/>
          <w:sz w:val="32"/>
          <w:szCs w:val="32"/>
        </w:rPr>
      </w:pPr>
      <w:r w:rsidRPr="00FC4528">
        <w:br w:type="page"/>
      </w:r>
    </w:p>
    <w:p w14:paraId="038E3F2C" w14:textId="1C8309AE" w:rsidR="004E0628" w:rsidRPr="00CE25F3" w:rsidRDefault="004E0628" w:rsidP="005C3D99">
      <w:pPr>
        <w:pStyle w:val="Heading1"/>
        <w:spacing w:line="360" w:lineRule="auto"/>
        <w:jc w:val="both"/>
        <w:rPr>
          <w:rFonts w:ascii="Arial" w:hAnsi="Arial" w:cs="Arial"/>
          <w:b/>
          <w:color w:val="000000" w:themeColor="text1"/>
        </w:rPr>
      </w:pPr>
      <w:bookmarkStart w:id="0" w:name="_Toc167920454"/>
      <w:r w:rsidRPr="00CE25F3">
        <w:rPr>
          <w:rFonts w:ascii="Arial" w:hAnsi="Arial" w:cs="Arial"/>
          <w:b/>
          <w:color w:val="000000" w:themeColor="text1"/>
        </w:rPr>
        <w:lastRenderedPageBreak/>
        <w:t>Introduction and Background</w:t>
      </w:r>
      <w:bookmarkEnd w:id="0"/>
    </w:p>
    <w:p w14:paraId="32A7E738" w14:textId="52FBFDD2" w:rsidR="004E0628" w:rsidRPr="00CE25F3" w:rsidRDefault="004E0628" w:rsidP="005C3D99">
      <w:pPr>
        <w:spacing w:line="360" w:lineRule="auto"/>
        <w:jc w:val="both"/>
        <w:rPr>
          <w:rFonts w:ascii="Arial" w:hAnsi="Arial" w:cs="Arial"/>
        </w:rPr>
      </w:pPr>
      <w:r w:rsidRPr="00CE25F3">
        <w:rPr>
          <w:rFonts w:ascii="Arial" w:hAnsi="Arial" w:cs="Arial"/>
        </w:rPr>
        <w:t>Clayton Hotel Leeds is one of the many successful, business accommodation facilities under the Dalata Hotel Group, specializing in providing clients with comfortable, stylish amenities and excellent service. This research proposal seeks to establish the effect of socio-economic factors on performance evaluation and appraisal practices in distinct work models within the hospitality sector with particular reference to Clayton Hotel. The involved employee performance is fairly dynamic, especially in the hospitality sector, knowing that many changes within the economic and social context can either positively or negatively affect the performance measurement process</w:t>
      </w:r>
      <w:r w:rsidR="005C3D99" w:rsidRPr="00CE25F3">
        <w:rPr>
          <w:rFonts w:ascii="Arial" w:hAnsi="Arial" w:cs="Arial"/>
        </w:rPr>
        <w:t xml:space="preserve"> (Hofstede and Minkov, 2020)</w:t>
      </w:r>
      <w:r w:rsidRPr="00CE25F3">
        <w:rPr>
          <w:rFonts w:ascii="Arial" w:hAnsi="Arial" w:cs="Arial"/>
        </w:rPr>
        <w:t>.</w:t>
      </w:r>
    </w:p>
    <w:p w14:paraId="6E5E25A9" w14:textId="332577F4" w:rsidR="004E0628" w:rsidRPr="00CE25F3" w:rsidRDefault="004E0628" w:rsidP="005C3D99">
      <w:pPr>
        <w:spacing w:line="360" w:lineRule="auto"/>
        <w:jc w:val="both"/>
        <w:rPr>
          <w:rFonts w:ascii="Arial" w:hAnsi="Arial" w:cs="Arial"/>
        </w:rPr>
      </w:pPr>
      <w:r w:rsidRPr="00CE25F3">
        <w:rPr>
          <w:rFonts w:ascii="Arial" w:hAnsi="Arial" w:cs="Arial"/>
        </w:rPr>
        <w:t xml:space="preserve">In particular, over the past few decades of the development of the hospitality industry and the modernization of commercialization and consumerist society, this area has become affected by various socio-economic changes. Some of the antecedents identified are economic fluctuations, scarcity of workers, </w:t>
      </w:r>
      <w:r w:rsidR="005C3D99" w:rsidRPr="00CE25F3">
        <w:rPr>
          <w:rFonts w:ascii="Arial" w:hAnsi="Arial" w:cs="Arial"/>
        </w:rPr>
        <w:t xml:space="preserve">a </w:t>
      </w:r>
      <w:r w:rsidRPr="00CE25F3">
        <w:rPr>
          <w:rFonts w:ascii="Arial" w:hAnsi="Arial" w:cs="Arial"/>
        </w:rPr>
        <w:t>changing population of employees, and innovation. Due to these changes, there is a need to closely look at the current practices regarding performance management to determine how existing practices can be suited to the new reality. Furthermore</w:t>
      </w:r>
      <w:r w:rsidR="005C3D99" w:rsidRPr="00CE25F3">
        <w:rPr>
          <w:rFonts w:ascii="Arial" w:hAnsi="Arial" w:cs="Arial"/>
        </w:rPr>
        <w:t>,</w:t>
      </w:r>
      <w:r w:rsidRPr="00CE25F3">
        <w:rPr>
          <w:rFonts w:ascii="Arial" w:hAnsi="Arial" w:cs="Arial"/>
        </w:rPr>
        <w:t xml:space="preserve"> in the same vein, the COVID</w:t>
      </w:r>
      <w:r w:rsidR="005C3D99" w:rsidRPr="00CE25F3">
        <w:rPr>
          <w:rFonts w:ascii="Arial" w:hAnsi="Arial" w:cs="Arial"/>
        </w:rPr>
        <w:t>-</w:t>
      </w:r>
      <w:r w:rsidRPr="00CE25F3">
        <w:rPr>
          <w:rFonts w:ascii="Arial" w:hAnsi="Arial" w:cs="Arial"/>
        </w:rPr>
        <w:t>19 pandemic has further advanced the use of different work modalities that include hybrid work, remote, and flex</w:t>
      </w:r>
      <w:r w:rsidR="005C3D99" w:rsidRPr="00CE25F3">
        <w:rPr>
          <w:rFonts w:ascii="Arial" w:hAnsi="Arial" w:cs="Arial"/>
        </w:rPr>
        <w:t xml:space="preserve"> </w:t>
      </w:r>
      <w:r w:rsidRPr="00CE25F3">
        <w:rPr>
          <w:rFonts w:ascii="Arial" w:hAnsi="Arial" w:cs="Arial"/>
        </w:rPr>
        <w:t>work arrangements</w:t>
      </w:r>
      <w:r w:rsidR="005C3D99" w:rsidRPr="00CE25F3">
        <w:rPr>
          <w:rFonts w:ascii="Arial" w:hAnsi="Arial" w:cs="Arial"/>
        </w:rPr>
        <w:t xml:space="preserve"> (Dalata Hotel Group, 2024)</w:t>
      </w:r>
      <w:r w:rsidRPr="00CE25F3">
        <w:rPr>
          <w:rFonts w:ascii="Arial" w:hAnsi="Arial" w:cs="Arial"/>
        </w:rPr>
        <w:t xml:space="preserve">. In this new work paradigm, there are looming issues in addressing how performance management and monitoring </w:t>
      </w:r>
      <w:r w:rsidR="005C3D99" w:rsidRPr="00CE25F3">
        <w:rPr>
          <w:rFonts w:ascii="Arial" w:hAnsi="Arial" w:cs="Arial"/>
        </w:rPr>
        <w:t>are</w:t>
      </w:r>
      <w:r w:rsidRPr="00CE25F3">
        <w:rPr>
          <w:rFonts w:ascii="Arial" w:hAnsi="Arial" w:cs="Arial"/>
        </w:rPr>
        <w:t xml:space="preserve"> done on the employees.</w:t>
      </w:r>
    </w:p>
    <w:p w14:paraId="2CD7A7D3" w14:textId="3F77AA6D" w:rsidR="004E0628" w:rsidRPr="00CE25F3" w:rsidRDefault="004E0628" w:rsidP="005C3D99">
      <w:pPr>
        <w:spacing w:line="360" w:lineRule="auto"/>
        <w:jc w:val="both"/>
        <w:rPr>
          <w:rFonts w:ascii="Arial" w:hAnsi="Arial" w:cs="Arial"/>
        </w:rPr>
      </w:pPr>
      <w:r w:rsidRPr="00CE25F3">
        <w:rPr>
          <w:rFonts w:ascii="Arial" w:hAnsi="Arial" w:cs="Arial"/>
        </w:rPr>
        <w:t>Extending the idea of different work modes into hospitality, there are a number of concerns to consider. For example, dual centralization which is the integration of centralized work arrangements with decentralized work arrangements, can be effective when implemented together with reliable performance management systems to boost productivity and engagement. Many elements of work might be rather rigid and established in the case of office-based arrangements; however, these elements can also become more flexible to fit the new context</w:t>
      </w:r>
      <w:r w:rsidR="005C3D99" w:rsidRPr="00CE25F3">
        <w:rPr>
          <w:rFonts w:ascii="Arial" w:hAnsi="Arial" w:cs="Arial"/>
        </w:rPr>
        <w:t xml:space="preserve"> (Lewis, 2021)</w:t>
      </w:r>
      <w:r w:rsidRPr="00CE25F3">
        <w:rPr>
          <w:rFonts w:ascii="Arial" w:hAnsi="Arial" w:cs="Arial"/>
        </w:rPr>
        <w:t xml:space="preserve">. In addition, with the advancement of new generation work flexibility that puts the onus on the employee to decide the hours of work, the management needs creativity in order to monitor their </w:t>
      </w:r>
      <w:r w:rsidRPr="00CE25F3">
        <w:rPr>
          <w:rFonts w:ascii="Arial" w:hAnsi="Arial" w:cs="Arial"/>
        </w:rPr>
        <w:lastRenderedPageBreak/>
        <w:t>performances and maintain the quality of services offered and the functionality of the service delivery without compromising on service delivery.</w:t>
      </w:r>
    </w:p>
    <w:p w14:paraId="06559EAB" w14:textId="49062058" w:rsidR="004E0628" w:rsidRPr="00CE25F3" w:rsidRDefault="004E0628" w:rsidP="005C3D99">
      <w:pPr>
        <w:spacing w:line="360" w:lineRule="auto"/>
        <w:jc w:val="both"/>
        <w:rPr>
          <w:rFonts w:ascii="Arial" w:hAnsi="Arial" w:cs="Arial"/>
        </w:rPr>
      </w:pPr>
      <w:r w:rsidRPr="00CE25F3">
        <w:rPr>
          <w:rFonts w:ascii="Arial" w:hAnsi="Arial" w:cs="Arial"/>
        </w:rPr>
        <w:t>Socio-Economic Concerns: This proposal will also consider the socio-economic factors that affect employee performance management in different work modes at Clayton Hotel based on the PESTLE analysis. This will also analyse current industry trends, offer case stud</w:t>
      </w:r>
      <w:r w:rsidR="005C3D99" w:rsidRPr="00CE25F3">
        <w:rPr>
          <w:rFonts w:ascii="Arial" w:hAnsi="Arial" w:cs="Arial"/>
        </w:rPr>
        <w:t>ies</w:t>
      </w:r>
      <w:r w:rsidRPr="00CE25F3">
        <w:rPr>
          <w:rFonts w:ascii="Arial" w:hAnsi="Arial" w:cs="Arial"/>
        </w:rPr>
        <w:t xml:space="preserve"> by some big hotel chains, and later recommend ways of coping with these realities</w:t>
      </w:r>
      <w:r w:rsidR="005C3D99" w:rsidRPr="00CE25F3">
        <w:rPr>
          <w:rFonts w:ascii="Arial" w:hAnsi="Arial" w:cs="Arial"/>
        </w:rPr>
        <w:t xml:space="preserve"> (GLOBE Project, 2024)</w:t>
      </w:r>
      <w:r w:rsidRPr="00CE25F3">
        <w:rPr>
          <w:rFonts w:ascii="Arial" w:hAnsi="Arial" w:cs="Arial"/>
        </w:rPr>
        <w:t>. By so doing, the Clayton Hotel can establish measures to improve the employees</w:t>
      </w:r>
      <w:r w:rsidR="005C3D99" w:rsidRPr="00CE25F3">
        <w:rPr>
          <w:rFonts w:ascii="Arial" w:hAnsi="Arial" w:cs="Arial"/>
        </w:rPr>
        <w:t>'</w:t>
      </w:r>
      <w:r w:rsidRPr="00CE25F3">
        <w:rPr>
          <w:rFonts w:ascii="Arial" w:hAnsi="Arial" w:cs="Arial"/>
        </w:rPr>
        <w:t xml:space="preserve"> efficiency and work stall on increasing its efficiency considering the ever</w:t>
      </w:r>
      <w:r w:rsidR="005C3D99" w:rsidRPr="00CE25F3">
        <w:rPr>
          <w:rFonts w:ascii="Arial" w:hAnsi="Arial" w:cs="Arial"/>
        </w:rPr>
        <w:t>-</w:t>
      </w:r>
      <w:r w:rsidRPr="00CE25F3">
        <w:rPr>
          <w:rFonts w:ascii="Arial" w:hAnsi="Arial" w:cs="Arial"/>
        </w:rPr>
        <w:t>changing socio-economic factors within the hospitality industry.</w:t>
      </w:r>
    </w:p>
    <w:p w14:paraId="1DB4BAA6" w14:textId="77777777" w:rsidR="004E0628" w:rsidRPr="00CE25F3" w:rsidRDefault="004E0628" w:rsidP="005C3D99">
      <w:pPr>
        <w:pStyle w:val="Heading1"/>
        <w:spacing w:line="360" w:lineRule="auto"/>
        <w:jc w:val="both"/>
        <w:rPr>
          <w:rFonts w:ascii="Arial" w:hAnsi="Arial" w:cs="Arial"/>
          <w:b/>
          <w:color w:val="000000" w:themeColor="text1"/>
        </w:rPr>
      </w:pPr>
      <w:bookmarkStart w:id="1" w:name="_Toc167920455"/>
      <w:r w:rsidRPr="00CE25F3">
        <w:rPr>
          <w:rFonts w:ascii="Arial" w:hAnsi="Arial" w:cs="Arial"/>
          <w:b/>
          <w:color w:val="000000" w:themeColor="text1"/>
        </w:rPr>
        <w:t>Discussion/Literature</w:t>
      </w:r>
      <w:bookmarkEnd w:id="1"/>
    </w:p>
    <w:p w14:paraId="39693272" w14:textId="77777777" w:rsidR="004E0628" w:rsidRPr="00CE25F3" w:rsidRDefault="004E0628" w:rsidP="005C3D99">
      <w:pPr>
        <w:pStyle w:val="Heading2"/>
        <w:spacing w:line="360" w:lineRule="auto"/>
        <w:jc w:val="both"/>
        <w:rPr>
          <w:rFonts w:ascii="Arial" w:hAnsi="Arial" w:cs="Arial"/>
          <w:b/>
          <w:i/>
        </w:rPr>
      </w:pPr>
      <w:bookmarkStart w:id="2" w:name="_Toc167920456"/>
      <w:r w:rsidRPr="00CE25F3">
        <w:rPr>
          <w:rFonts w:ascii="Arial" w:hAnsi="Arial" w:cs="Arial"/>
          <w:b/>
          <w:i/>
        </w:rPr>
        <w:t>Socio-economic Factors (PESTLE Analysis)</w:t>
      </w:r>
      <w:bookmarkEnd w:id="2"/>
    </w:p>
    <w:tbl>
      <w:tblPr>
        <w:tblStyle w:val="GridTable5Dark-Accent3"/>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321"/>
        <w:gridCol w:w="4504"/>
        <w:gridCol w:w="1620"/>
      </w:tblGrid>
      <w:tr w:rsidR="004E3B73" w:rsidRPr="00CE25F3" w14:paraId="0A8DCC6B" w14:textId="77777777" w:rsidTr="004E3B73">
        <w:trPr>
          <w:cnfStyle w:val="100000000000" w:firstRow="1" w:lastRow="0" w:firstColumn="0" w:lastColumn="0" w:oddVBand="0" w:evenVBand="0" w:oddHBand="0"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3C1057A" w14:textId="77777777" w:rsidR="004E0628" w:rsidRPr="00CE25F3" w:rsidRDefault="004E0628" w:rsidP="005C3D99">
            <w:pPr>
              <w:spacing w:after="160" w:line="360" w:lineRule="auto"/>
              <w:jc w:val="both"/>
              <w:rPr>
                <w:rFonts w:ascii="Arial" w:hAnsi="Arial" w:cs="Arial"/>
              </w:rPr>
            </w:pPr>
            <w:r w:rsidRPr="00CE25F3">
              <w:rPr>
                <w:rFonts w:ascii="Arial" w:hAnsi="Arial" w:cs="Arial"/>
              </w:rPr>
              <w:t>External Factors to Consider</w:t>
            </w:r>
          </w:p>
        </w:tc>
        <w:tc>
          <w:tcPr>
            <w:tcW w:w="4504" w:type="dxa"/>
            <w:tcBorders>
              <w:top w:val="single" w:sz="4" w:space="0" w:color="auto"/>
              <w:left w:val="single" w:sz="4" w:space="0" w:color="auto"/>
              <w:bottom w:val="single" w:sz="4" w:space="0" w:color="auto"/>
              <w:right w:val="single" w:sz="4" w:space="0" w:color="auto"/>
            </w:tcBorders>
            <w:hideMark/>
          </w:tcPr>
          <w:p w14:paraId="6EFBC66D" w14:textId="77777777" w:rsidR="004E0628" w:rsidRPr="00CE25F3" w:rsidRDefault="004E0628" w:rsidP="005C3D9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E25F3">
              <w:rPr>
                <w:rFonts w:ascii="Arial" w:hAnsi="Arial" w:cs="Arial"/>
              </w:rPr>
              <w:t>Factors Affected within My Industry</w:t>
            </w:r>
          </w:p>
        </w:tc>
        <w:tc>
          <w:tcPr>
            <w:tcW w:w="1620" w:type="dxa"/>
            <w:tcBorders>
              <w:top w:val="single" w:sz="4" w:space="0" w:color="auto"/>
              <w:left w:val="single" w:sz="4" w:space="0" w:color="auto"/>
              <w:bottom w:val="single" w:sz="4" w:space="0" w:color="auto"/>
              <w:right w:val="single" w:sz="4" w:space="0" w:color="auto"/>
            </w:tcBorders>
            <w:hideMark/>
          </w:tcPr>
          <w:p w14:paraId="4BF82AC6" w14:textId="54ADF13E" w:rsidR="004E0628" w:rsidRPr="00CE25F3" w:rsidRDefault="004E0628" w:rsidP="005C3D9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E25F3">
              <w:rPr>
                <w:rFonts w:ascii="Arial" w:hAnsi="Arial" w:cs="Arial"/>
              </w:rPr>
              <w:t>Importance</w:t>
            </w:r>
          </w:p>
        </w:tc>
      </w:tr>
      <w:tr w:rsidR="004E3B73" w:rsidRPr="00CE25F3" w14:paraId="378BB247"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2E74B5" w:themeFill="accent5" w:themeFillShade="BF"/>
            <w:hideMark/>
          </w:tcPr>
          <w:p w14:paraId="7CE7DA37" w14:textId="77777777" w:rsidR="004E0628" w:rsidRPr="00CE25F3" w:rsidRDefault="004E0628" w:rsidP="005C3D99">
            <w:pPr>
              <w:spacing w:after="160" w:line="360" w:lineRule="auto"/>
              <w:jc w:val="both"/>
              <w:rPr>
                <w:rFonts w:ascii="Arial" w:hAnsi="Arial" w:cs="Arial"/>
              </w:rPr>
            </w:pPr>
            <w:r w:rsidRPr="00CE25F3">
              <w:rPr>
                <w:rFonts w:ascii="Arial" w:hAnsi="Arial" w:cs="Arial"/>
              </w:rPr>
              <w:t>Political</w:t>
            </w:r>
          </w:p>
        </w:tc>
        <w:tc>
          <w:tcPr>
            <w:tcW w:w="4504" w:type="dxa"/>
            <w:shd w:val="clear" w:color="auto" w:fill="2E74B5" w:themeFill="accent5" w:themeFillShade="BF"/>
            <w:hideMark/>
          </w:tcPr>
          <w:p w14:paraId="65AB7CC5"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c>
          <w:tcPr>
            <w:tcW w:w="1620" w:type="dxa"/>
            <w:shd w:val="clear" w:color="auto" w:fill="2E74B5" w:themeFill="accent5" w:themeFillShade="BF"/>
            <w:hideMark/>
          </w:tcPr>
          <w:p w14:paraId="7EDE771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r>
      <w:tr w:rsidR="004E3B73" w:rsidRPr="00CE25F3" w14:paraId="35BF2A2C" w14:textId="77777777" w:rsidTr="004E3B73">
        <w:trPr>
          <w:trHeight w:val="7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54330A1" w14:textId="77777777" w:rsidR="004E0628" w:rsidRPr="00CE25F3" w:rsidRDefault="004E0628" w:rsidP="005C3D99">
            <w:pPr>
              <w:spacing w:after="160" w:line="360" w:lineRule="auto"/>
              <w:jc w:val="both"/>
              <w:rPr>
                <w:rFonts w:ascii="Arial" w:hAnsi="Arial" w:cs="Arial"/>
                <w:b w:val="0"/>
                <w:bCs w:val="0"/>
                <w:color w:val="000000" w:themeColor="text1"/>
              </w:rPr>
            </w:pPr>
            <w:r w:rsidRPr="00CE25F3">
              <w:rPr>
                <w:rFonts w:ascii="Arial" w:hAnsi="Arial" w:cs="Arial"/>
                <w:b w:val="0"/>
                <w:bCs w:val="0"/>
                <w:color w:val="000000" w:themeColor="text1"/>
              </w:rPr>
              <w:t>Government policy</w:t>
            </w:r>
          </w:p>
        </w:tc>
        <w:tc>
          <w:tcPr>
            <w:tcW w:w="4504" w:type="dxa"/>
            <w:hideMark/>
          </w:tcPr>
          <w:p w14:paraId="7DAD3400"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Employment regulations, wage policies</w:t>
            </w:r>
          </w:p>
        </w:tc>
        <w:tc>
          <w:tcPr>
            <w:tcW w:w="1620" w:type="dxa"/>
            <w:hideMark/>
          </w:tcPr>
          <w:p w14:paraId="78B0E7F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7DF3B90A"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1C1AC2F" w14:textId="77777777" w:rsidR="004E0628" w:rsidRPr="00CE25F3" w:rsidRDefault="004E0628" w:rsidP="005C3D99">
            <w:pPr>
              <w:spacing w:after="160" w:line="360" w:lineRule="auto"/>
              <w:jc w:val="both"/>
              <w:rPr>
                <w:rFonts w:ascii="Arial" w:hAnsi="Arial" w:cs="Arial"/>
                <w:b w:val="0"/>
                <w:bCs w:val="0"/>
                <w:color w:val="000000" w:themeColor="text1"/>
              </w:rPr>
            </w:pPr>
            <w:r w:rsidRPr="00CE25F3">
              <w:rPr>
                <w:rFonts w:ascii="Arial" w:hAnsi="Arial" w:cs="Arial"/>
                <w:b w:val="0"/>
                <w:bCs w:val="0"/>
                <w:color w:val="000000" w:themeColor="text1"/>
              </w:rPr>
              <w:t>Political stability</w:t>
            </w:r>
          </w:p>
        </w:tc>
        <w:tc>
          <w:tcPr>
            <w:tcW w:w="4504" w:type="dxa"/>
            <w:hideMark/>
          </w:tcPr>
          <w:p w14:paraId="7DF74483"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Investment confidence</w:t>
            </w:r>
          </w:p>
        </w:tc>
        <w:tc>
          <w:tcPr>
            <w:tcW w:w="1620" w:type="dxa"/>
            <w:hideMark/>
          </w:tcPr>
          <w:p w14:paraId="120C53B3"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04756AFE"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A0EAB9F" w14:textId="77777777" w:rsidR="004E0628" w:rsidRPr="00CE25F3" w:rsidRDefault="004E0628" w:rsidP="005C3D99">
            <w:pPr>
              <w:spacing w:after="160" w:line="360" w:lineRule="auto"/>
              <w:jc w:val="both"/>
              <w:rPr>
                <w:rFonts w:ascii="Arial" w:hAnsi="Arial" w:cs="Arial"/>
                <w:b w:val="0"/>
                <w:bCs w:val="0"/>
                <w:color w:val="000000" w:themeColor="text1"/>
              </w:rPr>
            </w:pPr>
            <w:r w:rsidRPr="00CE25F3">
              <w:rPr>
                <w:rFonts w:ascii="Arial" w:hAnsi="Arial" w:cs="Arial"/>
                <w:b w:val="0"/>
                <w:bCs w:val="0"/>
                <w:color w:val="000000" w:themeColor="text1"/>
              </w:rPr>
              <w:t>Tax</w:t>
            </w:r>
          </w:p>
        </w:tc>
        <w:tc>
          <w:tcPr>
            <w:tcW w:w="4504" w:type="dxa"/>
            <w:hideMark/>
          </w:tcPr>
          <w:p w14:paraId="6FDAB75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Operating costs</w:t>
            </w:r>
          </w:p>
        </w:tc>
        <w:tc>
          <w:tcPr>
            <w:tcW w:w="1620" w:type="dxa"/>
            <w:hideMark/>
          </w:tcPr>
          <w:p w14:paraId="34B7A659"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64ACA628" w14:textId="77777777" w:rsidTr="004E3B73">
        <w:trPr>
          <w:trHeight w:val="7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79650C4" w14:textId="77777777" w:rsidR="004E0628" w:rsidRPr="00CE25F3" w:rsidRDefault="004E0628" w:rsidP="005C3D99">
            <w:pPr>
              <w:spacing w:after="160" w:line="360" w:lineRule="auto"/>
              <w:jc w:val="both"/>
              <w:rPr>
                <w:rFonts w:ascii="Arial" w:hAnsi="Arial" w:cs="Arial"/>
                <w:b w:val="0"/>
                <w:bCs w:val="0"/>
                <w:color w:val="000000" w:themeColor="text1"/>
              </w:rPr>
            </w:pPr>
            <w:r w:rsidRPr="00CE25F3">
              <w:rPr>
                <w:rFonts w:ascii="Arial" w:hAnsi="Arial" w:cs="Arial"/>
                <w:b w:val="0"/>
                <w:bCs w:val="0"/>
                <w:color w:val="000000" w:themeColor="text1"/>
              </w:rPr>
              <w:t>Industry regulations</w:t>
            </w:r>
          </w:p>
        </w:tc>
        <w:tc>
          <w:tcPr>
            <w:tcW w:w="4504" w:type="dxa"/>
            <w:hideMark/>
          </w:tcPr>
          <w:p w14:paraId="4CA53569"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Compliance and operational adjustments</w:t>
            </w:r>
          </w:p>
        </w:tc>
        <w:tc>
          <w:tcPr>
            <w:tcW w:w="1620" w:type="dxa"/>
            <w:hideMark/>
          </w:tcPr>
          <w:p w14:paraId="78FEDE8C"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3616C20E"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single" w:sz="4" w:space="0" w:color="auto"/>
            </w:tcBorders>
            <w:hideMark/>
          </w:tcPr>
          <w:p w14:paraId="4E6F2BC4" w14:textId="77777777" w:rsidR="004E0628" w:rsidRPr="00CE25F3" w:rsidRDefault="004E0628" w:rsidP="005C3D99">
            <w:pPr>
              <w:spacing w:after="160" w:line="360" w:lineRule="auto"/>
              <w:jc w:val="both"/>
              <w:rPr>
                <w:rFonts w:ascii="Arial" w:hAnsi="Arial" w:cs="Arial"/>
                <w:b w:val="0"/>
                <w:bCs w:val="0"/>
                <w:color w:val="000000" w:themeColor="text1"/>
              </w:rPr>
            </w:pPr>
            <w:r w:rsidRPr="00CE25F3">
              <w:rPr>
                <w:rFonts w:ascii="Arial" w:hAnsi="Arial" w:cs="Arial"/>
                <w:b w:val="0"/>
                <w:bCs w:val="0"/>
                <w:color w:val="000000" w:themeColor="text1"/>
              </w:rPr>
              <w:t>Global trade agreements</w:t>
            </w:r>
          </w:p>
        </w:tc>
        <w:tc>
          <w:tcPr>
            <w:tcW w:w="4504" w:type="dxa"/>
            <w:tcBorders>
              <w:bottom w:val="single" w:sz="4" w:space="0" w:color="auto"/>
            </w:tcBorders>
            <w:hideMark/>
          </w:tcPr>
          <w:p w14:paraId="19EED2E0"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Import/export of goods and services</w:t>
            </w:r>
          </w:p>
        </w:tc>
        <w:tc>
          <w:tcPr>
            <w:tcW w:w="1620" w:type="dxa"/>
            <w:tcBorders>
              <w:bottom w:val="single" w:sz="4" w:space="0" w:color="auto"/>
            </w:tcBorders>
            <w:hideMark/>
          </w:tcPr>
          <w:p w14:paraId="7A1C989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18CE46AA" w14:textId="77777777" w:rsidTr="004E3B73">
        <w:trPr>
          <w:trHeight w:val="465"/>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2E74B5" w:themeFill="accent5" w:themeFillShade="BF"/>
            <w:hideMark/>
          </w:tcPr>
          <w:p w14:paraId="221F6DD4" w14:textId="77777777" w:rsidR="004E0628" w:rsidRPr="00CE25F3" w:rsidRDefault="004E0628" w:rsidP="005C3D99">
            <w:pPr>
              <w:spacing w:after="160" w:line="360" w:lineRule="auto"/>
              <w:jc w:val="both"/>
              <w:rPr>
                <w:rFonts w:ascii="Arial" w:hAnsi="Arial" w:cs="Arial"/>
              </w:rPr>
            </w:pPr>
            <w:r w:rsidRPr="00CE25F3">
              <w:rPr>
                <w:rFonts w:ascii="Arial" w:hAnsi="Arial" w:cs="Arial"/>
              </w:rPr>
              <w:t>Economic</w:t>
            </w:r>
          </w:p>
        </w:tc>
        <w:tc>
          <w:tcPr>
            <w:tcW w:w="4504" w:type="dxa"/>
            <w:shd w:val="clear" w:color="auto" w:fill="2E74B5" w:themeFill="accent5" w:themeFillShade="BF"/>
            <w:hideMark/>
          </w:tcPr>
          <w:p w14:paraId="2AC5103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c>
          <w:tcPr>
            <w:tcW w:w="1620" w:type="dxa"/>
            <w:shd w:val="clear" w:color="auto" w:fill="2E74B5" w:themeFill="accent5" w:themeFillShade="BF"/>
            <w:hideMark/>
          </w:tcPr>
          <w:p w14:paraId="650C02A4"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r>
      <w:tr w:rsidR="004E3B73" w:rsidRPr="00CE25F3" w14:paraId="495D5AED"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C79AF9D"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Exchange rates</w:t>
            </w:r>
          </w:p>
        </w:tc>
        <w:tc>
          <w:tcPr>
            <w:tcW w:w="4504" w:type="dxa"/>
            <w:hideMark/>
          </w:tcPr>
          <w:p w14:paraId="2352FB4B"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Costs for international operations</w:t>
            </w:r>
          </w:p>
        </w:tc>
        <w:tc>
          <w:tcPr>
            <w:tcW w:w="1620" w:type="dxa"/>
            <w:hideMark/>
          </w:tcPr>
          <w:p w14:paraId="417F3D3E"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51792869"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D76030D"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Globalisation</w:t>
            </w:r>
          </w:p>
        </w:tc>
        <w:tc>
          <w:tcPr>
            <w:tcW w:w="4504" w:type="dxa"/>
            <w:hideMark/>
          </w:tcPr>
          <w:p w14:paraId="535FD21A"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Competition and market expansion</w:t>
            </w:r>
          </w:p>
        </w:tc>
        <w:tc>
          <w:tcPr>
            <w:tcW w:w="1620" w:type="dxa"/>
            <w:hideMark/>
          </w:tcPr>
          <w:p w14:paraId="1E0C1B1F"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2D025D65"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0102E2B"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Economic growth/decline</w:t>
            </w:r>
          </w:p>
        </w:tc>
        <w:tc>
          <w:tcPr>
            <w:tcW w:w="4504" w:type="dxa"/>
            <w:hideMark/>
          </w:tcPr>
          <w:p w14:paraId="77C8024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Revenue and profitability</w:t>
            </w:r>
          </w:p>
        </w:tc>
        <w:tc>
          <w:tcPr>
            <w:tcW w:w="1620" w:type="dxa"/>
            <w:hideMark/>
          </w:tcPr>
          <w:p w14:paraId="4F0C7C1E"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7A5E25D5"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EC5C501"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lastRenderedPageBreak/>
              <w:t>Inflation</w:t>
            </w:r>
          </w:p>
        </w:tc>
        <w:tc>
          <w:tcPr>
            <w:tcW w:w="4504" w:type="dxa"/>
            <w:hideMark/>
          </w:tcPr>
          <w:p w14:paraId="1423A4F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Operational costs, pricing strategies</w:t>
            </w:r>
          </w:p>
        </w:tc>
        <w:tc>
          <w:tcPr>
            <w:tcW w:w="1620" w:type="dxa"/>
            <w:hideMark/>
          </w:tcPr>
          <w:p w14:paraId="367D276C"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56B09F19" w14:textId="77777777" w:rsidTr="004E3B73">
        <w:trPr>
          <w:trHeight w:val="46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8DE6726"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Interest rates</w:t>
            </w:r>
          </w:p>
        </w:tc>
        <w:tc>
          <w:tcPr>
            <w:tcW w:w="4504" w:type="dxa"/>
            <w:hideMark/>
          </w:tcPr>
          <w:p w14:paraId="5727DF91"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Financing costs, investment decisions</w:t>
            </w:r>
          </w:p>
        </w:tc>
        <w:tc>
          <w:tcPr>
            <w:tcW w:w="1620" w:type="dxa"/>
            <w:hideMark/>
          </w:tcPr>
          <w:p w14:paraId="2FB8917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31E1FECA"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0D4765F"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Cost of living</w:t>
            </w:r>
          </w:p>
        </w:tc>
        <w:tc>
          <w:tcPr>
            <w:tcW w:w="4504" w:type="dxa"/>
            <w:hideMark/>
          </w:tcPr>
          <w:p w14:paraId="01CDF0C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Employee wages, customer spending</w:t>
            </w:r>
          </w:p>
        </w:tc>
        <w:tc>
          <w:tcPr>
            <w:tcW w:w="1620" w:type="dxa"/>
            <w:hideMark/>
          </w:tcPr>
          <w:p w14:paraId="5499F893"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3ADB2BDF"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5F85EA1"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Labour costs</w:t>
            </w:r>
          </w:p>
        </w:tc>
        <w:tc>
          <w:tcPr>
            <w:tcW w:w="4504" w:type="dxa"/>
            <w:hideMark/>
          </w:tcPr>
          <w:p w14:paraId="645318C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Staffing expenses</w:t>
            </w:r>
          </w:p>
        </w:tc>
        <w:tc>
          <w:tcPr>
            <w:tcW w:w="1620" w:type="dxa"/>
            <w:hideMark/>
          </w:tcPr>
          <w:p w14:paraId="62E9B53F"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2EA9A0ED"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single" w:sz="4" w:space="0" w:color="auto"/>
            </w:tcBorders>
            <w:hideMark/>
          </w:tcPr>
          <w:p w14:paraId="052ED8C4"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Consumer spending habits</w:t>
            </w:r>
          </w:p>
        </w:tc>
        <w:tc>
          <w:tcPr>
            <w:tcW w:w="4504" w:type="dxa"/>
            <w:tcBorders>
              <w:bottom w:val="single" w:sz="4" w:space="0" w:color="auto"/>
            </w:tcBorders>
            <w:hideMark/>
          </w:tcPr>
          <w:p w14:paraId="713E8701"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Revenue fluctuations</w:t>
            </w:r>
          </w:p>
        </w:tc>
        <w:tc>
          <w:tcPr>
            <w:tcW w:w="1620" w:type="dxa"/>
            <w:tcBorders>
              <w:bottom w:val="single" w:sz="4" w:space="0" w:color="auto"/>
            </w:tcBorders>
            <w:hideMark/>
          </w:tcPr>
          <w:p w14:paraId="06CE2D39"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37AA030A"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2E74B5" w:themeFill="accent5" w:themeFillShade="BF"/>
            <w:hideMark/>
          </w:tcPr>
          <w:p w14:paraId="3C8F66EF" w14:textId="77777777" w:rsidR="004E0628" w:rsidRPr="00CE25F3" w:rsidRDefault="004E0628" w:rsidP="005C3D99">
            <w:pPr>
              <w:spacing w:after="160" w:line="360" w:lineRule="auto"/>
              <w:jc w:val="both"/>
              <w:rPr>
                <w:rFonts w:ascii="Arial" w:hAnsi="Arial" w:cs="Arial"/>
              </w:rPr>
            </w:pPr>
            <w:r w:rsidRPr="00CE25F3">
              <w:rPr>
                <w:rFonts w:ascii="Arial" w:hAnsi="Arial" w:cs="Arial"/>
              </w:rPr>
              <w:t>Social</w:t>
            </w:r>
          </w:p>
        </w:tc>
        <w:tc>
          <w:tcPr>
            <w:tcW w:w="4504" w:type="dxa"/>
            <w:shd w:val="clear" w:color="auto" w:fill="2E74B5" w:themeFill="accent5" w:themeFillShade="BF"/>
            <w:hideMark/>
          </w:tcPr>
          <w:p w14:paraId="646CB98F"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c>
          <w:tcPr>
            <w:tcW w:w="1620" w:type="dxa"/>
            <w:shd w:val="clear" w:color="auto" w:fill="2E74B5" w:themeFill="accent5" w:themeFillShade="BF"/>
            <w:hideMark/>
          </w:tcPr>
          <w:p w14:paraId="3A17A1E1"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r>
      <w:tr w:rsidR="004E3B73" w:rsidRPr="00CE25F3" w14:paraId="7DC632B2"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043695B"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Consumer trends/tastes</w:t>
            </w:r>
          </w:p>
        </w:tc>
        <w:tc>
          <w:tcPr>
            <w:tcW w:w="4504" w:type="dxa"/>
            <w:hideMark/>
          </w:tcPr>
          <w:p w14:paraId="052D8FEB"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Service offerings, marketing strategies</w:t>
            </w:r>
          </w:p>
        </w:tc>
        <w:tc>
          <w:tcPr>
            <w:tcW w:w="1620" w:type="dxa"/>
            <w:hideMark/>
          </w:tcPr>
          <w:p w14:paraId="3FF6E544"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41DC92A3" w14:textId="77777777" w:rsidTr="004E3B73">
        <w:trPr>
          <w:trHeight w:val="46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793E46E"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Fashions</w:t>
            </w:r>
          </w:p>
        </w:tc>
        <w:tc>
          <w:tcPr>
            <w:tcW w:w="4504" w:type="dxa"/>
            <w:hideMark/>
          </w:tcPr>
          <w:p w14:paraId="3FAF1CEA"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Product and service updates</w:t>
            </w:r>
          </w:p>
        </w:tc>
        <w:tc>
          <w:tcPr>
            <w:tcW w:w="1620" w:type="dxa"/>
            <w:hideMark/>
          </w:tcPr>
          <w:p w14:paraId="3BF50564"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177492DA"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5F251BA"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Consumer buying habits</w:t>
            </w:r>
          </w:p>
        </w:tc>
        <w:tc>
          <w:tcPr>
            <w:tcW w:w="4504" w:type="dxa"/>
            <w:hideMark/>
          </w:tcPr>
          <w:p w14:paraId="7C36369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Sales and marketing</w:t>
            </w:r>
          </w:p>
        </w:tc>
        <w:tc>
          <w:tcPr>
            <w:tcW w:w="1620" w:type="dxa"/>
            <w:hideMark/>
          </w:tcPr>
          <w:p w14:paraId="46D93FE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53A5C878" w14:textId="77777777" w:rsidTr="004E3B73">
        <w:trPr>
          <w:trHeight w:val="7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E326F30"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Lifestyle factors</w:t>
            </w:r>
          </w:p>
        </w:tc>
        <w:tc>
          <w:tcPr>
            <w:tcW w:w="4504" w:type="dxa"/>
            <w:hideMark/>
          </w:tcPr>
          <w:p w14:paraId="1FE074E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Employee preferences, customer demands</w:t>
            </w:r>
          </w:p>
        </w:tc>
        <w:tc>
          <w:tcPr>
            <w:tcW w:w="1620" w:type="dxa"/>
            <w:hideMark/>
          </w:tcPr>
          <w:p w14:paraId="00F1B47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072F2802"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A08921E"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Career attitudes</w:t>
            </w:r>
          </w:p>
        </w:tc>
        <w:tc>
          <w:tcPr>
            <w:tcW w:w="4504" w:type="dxa"/>
            <w:hideMark/>
          </w:tcPr>
          <w:p w14:paraId="55DA44C4"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Recruitment, employee retention</w:t>
            </w:r>
          </w:p>
        </w:tc>
        <w:tc>
          <w:tcPr>
            <w:tcW w:w="1620" w:type="dxa"/>
            <w:hideMark/>
          </w:tcPr>
          <w:p w14:paraId="318CF210"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1624FEEC"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71E8030"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Work-life balance</w:t>
            </w:r>
          </w:p>
        </w:tc>
        <w:tc>
          <w:tcPr>
            <w:tcW w:w="4504" w:type="dxa"/>
            <w:hideMark/>
          </w:tcPr>
          <w:p w14:paraId="2828726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Employee satisfaction, productivity</w:t>
            </w:r>
          </w:p>
        </w:tc>
        <w:tc>
          <w:tcPr>
            <w:tcW w:w="1620" w:type="dxa"/>
            <w:hideMark/>
          </w:tcPr>
          <w:p w14:paraId="32B99F6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59EC1EE6"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single" w:sz="4" w:space="0" w:color="auto"/>
            </w:tcBorders>
            <w:hideMark/>
          </w:tcPr>
          <w:p w14:paraId="245468AC"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Population demographics</w:t>
            </w:r>
          </w:p>
        </w:tc>
        <w:tc>
          <w:tcPr>
            <w:tcW w:w="4504" w:type="dxa"/>
            <w:tcBorders>
              <w:bottom w:val="single" w:sz="4" w:space="0" w:color="auto"/>
            </w:tcBorders>
            <w:hideMark/>
          </w:tcPr>
          <w:p w14:paraId="5540462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Target market, workforce composition</w:t>
            </w:r>
          </w:p>
        </w:tc>
        <w:tc>
          <w:tcPr>
            <w:tcW w:w="1620" w:type="dxa"/>
            <w:tcBorders>
              <w:bottom w:val="single" w:sz="4" w:space="0" w:color="auto"/>
            </w:tcBorders>
            <w:hideMark/>
          </w:tcPr>
          <w:p w14:paraId="1DD044C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6E0961EB" w14:textId="77777777" w:rsidTr="004E3B73">
        <w:trPr>
          <w:trHeight w:val="465"/>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2E74B5" w:themeFill="accent5" w:themeFillShade="BF"/>
            <w:hideMark/>
          </w:tcPr>
          <w:p w14:paraId="526A40C2" w14:textId="77777777" w:rsidR="004E0628" w:rsidRPr="00CE25F3" w:rsidRDefault="004E0628" w:rsidP="005C3D99">
            <w:pPr>
              <w:spacing w:after="160" w:line="360" w:lineRule="auto"/>
              <w:jc w:val="both"/>
              <w:rPr>
                <w:rFonts w:ascii="Arial" w:hAnsi="Arial" w:cs="Arial"/>
              </w:rPr>
            </w:pPr>
            <w:r w:rsidRPr="00CE25F3">
              <w:rPr>
                <w:rFonts w:ascii="Arial" w:hAnsi="Arial" w:cs="Arial"/>
              </w:rPr>
              <w:t>Technological</w:t>
            </w:r>
          </w:p>
        </w:tc>
        <w:tc>
          <w:tcPr>
            <w:tcW w:w="4504" w:type="dxa"/>
            <w:shd w:val="clear" w:color="auto" w:fill="2E74B5" w:themeFill="accent5" w:themeFillShade="BF"/>
            <w:hideMark/>
          </w:tcPr>
          <w:p w14:paraId="51433F3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c>
          <w:tcPr>
            <w:tcW w:w="1620" w:type="dxa"/>
            <w:shd w:val="clear" w:color="auto" w:fill="2E74B5" w:themeFill="accent5" w:themeFillShade="BF"/>
            <w:hideMark/>
          </w:tcPr>
          <w:p w14:paraId="1BDC5083"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r>
      <w:tr w:rsidR="004E3B73" w:rsidRPr="00CE25F3" w14:paraId="69E932F3"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78FE5447"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Automation</w:t>
            </w:r>
          </w:p>
        </w:tc>
        <w:tc>
          <w:tcPr>
            <w:tcW w:w="4504" w:type="dxa"/>
            <w:hideMark/>
          </w:tcPr>
          <w:p w14:paraId="4FF414D0"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Operational efficiency, job roles</w:t>
            </w:r>
          </w:p>
        </w:tc>
        <w:tc>
          <w:tcPr>
            <w:tcW w:w="1620" w:type="dxa"/>
            <w:hideMark/>
          </w:tcPr>
          <w:p w14:paraId="61CF547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0A4B3B98"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2547190"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Innovation</w:t>
            </w:r>
          </w:p>
        </w:tc>
        <w:tc>
          <w:tcPr>
            <w:tcW w:w="4504" w:type="dxa"/>
            <w:hideMark/>
          </w:tcPr>
          <w:p w14:paraId="6C95809E"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Competitive advantage</w:t>
            </w:r>
          </w:p>
        </w:tc>
        <w:tc>
          <w:tcPr>
            <w:tcW w:w="1620" w:type="dxa"/>
            <w:hideMark/>
          </w:tcPr>
          <w:p w14:paraId="3E742F66"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694A78B3"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339DA0A"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Disruptive technologies</w:t>
            </w:r>
          </w:p>
        </w:tc>
        <w:tc>
          <w:tcPr>
            <w:tcW w:w="4504" w:type="dxa"/>
            <w:hideMark/>
          </w:tcPr>
          <w:p w14:paraId="5D6E5E5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Market positioning, service delivery</w:t>
            </w:r>
          </w:p>
        </w:tc>
        <w:tc>
          <w:tcPr>
            <w:tcW w:w="1620" w:type="dxa"/>
            <w:hideMark/>
          </w:tcPr>
          <w:p w14:paraId="6E27007C"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097D00C5"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9055B58"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Social networking</w:t>
            </w:r>
          </w:p>
        </w:tc>
        <w:tc>
          <w:tcPr>
            <w:tcW w:w="4504" w:type="dxa"/>
            <w:hideMark/>
          </w:tcPr>
          <w:p w14:paraId="0D8E238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Customer engagement, brand presence</w:t>
            </w:r>
          </w:p>
        </w:tc>
        <w:tc>
          <w:tcPr>
            <w:tcW w:w="1620" w:type="dxa"/>
            <w:hideMark/>
          </w:tcPr>
          <w:p w14:paraId="20F59C61"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0AFDFAA0"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B933CA4"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Upgrades</w:t>
            </w:r>
          </w:p>
        </w:tc>
        <w:tc>
          <w:tcPr>
            <w:tcW w:w="4504" w:type="dxa"/>
            <w:hideMark/>
          </w:tcPr>
          <w:p w14:paraId="7A8A2675"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Capital expenditure</w:t>
            </w:r>
          </w:p>
        </w:tc>
        <w:tc>
          <w:tcPr>
            <w:tcW w:w="1620" w:type="dxa"/>
            <w:hideMark/>
          </w:tcPr>
          <w:p w14:paraId="20F25044"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6DAF83FC"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C848F43"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Robotics</w:t>
            </w:r>
          </w:p>
        </w:tc>
        <w:tc>
          <w:tcPr>
            <w:tcW w:w="4504" w:type="dxa"/>
            <w:hideMark/>
          </w:tcPr>
          <w:p w14:paraId="1478CD9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Operational efficiency</w:t>
            </w:r>
          </w:p>
        </w:tc>
        <w:tc>
          <w:tcPr>
            <w:tcW w:w="1620" w:type="dxa"/>
            <w:hideMark/>
          </w:tcPr>
          <w:p w14:paraId="7973E1EF"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348E1D9A"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16745A0"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Artificial Intelligence</w:t>
            </w:r>
          </w:p>
        </w:tc>
        <w:tc>
          <w:tcPr>
            <w:tcW w:w="4504" w:type="dxa"/>
            <w:hideMark/>
          </w:tcPr>
          <w:p w14:paraId="71E6ADF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Customer service, data management</w:t>
            </w:r>
          </w:p>
        </w:tc>
        <w:tc>
          <w:tcPr>
            <w:tcW w:w="1620" w:type="dxa"/>
            <w:hideMark/>
          </w:tcPr>
          <w:p w14:paraId="39ACC854"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44FDB1D2" w14:textId="77777777" w:rsidTr="004E3B73">
        <w:trPr>
          <w:trHeight w:val="46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single" w:sz="4" w:space="0" w:color="auto"/>
            </w:tcBorders>
            <w:hideMark/>
          </w:tcPr>
          <w:p w14:paraId="4B1263AD"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lastRenderedPageBreak/>
              <w:t>Security</w:t>
            </w:r>
          </w:p>
        </w:tc>
        <w:tc>
          <w:tcPr>
            <w:tcW w:w="4504" w:type="dxa"/>
            <w:tcBorders>
              <w:bottom w:val="single" w:sz="4" w:space="0" w:color="auto"/>
            </w:tcBorders>
            <w:hideMark/>
          </w:tcPr>
          <w:p w14:paraId="1B86CFAC"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Data protection, compliance</w:t>
            </w:r>
          </w:p>
        </w:tc>
        <w:tc>
          <w:tcPr>
            <w:tcW w:w="1620" w:type="dxa"/>
            <w:tcBorders>
              <w:bottom w:val="single" w:sz="4" w:space="0" w:color="auto"/>
            </w:tcBorders>
            <w:hideMark/>
          </w:tcPr>
          <w:p w14:paraId="1DD9BB93"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05FEB382"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2E74B5" w:themeFill="accent5" w:themeFillShade="BF"/>
            <w:hideMark/>
          </w:tcPr>
          <w:p w14:paraId="539BA0B3" w14:textId="77777777" w:rsidR="004E0628" w:rsidRPr="00CE25F3" w:rsidRDefault="004E0628" w:rsidP="005C3D99">
            <w:pPr>
              <w:spacing w:after="160" w:line="360" w:lineRule="auto"/>
              <w:jc w:val="both"/>
              <w:rPr>
                <w:rFonts w:ascii="Arial" w:hAnsi="Arial" w:cs="Arial"/>
              </w:rPr>
            </w:pPr>
            <w:r w:rsidRPr="00CE25F3">
              <w:rPr>
                <w:rFonts w:ascii="Arial" w:hAnsi="Arial" w:cs="Arial"/>
              </w:rPr>
              <w:t>Legal</w:t>
            </w:r>
          </w:p>
        </w:tc>
        <w:tc>
          <w:tcPr>
            <w:tcW w:w="4504" w:type="dxa"/>
            <w:shd w:val="clear" w:color="auto" w:fill="2E74B5" w:themeFill="accent5" w:themeFillShade="BF"/>
            <w:hideMark/>
          </w:tcPr>
          <w:p w14:paraId="1470E3F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c>
          <w:tcPr>
            <w:tcW w:w="1620" w:type="dxa"/>
            <w:shd w:val="clear" w:color="auto" w:fill="2E74B5" w:themeFill="accent5" w:themeFillShade="BF"/>
            <w:hideMark/>
          </w:tcPr>
          <w:p w14:paraId="49E58A7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r>
      <w:tr w:rsidR="004E3B73" w:rsidRPr="00CE25F3" w14:paraId="3D989980"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7392A64"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Employment law</w:t>
            </w:r>
          </w:p>
        </w:tc>
        <w:tc>
          <w:tcPr>
            <w:tcW w:w="4504" w:type="dxa"/>
            <w:hideMark/>
          </w:tcPr>
          <w:p w14:paraId="071BFF9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HR policies, compliance</w:t>
            </w:r>
          </w:p>
        </w:tc>
        <w:tc>
          <w:tcPr>
            <w:tcW w:w="1620" w:type="dxa"/>
            <w:hideMark/>
          </w:tcPr>
          <w:p w14:paraId="582925B6"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50F521C8"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24589EF"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Common law</w:t>
            </w:r>
          </w:p>
        </w:tc>
        <w:tc>
          <w:tcPr>
            <w:tcW w:w="4504" w:type="dxa"/>
            <w:hideMark/>
          </w:tcPr>
          <w:p w14:paraId="60C965C5"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Business practices</w:t>
            </w:r>
          </w:p>
        </w:tc>
        <w:tc>
          <w:tcPr>
            <w:tcW w:w="1620" w:type="dxa"/>
            <w:hideMark/>
          </w:tcPr>
          <w:p w14:paraId="29522F81"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4ED7FB76" w14:textId="77777777" w:rsidTr="004E3B73">
        <w:trPr>
          <w:trHeight w:val="7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71DDF27"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Local labour law</w:t>
            </w:r>
          </w:p>
        </w:tc>
        <w:tc>
          <w:tcPr>
            <w:tcW w:w="4504" w:type="dxa"/>
            <w:hideMark/>
          </w:tcPr>
          <w:p w14:paraId="0006D1C9"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Employee contracts, working conditions</w:t>
            </w:r>
          </w:p>
        </w:tc>
        <w:tc>
          <w:tcPr>
            <w:tcW w:w="1620" w:type="dxa"/>
            <w:hideMark/>
          </w:tcPr>
          <w:p w14:paraId="20AAADB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38F795A8"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single" w:sz="4" w:space="0" w:color="auto"/>
            </w:tcBorders>
            <w:hideMark/>
          </w:tcPr>
          <w:p w14:paraId="4ED6B023"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Health and safety regulations</w:t>
            </w:r>
          </w:p>
        </w:tc>
        <w:tc>
          <w:tcPr>
            <w:tcW w:w="4504" w:type="dxa"/>
            <w:tcBorders>
              <w:bottom w:val="single" w:sz="4" w:space="0" w:color="auto"/>
            </w:tcBorders>
            <w:hideMark/>
          </w:tcPr>
          <w:p w14:paraId="1D30197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Workplace safety, legal compliance</w:t>
            </w:r>
          </w:p>
        </w:tc>
        <w:tc>
          <w:tcPr>
            <w:tcW w:w="1620" w:type="dxa"/>
            <w:tcBorders>
              <w:bottom w:val="single" w:sz="4" w:space="0" w:color="auto"/>
            </w:tcBorders>
            <w:hideMark/>
          </w:tcPr>
          <w:p w14:paraId="594EA407"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4E8EE105" w14:textId="77777777" w:rsidTr="004E3B73">
        <w:trPr>
          <w:trHeight w:val="465"/>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2E74B5" w:themeFill="accent5" w:themeFillShade="BF"/>
            <w:hideMark/>
          </w:tcPr>
          <w:p w14:paraId="0D352434" w14:textId="77777777" w:rsidR="004E0628" w:rsidRPr="00CE25F3" w:rsidRDefault="004E0628" w:rsidP="005C3D99">
            <w:pPr>
              <w:spacing w:after="160" w:line="360" w:lineRule="auto"/>
              <w:jc w:val="both"/>
              <w:rPr>
                <w:rFonts w:ascii="Arial" w:hAnsi="Arial" w:cs="Arial"/>
              </w:rPr>
            </w:pPr>
            <w:r w:rsidRPr="00CE25F3">
              <w:rPr>
                <w:rFonts w:ascii="Arial" w:hAnsi="Arial" w:cs="Arial"/>
              </w:rPr>
              <w:t>Environmental</w:t>
            </w:r>
          </w:p>
        </w:tc>
        <w:tc>
          <w:tcPr>
            <w:tcW w:w="4504" w:type="dxa"/>
            <w:shd w:val="clear" w:color="auto" w:fill="2E74B5" w:themeFill="accent5" w:themeFillShade="BF"/>
            <w:hideMark/>
          </w:tcPr>
          <w:p w14:paraId="4ABA8E05"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c>
          <w:tcPr>
            <w:tcW w:w="1620" w:type="dxa"/>
            <w:shd w:val="clear" w:color="auto" w:fill="2E74B5" w:themeFill="accent5" w:themeFillShade="BF"/>
            <w:hideMark/>
          </w:tcPr>
          <w:p w14:paraId="71E7395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p>
        </w:tc>
      </w:tr>
      <w:tr w:rsidR="004E3B73" w:rsidRPr="00CE25F3" w14:paraId="22667ABF"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A5B5BC0"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Environmental restrictions</w:t>
            </w:r>
          </w:p>
        </w:tc>
        <w:tc>
          <w:tcPr>
            <w:tcW w:w="4504" w:type="dxa"/>
            <w:hideMark/>
          </w:tcPr>
          <w:p w14:paraId="7DDBB3E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Operational practices</w:t>
            </w:r>
          </w:p>
        </w:tc>
        <w:tc>
          <w:tcPr>
            <w:tcW w:w="1620" w:type="dxa"/>
            <w:hideMark/>
          </w:tcPr>
          <w:p w14:paraId="7091BF5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29433788"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07FBAE4"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Sustainable resources</w:t>
            </w:r>
          </w:p>
        </w:tc>
        <w:tc>
          <w:tcPr>
            <w:tcW w:w="4504" w:type="dxa"/>
            <w:hideMark/>
          </w:tcPr>
          <w:p w14:paraId="4F319DEF"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Procurement, cost management</w:t>
            </w:r>
          </w:p>
        </w:tc>
        <w:tc>
          <w:tcPr>
            <w:tcW w:w="1620" w:type="dxa"/>
            <w:hideMark/>
          </w:tcPr>
          <w:p w14:paraId="3D84C340"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5FC97E00" w14:textId="77777777" w:rsidTr="004E3B73">
        <w:trPr>
          <w:trHeight w:val="7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2B6289D"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CSR (Corporate social responsibility)</w:t>
            </w:r>
          </w:p>
        </w:tc>
        <w:tc>
          <w:tcPr>
            <w:tcW w:w="4504" w:type="dxa"/>
            <w:hideMark/>
          </w:tcPr>
          <w:p w14:paraId="7140B818"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Brand reputation, stakeholder engagement</w:t>
            </w:r>
          </w:p>
        </w:tc>
        <w:tc>
          <w:tcPr>
            <w:tcW w:w="1620" w:type="dxa"/>
            <w:hideMark/>
          </w:tcPr>
          <w:p w14:paraId="5AE35F3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7D9BF8EF"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FF3B3D8"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Ethical sourcing</w:t>
            </w:r>
          </w:p>
        </w:tc>
        <w:tc>
          <w:tcPr>
            <w:tcW w:w="4504" w:type="dxa"/>
            <w:hideMark/>
          </w:tcPr>
          <w:p w14:paraId="53474A3F"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Supplier relationships</w:t>
            </w:r>
          </w:p>
        </w:tc>
        <w:tc>
          <w:tcPr>
            <w:tcW w:w="1620" w:type="dxa"/>
            <w:hideMark/>
          </w:tcPr>
          <w:p w14:paraId="70F8387D"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2CABB79B" w14:textId="77777777" w:rsidTr="004E3B73">
        <w:trPr>
          <w:trHeight w:val="4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3A9EDD2"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Transportation</w:t>
            </w:r>
          </w:p>
        </w:tc>
        <w:tc>
          <w:tcPr>
            <w:tcW w:w="4504" w:type="dxa"/>
            <w:hideMark/>
          </w:tcPr>
          <w:p w14:paraId="09157B04"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Logistics costs</w:t>
            </w:r>
          </w:p>
        </w:tc>
        <w:tc>
          <w:tcPr>
            <w:tcW w:w="1620" w:type="dxa"/>
            <w:hideMark/>
          </w:tcPr>
          <w:p w14:paraId="181D073F"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57496F36" w14:textId="77777777" w:rsidTr="004E3B73">
        <w:trPr>
          <w:trHeight w:val="46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2AF863B"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Procurement</w:t>
            </w:r>
          </w:p>
        </w:tc>
        <w:tc>
          <w:tcPr>
            <w:tcW w:w="4504" w:type="dxa"/>
            <w:hideMark/>
          </w:tcPr>
          <w:p w14:paraId="32BD65DE"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Supplier selection, cost control</w:t>
            </w:r>
          </w:p>
        </w:tc>
        <w:tc>
          <w:tcPr>
            <w:tcW w:w="1620" w:type="dxa"/>
            <w:hideMark/>
          </w:tcPr>
          <w:p w14:paraId="26F9C6B9"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Medium</w:t>
            </w:r>
          </w:p>
        </w:tc>
      </w:tr>
      <w:tr w:rsidR="004E3B73" w:rsidRPr="00CE25F3" w14:paraId="143A43AD" w14:textId="77777777" w:rsidTr="004E3B73">
        <w:trPr>
          <w:trHeight w:val="75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73C59D0"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Supply chain management</w:t>
            </w:r>
          </w:p>
        </w:tc>
        <w:tc>
          <w:tcPr>
            <w:tcW w:w="4504" w:type="dxa"/>
            <w:hideMark/>
          </w:tcPr>
          <w:p w14:paraId="214E4952"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Operational efficiency, risk management</w:t>
            </w:r>
          </w:p>
        </w:tc>
        <w:tc>
          <w:tcPr>
            <w:tcW w:w="1620" w:type="dxa"/>
            <w:hideMark/>
          </w:tcPr>
          <w:p w14:paraId="535F9093"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r w:rsidR="004E3B73" w:rsidRPr="00CE25F3" w14:paraId="02F56918" w14:textId="77777777" w:rsidTr="004E3B73">
        <w:trPr>
          <w:trHeight w:val="73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1A430962" w14:textId="77777777" w:rsidR="004E0628" w:rsidRPr="00CE25F3" w:rsidRDefault="004E0628" w:rsidP="005C3D99">
            <w:pPr>
              <w:spacing w:after="160" w:line="360" w:lineRule="auto"/>
              <w:jc w:val="both"/>
              <w:rPr>
                <w:rFonts w:ascii="Arial" w:hAnsi="Arial" w:cs="Arial"/>
                <w:color w:val="000000" w:themeColor="text1"/>
              </w:rPr>
            </w:pPr>
            <w:r w:rsidRPr="00CE25F3">
              <w:rPr>
                <w:rFonts w:ascii="Arial" w:hAnsi="Arial" w:cs="Arial"/>
                <w:color w:val="000000" w:themeColor="text1"/>
              </w:rPr>
              <w:t>Future pandemics</w:t>
            </w:r>
          </w:p>
        </w:tc>
        <w:tc>
          <w:tcPr>
            <w:tcW w:w="4504" w:type="dxa"/>
            <w:hideMark/>
          </w:tcPr>
          <w:p w14:paraId="18CBBDA9"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Business continuity, crisis management</w:t>
            </w:r>
          </w:p>
        </w:tc>
        <w:tc>
          <w:tcPr>
            <w:tcW w:w="1620" w:type="dxa"/>
            <w:hideMark/>
          </w:tcPr>
          <w:p w14:paraId="5B37B3B1" w14:textId="77777777" w:rsidR="004E0628" w:rsidRPr="00CE25F3" w:rsidRDefault="004E0628" w:rsidP="005C3D9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CE25F3">
              <w:rPr>
                <w:rFonts w:ascii="Arial" w:hAnsi="Arial" w:cs="Arial"/>
                <w:color w:val="000000" w:themeColor="text1"/>
              </w:rPr>
              <w:t>High</w:t>
            </w:r>
          </w:p>
        </w:tc>
      </w:tr>
    </w:tbl>
    <w:p w14:paraId="097CEC2C" w14:textId="0027A269" w:rsidR="004E0628" w:rsidRPr="00CE25F3" w:rsidRDefault="004E0628" w:rsidP="005C3D99">
      <w:pPr>
        <w:spacing w:line="360" w:lineRule="auto"/>
        <w:jc w:val="both"/>
        <w:rPr>
          <w:rFonts w:ascii="Arial" w:hAnsi="Arial" w:cs="Arial"/>
        </w:rPr>
      </w:pPr>
    </w:p>
    <w:p w14:paraId="2CE97E01" w14:textId="6004F880" w:rsidR="004E0628" w:rsidRPr="00CE25F3" w:rsidRDefault="004E0628" w:rsidP="005C3D99">
      <w:pPr>
        <w:spacing w:line="360" w:lineRule="auto"/>
        <w:jc w:val="both"/>
        <w:rPr>
          <w:rFonts w:ascii="Arial" w:hAnsi="Arial" w:cs="Arial"/>
        </w:rPr>
      </w:pPr>
      <w:r w:rsidRPr="00CE25F3">
        <w:rPr>
          <w:rFonts w:ascii="Arial" w:hAnsi="Arial" w:cs="Arial"/>
        </w:rPr>
        <w:t xml:space="preserve">Employment regulations, political stability and policies along with regulatory policies of the industry act as political forces in determining various costs of operation based on the hospitality policies for the sector. Some of the Factors include exchange rates, economic growth or decline, inflation, interest rates, cost of living, and cost of employees hence impacting heavily on the revenue and pricing strategies within the hotel’s chain as well as </w:t>
      </w:r>
      <w:r w:rsidRPr="00CE25F3">
        <w:rPr>
          <w:rFonts w:ascii="Arial" w:hAnsi="Arial" w:cs="Arial"/>
        </w:rPr>
        <w:lastRenderedPageBreak/>
        <w:t>the wages being offered to employees</w:t>
      </w:r>
      <w:r w:rsidR="005C3D99" w:rsidRPr="00CE25F3">
        <w:rPr>
          <w:rFonts w:ascii="Arial" w:hAnsi="Arial" w:cs="Arial"/>
        </w:rPr>
        <w:t xml:space="preserve"> (Smith, 2021)</w:t>
      </w:r>
      <w:r w:rsidRPr="00CE25F3">
        <w:rPr>
          <w:rFonts w:ascii="Arial" w:hAnsi="Arial" w:cs="Arial"/>
        </w:rPr>
        <w:t xml:space="preserve">. Analyzing these elements reveals that social factors such as evolving customer preferences, schedules of work and leisure activities, and </w:t>
      </w:r>
      <w:r w:rsidR="005C3D99" w:rsidRPr="00CE25F3">
        <w:rPr>
          <w:rFonts w:ascii="Arial" w:hAnsi="Arial" w:cs="Arial"/>
        </w:rPr>
        <w:t xml:space="preserve">the </w:t>
      </w:r>
      <w:r w:rsidRPr="00CE25F3">
        <w:rPr>
          <w:rFonts w:ascii="Arial" w:hAnsi="Arial" w:cs="Arial"/>
        </w:rPr>
        <w:t>ag</w:t>
      </w:r>
      <w:r w:rsidR="005C3D99" w:rsidRPr="00CE25F3">
        <w:rPr>
          <w:rFonts w:ascii="Arial" w:hAnsi="Arial" w:cs="Arial"/>
        </w:rPr>
        <w:t>e</w:t>
      </w:r>
      <w:r w:rsidRPr="00CE25F3">
        <w:rPr>
          <w:rFonts w:ascii="Arial" w:hAnsi="Arial" w:cs="Arial"/>
        </w:rPr>
        <w:t xml:space="preserve">ing population affect service portfolios, policies of promotion and advertisement, and employees. In terms of operation, technological sophistication is unavoidable as it fosters performance and creativity, therefore requiring constant application and improvement. Legal Requirement: Legal ties such as employment laws and health and safety requirements are met but create more complicated layers to organisational operations. Concerns that relate to the environment such as sustainability activities, </w:t>
      </w:r>
      <w:r w:rsidR="005C3D99" w:rsidRPr="00CE25F3">
        <w:rPr>
          <w:rFonts w:ascii="Arial" w:hAnsi="Arial" w:cs="Arial"/>
        </w:rPr>
        <w:t xml:space="preserve">and </w:t>
      </w:r>
      <w:r w:rsidRPr="00CE25F3">
        <w:rPr>
          <w:rFonts w:ascii="Arial" w:hAnsi="Arial" w:cs="Arial"/>
        </w:rPr>
        <w:t>CSR, affect the general image and business conduct and thus more heed should be placed on sound management of the resources, ethical procurement and use.</w:t>
      </w:r>
    </w:p>
    <w:p w14:paraId="1BCD5E64" w14:textId="6B67F5B3" w:rsidR="004E0628" w:rsidRPr="00CE25F3" w:rsidRDefault="004E0628" w:rsidP="005C3D99">
      <w:pPr>
        <w:pStyle w:val="Heading2"/>
        <w:spacing w:line="360" w:lineRule="auto"/>
        <w:jc w:val="both"/>
        <w:rPr>
          <w:rFonts w:ascii="Arial" w:hAnsi="Arial" w:cs="Arial"/>
          <w:b/>
          <w:i/>
        </w:rPr>
      </w:pPr>
      <w:bookmarkStart w:id="3" w:name="_Toc167920457"/>
      <w:r w:rsidRPr="00CE25F3">
        <w:rPr>
          <w:rFonts w:ascii="Arial" w:hAnsi="Arial" w:cs="Arial"/>
          <w:b/>
          <w:i/>
        </w:rPr>
        <w:t>Industry Trends</w:t>
      </w:r>
      <w:bookmarkEnd w:id="3"/>
    </w:p>
    <w:p w14:paraId="30AADD4D" w14:textId="16336DB5" w:rsidR="004E0628" w:rsidRPr="00CE25F3" w:rsidRDefault="004E0628" w:rsidP="005C3D99">
      <w:pPr>
        <w:spacing w:line="360" w:lineRule="auto"/>
        <w:jc w:val="both"/>
        <w:rPr>
          <w:rFonts w:ascii="Arial" w:hAnsi="Arial" w:cs="Arial"/>
          <w:b/>
          <w:bCs/>
        </w:rPr>
      </w:pPr>
      <w:r w:rsidRPr="00CE25F3">
        <w:rPr>
          <w:rFonts w:ascii="Arial" w:hAnsi="Arial" w:cs="Arial"/>
          <w:b/>
          <w:bCs/>
        </w:rPr>
        <w:t>Retention Rates and Turnover</w:t>
      </w:r>
    </w:p>
    <w:p w14:paraId="4E048182" w14:textId="09CF18A2" w:rsidR="00E10C90" w:rsidRPr="00CE25F3" w:rsidRDefault="00E10C90" w:rsidP="005C3D99">
      <w:pPr>
        <w:spacing w:line="360" w:lineRule="auto"/>
        <w:jc w:val="both"/>
        <w:rPr>
          <w:rFonts w:ascii="Arial" w:hAnsi="Arial" w:cs="Arial"/>
        </w:rPr>
      </w:pPr>
      <w:r w:rsidRPr="00CE25F3">
        <w:rPr>
          <w:rFonts w:ascii="Arial" w:hAnsi="Arial" w:cs="Arial"/>
        </w:rPr>
        <w:t>Employee turnover has become a major factor in the hospitality industry, with certain types of institutions recording an employee turnover rate of more than 30 per</w:t>
      </w:r>
      <w:r w:rsidR="005C3D99" w:rsidRPr="00CE25F3">
        <w:rPr>
          <w:rFonts w:ascii="Arial" w:hAnsi="Arial" w:cs="Arial"/>
        </w:rPr>
        <w:t xml:space="preserve"> </w:t>
      </w:r>
      <w:r w:rsidRPr="00CE25F3">
        <w:rPr>
          <w:rFonts w:ascii="Arial" w:hAnsi="Arial" w:cs="Arial"/>
        </w:rPr>
        <w:t>cent per year</w:t>
      </w:r>
      <w:r w:rsidR="005C3D99" w:rsidRPr="00CE25F3">
        <w:rPr>
          <w:rFonts w:ascii="Arial" w:hAnsi="Arial" w:cs="Arial"/>
        </w:rPr>
        <w:t xml:space="preserve"> (World Economic Forum, 2024)</w:t>
      </w:r>
      <w:r w:rsidRPr="00CE25F3">
        <w:rPr>
          <w:rFonts w:ascii="Arial" w:hAnsi="Arial" w:cs="Arial"/>
        </w:rPr>
        <w:t>. Many organisations have noted a high turnover</w:t>
      </w:r>
      <w:r w:rsidR="005C3D99" w:rsidRPr="00CE25F3">
        <w:rPr>
          <w:rFonts w:ascii="Arial" w:hAnsi="Arial" w:cs="Arial"/>
        </w:rPr>
        <w:t>,</w:t>
      </w:r>
      <w:r w:rsidRPr="00CE25F3">
        <w:rPr>
          <w:rFonts w:ascii="Arial" w:hAnsi="Arial" w:cs="Arial"/>
        </w:rPr>
        <w:t xml:space="preserve"> especially in private organisations due to factors such as stress at work, irregular shift timing, and restriction of promotional opportunities. The implication of the above is that it becomes a major challenge to retain qualified staff and standard service delivery hence the need </w:t>
      </w:r>
      <w:r w:rsidR="005C3D99" w:rsidRPr="00CE25F3">
        <w:rPr>
          <w:rFonts w:ascii="Arial" w:hAnsi="Arial" w:cs="Arial"/>
        </w:rPr>
        <w:t>to implement</w:t>
      </w:r>
      <w:r w:rsidRPr="00CE25F3">
        <w:rPr>
          <w:rFonts w:ascii="Arial" w:hAnsi="Arial" w:cs="Arial"/>
        </w:rPr>
        <w:t xml:space="preserve"> good reten</w:t>
      </w:r>
      <w:r w:rsidR="005C3D99" w:rsidRPr="00CE25F3">
        <w:rPr>
          <w:rFonts w:ascii="Arial" w:hAnsi="Arial" w:cs="Arial"/>
        </w:rPr>
        <w:t>t</w:t>
      </w:r>
      <w:r w:rsidRPr="00CE25F3">
        <w:rPr>
          <w:rFonts w:ascii="Arial" w:hAnsi="Arial" w:cs="Arial"/>
        </w:rPr>
        <w:t>ion strategies. Such strategies include; compensation strategy which entails paying highly competitive wages and remuneration to attract talented and skilled employees and retain them, career development, and employee engagement strategy.</w:t>
      </w:r>
    </w:p>
    <w:p w14:paraId="4D7556FB" w14:textId="77777777" w:rsidR="004E0628" w:rsidRPr="00CE25F3" w:rsidRDefault="004E0628" w:rsidP="005C3D99">
      <w:pPr>
        <w:spacing w:line="360" w:lineRule="auto"/>
        <w:jc w:val="both"/>
        <w:rPr>
          <w:rFonts w:ascii="Arial" w:hAnsi="Arial" w:cs="Arial"/>
        </w:rPr>
      </w:pPr>
      <w:r w:rsidRPr="00CE25F3">
        <w:rPr>
          <w:rFonts w:ascii="Arial" w:hAnsi="Arial" w:cs="Arial"/>
          <w:b/>
          <w:bCs/>
        </w:rPr>
        <w:t>Emergence of Different Work Modes</w:t>
      </w:r>
    </w:p>
    <w:p w14:paraId="4DBA3F2C" w14:textId="6DB56D73" w:rsidR="00E10C90" w:rsidRPr="00CE25F3" w:rsidRDefault="00E10C90" w:rsidP="005C3D99">
      <w:pPr>
        <w:spacing w:line="360" w:lineRule="auto"/>
        <w:jc w:val="both"/>
        <w:rPr>
          <w:rFonts w:ascii="Arial" w:hAnsi="Arial" w:cs="Arial"/>
        </w:rPr>
      </w:pPr>
      <w:r w:rsidRPr="00CE25F3">
        <w:rPr>
          <w:rFonts w:ascii="Arial" w:hAnsi="Arial" w:cs="Arial"/>
        </w:rPr>
        <w:t>In the sphere of work organization of the hospitality industry during the past five years</w:t>
      </w:r>
      <w:r w:rsidR="005C3D99" w:rsidRPr="00CE25F3">
        <w:rPr>
          <w:rFonts w:ascii="Arial" w:hAnsi="Arial" w:cs="Arial"/>
        </w:rPr>
        <w:t>,</w:t>
      </w:r>
      <w:r w:rsidRPr="00CE25F3">
        <w:rPr>
          <w:rFonts w:ascii="Arial" w:hAnsi="Arial" w:cs="Arial"/>
        </w:rPr>
        <w:t xml:space="preserve"> there have been different work modes </w:t>
      </w:r>
      <w:r w:rsidR="005C3D99" w:rsidRPr="00CE25F3">
        <w:rPr>
          <w:rFonts w:ascii="Arial" w:hAnsi="Arial" w:cs="Arial"/>
        </w:rPr>
        <w:t>in</w:t>
      </w:r>
      <w:r w:rsidRPr="00CE25F3">
        <w:rPr>
          <w:rFonts w:ascii="Arial" w:hAnsi="Arial" w:cs="Arial"/>
        </w:rPr>
        <w:t xml:space="preserve"> response to the need for flexibility and technological progress. Telecommuting, while individuals work from the office for several hours and several days a week, has become more common and seen </w:t>
      </w:r>
      <w:r w:rsidR="005C3D99" w:rsidRPr="00CE25F3">
        <w:rPr>
          <w:rFonts w:ascii="Arial" w:hAnsi="Arial" w:cs="Arial"/>
        </w:rPr>
        <w:t>at</w:t>
      </w:r>
      <w:r w:rsidRPr="00CE25F3">
        <w:rPr>
          <w:rFonts w:ascii="Arial" w:hAnsi="Arial" w:cs="Arial"/>
        </w:rPr>
        <w:t xml:space="preserve"> the administrative and managerial levels</w:t>
      </w:r>
      <w:r w:rsidR="005C3D99" w:rsidRPr="00CE25F3">
        <w:rPr>
          <w:rFonts w:ascii="Arial" w:hAnsi="Arial" w:cs="Arial"/>
        </w:rPr>
        <w:t xml:space="preserve"> (Trompenaars and Hampden-Turner, 2023)</w:t>
      </w:r>
      <w:r w:rsidRPr="00CE25F3">
        <w:rPr>
          <w:rFonts w:ascii="Arial" w:hAnsi="Arial" w:cs="Arial"/>
        </w:rPr>
        <w:t xml:space="preserve">. Other accessories of work configuration include part-time work, </w:t>
      </w:r>
      <w:r w:rsidR="005C3D99" w:rsidRPr="00CE25F3">
        <w:rPr>
          <w:rFonts w:ascii="Arial" w:hAnsi="Arial" w:cs="Arial"/>
        </w:rPr>
        <w:t xml:space="preserve">and </w:t>
      </w:r>
      <w:r w:rsidRPr="00CE25F3">
        <w:rPr>
          <w:rFonts w:ascii="Arial" w:hAnsi="Arial" w:cs="Arial"/>
        </w:rPr>
        <w:t>job sharing as well, since they enable the human resources to balance their work and family responsibilities.</w:t>
      </w:r>
    </w:p>
    <w:p w14:paraId="13EB0D08" w14:textId="0CDE7850" w:rsidR="004E0628" w:rsidRPr="00CE25F3" w:rsidRDefault="004E0628" w:rsidP="005C3D99">
      <w:pPr>
        <w:pStyle w:val="Heading2"/>
        <w:spacing w:line="360" w:lineRule="auto"/>
        <w:jc w:val="both"/>
        <w:rPr>
          <w:rFonts w:ascii="Arial" w:hAnsi="Arial" w:cs="Arial"/>
          <w:b/>
          <w:i/>
        </w:rPr>
      </w:pPr>
      <w:bookmarkStart w:id="4" w:name="_Toc167920458"/>
      <w:r w:rsidRPr="00CE25F3">
        <w:rPr>
          <w:rFonts w:ascii="Arial" w:hAnsi="Arial" w:cs="Arial"/>
          <w:b/>
          <w:i/>
        </w:rPr>
        <w:lastRenderedPageBreak/>
        <w:t>Industry Examples</w:t>
      </w:r>
      <w:bookmarkEnd w:id="4"/>
    </w:p>
    <w:p w14:paraId="6D635CFB" w14:textId="77777777" w:rsidR="00E10C90" w:rsidRPr="00CE25F3" w:rsidRDefault="004E0628" w:rsidP="005C3D99">
      <w:pPr>
        <w:spacing w:line="360" w:lineRule="auto"/>
        <w:jc w:val="both"/>
        <w:rPr>
          <w:rFonts w:ascii="Arial" w:hAnsi="Arial" w:cs="Arial"/>
        </w:rPr>
      </w:pPr>
      <w:r w:rsidRPr="00CE25F3">
        <w:rPr>
          <w:rFonts w:ascii="Arial" w:hAnsi="Arial" w:cs="Arial"/>
          <w:b/>
          <w:bCs/>
        </w:rPr>
        <w:t>Marriott International</w:t>
      </w:r>
    </w:p>
    <w:p w14:paraId="51F39251" w14:textId="52B2F7D7" w:rsidR="00E10C90" w:rsidRPr="00CE25F3" w:rsidRDefault="00E10C90" w:rsidP="005C3D99">
      <w:pPr>
        <w:spacing w:line="360" w:lineRule="auto"/>
        <w:jc w:val="both"/>
        <w:rPr>
          <w:rFonts w:ascii="Arial" w:hAnsi="Arial" w:cs="Arial"/>
        </w:rPr>
      </w:pPr>
      <w:r w:rsidRPr="00CE25F3">
        <w:rPr>
          <w:rFonts w:ascii="Arial" w:hAnsi="Arial" w:cs="Arial"/>
        </w:rPr>
        <w:t>Marriott International has adopted the work</w:t>
      </w:r>
      <w:r w:rsidR="005C3D99" w:rsidRPr="00CE25F3">
        <w:rPr>
          <w:rFonts w:ascii="Arial" w:hAnsi="Arial" w:cs="Arial"/>
        </w:rPr>
        <w:t>-from-</w:t>
      </w:r>
      <w:r w:rsidRPr="00CE25F3">
        <w:rPr>
          <w:rFonts w:ascii="Arial" w:hAnsi="Arial" w:cs="Arial"/>
        </w:rPr>
        <w:t>home policy but has not followed it blindly they have embraced a hybrid model that makes its corporate employees work from home, but at the same time, performance management systems track and ensure productivity is not compromised. They make use of technological aid in tracking as well as appraising the performances of employees and even offer feedback and guidance frequently</w:t>
      </w:r>
      <w:r w:rsidR="005C3D99" w:rsidRPr="00CE25F3">
        <w:rPr>
          <w:rFonts w:ascii="Arial" w:hAnsi="Arial" w:cs="Arial"/>
        </w:rPr>
        <w:t xml:space="preserve"> (Marriott International, 2022)</w:t>
      </w:r>
      <w:r w:rsidRPr="00CE25F3">
        <w:rPr>
          <w:rFonts w:ascii="Arial" w:hAnsi="Arial" w:cs="Arial"/>
        </w:rPr>
        <w:t>. From the case, it is evident that Marriott’s approach towards the integration of the hybrid work model has been effective in ensuring that they embrace remote work while at the same time ensuring that the employees remain committed to their work as well as being productive.</w:t>
      </w:r>
    </w:p>
    <w:p w14:paraId="60F04508" w14:textId="488FDBE4" w:rsidR="004E0628" w:rsidRPr="00CE25F3" w:rsidRDefault="004E0628" w:rsidP="005C3D99">
      <w:pPr>
        <w:spacing w:line="360" w:lineRule="auto"/>
        <w:jc w:val="both"/>
        <w:rPr>
          <w:rFonts w:ascii="Arial" w:hAnsi="Arial" w:cs="Arial"/>
        </w:rPr>
      </w:pPr>
      <w:r w:rsidRPr="00CE25F3">
        <w:rPr>
          <w:rFonts w:ascii="Arial" w:hAnsi="Arial" w:cs="Arial"/>
          <w:b/>
          <w:bCs/>
        </w:rPr>
        <w:t>InterContinental Hotels Group (IHG)</w:t>
      </w:r>
    </w:p>
    <w:p w14:paraId="745FEA8A" w14:textId="36DAD9AF" w:rsidR="00E10C90" w:rsidRPr="00CE25F3" w:rsidRDefault="00E10C90" w:rsidP="005C3D99">
      <w:pPr>
        <w:spacing w:line="360" w:lineRule="auto"/>
        <w:jc w:val="both"/>
        <w:rPr>
          <w:rFonts w:ascii="Arial" w:hAnsi="Arial" w:cs="Arial"/>
        </w:rPr>
      </w:pPr>
      <w:r w:rsidRPr="00CE25F3">
        <w:rPr>
          <w:rFonts w:ascii="Arial" w:hAnsi="Arial" w:cs="Arial"/>
        </w:rPr>
        <w:t>Finally, IHG has provided employees with more flexible work arrangements where possible, including allowing employees to work from home where appropriate. They have also incorporated the use of tools to track, coordinate and share information between different teams</w:t>
      </w:r>
      <w:r w:rsidR="005C3D99" w:rsidRPr="00CE25F3">
        <w:rPr>
          <w:rFonts w:ascii="Arial" w:hAnsi="Arial" w:cs="Arial"/>
        </w:rPr>
        <w:t xml:space="preserve"> (IHG Hotels &amp; Resorts, 2021)</w:t>
      </w:r>
      <w:r w:rsidRPr="00CE25F3">
        <w:rPr>
          <w:rFonts w:ascii="Arial" w:hAnsi="Arial" w:cs="Arial"/>
        </w:rPr>
        <w:t>. By implementing more adaptable working models, IHG creates better working conditions that have boosted employee morale and retention rates: effective employment strategies in the hospitality sector.</w:t>
      </w:r>
    </w:p>
    <w:p w14:paraId="1EB5B655" w14:textId="77777777" w:rsidR="00E10C90" w:rsidRPr="00CE25F3" w:rsidRDefault="00E10C90" w:rsidP="005C3D99">
      <w:pPr>
        <w:spacing w:line="360" w:lineRule="auto"/>
        <w:jc w:val="both"/>
        <w:rPr>
          <w:rFonts w:ascii="Arial" w:hAnsi="Arial" w:cs="Arial"/>
          <w:b/>
          <w:bCs/>
        </w:rPr>
      </w:pPr>
      <w:r w:rsidRPr="00CE25F3">
        <w:rPr>
          <w:rFonts w:ascii="Arial" w:hAnsi="Arial" w:cs="Arial"/>
          <w:b/>
          <w:bCs/>
        </w:rPr>
        <w:t>Radisson Hotel Group</w:t>
      </w:r>
    </w:p>
    <w:p w14:paraId="3C209AA5" w14:textId="1BF4B61C" w:rsidR="00E10C90" w:rsidRPr="00CE25F3" w:rsidRDefault="00E10C90" w:rsidP="005C3D99">
      <w:pPr>
        <w:spacing w:line="360" w:lineRule="auto"/>
        <w:jc w:val="both"/>
        <w:rPr>
          <w:rFonts w:ascii="Arial" w:hAnsi="Arial" w:cs="Arial"/>
        </w:rPr>
      </w:pPr>
      <w:r w:rsidRPr="00CE25F3">
        <w:rPr>
          <w:rFonts w:ascii="Arial" w:hAnsi="Arial" w:cs="Arial"/>
        </w:rPr>
        <w:t>It is noteworthy that in the corporate world today, employee engagement has become a crucial element that companies use when it comes to the determination of staff productivity and satisfaction. By using performance measurements as well as daily/weekly follow-ups to assess that employees deliver on the expected target as well as perform in line with the service delivery requirements</w:t>
      </w:r>
      <w:r w:rsidR="005C3D99" w:rsidRPr="00CE25F3">
        <w:rPr>
          <w:rFonts w:ascii="Arial" w:hAnsi="Arial" w:cs="Arial"/>
        </w:rPr>
        <w:t xml:space="preserve"> (Radisson Hotel Group, 2023)</w:t>
      </w:r>
      <w:r w:rsidRPr="00CE25F3">
        <w:rPr>
          <w:rFonts w:ascii="Arial" w:hAnsi="Arial" w:cs="Arial"/>
        </w:rPr>
        <w:t>. This potential is easily seen today: flexibility and orientation to employees entailed improved job satisfaction, and, therefore, decreased turnover at Radisson.</w:t>
      </w:r>
    </w:p>
    <w:p w14:paraId="49D97585" w14:textId="77777777" w:rsidR="00E10C90" w:rsidRPr="00CE25F3" w:rsidRDefault="00E10C90" w:rsidP="005C3D99">
      <w:pPr>
        <w:pStyle w:val="Heading1"/>
        <w:spacing w:line="360" w:lineRule="auto"/>
        <w:rPr>
          <w:rFonts w:ascii="Arial" w:hAnsi="Arial" w:cs="Arial"/>
          <w:b/>
          <w:color w:val="000000" w:themeColor="text1"/>
        </w:rPr>
      </w:pPr>
      <w:bookmarkStart w:id="5" w:name="_Toc167920459"/>
      <w:r w:rsidRPr="00CE25F3">
        <w:rPr>
          <w:rFonts w:ascii="Arial" w:hAnsi="Arial" w:cs="Arial"/>
          <w:b/>
          <w:color w:val="000000" w:themeColor="text1"/>
        </w:rPr>
        <w:lastRenderedPageBreak/>
        <w:t>Evaluation</w:t>
      </w:r>
      <w:bookmarkEnd w:id="5"/>
    </w:p>
    <w:p w14:paraId="367E5765" w14:textId="61ACE984" w:rsidR="00E10C90" w:rsidRPr="00CE25F3" w:rsidRDefault="00E10C90" w:rsidP="005C3D99">
      <w:pPr>
        <w:spacing w:line="360" w:lineRule="auto"/>
        <w:jc w:val="both"/>
        <w:rPr>
          <w:rFonts w:ascii="Arial" w:hAnsi="Arial" w:cs="Arial"/>
        </w:rPr>
      </w:pPr>
      <w:r w:rsidRPr="00CE25F3">
        <w:rPr>
          <w:rFonts w:ascii="Arial" w:hAnsi="Arial" w:cs="Arial"/>
        </w:rPr>
        <w:t>The study demonstrates that social and economic relations play the most significant roles in determining how the performance of employees, their evaluation and monitoring is approached in the hospitality industry. Operating environment and key performance indicators; E</w:t>
      </w:r>
      <w:r w:rsidR="005C3D99" w:rsidRPr="00CE25F3">
        <w:rPr>
          <w:rFonts w:ascii="Arial" w:hAnsi="Arial" w:cs="Arial"/>
        </w:rPr>
        <w:t>n</w:t>
      </w:r>
      <w:r w:rsidRPr="00CE25F3">
        <w:rPr>
          <w:rFonts w:ascii="Arial" w:hAnsi="Arial" w:cs="Arial"/>
        </w:rPr>
        <w:t>hancing Performance Measurement: Economic factors that may include changes in economic growth, inflation rate and labo</w:t>
      </w:r>
      <w:r w:rsidR="005C3D99" w:rsidRPr="00CE25F3">
        <w:rPr>
          <w:rFonts w:ascii="Arial" w:hAnsi="Arial" w:cs="Arial"/>
        </w:rPr>
        <w:t>u</w:t>
      </w:r>
      <w:r w:rsidRPr="00CE25F3">
        <w:rPr>
          <w:rFonts w:ascii="Arial" w:hAnsi="Arial" w:cs="Arial"/>
        </w:rPr>
        <w:t>r costs provide fundamental measures of performance that require operational efficiency to meet desired service delivery goals. For example, when there is an economic collapse, decisions have to be made, for example, at Clayton Hotel, Leeds, and such decisions must seek to reduce costs while ensuring that good results are obtained from employees and good service is delivered to the clients</w:t>
      </w:r>
      <w:r w:rsidR="005C3D99" w:rsidRPr="00CE25F3">
        <w:rPr>
          <w:rFonts w:ascii="Arial" w:hAnsi="Arial" w:cs="Arial"/>
        </w:rPr>
        <w:t xml:space="preserve"> (Clayton Hotel, 2023)</w:t>
      </w:r>
      <w:r w:rsidRPr="00CE25F3">
        <w:rPr>
          <w:rFonts w:ascii="Arial" w:hAnsi="Arial" w:cs="Arial"/>
        </w:rPr>
        <w:t>. First of all, inflation and augmentation of consumer expenditure put pressure on hotel</w:t>
      </w:r>
      <w:r w:rsidR="005C3D99" w:rsidRPr="00CE25F3">
        <w:rPr>
          <w:rFonts w:ascii="Arial" w:hAnsi="Arial" w:cs="Arial"/>
        </w:rPr>
        <w:t>s</w:t>
      </w:r>
      <w:r w:rsidRPr="00CE25F3">
        <w:rPr>
          <w:rFonts w:ascii="Arial" w:hAnsi="Arial" w:cs="Arial"/>
        </w:rPr>
        <w:t xml:space="preserve"> to provide personnel with acceptable wages and benefits to motivate them and avoid turnover.</w:t>
      </w:r>
      <w:r w:rsidR="00CA3429" w:rsidRPr="00CE25F3">
        <w:rPr>
          <w:rFonts w:ascii="Arial" w:hAnsi="Arial" w:cs="Arial"/>
        </w:rPr>
        <w:t xml:space="preserve"> As a result of these changes it is necessary to examine the current approach to the management performance system to check how it is possible to adapt the existing best practises to the new conditions. Moreover, similarly, it has escalated the variations of work models that are hybrid work, remote work, and flex work (Dalata Hotel Group, 2024). New emerging problems appear in the work organizations particularly on how the performance management and monitoring are conducted on the employees.</w:t>
      </w:r>
    </w:p>
    <w:p w14:paraId="2E676FE9" w14:textId="5B374622" w:rsidR="00E10C90" w:rsidRPr="00CE25F3" w:rsidRDefault="00E10C90" w:rsidP="005C3D99">
      <w:pPr>
        <w:spacing w:line="360" w:lineRule="auto"/>
        <w:jc w:val="both"/>
        <w:rPr>
          <w:rFonts w:ascii="Arial" w:hAnsi="Arial" w:cs="Arial"/>
        </w:rPr>
      </w:pPr>
      <w:r w:rsidRPr="00CE25F3">
        <w:rPr>
          <w:rFonts w:ascii="Arial" w:hAnsi="Arial" w:cs="Arial"/>
        </w:rPr>
        <w:t>It has often been said and written that, indeed there is nothing in this world which is without positive and negative sides and that, even technology is no exception to this well-rooted concept. Automating performance monitoring systems through AI will improve workplace performance and enable communication of work mode expectations from an employer’s perspective as well as compliance from workers</w:t>
      </w:r>
      <w:r w:rsidR="005C3D99" w:rsidRPr="00CE25F3">
        <w:rPr>
          <w:rFonts w:ascii="Arial" w:hAnsi="Arial" w:cs="Arial"/>
        </w:rPr>
        <w:t xml:space="preserve"> (Walker, 2020)</w:t>
      </w:r>
      <w:r w:rsidRPr="00CE25F3">
        <w:rPr>
          <w:rFonts w:ascii="Arial" w:hAnsi="Arial" w:cs="Arial"/>
        </w:rPr>
        <w:t xml:space="preserve">. However, these technologies are not cheap, and strategies have to be developed for implementing them besides requiring training of people on how to use them as we try to stress in this paper there is </w:t>
      </w:r>
      <w:r w:rsidR="005C3D99" w:rsidRPr="00CE25F3">
        <w:rPr>
          <w:rFonts w:ascii="Arial" w:hAnsi="Arial" w:cs="Arial"/>
        </w:rPr>
        <w:t xml:space="preserve">a </w:t>
      </w:r>
      <w:r w:rsidRPr="00CE25F3">
        <w:rPr>
          <w:rFonts w:ascii="Arial" w:hAnsi="Arial" w:cs="Arial"/>
        </w:rPr>
        <w:t xml:space="preserve">need to strike a balance between </w:t>
      </w:r>
      <w:r w:rsidR="005C3D99" w:rsidRPr="00CE25F3">
        <w:rPr>
          <w:rFonts w:ascii="Arial" w:hAnsi="Arial" w:cs="Arial"/>
        </w:rPr>
        <w:t xml:space="preserve">the </w:t>
      </w:r>
      <w:r w:rsidRPr="00CE25F3">
        <w:rPr>
          <w:rFonts w:ascii="Arial" w:hAnsi="Arial" w:cs="Arial"/>
        </w:rPr>
        <w:t>use of technology and keeping human aspect into performance management.</w:t>
      </w:r>
    </w:p>
    <w:p w14:paraId="7D3ED5B8" w14:textId="032E3228" w:rsidR="00E10C90" w:rsidRPr="00CE25F3" w:rsidRDefault="00E10C90" w:rsidP="005C3D99">
      <w:pPr>
        <w:spacing w:line="360" w:lineRule="auto"/>
        <w:jc w:val="both"/>
        <w:rPr>
          <w:rFonts w:ascii="Arial" w:hAnsi="Arial" w:cs="Arial"/>
        </w:rPr>
      </w:pPr>
      <w:r w:rsidRPr="00CE25F3">
        <w:rPr>
          <w:rFonts w:ascii="Arial" w:hAnsi="Arial" w:cs="Arial"/>
        </w:rPr>
        <w:t>Structural considerations, including shifts in the nature of lower</w:t>
      </w:r>
      <w:r w:rsidR="005C3D99" w:rsidRPr="00CE25F3">
        <w:rPr>
          <w:rFonts w:ascii="Arial" w:hAnsi="Arial" w:cs="Arial"/>
        </w:rPr>
        <w:t>-</w:t>
      </w:r>
      <w:r w:rsidRPr="00CE25F3">
        <w:rPr>
          <w:rFonts w:ascii="Arial" w:hAnsi="Arial" w:cs="Arial"/>
        </w:rPr>
        <w:t xml:space="preserve">end employment and the rising profile of the need for flexibility, require </w:t>
      </w:r>
      <w:r w:rsidR="005C3D99" w:rsidRPr="00CE25F3">
        <w:rPr>
          <w:rFonts w:ascii="Arial" w:hAnsi="Arial" w:cs="Arial"/>
        </w:rPr>
        <w:t xml:space="preserve">the </w:t>
      </w:r>
      <w:r w:rsidRPr="00CE25F3">
        <w:rPr>
          <w:rFonts w:ascii="Arial" w:hAnsi="Arial" w:cs="Arial"/>
        </w:rPr>
        <w:t xml:space="preserve">adoption of flexibility modes. Blended </w:t>
      </w:r>
      <w:r w:rsidRPr="00CE25F3">
        <w:rPr>
          <w:rFonts w:ascii="Arial" w:hAnsi="Arial" w:cs="Arial"/>
        </w:rPr>
        <w:lastRenderedPageBreak/>
        <w:t>and fluid employment models enhance employee contentment and tenure but attending these structures needs sound performance assessment and evaluation solutions to check for performance and duty</w:t>
      </w:r>
      <w:r w:rsidR="005C3D99" w:rsidRPr="00CE25F3">
        <w:rPr>
          <w:rFonts w:ascii="Arial" w:hAnsi="Arial" w:cs="Arial"/>
        </w:rPr>
        <w:t xml:space="preserve"> (Meyer, 2022)</w:t>
      </w:r>
      <w:r w:rsidRPr="00CE25F3">
        <w:rPr>
          <w:rFonts w:ascii="Arial" w:hAnsi="Arial" w:cs="Arial"/>
        </w:rPr>
        <w:t xml:space="preserve">. Legal regulations and external environmental factors are also essential since they possibly exert pressure on an organization to undertake certain employment acts or adhere </w:t>
      </w:r>
      <w:r w:rsidR="005C3D99" w:rsidRPr="00CE25F3">
        <w:rPr>
          <w:rFonts w:ascii="Arial" w:hAnsi="Arial" w:cs="Arial"/>
        </w:rPr>
        <w:t xml:space="preserve">to </w:t>
      </w:r>
      <w:r w:rsidRPr="00CE25F3">
        <w:rPr>
          <w:rFonts w:ascii="Arial" w:hAnsi="Arial" w:cs="Arial"/>
        </w:rPr>
        <w:t>particular sustainability standards in employment performance management.</w:t>
      </w:r>
    </w:p>
    <w:p w14:paraId="6CE761B5" w14:textId="77777777" w:rsidR="00FC4528" w:rsidRPr="00CE25F3" w:rsidRDefault="00FC4528">
      <w:pPr>
        <w:rPr>
          <w:rFonts w:ascii="Arial" w:eastAsiaTheme="majorEastAsia" w:hAnsi="Arial" w:cs="Arial"/>
          <w:color w:val="2F5496" w:themeColor="accent1" w:themeShade="BF"/>
          <w:sz w:val="32"/>
          <w:szCs w:val="32"/>
        </w:rPr>
      </w:pPr>
      <w:r w:rsidRPr="00CE25F3">
        <w:rPr>
          <w:rFonts w:ascii="Arial" w:hAnsi="Arial" w:cs="Arial"/>
        </w:rPr>
        <w:br w:type="page"/>
      </w:r>
    </w:p>
    <w:p w14:paraId="6E99E9A1" w14:textId="5019127F" w:rsidR="00E10C90" w:rsidRPr="00CE25F3" w:rsidRDefault="00E10C90" w:rsidP="005C3D99">
      <w:pPr>
        <w:pStyle w:val="Heading1"/>
        <w:spacing w:line="360" w:lineRule="auto"/>
        <w:rPr>
          <w:rFonts w:ascii="Arial" w:hAnsi="Arial" w:cs="Arial"/>
          <w:b/>
          <w:color w:val="000000" w:themeColor="text1"/>
        </w:rPr>
      </w:pPr>
      <w:bookmarkStart w:id="6" w:name="_Toc167920460"/>
      <w:r w:rsidRPr="00CE25F3">
        <w:rPr>
          <w:rFonts w:ascii="Arial" w:hAnsi="Arial" w:cs="Arial"/>
          <w:b/>
          <w:color w:val="000000" w:themeColor="text1"/>
        </w:rPr>
        <w:lastRenderedPageBreak/>
        <w:t>Conclusion</w:t>
      </w:r>
      <w:bookmarkEnd w:id="6"/>
    </w:p>
    <w:p w14:paraId="2A2D6D1D" w14:textId="2130965C" w:rsidR="00344451" w:rsidRPr="00CE25F3" w:rsidRDefault="005C3D99" w:rsidP="005C3D99">
      <w:pPr>
        <w:spacing w:line="360" w:lineRule="auto"/>
        <w:jc w:val="both"/>
        <w:rPr>
          <w:rFonts w:ascii="Arial" w:hAnsi="Arial" w:cs="Arial"/>
        </w:rPr>
      </w:pPr>
      <w:r w:rsidRPr="00CE25F3">
        <w:rPr>
          <w:rFonts w:ascii="Arial" w:hAnsi="Arial" w:cs="Arial"/>
        </w:rPr>
        <w:t>I</w:t>
      </w:r>
      <w:r w:rsidR="00E10C90" w:rsidRPr="00CE25F3">
        <w:rPr>
          <w:rFonts w:ascii="Arial" w:hAnsi="Arial" w:cs="Arial"/>
        </w:rPr>
        <w:t>t is imperative to refer back to the description of socioeconomic forces and their influence in the case of employee performance management in the hospitality industry and again state that the issue should be approached broadly and case-specific. It is only right that current arrangements like the Clayton Hotel, Leeds, put effort into certain modalities such as performance technology, feedback systems to engage employees and training, given the changing modes of work today. From these works, it is evident that with the help of flexible work arrangements as well as utilizing improvement in technology in extreme socio-economic changes, the standards of performance of the employees in the hotel industry can be excellent, hence improving the quality of the services being offered. Finally, these strategies will facilitate competitiveness and sustainable business success of hotels because the hotel industry is constantly changing and developing.</w:t>
      </w:r>
    </w:p>
    <w:p w14:paraId="2F5BA692" w14:textId="77777777" w:rsidR="005C3D99" w:rsidRPr="00CE25F3" w:rsidRDefault="005C3D99">
      <w:pPr>
        <w:rPr>
          <w:rFonts w:ascii="Arial" w:eastAsiaTheme="majorEastAsia" w:hAnsi="Arial" w:cs="Arial"/>
          <w:color w:val="2F5496" w:themeColor="accent1" w:themeShade="BF"/>
          <w:sz w:val="32"/>
          <w:szCs w:val="32"/>
        </w:rPr>
      </w:pPr>
      <w:r w:rsidRPr="00CE25F3">
        <w:rPr>
          <w:rFonts w:ascii="Arial" w:hAnsi="Arial" w:cs="Arial"/>
        </w:rPr>
        <w:br w:type="page"/>
      </w:r>
    </w:p>
    <w:p w14:paraId="7B51439C" w14:textId="26553EEC" w:rsidR="00E10C90" w:rsidRPr="00CE25F3" w:rsidRDefault="00E10C90" w:rsidP="005C3D99">
      <w:pPr>
        <w:pStyle w:val="Heading1"/>
        <w:spacing w:line="360" w:lineRule="auto"/>
        <w:rPr>
          <w:rFonts w:ascii="Arial" w:hAnsi="Arial" w:cs="Arial"/>
          <w:b/>
          <w:color w:val="000000" w:themeColor="text1"/>
        </w:rPr>
      </w:pPr>
      <w:bookmarkStart w:id="7" w:name="_Toc167920461"/>
      <w:r w:rsidRPr="00CE25F3">
        <w:rPr>
          <w:rFonts w:ascii="Arial" w:hAnsi="Arial" w:cs="Arial"/>
          <w:b/>
          <w:color w:val="000000" w:themeColor="text1"/>
        </w:rPr>
        <w:lastRenderedPageBreak/>
        <w:t>References</w:t>
      </w:r>
      <w:bookmarkEnd w:id="7"/>
    </w:p>
    <w:p w14:paraId="293DD205" w14:textId="77777777" w:rsidR="00FC4528" w:rsidRPr="00CE25F3" w:rsidRDefault="00FC4528" w:rsidP="005C3D99">
      <w:pPr>
        <w:spacing w:line="360" w:lineRule="auto"/>
        <w:jc w:val="both"/>
        <w:rPr>
          <w:rFonts w:ascii="Arial" w:hAnsi="Arial" w:cs="Arial"/>
        </w:rPr>
      </w:pPr>
      <w:r w:rsidRPr="00CE25F3">
        <w:rPr>
          <w:rFonts w:ascii="Arial" w:hAnsi="Arial" w:cs="Arial"/>
        </w:rPr>
        <w:t>Clayton Hotel, 2023. Clayton Hotel Leeds. Available at: https://www.claytonhotel.com/leeds/ [Accessed 29 May 2024].</w:t>
      </w:r>
    </w:p>
    <w:p w14:paraId="43AED0EC" w14:textId="77777777" w:rsidR="00FC4528" w:rsidRPr="00CE25F3" w:rsidRDefault="00FC4528" w:rsidP="005C3D99">
      <w:pPr>
        <w:spacing w:line="360" w:lineRule="auto"/>
        <w:jc w:val="both"/>
        <w:rPr>
          <w:rFonts w:ascii="Arial" w:hAnsi="Arial" w:cs="Arial"/>
        </w:rPr>
      </w:pPr>
      <w:r w:rsidRPr="00CE25F3">
        <w:rPr>
          <w:rFonts w:ascii="Arial" w:hAnsi="Arial" w:cs="Arial"/>
        </w:rPr>
        <w:t>Dalata Hotel Group, 2024. Annual Report 2023. Available at: https://dalatahotelgroup.com/investors/annual-reports/ [Accessed 29 May 2024].</w:t>
      </w:r>
    </w:p>
    <w:p w14:paraId="2491D609"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GLOBE Project, 2024. </w:t>
      </w:r>
      <w:r w:rsidRPr="00CE25F3">
        <w:rPr>
          <w:rFonts w:ascii="Arial" w:hAnsi="Arial" w:cs="Arial"/>
          <w:i/>
          <w:iCs/>
        </w:rPr>
        <w:t>Culture and Leadership Across the World: The GLOBE Book of In-Depth Studies of 25 Societies</w:t>
      </w:r>
      <w:r w:rsidRPr="00CE25F3">
        <w:rPr>
          <w:rFonts w:ascii="Arial" w:hAnsi="Arial" w:cs="Arial"/>
        </w:rPr>
        <w:t xml:space="preserve">. Available at: </w:t>
      </w:r>
      <w:hyperlink r:id="rId7" w:tgtFrame="_new" w:history="1">
        <w:r w:rsidRPr="00CE25F3">
          <w:rPr>
            <w:rStyle w:val="Hyperlink"/>
            <w:rFonts w:ascii="Arial" w:hAnsi="Arial" w:cs="Arial"/>
          </w:rPr>
          <w:t>https://globeproject.com/</w:t>
        </w:r>
      </w:hyperlink>
      <w:r w:rsidRPr="00CE25F3">
        <w:rPr>
          <w:rFonts w:ascii="Arial" w:hAnsi="Arial" w:cs="Arial"/>
        </w:rPr>
        <w:t xml:space="preserve"> [Accessed 29 May 2024].</w:t>
      </w:r>
    </w:p>
    <w:p w14:paraId="09CCEB1E"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Hofstede, G., Hofstede, G.J., and Minkov, M., 2020. </w:t>
      </w:r>
      <w:r w:rsidRPr="00CE25F3">
        <w:rPr>
          <w:rFonts w:ascii="Arial" w:hAnsi="Arial" w:cs="Arial"/>
          <w:i/>
          <w:iCs/>
        </w:rPr>
        <w:t>Cultures and Organizations: Software of the Mind</w:t>
      </w:r>
      <w:r w:rsidRPr="00CE25F3">
        <w:rPr>
          <w:rFonts w:ascii="Arial" w:hAnsi="Arial" w:cs="Arial"/>
        </w:rPr>
        <w:t>. 4th ed. New York: McGraw-Hill Education.</w:t>
      </w:r>
    </w:p>
    <w:p w14:paraId="15649B31"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IHG Hotels &amp; Resorts, 2021. </w:t>
      </w:r>
      <w:r w:rsidRPr="00CE25F3">
        <w:rPr>
          <w:rFonts w:ascii="Arial" w:hAnsi="Arial" w:cs="Arial"/>
          <w:i/>
          <w:iCs/>
        </w:rPr>
        <w:t>Sustainability Report 2021</w:t>
      </w:r>
      <w:r w:rsidRPr="00CE25F3">
        <w:rPr>
          <w:rFonts w:ascii="Arial" w:hAnsi="Arial" w:cs="Arial"/>
        </w:rPr>
        <w:t>. Available at: https://www.ihgplc.com/en/responsible-business/sustainability [Accessed 29 May 2024].</w:t>
      </w:r>
    </w:p>
    <w:p w14:paraId="4FA2709B"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Lewis, R.D., 2021. </w:t>
      </w:r>
      <w:r w:rsidRPr="00CE25F3">
        <w:rPr>
          <w:rFonts w:ascii="Arial" w:hAnsi="Arial" w:cs="Arial"/>
          <w:i/>
          <w:iCs/>
        </w:rPr>
        <w:t>When Cultures Collide: Leading Across Cultures</w:t>
      </w:r>
      <w:r w:rsidRPr="00CE25F3">
        <w:rPr>
          <w:rFonts w:ascii="Arial" w:hAnsi="Arial" w:cs="Arial"/>
        </w:rPr>
        <w:t>. 4th ed. Boston: Nicholas Brealey Publishing.</w:t>
      </w:r>
    </w:p>
    <w:p w14:paraId="25C6C0ED"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Marriott International, 2022. </w:t>
      </w:r>
      <w:r w:rsidRPr="00CE25F3">
        <w:rPr>
          <w:rFonts w:ascii="Arial" w:hAnsi="Arial" w:cs="Arial"/>
          <w:i/>
          <w:iCs/>
        </w:rPr>
        <w:t>2021 Annual Report</w:t>
      </w:r>
      <w:r w:rsidRPr="00CE25F3">
        <w:rPr>
          <w:rFonts w:ascii="Arial" w:hAnsi="Arial" w:cs="Arial"/>
        </w:rPr>
        <w:t>. Available at: https://marriott.gcs-web.com/annual-reports [Accessed 29 May 2024].</w:t>
      </w:r>
    </w:p>
    <w:p w14:paraId="54E41D09"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Meyer, E., 2022. </w:t>
      </w:r>
      <w:r w:rsidRPr="00CE25F3">
        <w:rPr>
          <w:rFonts w:ascii="Arial" w:hAnsi="Arial" w:cs="Arial"/>
          <w:i/>
          <w:iCs/>
        </w:rPr>
        <w:t>The Culture Map: Breaking Through the Invisible Boundaries of Global Business</w:t>
      </w:r>
      <w:r w:rsidRPr="00CE25F3">
        <w:rPr>
          <w:rFonts w:ascii="Arial" w:hAnsi="Arial" w:cs="Arial"/>
        </w:rPr>
        <w:t>. New York: Public Affairs.</w:t>
      </w:r>
    </w:p>
    <w:p w14:paraId="4E3AD369"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Radisson Hotel Group, 2023. </w:t>
      </w:r>
      <w:r w:rsidRPr="00CE25F3">
        <w:rPr>
          <w:rFonts w:ascii="Arial" w:hAnsi="Arial" w:cs="Arial"/>
          <w:i/>
          <w:iCs/>
        </w:rPr>
        <w:t>Radisson Hotel Group Sustainability Report 2022</w:t>
      </w:r>
      <w:r w:rsidRPr="00CE25F3">
        <w:rPr>
          <w:rFonts w:ascii="Arial" w:hAnsi="Arial" w:cs="Arial"/>
        </w:rPr>
        <w:t>. Available at: https://www.radissonhotels.com/en-us/sustainability-report [Accessed 29 May 2024].</w:t>
      </w:r>
    </w:p>
    <w:p w14:paraId="41CD47A0"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Smith, P.B., 2021. Cross-cultural leadership: A path to global understanding. </w:t>
      </w:r>
      <w:r w:rsidRPr="00CE25F3">
        <w:rPr>
          <w:rFonts w:ascii="Arial" w:hAnsi="Arial" w:cs="Arial"/>
          <w:i/>
          <w:iCs/>
        </w:rPr>
        <w:t>Journal of International Business Studies</w:t>
      </w:r>
      <w:r w:rsidRPr="00CE25F3">
        <w:rPr>
          <w:rFonts w:ascii="Arial" w:hAnsi="Arial" w:cs="Arial"/>
        </w:rPr>
        <w:t>, 52(3), pp. 418-429. doi: 10.1057/s41267-020-00370-1.</w:t>
      </w:r>
    </w:p>
    <w:p w14:paraId="7B418EDA"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Trompenaars, F., and Hampden-Turner, C., 2023. </w:t>
      </w:r>
      <w:r w:rsidRPr="00CE25F3">
        <w:rPr>
          <w:rFonts w:ascii="Arial" w:hAnsi="Arial" w:cs="Arial"/>
          <w:i/>
          <w:iCs/>
        </w:rPr>
        <w:t>Riding the Waves of Culture: Understanding Diversity in Global Business</w:t>
      </w:r>
      <w:r w:rsidRPr="00CE25F3">
        <w:rPr>
          <w:rFonts w:ascii="Arial" w:hAnsi="Arial" w:cs="Arial"/>
        </w:rPr>
        <w:t>. 4th ed. New York: McGraw-Hill Education.</w:t>
      </w:r>
    </w:p>
    <w:p w14:paraId="1D123736" w14:textId="77777777" w:rsidR="00FC4528" w:rsidRPr="00CE25F3" w:rsidRDefault="00FC4528" w:rsidP="005C3D99">
      <w:pPr>
        <w:spacing w:line="360" w:lineRule="auto"/>
        <w:jc w:val="both"/>
        <w:rPr>
          <w:rFonts w:ascii="Arial" w:hAnsi="Arial" w:cs="Arial"/>
        </w:rPr>
      </w:pPr>
      <w:r w:rsidRPr="00CE25F3">
        <w:rPr>
          <w:rFonts w:ascii="Arial" w:hAnsi="Arial" w:cs="Arial"/>
        </w:rPr>
        <w:t xml:space="preserve">Walker, J., 2020. </w:t>
      </w:r>
      <w:r w:rsidRPr="00CE25F3">
        <w:rPr>
          <w:rFonts w:ascii="Arial" w:hAnsi="Arial" w:cs="Arial"/>
          <w:i/>
          <w:iCs/>
        </w:rPr>
        <w:t>Introduction to Hospitality Management</w:t>
      </w:r>
      <w:r w:rsidRPr="00CE25F3">
        <w:rPr>
          <w:rFonts w:ascii="Arial" w:hAnsi="Arial" w:cs="Arial"/>
        </w:rPr>
        <w:t>. 6th ed. London: Pearson.</w:t>
      </w:r>
    </w:p>
    <w:p w14:paraId="5EDCC963" w14:textId="77777777" w:rsidR="00FC4528" w:rsidRPr="00CE25F3" w:rsidRDefault="00FC4528" w:rsidP="00FC4528">
      <w:pPr>
        <w:spacing w:line="360" w:lineRule="auto"/>
        <w:jc w:val="both"/>
        <w:rPr>
          <w:rFonts w:ascii="Arial" w:hAnsi="Arial" w:cs="Arial"/>
        </w:rPr>
      </w:pPr>
      <w:r w:rsidRPr="00CE25F3">
        <w:rPr>
          <w:rFonts w:ascii="Arial" w:hAnsi="Arial" w:cs="Arial"/>
        </w:rPr>
        <w:lastRenderedPageBreak/>
        <w:t xml:space="preserve">World Economic Forum, 2024. </w:t>
      </w:r>
      <w:r w:rsidRPr="00CE25F3">
        <w:rPr>
          <w:rFonts w:ascii="Arial" w:hAnsi="Arial" w:cs="Arial"/>
          <w:i/>
          <w:iCs/>
        </w:rPr>
        <w:t>The Future of Jobs Report 2024</w:t>
      </w:r>
      <w:r w:rsidRPr="00CE25F3">
        <w:rPr>
          <w:rFonts w:ascii="Arial" w:hAnsi="Arial" w:cs="Arial"/>
        </w:rPr>
        <w:t>. Available at: https://www.weforum.org/reports/the-future-of-jobs-report-2024 [Accessed 29 May 2024].</w:t>
      </w:r>
    </w:p>
    <w:sectPr w:rsidR="00FC4528" w:rsidRPr="00CE25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B2CA5A" w14:textId="77777777" w:rsidR="006C130B" w:rsidRDefault="006C130B" w:rsidP="00E10C90">
      <w:pPr>
        <w:spacing w:after="0" w:line="240" w:lineRule="auto"/>
      </w:pPr>
      <w:r>
        <w:separator/>
      </w:r>
    </w:p>
  </w:endnote>
  <w:endnote w:type="continuationSeparator" w:id="0">
    <w:p w14:paraId="147EC793" w14:textId="77777777" w:rsidR="006C130B" w:rsidRDefault="006C130B" w:rsidP="00E1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2345242"/>
      <w:docPartObj>
        <w:docPartGallery w:val="Page Numbers (Bottom of Page)"/>
        <w:docPartUnique/>
      </w:docPartObj>
    </w:sdtPr>
    <w:sdtEndPr>
      <w:rPr>
        <w:color w:val="7F7F7F" w:themeColor="background1" w:themeShade="7F"/>
        <w:spacing w:val="60"/>
        <w:lang w:val="en-GB"/>
      </w:rPr>
    </w:sdtEndPr>
    <w:sdtContent>
      <w:p w14:paraId="2CF0C255" w14:textId="5CCA3A2B" w:rsidR="00E10C90" w:rsidRDefault="00E10C90">
        <w:pPr>
          <w:pStyle w:val="Footer"/>
          <w:pBdr>
            <w:top w:val="single" w:sz="4" w:space="1" w:color="D9D9D9" w:themeColor="background1" w:themeShade="D9"/>
          </w:pBdr>
          <w:jc w:val="right"/>
        </w:pPr>
        <w:r>
          <w:fldChar w:fldCharType="begin"/>
        </w:r>
        <w:r>
          <w:instrText>PAGE   \* MERGEFORMAT</w:instrText>
        </w:r>
        <w:r>
          <w:fldChar w:fldCharType="separate"/>
        </w:r>
        <w:r w:rsidR="00CA3429" w:rsidRPr="00CA3429">
          <w:rPr>
            <w:noProof/>
            <w:lang w:val="en-GB"/>
          </w:rPr>
          <w:t>11</w:t>
        </w:r>
        <w:r>
          <w:fldChar w:fldCharType="end"/>
        </w:r>
        <w:r>
          <w:rPr>
            <w:lang w:val="en-GB"/>
          </w:rPr>
          <w:t xml:space="preserve"> | </w:t>
        </w:r>
        <w:r>
          <w:rPr>
            <w:color w:val="7F7F7F" w:themeColor="background1" w:themeShade="7F"/>
            <w:spacing w:val="60"/>
            <w:lang w:val="en-GB"/>
          </w:rPr>
          <w:t>Page</w:t>
        </w:r>
      </w:p>
    </w:sdtContent>
  </w:sdt>
  <w:p w14:paraId="37A7E38E" w14:textId="77777777" w:rsidR="00E10C90" w:rsidRDefault="00E10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6E430" w14:textId="77777777" w:rsidR="006C130B" w:rsidRDefault="006C130B" w:rsidP="00E10C90">
      <w:pPr>
        <w:spacing w:after="0" w:line="240" w:lineRule="auto"/>
      </w:pPr>
      <w:r>
        <w:separator/>
      </w:r>
    </w:p>
  </w:footnote>
  <w:footnote w:type="continuationSeparator" w:id="0">
    <w:p w14:paraId="276427A7" w14:textId="77777777" w:rsidR="006C130B" w:rsidRDefault="006C130B" w:rsidP="00E10C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QxNzcxNjG1tDQ0MTZW0lEKTi0uzszPAykwrAUAwfcbbSwAAAA="/>
  </w:docVars>
  <w:rsids>
    <w:rsidRoot w:val="004E0628"/>
    <w:rsid w:val="001737C1"/>
    <w:rsid w:val="001B2602"/>
    <w:rsid w:val="00344451"/>
    <w:rsid w:val="004E0628"/>
    <w:rsid w:val="004E3B73"/>
    <w:rsid w:val="005C3D99"/>
    <w:rsid w:val="006A5C48"/>
    <w:rsid w:val="006C130B"/>
    <w:rsid w:val="00C4570F"/>
    <w:rsid w:val="00CA3429"/>
    <w:rsid w:val="00CE25F3"/>
    <w:rsid w:val="00E10C90"/>
    <w:rsid w:val="00EA783D"/>
    <w:rsid w:val="00FC4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849D"/>
  <w15:chartTrackingRefBased/>
  <w15:docId w15:val="{11EC25E4-7D90-4DF4-A930-A9972F7FC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602"/>
    <w:rPr>
      <w:rFonts w:ascii="Times New Roman" w:hAnsi="Times New Roman"/>
      <w:sz w:val="24"/>
    </w:rPr>
  </w:style>
  <w:style w:type="paragraph" w:styleId="Heading1">
    <w:name w:val="heading 1"/>
    <w:basedOn w:val="Normal"/>
    <w:next w:val="Normal"/>
    <w:link w:val="Heading1Char"/>
    <w:uiPriority w:val="9"/>
    <w:qFormat/>
    <w:rsid w:val="001B2602"/>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2602"/>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2602"/>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E06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60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B2602"/>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1B2602"/>
    <w:rPr>
      <w:rFonts w:ascii="Times New Roman" w:eastAsiaTheme="majorEastAsia" w:hAnsi="Times New Roman" w:cstheme="majorBidi"/>
      <w:b/>
      <w:sz w:val="24"/>
      <w:szCs w:val="24"/>
    </w:rPr>
  </w:style>
  <w:style w:type="paragraph" w:styleId="NoSpacing">
    <w:name w:val="No Spacing"/>
    <w:uiPriority w:val="1"/>
    <w:qFormat/>
    <w:rsid w:val="001B2602"/>
    <w:pPr>
      <w:spacing w:after="0" w:line="240" w:lineRule="auto"/>
    </w:pPr>
    <w:rPr>
      <w:rFonts w:ascii="Times New Roman" w:hAnsi="Times New Roman"/>
      <w:sz w:val="24"/>
    </w:rPr>
  </w:style>
  <w:style w:type="character" w:customStyle="1" w:styleId="Heading4Char">
    <w:name w:val="Heading 4 Char"/>
    <w:basedOn w:val="DefaultParagraphFont"/>
    <w:link w:val="Heading4"/>
    <w:uiPriority w:val="9"/>
    <w:semiHidden/>
    <w:rsid w:val="004E0628"/>
    <w:rPr>
      <w:rFonts w:asciiTheme="majorHAnsi" w:eastAsiaTheme="majorEastAsia" w:hAnsiTheme="majorHAnsi" w:cstheme="majorBidi"/>
      <w:i/>
      <w:iCs/>
      <w:color w:val="2F5496" w:themeColor="accent1" w:themeShade="BF"/>
      <w:sz w:val="24"/>
    </w:rPr>
  </w:style>
  <w:style w:type="table" w:styleId="GridTable5Dark-Accent3">
    <w:name w:val="Grid Table 5 Dark Accent 3"/>
    <w:basedOn w:val="TableNormal"/>
    <w:uiPriority w:val="50"/>
    <w:rsid w:val="004E06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E10C90"/>
    <w:pPr>
      <w:outlineLvl w:val="9"/>
    </w:pPr>
    <w:rPr>
      <w:rFonts w:asciiTheme="majorHAnsi" w:hAnsiTheme="majorHAnsi"/>
    </w:rPr>
  </w:style>
  <w:style w:type="paragraph" w:styleId="TOC1">
    <w:name w:val="toc 1"/>
    <w:basedOn w:val="Normal"/>
    <w:next w:val="Normal"/>
    <w:autoRedefine/>
    <w:uiPriority w:val="39"/>
    <w:unhideWhenUsed/>
    <w:rsid w:val="00E10C90"/>
    <w:pPr>
      <w:spacing w:after="100"/>
    </w:pPr>
  </w:style>
  <w:style w:type="paragraph" w:styleId="TOC2">
    <w:name w:val="toc 2"/>
    <w:basedOn w:val="Normal"/>
    <w:next w:val="Normal"/>
    <w:autoRedefine/>
    <w:uiPriority w:val="39"/>
    <w:unhideWhenUsed/>
    <w:rsid w:val="00E10C90"/>
    <w:pPr>
      <w:spacing w:after="100"/>
      <w:ind w:left="240"/>
    </w:pPr>
  </w:style>
  <w:style w:type="character" w:styleId="Hyperlink">
    <w:name w:val="Hyperlink"/>
    <w:basedOn w:val="DefaultParagraphFont"/>
    <w:uiPriority w:val="99"/>
    <w:unhideWhenUsed/>
    <w:rsid w:val="00E10C90"/>
    <w:rPr>
      <w:color w:val="0563C1" w:themeColor="hyperlink"/>
      <w:u w:val="single"/>
    </w:rPr>
  </w:style>
  <w:style w:type="paragraph" w:styleId="Header">
    <w:name w:val="header"/>
    <w:basedOn w:val="Normal"/>
    <w:link w:val="HeaderChar"/>
    <w:uiPriority w:val="99"/>
    <w:unhideWhenUsed/>
    <w:rsid w:val="00E10C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0C90"/>
    <w:rPr>
      <w:rFonts w:ascii="Times New Roman" w:hAnsi="Times New Roman"/>
      <w:sz w:val="24"/>
    </w:rPr>
  </w:style>
  <w:style w:type="paragraph" w:styleId="Footer">
    <w:name w:val="footer"/>
    <w:basedOn w:val="Normal"/>
    <w:link w:val="FooterChar"/>
    <w:uiPriority w:val="99"/>
    <w:unhideWhenUsed/>
    <w:rsid w:val="00E10C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C90"/>
    <w:rPr>
      <w:rFonts w:ascii="Times New Roman" w:hAnsi="Times New Roman"/>
      <w:sz w:val="24"/>
    </w:rPr>
  </w:style>
  <w:style w:type="character" w:customStyle="1" w:styleId="UnresolvedMention1">
    <w:name w:val="Unresolved Mention1"/>
    <w:basedOn w:val="DefaultParagraphFont"/>
    <w:uiPriority w:val="99"/>
    <w:semiHidden/>
    <w:unhideWhenUsed/>
    <w:rsid w:val="00E10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436757">
      <w:bodyDiv w:val="1"/>
      <w:marLeft w:val="0"/>
      <w:marRight w:val="0"/>
      <w:marTop w:val="0"/>
      <w:marBottom w:val="0"/>
      <w:divBdr>
        <w:top w:val="none" w:sz="0" w:space="0" w:color="auto"/>
        <w:left w:val="none" w:sz="0" w:space="0" w:color="auto"/>
        <w:bottom w:val="none" w:sz="0" w:space="0" w:color="auto"/>
        <w:right w:val="none" w:sz="0" w:space="0" w:color="auto"/>
      </w:divBdr>
    </w:div>
    <w:div w:id="834225547">
      <w:bodyDiv w:val="1"/>
      <w:marLeft w:val="0"/>
      <w:marRight w:val="0"/>
      <w:marTop w:val="0"/>
      <w:marBottom w:val="0"/>
      <w:divBdr>
        <w:top w:val="none" w:sz="0" w:space="0" w:color="auto"/>
        <w:left w:val="none" w:sz="0" w:space="0" w:color="auto"/>
        <w:bottom w:val="none" w:sz="0" w:space="0" w:color="auto"/>
        <w:right w:val="none" w:sz="0" w:space="0" w:color="auto"/>
      </w:divBdr>
    </w:div>
    <w:div w:id="1922908741">
      <w:bodyDiv w:val="1"/>
      <w:marLeft w:val="0"/>
      <w:marRight w:val="0"/>
      <w:marTop w:val="0"/>
      <w:marBottom w:val="0"/>
      <w:divBdr>
        <w:top w:val="none" w:sz="0" w:space="0" w:color="auto"/>
        <w:left w:val="none" w:sz="0" w:space="0" w:color="auto"/>
        <w:bottom w:val="none" w:sz="0" w:space="0" w:color="auto"/>
        <w:right w:val="none" w:sz="0" w:space="0" w:color="auto"/>
      </w:divBdr>
    </w:div>
    <w:div w:id="2034919032">
      <w:bodyDiv w:val="1"/>
      <w:marLeft w:val="0"/>
      <w:marRight w:val="0"/>
      <w:marTop w:val="0"/>
      <w:marBottom w:val="0"/>
      <w:divBdr>
        <w:top w:val="none" w:sz="0" w:space="0" w:color="auto"/>
        <w:left w:val="none" w:sz="0" w:space="0" w:color="auto"/>
        <w:bottom w:val="none" w:sz="0" w:space="0" w:color="auto"/>
        <w:right w:val="none" w:sz="0" w:space="0" w:color="auto"/>
      </w:divBdr>
    </w:div>
    <w:div w:id="208352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lobeproject.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E23DF-8AA6-4FCC-B02A-BBD629A5F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Rekha Begum (2125644)</cp:lastModifiedBy>
  <cp:revision>2</cp:revision>
  <dcterms:created xsi:type="dcterms:W3CDTF">2024-06-04T22:59:00Z</dcterms:created>
  <dcterms:modified xsi:type="dcterms:W3CDTF">2024-06-04T22:59:00Z</dcterms:modified>
</cp:coreProperties>
</file>