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E4EC7" w14:textId="77777777" w:rsidR="00D84C70" w:rsidRPr="000A2587" w:rsidRDefault="00D84C70" w:rsidP="00E525BE">
      <w:pPr>
        <w:pStyle w:val="NoSpacing"/>
        <w:spacing w:line="360" w:lineRule="auto"/>
        <w:rPr>
          <w:rFonts w:ascii="Times New Roman" w:hAnsi="Times New Roman" w:cs="Times New Roman"/>
          <w:b/>
          <w:bCs/>
          <w:sz w:val="24"/>
          <w:szCs w:val="24"/>
        </w:rPr>
      </w:pPr>
    </w:p>
    <w:p w14:paraId="5ED78F54" w14:textId="77777777" w:rsidR="00D84C70" w:rsidRPr="000A2587" w:rsidRDefault="00D84C70" w:rsidP="006E6284">
      <w:pPr>
        <w:pStyle w:val="NoSpacing"/>
        <w:spacing w:line="360" w:lineRule="auto"/>
        <w:jc w:val="center"/>
        <w:rPr>
          <w:rFonts w:ascii="Times New Roman" w:hAnsi="Times New Roman" w:cs="Times New Roman"/>
          <w:b/>
          <w:bCs/>
          <w:sz w:val="24"/>
          <w:szCs w:val="24"/>
        </w:rPr>
      </w:pPr>
    </w:p>
    <w:p w14:paraId="2F30E3DC" w14:textId="33910E1F" w:rsidR="00D84C70" w:rsidRPr="00B778B3" w:rsidRDefault="00D84C70" w:rsidP="006E6284">
      <w:pPr>
        <w:pStyle w:val="NoSpacing"/>
        <w:spacing w:line="360" w:lineRule="auto"/>
        <w:jc w:val="center"/>
        <w:rPr>
          <w:rFonts w:ascii="Times New Roman" w:hAnsi="Times New Roman" w:cs="Times New Roman"/>
          <w:b/>
          <w:bCs/>
          <w:sz w:val="48"/>
          <w:szCs w:val="48"/>
        </w:rPr>
      </w:pPr>
      <w:r w:rsidRPr="00B778B3">
        <w:rPr>
          <w:rFonts w:ascii="Times New Roman" w:hAnsi="Times New Roman" w:cs="Times New Roman"/>
          <w:b/>
          <w:bCs/>
          <w:sz w:val="48"/>
          <w:szCs w:val="48"/>
        </w:rPr>
        <w:t>Data Security, Governance and Compliance</w:t>
      </w:r>
    </w:p>
    <w:p w14:paraId="01A24565" w14:textId="77777777" w:rsidR="00D84C70" w:rsidRPr="00B778B3" w:rsidRDefault="00D84C70" w:rsidP="006E6284">
      <w:pPr>
        <w:pStyle w:val="NoSpacing"/>
        <w:spacing w:line="360" w:lineRule="auto"/>
        <w:jc w:val="center"/>
        <w:rPr>
          <w:rFonts w:ascii="Times New Roman" w:hAnsi="Times New Roman" w:cs="Times New Roman"/>
          <w:b/>
          <w:bCs/>
          <w:sz w:val="48"/>
          <w:szCs w:val="48"/>
        </w:rPr>
      </w:pPr>
      <w:r w:rsidRPr="00B778B3">
        <w:rPr>
          <w:rFonts w:ascii="Times New Roman" w:hAnsi="Times New Roman" w:cs="Times New Roman"/>
          <w:b/>
          <w:bCs/>
          <w:sz w:val="48"/>
          <w:szCs w:val="48"/>
        </w:rPr>
        <w:t>Student Name: Vackaar Hussain</w:t>
      </w:r>
    </w:p>
    <w:p w14:paraId="494CD855" w14:textId="77777777" w:rsidR="00D84C70" w:rsidRPr="00B778B3" w:rsidRDefault="00D84C70" w:rsidP="006E6284">
      <w:pPr>
        <w:pStyle w:val="NoSpacing"/>
        <w:spacing w:line="360" w:lineRule="auto"/>
        <w:jc w:val="center"/>
        <w:rPr>
          <w:rFonts w:ascii="Times New Roman" w:hAnsi="Times New Roman" w:cs="Times New Roman"/>
          <w:b/>
          <w:bCs/>
          <w:sz w:val="48"/>
          <w:szCs w:val="48"/>
        </w:rPr>
      </w:pPr>
      <w:r w:rsidRPr="00B778B3">
        <w:rPr>
          <w:rFonts w:ascii="Times New Roman" w:hAnsi="Times New Roman" w:cs="Times New Roman"/>
          <w:b/>
          <w:bCs/>
          <w:sz w:val="48"/>
          <w:szCs w:val="48"/>
        </w:rPr>
        <w:t>Student ID: 2209946</w:t>
      </w:r>
    </w:p>
    <w:p w14:paraId="241407E7" w14:textId="77777777" w:rsidR="00D84C70" w:rsidRPr="00B778B3" w:rsidRDefault="00D84C70" w:rsidP="006E6284">
      <w:pPr>
        <w:pStyle w:val="NoSpacing"/>
        <w:spacing w:line="360" w:lineRule="auto"/>
        <w:jc w:val="center"/>
        <w:rPr>
          <w:rFonts w:ascii="Times New Roman" w:hAnsi="Times New Roman" w:cs="Times New Roman"/>
          <w:b/>
          <w:bCs/>
          <w:sz w:val="48"/>
          <w:szCs w:val="48"/>
        </w:rPr>
      </w:pPr>
      <w:r w:rsidRPr="00B778B3">
        <w:rPr>
          <w:rFonts w:ascii="Times New Roman" w:hAnsi="Times New Roman" w:cs="Times New Roman"/>
          <w:b/>
          <w:bCs/>
          <w:sz w:val="48"/>
          <w:szCs w:val="48"/>
        </w:rPr>
        <w:t>Module Code: ACCA7028</w:t>
      </w:r>
    </w:p>
    <w:p w14:paraId="2F7FF1C0" w14:textId="77777777" w:rsidR="00D84C70" w:rsidRPr="00B778B3" w:rsidRDefault="00D84C70" w:rsidP="006E6284">
      <w:pPr>
        <w:pStyle w:val="NoSpacing"/>
        <w:spacing w:line="360" w:lineRule="auto"/>
        <w:jc w:val="center"/>
        <w:rPr>
          <w:rFonts w:ascii="Times New Roman" w:hAnsi="Times New Roman" w:cs="Times New Roman"/>
          <w:b/>
          <w:bCs/>
          <w:sz w:val="48"/>
          <w:szCs w:val="48"/>
        </w:rPr>
      </w:pPr>
      <w:r w:rsidRPr="00B778B3">
        <w:rPr>
          <w:rFonts w:ascii="Times New Roman" w:hAnsi="Times New Roman" w:cs="Times New Roman"/>
          <w:b/>
          <w:bCs/>
          <w:sz w:val="48"/>
          <w:szCs w:val="48"/>
        </w:rPr>
        <w:t xml:space="preserve">Assignment: </w:t>
      </w:r>
      <w:proofErr w:type="spellStart"/>
      <w:r w:rsidRPr="00B778B3">
        <w:rPr>
          <w:rFonts w:ascii="Times New Roman" w:hAnsi="Times New Roman" w:cs="Times New Roman"/>
          <w:b/>
          <w:bCs/>
          <w:sz w:val="48"/>
          <w:szCs w:val="48"/>
        </w:rPr>
        <w:t>Finsure</w:t>
      </w:r>
      <w:proofErr w:type="spellEnd"/>
      <w:r w:rsidRPr="00B778B3">
        <w:rPr>
          <w:rFonts w:ascii="Times New Roman" w:hAnsi="Times New Roman" w:cs="Times New Roman"/>
          <w:b/>
          <w:bCs/>
          <w:sz w:val="48"/>
          <w:szCs w:val="48"/>
        </w:rPr>
        <w:t xml:space="preserve"> Bank Case Study</w:t>
      </w:r>
    </w:p>
    <w:p w14:paraId="5A6A1B81" w14:textId="77777777" w:rsidR="00D84C70" w:rsidRPr="00B778B3" w:rsidRDefault="00D84C70" w:rsidP="006E6284">
      <w:pPr>
        <w:pStyle w:val="NoSpacing"/>
        <w:spacing w:line="360" w:lineRule="auto"/>
        <w:jc w:val="center"/>
        <w:rPr>
          <w:rFonts w:ascii="Times New Roman" w:hAnsi="Times New Roman" w:cs="Times New Roman"/>
          <w:b/>
          <w:bCs/>
          <w:sz w:val="48"/>
          <w:szCs w:val="48"/>
        </w:rPr>
      </w:pPr>
      <w:r w:rsidRPr="00B778B3">
        <w:rPr>
          <w:rFonts w:ascii="Times New Roman" w:hAnsi="Times New Roman" w:cs="Times New Roman"/>
          <w:b/>
          <w:bCs/>
          <w:sz w:val="48"/>
          <w:szCs w:val="48"/>
        </w:rPr>
        <w:t xml:space="preserve">Lecturer: </w:t>
      </w:r>
      <w:proofErr w:type="spellStart"/>
      <w:r w:rsidRPr="00B778B3">
        <w:rPr>
          <w:rFonts w:ascii="Times New Roman" w:hAnsi="Times New Roman" w:cs="Times New Roman"/>
          <w:b/>
          <w:bCs/>
          <w:sz w:val="48"/>
          <w:szCs w:val="48"/>
        </w:rPr>
        <w:t>Vijeyananthan</w:t>
      </w:r>
      <w:proofErr w:type="spellEnd"/>
      <w:r w:rsidRPr="00B778B3">
        <w:rPr>
          <w:rFonts w:ascii="Times New Roman" w:hAnsi="Times New Roman" w:cs="Times New Roman"/>
          <w:b/>
          <w:bCs/>
          <w:sz w:val="48"/>
          <w:szCs w:val="48"/>
        </w:rPr>
        <w:t xml:space="preserve"> </w:t>
      </w:r>
      <w:proofErr w:type="spellStart"/>
      <w:r w:rsidRPr="00B778B3">
        <w:rPr>
          <w:rFonts w:ascii="Times New Roman" w:hAnsi="Times New Roman" w:cs="Times New Roman"/>
          <w:b/>
          <w:bCs/>
          <w:sz w:val="48"/>
          <w:szCs w:val="48"/>
        </w:rPr>
        <w:t>Thayananthan</w:t>
      </w:r>
      <w:proofErr w:type="spellEnd"/>
    </w:p>
    <w:p w14:paraId="5EEA7849" w14:textId="537C0F33" w:rsidR="00D84C70" w:rsidRPr="00D84C70" w:rsidRDefault="00D84C70" w:rsidP="006E6284">
      <w:pPr>
        <w:spacing w:line="360" w:lineRule="auto"/>
        <w:jc w:val="both"/>
        <w:rPr>
          <w:rFonts w:ascii="Times New Roman" w:hAnsi="Times New Roman" w:cs="Times New Roman"/>
          <w:b/>
          <w:bCs/>
          <w:sz w:val="24"/>
          <w:szCs w:val="24"/>
        </w:rPr>
      </w:pPr>
      <w:r w:rsidRPr="000A2587">
        <w:rPr>
          <w:rFonts w:ascii="Times New Roman" w:hAnsi="Times New Roman" w:cs="Times New Roman"/>
          <w:sz w:val="24"/>
          <w:szCs w:val="24"/>
        </w:rPr>
        <w:br w:type="page"/>
      </w:r>
      <w:r w:rsidRPr="00D84C70">
        <w:rPr>
          <w:rFonts w:ascii="Times New Roman" w:hAnsi="Times New Roman" w:cs="Times New Roman"/>
          <w:b/>
          <w:bCs/>
          <w:sz w:val="24"/>
          <w:szCs w:val="24"/>
        </w:rPr>
        <w:lastRenderedPageBreak/>
        <w:t>Abstract</w:t>
      </w:r>
    </w:p>
    <w:p w14:paraId="64157AB5" w14:textId="77777777" w:rsidR="00D84C70" w:rsidRPr="00D84C70" w:rsidRDefault="00D84C70" w:rsidP="006E6284">
      <w:pPr>
        <w:spacing w:line="360" w:lineRule="auto"/>
        <w:jc w:val="both"/>
        <w:rPr>
          <w:rFonts w:ascii="Times New Roman" w:hAnsi="Times New Roman" w:cs="Times New Roman"/>
          <w:sz w:val="24"/>
          <w:szCs w:val="24"/>
        </w:rPr>
      </w:pPr>
      <w:r w:rsidRPr="00D84C70">
        <w:rPr>
          <w:rFonts w:ascii="Times New Roman" w:hAnsi="Times New Roman" w:cs="Times New Roman"/>
          <w:sz w:val="24"/>
          <w:szCs w:val="24"/>
        </w:rPr>
        <w:t xml:space="preserve">This report investigates the security, governance, and compliance challenges facing </w:t>
      </w:r>
      <w:proofErr w:type="spellStart"/>
      <w:r w:rsidRPr="00D84C70">
        <w:rPr>
          <w:rFonts w:ascii="Times New Roman" w:hAnsi="Times New Roman" w:cs="Times New Roman"/>
          <w:sz w:val="24"/>
          <w:szCs w:val="24"/>
        </w:rPr>
        <w:t>FinSure</w:t>
      </w:r>
      <w:proofErr w:type="spellEnd"/>
      <w:r w:rsidRPr="00D84C70">
        <w:rPr>
          <w:rFonts w:ascii="Times New Roman" w:hAnsi="Times New Roman" w:cs="Times New Roman"/>
          <w:sz w:val="24"/>
          <w:szCs w:val="24"/>
        </w:rPr>
        <w:t xml:space="preserve"> Bank (FSB), a rapidly expanding digital-first financial institution operating predominantly on cloud-based infrastructure. As FSB scales mobile banking services and implements Bring Your Own Device (BYOD) policies, exposure to cyber-risk, regulatory non-compliance, and operational vulnerabilities increases.</w:t>
      </w:r>
    </w:p>
    <w:p w14:paraId="27116B11" w14:textId="77777777" w:rsidR="00D84C70" w:rsidRPr="00D84C70" w:rsidRDefault="00D84C70" w:rsidP="006E6284">
      <w:pPr>
        <w:spacing w:line="360" w:lineRule="auto"/>
        <w:jc w:val="both"/>
        <w:rPr>
          <w:rFonts w:ascii="Times New Roman" w:hAnsi="Times New Roman" w:cs="Times New Roman"/>
          <w:sz w:val="24"/>
          <w:szCs w:val="24"/>
        </w:rPr>
      </w:pPr>
      <w:r w:rsidRPr="00D84C70">
        <w:rPr>
          <w:rFonts w:ascii="Times New Roman" w:hAnsi="Times New Roman" w:cs="Times New Roman"/>
          <w:sz w:val="24"/>
          <w:szCs w:val="24"/>
        </w:rPr>
        <w:t>Through a critical review of established frameworks—including ISO/IEC 27001, NIST Cybersecurity Framework, COBIT 2019, and ITIL 4—this study identifies best-practice models capable of strengthening FSB’s fragmented security posture. An integrated governance and security architecture is proposed, incorporating risk management, policy development, access control, incident response, and continuous compliance monitoring.</w:t>
      </w:r>
    </w:p>
    <w:p w14:paraId="62452192" w14:textId="77777777" w:rsidR="00D84C70" w:rsidRPr="000A2587" w:rsidRDefault="00D84C70" w:rsidP="006E6284">
      <w:pPr>
        <w:spacing w:line="360" w:lineRule="auto"/>
        <w:jc w:val="both"/>
        <w:rPr>
          <w:rFonts w:ascii="Times New Roman" w:hAnsi="Times New Roman" w:cs="Times New Roman"/>
          <w:sz w:val="24"/>
          <w:szCs w:val="24"/>
        </w:rPr>
      </w:pPr>
      <w:r w:rsidRPr="00D84C70">
        <w:rPr>
          <w:rFonts w:ascii="Times New Roman" w:hAnsi="Times New Roman" w:cs="Times New Roman"/>
          <w:sz w:val="24"/>
          <w:szCs w:val="24"/>
        </w:rPr>
        <w:t>The model emphasises alignment with GDPR, financial-sector regulations, and cloud-security standards. The analysis demonstrates that continual updates to regulations and standards are essential due to evolving threat landscapes, technological innovation, and the sophistication of cybercriminals. Findings confirm that a unified, adaptive, and standards-driven approach is critical for safeguarding sensitive financial data, ensuring operational resilience, and maintaining customer trust in a competitive digital-banking environment.</w:t>
      </w:r>
    </w:p>
    <w:p w14:paraId="50065CF8" w14:textId="77777777" w:rsidR="00D84C70" w:rsidRPr="000A2587" w:rsidRDefault="00D84C70" w:rsidP="006E6284">
      <w:pPr>
        <w:spacing w:line="360" w:lineRule="auto"/>
        <w:jc w:val="both"/>
        <w:rPr>
          <w:rFonts w:ascii="Times New Roman" w:hAnsi="Times New Roman" w:cs="Times New Roman"/>
          <w:sz w:val="24"/>
          <w:szCs w:val="24"/>
        </w:rPr>
      </w:pPr>
    </w:p>
    <w:p w14:paraId="1250A5AA" w14:textId="77777777" w:rsidR="00D84C70" w:rsidRPr="000A2587" w:rsidRDefault="00D84C70" w:rsidP="006E6284">
      <w:pPr>
        <w:spacing w:line="360" w:lineRule="auto"/>
        <w:rPr>
          <w:rFonts w:ascii="Times New Roman" w:hAnsi="Times New Roman" w:cs="Times New Roman"/>
          <w:sz w:val="24"/>
          <w:szCs w:val="24"/>
        </w:rPr>
      </w:pPr>
    </w:p>
    <w:p w14:paraId="2B28F9ED" w14:textId="77777777" w:rsidR="00D84C70" w:rsidRPr="000A2587" w:rsidRDefault="00D84C70" w:rsidP="006E6284">
      <w:pPr>
        <w:spacing w:line="360" w:lineRule="auto"/>
        <w:rPr>
          <w:rFonts w:ascii="Times New Roman" w:hAnsi="Times New Roman" w:cs="Times New Roman"/>
          <w:sz w:val="24"/>
          <w:szCs w:val="24"/>
        </w:rPr>
      </w:pPr>
    </w:p>
    <w:p w14:paraId="0E6F6DF7" w14:textId="77777777" w:rsidR="00D84C70" w:rsidRPr="000A2587" w:rsidRDefault="00D84C70" w:rsidP="006E6284">
      <w:pPr>
        <w:spacing w:line="360" w:lineRule="auto"/>
        <w:rPr>
          <w:rFonts w:ascii="Times New Roman" w:hAnsi="Times New Roman" w:cs="Times New Roman"/>
          <w:sz w:val="24"/>
          <w:szCs w:val="24"/>
        </w:rPr>
      </w:pPr>
    </w:p>
    <w:p w14:paraId="49B9ADA0" w14:textId="77777777" w:rsidR="00D84C70" w:rsidRPr="000A2587" w:rsidRDefault="00D84C70" w:rsidP="006E6284">
      <w:pPr>
        <w:spacing w:line="360" w:lineRule="auto"/>
        <w:rPr>
          <w:rFonts w:ascii="Times New Roman" w:hAnsi="Times New Roman" w:cs="Times New Roman"/>
          <w:sz w:val="24"/>
          <w:szCs w:val="24"/>
        </w:rPr>
      </w:pPr>
    </w:p>
    <w:p w14:paraId="77020CF2" w14:textId="77777777" w:rsidR="00D84C70" w:rsidRPr="000A2587" w:rsidRDefault="00D84C70" w:rsidP="006E6284">
      <w:pPr>
        <w:spacing w:line="360" w:lineRule="auto"/>
        <w:rPr>
          <w:rFonts w:ascii="Times New Roman" w:hAnsi="Times New Roman" w:cs="Times New Roman"/>
          <w:sz w:val="24"/>
          <w:szCs w:val="24"/>
        </w:rPr>
      </w:pPr>
    </w:p>
    <w:p w14:paraId="32C8B92F" w14:textId="77777777" w:rsidR="00D84C70" w:rsidRPr="000A2587" w:rsidRDefault="00D84C70" w:rsidP="006E6284">
      <w:pPr>
        <w:spacing w:line="360" w:lineRule="auto"/>
        <w:rPr>
          <w:rFonts w:ascii="Times New Roman" w:hAnsi="Times New Roman" w:cs="Times New Roman"/>
          <w:sz w:val="24"/>
          <w:szCs w:val="24"/>
        </w:rPr>
      </w:pPr>
    </w:p>
    <w:p w14:paraId="782E88B1" w14:textId="77777777" w:rsidR="00D84C70" w:rsidRPr="000A2587" w:rsidRDefault="00D84C70" w:rsidP="006E6284">
      <w:pPr>
        <w:spacing w:line="360" w:lineRule="auto"/>
        <w:rPr>
          <w:rFonts w:ascii="Times New Roman" w:hAnsi="Times New Roman" w:cs="Times New Roman"/>
          <w:sz w:val="24"/>
          <w:szCs w:val="24"/>
        </w:rPr>
      </w:pPr>
    </w:p>
    <w:p w14:paraId="0398D07A" w14:textId="77777777" w:rsidR="00D84C70" w:rsidRPr="000A2587" w:rsidRDefault="00D84C70" w:rsidP="006E6284">
      <w:pPr>
        <w:spacing w:line="360" w:lineRule="auto"/>
        <w:rPr>
          <w:rFonts w:ascii="Times New Roman" w:hAnsi="Times New Roman" w:cs="Times New Roman"/>
          <w:sz w:val="24"/>
          <w:szCs w:val="24"/>
        </w:rPr>
      </w:pPr>
    </w:p>
    <w:p w14:paraId="620090E0" w14:textId="77777777" w:rsidR="00D84C70" w:rsidRPr="000A2587" w:rsidRDefault="00D84C70" w:rsidP="006E6284">
      <w:pPr>
        <w:spacing w:line="360" w:lineRule="auto"/>
        <w:rPr>
          <w:rFonts w:ascii="Times New Roman" w:hAnsi="Times New Roman" w:cs="Times New Roman"/>
          <w:sz w:val="24"/>
          <w:szCs w:val="24"/>
        </w:rPr>
      </w:pPr>
    </w:p>
    <w:p w14:paraId="2F97307C" w14:textId="77777777" w:rsidR="00D84C70" w:rsidRPr="000A2587" w:rsidRDefault="00D84C70" w:rsidP="006E6284">
      <w:pPr>
        <w:spacing w:line="360" w:lineRule="auto"/>
        <w:rPr>
          <w:rFonts w:ascii="Times New Roman" w:hAnsi="Times New Roman" w:cs="Times New Roman"/>
          <w:sz w:val="24"/>
          <w:szCs w:val="24"/>
        </w:rPr>
      </w:pPr>
    </w:p>
    <w:p w14:paraId="69FEB40F" w14:textId="77777777" w:rsidR="00D84C70" w:rsidRPr="000A2587" w:rsidRDefault="00D84C70" w:rsidP="006E6284">
      <w:pPr>
        <w:spacing w:line="360" w:lineRule="auto"/>
        <w:rPr>
          <w:rFonts w:ascii="Times New Roman" w:hAnsi="Times New Roman" w:cs="Times New Roman"/>
          <w:sz w:val="24"/>
          <w:szCs w:val="24"/>
        </w:rPr>
      </w:pPr>
    </w:p>
    <w:p w14:paraId="421CF886" w14:textId="77777777" w:rsidR="00D84C70" w:rsidRPr="000A2587" w:rsidRDefault="00D84C70" w:rsidP="006E6284">
      <w:pPr>
        <w:spacing w:line="360" w:lineRule="auto"/>
        <w:rPr>
          <w:rFonts w:ascii="Times New Roman" w:hAnsi="Times New Roman" w:cs="Times New Roman"/>
          <w:sz w:val="24"/>
          <w:szCs w:val="24"/>
        </w:rPr>
      </w:pPr>
    </w:p>
    <w:p w14:paraId="6D31B782" w14:textId="77777777" w:rsidR="00D84C70" w:rsidRPr="000A2587" w:rsidRDefault="00D84C70" w:rsidP="008E6821">
      <w:pPr>
        <w:spacing w:line="240" w:lineRule="auto"/>
        <w:rPr>
          <w:rFonts w:ascii="Times New Roman" w:hAnsi="Times New Roman" w:cs="Times New Roman"/>
          <w:sz w:val="24"/>
          <w:szCs w:val="24"/>
        </w:rPr>
      </w:pPr>
    </w:p>
    <w:sdt>
      <w:sdtPr>
        <w:rPr>
          <w:rFonts w:ascii="Times New Roman" w:eastAsiaTheme="minorEastAsia" w:hAnsi="Times New Roman" w:cs="Times New Roman"/>
          <w:color w:val="auto"/>
          <w:sz w:val="24"/>
          <w:szCs w:val="24"/>
        </w:rPr>
        <w:id w:val="-561257408"/>
        <w:docPartObj>
          <w:docPartGallery w:val="Table of Contents"/>
          <w:docPartUnique/>
        </w:docPartObj>
      </w:sdtPr>
      <w:sdtContent>
        <w:p w14:paraId="64202B67" w14:textId="12FA1809" w:rsidR="00E06B0C" w:rsidRDefault="00D84C70" w:rsidP="008E6821">
          <w:pPr>
            <w:pStyle w:val="TOCHeading"/>
            <w:spacing w:line="240" w:lineRule="auto"/>
            <w:rPr>
              <w:rFonts w:ascii="Times New Roman" w:hAnsi="Times New Roman" w:cs="Times New Roman"/>
              <w:b/>
              <w:bCs/>
              <w:color w:val="auto"/>
              <w:sz w:val="28"/>
              <w:szCs w:val="28"/>
            </w:rPr>
          </w:pPr>
          <w:r w:rsidRPr="00E06B0C">
            <w:rPr>
              <w:rFonts w:ascii="Times New Roman" w:hAnsi="Times New Roman" w:cs="Times New Roman"/>
              <w:b/>
              <w:bCs/>
              <w:color w:val="auto"/>
              <w:sz w:val="28"/>
              <w:szCs w:val="28"/>
            </w:rPr>
            <w:t>Table of Contents</w:t>
          </w:r>
        </w:p>
        <w:p w14:paraId="7BC7EBF4" w14:textId="77777777" w:rsidR="008E6821" w:rsidRPr="008E6821" w:rsidRDefault="008E6821" w:rsidP="008E6821">
          <w:pPr>
            <w:rPr>
              <w:lang w:eastAsia="en-GB"/>
            </w:rPr>
          </w:pPr>
        </w:p>
        <w:p w14:paraId="59493177" w14:textId="0D50910C" w:rsidR="00D84C70" w:rsidRPr="000A2587" w:rsidRDefault="00D84C70" w:rsidP="008E6821">
          <w:pPr>
            <w:pStyle w:val="TOC1"/>
            <w:spacing w:line="240" w:lineRule="auto"/>
          </w:pPr>
          <w:r w:rsidRPr="000A2587">
            <w:t>1.</w:t>
          </w:r>
          <w:r w:rsidR="000A2587">
            <w:t xml:space="preserve"> </w:t>
          </w:r>
          <w:r w:rsidRPr="000A2587">
            <w:t>Introduction</w:t>
          </w:r>
          <w:r w:rsidRPr="000A2587">
            <w:ptab w:relativeTo="margin" w:alignment="right" w:leader="dot"/>
          </w:r>
          <w:r w:rsidR="00890175">
            <w:t>5</w:t>
          </w:r>
        </w:p>
        <w:p w14:paraId="724AE97A" w14:textId="34CD9D16" w:rsidR="00D84C70" w:rsidRPr="000A2587" w:rsidRDefault="00D84C70"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1.1 Background and Context</w:t>
          </w:r>
          <w:r w:rsidRPr="000A2587">
            <w:rPr>
              <w:rFonts w:ascii="Times New Roman" w:hAnsi="Times New Roman"/>
              <w:sz w:val="24"/>
              <w:szCs w:val="24"/>
            </w:rPr>
            <w:ptab w:relativeTo="margin" w:alignment="right" w:leader="dot"/>
          </w:r>
          <w:r w:rsidR="00890175">
            <w:rPr>
              <w:rFonts w:ascii="Times New Roman" w:hAnsi="Times New Roman"/>
              <w:sz w:val="24"/>
              <w:szCs w:val="24"/>
            </w:rPr>
            <w:t>5</w:t>
          </w:r>
        </w:p>
        <w:p w14:paraId="2FDCC995" w14:textId="5E7850FB" w:rsidR="00D84C70" w:rsidRPr="000A2587" w:rsidRDefault="00D84C70"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1.2 Problem Statement</w:t>
          </w:r>
          <w:r w:rsidRPr="000A2587">
            <w:rPr>
              <w:rFonts w:ascii="Times New Roman" w:hAnsi="Times New Roman"/>
              <w:sz w:val="24"/>
              <w:szCs w:val="24"/>
            </w:rPr>
            <w:ptab w:relativeTo="margin" w:alignment="right" w:leader="dot"/>
          </w:r>
          <w:r w:rsidRPr="000A2587">
            <w:rPr>
              <w:rFonts w:ascii="Times New Roman" w:hAnsi="Times New Roman"/>
              <w:sz w:val="24"/>
              <w:szCs w:val="24"/>
            </w:rPr>
            <w:t>5</w:t>
          </w:r>
        </w:p>
        <w:p w14:paraId="48C7A36C" w14:textId="2008A87F" w:rsidR="00D84C70" w:rsidRPr="000A2587" w:rsidRDefault="00D84C70"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1.3 Aims and Objectives</w:t>
          </w:r>
          <w:r w:rsidRPr="000A2587">
            <w:rPr>
              <w:rFonts w:ascii="Times New Roman" w:hAnsi="Times New Roman"/>
              <w:sz w:val="24"/>
              <w:szCs w:val="24"/>
            </w:rPr>
            <w:ptab w:relativeTo="margin" w:alignment="right" w:leader="dot"/>
          </w:r>
          <w:r w:rsidRPr="000A2587">
            <w:rPr>
              <w:rFonts w:ascii="Times New Roman" w:hAnsi="Times New Roman"/>
              <w:sz w:val="24"/>
              <w:szCs w:val="24"/>
            </w:rPr>
            <w:t>5</w:t>
          </w:r>
        </w:p>
        <w:p w14:paraId="0734D659" w14:textId="3B31EF6E" w:rsidR="00D84C70" w:rsidRPr="000A2587" w:rsidRDefault="00D84C70"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1.4 Scope of the Study</w:t>
          </w:r>
          <w:r w:rsidRPr="000A2587">
            <w:rPr>
              <w:rFonts w:ascii="Times New Roman" w:hAnsi="Times New Roman"/>
              <w:sz w:val="24"/>
              <w:szCs w:val="24"/>
            </w:rPr>
            <w:ptab w:relativeTo="margin" w:alignment="right" w:leader="dot"/>
          </w:r>
          <w:r w:rsidR="00890175">
            <w:rPr>
              <w:rFonts w:ascii="Times New Roman" w:hAnsi="Times New Roman"/>
              <w:sz w:val="24"/>
              <w:szCs w:val="24"/>
            </w:rPr>
            <w:t>6</w:t>
          </w:r>
        </w:p>
        <w:p w14:paraId="1FD77E6F" w14:textId="77FC536F" w:rsidR="00D84C70" w:rsidRPr="000A2587" w:rsidRDefault="00D84C70"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1.5 Assumptions</w:t>
          </w:r>
          <w:r w:rsidRPr="000A2587">
            <w:rPr>
              <w:rFonts w:ascii="Times New Roman" w:hAnsi="Times New Roman"/>
              <w:sz w:val="24"/>
              <w:szCs w:val="24"/>
            </w:rPr>
            <w:ptab w:relativeTo="margin" w:alignment="right" w:leader="dot"/>
          </w:r>
          <w:r w:rsidR="00890175">
            <w:rPr>
              <w:rFonts w:ascii="Times New Roman" w:hAnsi="Times New Roman"/>
              <w:sz w:val="24"/>
              <w:szCs w:val="24"/>
            </w:rPr>
            <w:t>6</w:t>
          </w:r>
        </w:p>
        <w:p w14:paraId="70547830" w14:textId="46B10DA7" w:rsidR="00D84C70" w:rsidRPr="000A2587" w:rsidRDefault="000A2587" w:rsidP="008E6821">
          <w:pPr>
            <w:pStyle w:val="TOC1"/>
            <w:spacing w:line="240" w:lineRule="auto"/>
          </w:pPr>
          <w:r>
            <w:t xml:space="preserve">2. </w:t>
          </w:r>
          <w:r w:rsidR="003051EE" w:rsidRPr="000A2587">
            <w:t>Literature Review</w:t>
          </w:r>
          <w:r w:rsidR="00D84C70" w:rsidRPr="000A2587">
            <w:ptab w:relativeTo="margin" w:alignment="right" w:leader="dot"/>
          </w:r>
          <w:r w:rsidR="00890175">
            <w:t>7</w:t>
          </w:r>
        </w:p>
        <w:p w14:paraId="092A0961" w14:textId="0035139F" w:rsidR="003051EE" w:rsidRPr="000A2587" w:rsidRDefault="003051EE"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2.1 Cybersecurity Governance and Strategic Alignment</w:t>
          </w:r>
          <w:r w:rsidRPr="000A2587">
            <w:rPr>
              <w:rFonts w:ascii="Times New Roman" w:hAnsi="Times New Roman"/>
              <w:sz w:val="24"/>
              <w:szCs w:val="24"/>
            </w:rPr>
            <w:ptab w:relativeTo="margin" w:alignment="right" w:leader="dot"/>
          </w:r>
          <w:r w:rsidR="00890175">
            <w:rPr>
              <w:rFonts w:ascii="Times New Roman" w:hAnsi="Times New Roman"/>
              <w:sz w:val="24"/>
              <w:szCs w:val="24"/>
            </w:rPr>
            <w:t>7</w:t>
          </w:r>
        </w:p>
        <w:p w14:paraId="1D6B520E" w14:textId="6765DF5C" w:rsidR="003051EE" w:rsidRPr="000A2587" w:rsidRDefault="003051EE"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2.2 Security Frameworks and Organisational Maturity</w:t>
          </w:r>
          <w:r w:rsidRPr="000A2587">
            <w:rPr>
              <w:rFonts w:ascii="Times New Roman" w:hAnsi="Times New Roman"/>
              <w:sz w:val="24"/>
              <w:szCs w:val="24"/>
            </w:rPr>
            <w:ptab w:relativeTo="margin" w:alignment="right" w:leader="dot"/>
          </w:r>
          <w:r w:rsidR="00890175">
            <w:rPr>
              <w:rFonts w:ascii="Times New Roman" w:hAnsi="Times New Roman"/>
              <w:sz w:val="24"/>
              <w:szCs w:val="24"/>
            </w:rPr>
            <w:t>7</w:t>
          </w:r>
        </w:p>
        <w:p w14:paraId="19530849" w14:textId="30EFEB65" w:rsidR="003051EE" w:rsidRPr="000A2587" w:rsidRDefault="003051EE"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2.3 Cloud Security and Shared Responsibility Models</w:t>
          </w:r>
          <w:r w:rsidRPr="000A2587">
            <w:rPr>
              <w:rFonts w:ascii="Times New Roman" w:hAnsi="Times New Roman"/>
              <w:sz w:val="24"/>
              <w:szCs w:val="24"/>
            </w:rPr>
            <w:ptab w:relativeTo="margin" w:alignment="right" w:leader="dot"/>
          </w:r>
          <w:r w:rsidR="00890175">
            <w:rPr>
              <w:rFonts w:ascii="Times New Roman" w:hAnsi="Times New Roman"/>
              <w:sz w:val="24"/>
              <w:szCs w:val="24"/>
            </w:rPr>
            <w:t>7</w:t>
          </w:r>
        </w:p>
        <w:p w14:paraId="5A3A63C4" w14:textId="7D3C05F4" w:rsidR="003051EE" w:rsidRPr="000A2587" w:rsidRDefault="000A2587"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2.4 BYOD Security Challenges</w:t>
          </w:r>
          <w:r w:rsidR="003051EE" w:rsidRPr="000A2587">
            <w:rPr>
              <w:rFonts w:ascii="Times New Roman" w:hAnsi="Times New Roman"/>
              <w:sz w:val="24"/>
              <w:szCs w:val="24"/>
            </w:rPr>
            <w:ptab w:relativeTo="margin" w:alignment="right" w:leader="dot"/>
          </w:r>
          <w:r w:rsidR="00890175">
            <w:rPr>
              <w:rFonts w:ascii="Times New Roman" w:hAnsi="Times New Roman"/>
              <w:sz w:val="24"/>
              <w:szCs w:val="24"/>
            </w:rPr>
            <w:t>8</w:t>
          </w:r>
        </w:p>
        <w:p w14:paraId="7FC7A669" w14:textId="3795DF40" w:rsidR="000A2587" w:rsidRPr="000A2587" w:rsidRDefault="000A2587"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2.5 Regulatory Compliance and Data Protection</w:t>
          </w:r>
          <w:r w:rsidRPr="000A2587">
            <w:rPr>
              <w:rFonts w:ascii="Times New Roman" w:hAnsi="Times New Roman"/>
              <w:sz w:val="24"/>
              <w:szCs w:val="24"/>
            </w:rPr>
            <w:ptab w:relativeTo="margin" w:alignment="right" w:leader="dot"/>
          </w:r>
          <w:r w:rsidR="00890175">
            <w:rPr>
              <w:rFonts w:ascii="Times New Roman" w:hAnsi="Times New Roman"/>
              <w:sz w:val="24"/>
              <w:szCs w:val="24"/>
            </w:rPr>
            <w:t>8</w:t>
          </w:r>
        </w:p>
        <w:p w14:paraId="4C84AB06" w14:textId="6FD13B9C" w:rsidR="000A2587" w:rsidRPr="000A2587" w:rsidRDefault="000A2587"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2.6 Risk Management and Continuous Monitoring</w:t>
          </w:r>
          <w:r w:rsidRPr="000A2587">
            <w:rPr>
              <w:rFonts w:ascii="Times New Roman" w:hAnsi="Times New Roman"/>
              <w:sz w:val="24"/>
              <w:szCs w:val="24"/>
            </w:rPr>
            <w:ptab w:relativeTo="margin" w:alignment="right" w:leader="dot"/>
          </w:r>
          <w:r w:rsidR="00890175">
            <w:rPr>
              <w:rFonts w:ascii="Times New Roman" w:hAnsi="Times New Roman"/>
              <w:sz w:val="24"/>
              <w:szCs w:val="24"/>
            </w:rPr>
            <w:t>8</w:t>
          </w:r>
        </w:p>
        <w:p w14:paraId="5472AD70" w14:textId="239037C0" w:rsidR="000A2587" w:rsidRPr="000A2587" w:rsidRDefault="000A2587"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2.7 Zero Trust Architecture</w:t>
          </w:r>
          <w:r w:rsidRPr="000A2587">
            <w:rPr>
              <w:rFonts w:ascii="Times New Roman" w:hAnsi="Times New Roman"/>
              <w:sz w:val="24"/>
              <w:szCs w:val="24"/>
            </w:rPr>
            <w:ptab w:relativeTo="margin" w:alignment="right" w:leader="dot"/>
          </w:r>
          <w:r w:rsidR="00890175">
            <w:rPr>
              <w:rFonts w:ascii="Times New Roman" w:hAnsi="Times New Roman"/>
              <w:sz w:val="24"/>
              <w:szCs w:val="24"/>
            </w:rPr>
            <w:t>8</w:t>
          </w:r>
        </w:p>
        <w:p w14:paraId="6DD422CE" w14:textId="0F854026" w:rsidR="000A2587" w:rsidRPr="000A2587" w:rsidRDefault="000A2587" w:rsidP="008E6821">
          <w:pPr>
            <w:pStyle w:val="TOC2"/>
            <w:spacing w:line="240" w:lineRule="auto"/>
            <w:ind w:left="216"/>
            <w:rPr>
              <w:rFonts w:ascii="Times New Roman" w:hAnsi="Times New Roman"/>
              <w:sz w:val="24"/>
              <w:szCs w:val="24"/>
            </w:rPr>
          </w:pPr>
          <w:r w:rsidRPr="000A2587">
            <w:rPr>
              <w:rFonts w:ascii="Times New Roman" w:hAnsi="Times New Roman"/>
              <w:sz w:val="24"/>
              <w:szCs w:val="24"/>
            </w:rPr>
            <w:t>2.8 Summary of Findings</w:t>
          </w:r>
          <w:r w:rsidRPr="000A2587">
            <w:rPr>
              <w:rFonts w:ascii="Times New Roman" w:hAnsi="Times New Roman"/>
              <w:sz w:val="24"/>
              <w:szCs w:val="24"/>
            </w:rPr>
            <w:ptab w:relativeTo="margin" w:alignment="right" w:leader="dot"/>
          </w:r>
          <w:r w:rsidR="00890175">
            <w:rPr>
              <w:rFonts w:ascii="Times New Roman" w:hAnsi="Times New Roman"/>
              <w:sz w:val="24"/>
              <w:szCs w:val="24"/>
            </w:rPr>
            <w:t>9</w:t>
          </w:r>
        </w:p>
        <w:p w14:paraId="5B5FE6E9" w14:textId="1DA6BC0B" w:rsidR="000A2587" w:rsidRPr="000A2587" w:rsidRDefault="000A2587" w:rsidP="008E6821">
          <w:pPr>
            <w:pStyle w:val="TOC1"/>
            <w:spacing w:line="240" w:lineRule="auto"/>
          </w:pPr>
          <w:r>
            <w:t>3. Methodology</w:t>
          </w:r>
          <w:r w:rsidRPr="000A2587">
            <w:ptab w:relativeTo="margin" w:alignment="right" w:leader="dot"/>
          </w:r>
          <w:r w:rsidR="00890175">
            <w:t>10</w:t>
          </w:r>
        </w:p>
        <w:p w14:paraId="3BF11525" w14:textId="11A2E8A5" w:rsidR="00D90139" w:rsidRPr="000A2587" w:rsidRDefault="00D90139" w:rsidP="008E6821">
          <w:pPr>
            <w:pStyle w:val="TOC2"/>
            <w:spacing w:line="240" w:lineRule="auto"/>
            <w:ind w:left="216"/>
            <w:rPr>
              <w:rFonts w:ascii="Times New Roman" w:hAnsi="Times New Roman"/>
              <w:sz w:val="24"/>
              <w:szCs w:val="24"/>
            </w:rPr>
          </w:pPr>
          <w:r>
            <w:rPr>
              <w:rFonts w:ascii="Times New Roman" w:hAnsi="Times New Roman"/>
              <w:sz w:val="24"/>
              <w:szCs w:val="24"/>
            </w:rPr>
            <w:t>3.1 Research Approach</w:t>
          </w:r>
          <w:r w:rsidRPr="000A2587">
            <w:rPr>
              <w:rFonts w:ascii="Times New Roman" w:hAnsi="Times New Roman"/>
              <w:sz w:val="24"/>
              <w:szCs w:val="24"/>
            </w:rPr>
            <w:ptab w:relativeTo="margin" w:alignment="right" w:leader="dot"/>
          </w:r>
          <w:r w:rsidR="00890175">
            <w:rPr>
              <w:rFonts w:ascii="Times New Roman" w:hAnsi="Times New Roman"/>
              <w:sz w:val="24"/>
              <w:szCs w:val="24"/>
            </w:rPr>
            <w:t>10</w:t>
          </w:r>
        </w:p>
        <w:p w14:paraId="02D165BF" w14:textId="0BD42DAF" w:rsidR="00D90139" w:rsidRPr="000A2587" w:rsidRDefault="00D90139" w:rsidP="008E6821">
          <w:pPr>
            <w:pStyle w:val="TOC2"/>
            <w:spacing w:line="240" w:lineRule="auto"/>
            <w:ind w:left="216"/>
            <w:rPr>
              <w:rFonts w:ascii="Times New Roman" w:hAnsi="Times New Roman"/>
              <w:sz w:val="24"/>
              <w:szCs w:val="24"/>
            </w:rPr>
          </w:pPr>
          <w:r>
            <w:rPr>
              <w:rFonts w:ascii="Times New Roman" w:hAnsi="Times New Roman"/>
              <w:sz w:val="24"/>
              <w:szCs w:val="24"/>
            </w:rPr>
            <w:t>3.2 Data Sources</w:t>
          </w:r>
          <w:r w:rsidRPr="000A2587">
            <w:rPr>
              <w:rFonts w:ascii="Times New Roman" w:hAnsi="Times New Roman"/>
              <w:sz w:val="24"/>
              <w:szCs w:val="24"/>
            </w:rPr>
            <w:ptab w:relativeTo="margin" w:alignment="right" w:leader="dot"/>
          </w:r>
          <w:r w:rsidR="00890175">
            <w:rPr>
              <w:rFonts w:ascii="Times New Roman" w:hAnsi="Times New Roman"/>
              <w:sz w:val="24"/>
              <w:szCs w:val="24"/>
            </w:rPr>
            <w:t>10</w:t>
          </w:r>
        </w:p>
        <w:p w14:paraId="3FB2E107" w14:textId="331FA4F0" w:rsidR="00D90139" w:rsidRPr="000A2587" w:rsidRDefault="00D90139" w:rsidP="008E6821">
          <w:pPr>
            <w:pStyle w:val="TOC2"/>
            <w:spacing w:line="240" w:lineRule="auto"/>
            <w:ind w:left="216"/>
            <w:rPr>
              <w:rFonts w:ascii="Times New Roman" w:hAnsi="Times New Roman"/>
              <w:sz w:val="24"/>
              <w:szCs w:val="24"/>
            </w:rPr>
          </w:pPr>
          <w:r>
            <w:rPr>
              <w:rFonts w:ascii="Times New Roman" w:hAnsi="Times New Roman"/>
              <w:sz w:val="24"/>
              <w:szCs w:val="24"/>
            </w:rPr>
            <w:t>3</w:t>
          </w:r>
          <w:r w:rsidRPr="000A2587">
            <w:rPr>
              <w:rFonts w:ascii="Times New Roman" w:hAnsi="Times New Roman"/>
              <w:sz w:val="24"/>
              <w:szCs w:val="24"/>
            </w:rPr>
            <w:t>.</w:t>
          </w:r>
          <w:r>
            <w:rPr>
              <w:rFonts w:ascii="Times New Roman" w:hAnsi="Times New Roman"/>
              <w:sz w:val="24"/>
              <w:szCs w:val="24"/>
            </w:rPr>
            <w:t>3</w:t>
          </w:r>
          <w:r w:rsidRPr="000A2587">
            <w:rPr>
              <w:rFonts w:ascii="Times New Roman" w:hAnsi="Times New Roman"/>
              <w:sz w:val="24"/>
              <w:szCs w:val="24"/>
            </w:rPr>
            <w:t xml:space="preserve"> </w:t>
          </w:r>
          <w:r>
            <w:rPr>
              <w:rFonts w:ascii="Times New Roman" w:hAnsi="Times New Roman"/>
              <w:sz w:val="24"/>
              <w:szCs w:val="24"/>
            </w:rPr>
            <w:t>Framework Selection Criteria</w:t>
          </w:r>
          <w:r w:rsidRPr="000A2587">
            <w:rPr>
              <w:rFonts w:ascii="Times New Roman" w:hAnsi="Times New Roman"/>
              <w:sz w:val="24"/>
              <w:szCs w:val="24"/>
            </w:rPr>
            <w:ptab w:relativeTo="margin" w:alignment="right" w:leader="dot"/>
          </w:r>
          <w:r w:rsidR="00890175">
            <w:rPr>
              <w:rFonts w:ascii="Times New Roman" w:hAnsi="Times New Roman"/>
              <w:sz w:val="24"/>
              <w:szCs w:val="24"/>
            </w:rPr>
            <w:t>10</w:t>
          </w:r>
        </w:p>
        <w:p w14:paraId="68472833" w14:textId="073E2F9F" w:rsidR="00D90139" w:rsidRPr="000A2587" w:rsidRDefault="00D90139" w:rsidP="008E6821">
          <w:pPr>
            <w:pStyle w:val="TOC2"/>
            <w:spacing w:line="240" w:lineRule="auto"/>
            <w:ind w:left="216"/>
            <w:rPr>
              <w:rFonts w:ascii="Times New Roman" w:hAnsi="Times New Roman"/>
              <w:sz w:val="24"/>
              <w:szCs w:val="24"/>
            </w:rPr>
          </w:pPr>
          <w:r>
            <w:rPr>
              <w:rFonts w:ascii="Times New Roman" w:hAnsi="Times New Roman"/>
              <w:sz w:val="24"/>
              <w:szCs w:val="24"/>
            </w:rPr>
            <w:t>3</w:t>
          </w:r>
          <w:r w:rsidRPr="000A2587">
            <w:rPr>
              <w:rFonts w:ascii="Times New Roman" w:hAnsi="Times New Roman"/>
              <w:sz w:val="24"/>
              <w:szCs w:val="24"/>
            </w:rPr>
            <w:t>.</w:t>
          </w:r>
          <w:r>
            <w:rPr>
              <w:rFonts w:ascii="Times New Roman" w:hAnsi="Times New Roman"/>
              <w:sz w:val="24"/>
              <w:szCs w:val="24"/>
            </w:rPr>
            <w:t>4</w:t>
          </w:r>
          <w:r w:rsidRPr="000A2587">
            <w:rPr>
              <w:rFonts w:ascii="Times New Roman" w:hAnsi="Times New Roman"/>
              <w:sz w:val="24"/>
              <w:szCs w:val="24"/>
            </w:rPr>
            <w:t xml:space="preserve"> </w:t>
          </w:r>
          <w:r w:rsidR="00841E7E">
            <w:rPr>
              <w:rFonts w:ascii="Times New Roman" w:hAnsi="Times New Roman"/>
              <w:sz w:val="24"/>
              <w:szCs w:val="24"/>
            </w:rPr>
            <w:t>Limitations of the Study</w:t>
          </w:r>
          <w:r w:rsidRPr="000A2587">
            <w:rPr>
              <w:rFonts w:ascii="Times New Roman" w:hAnsi="Times New Roman"/>
              <w:sz w:val="24"/>
              <w:szCs w:val="24"/>
            </w:rPr>
            <w:ptab w:relativeTo="margin" w:alignment="right" w:leader="dot"/>
          </w:r>
          <w:r w:rsidR="00890175">
            <w:rPr>
              <w:rFonts w:ascii="Times New Roman" w:hAnsi="Times New Roman"/>
              <w:sz w:val="24"/>
              <w:szCs w:val="24"/>
            </w:rPr>
            <w:t>10</w:t>
          </w:r>
        </w:p>
        <w:p w14:paraId="292DC442" w14:textId="77B5A300" w:rsidR="00841E7E" w:rsidRPr="000A2587" w:rsidRDefault="00841E7E" w:rsidP="008E6821">
          <w:pPr>
            <w:pStyle w:val="TOC1"/>
            <w:spacing w:line="240" w:lineRule="auto"/>
          </w:pPr>
          <w:r>
            <w:t xml:space="preserve">4. Analysis of </w:t>
          </w:r>
          <w:proofErr w:type="spellStart"/>
          <w:r>
            <w:t>Finsure</w:t>
          </w:r>
          <w:proofErr w:type="spellEnd"/>
          <w:r>
            <w:t xml:space="preserve"> Bank (FSB)</w:t>
          </w:r>
          <w:r w:rsidRPr="000A2587">
            <w:ptab w:relativeTo="margin" w:alignment="right" w:leader="dot"/>
          </w:r>
          <w:r w:rsidRPr="000A2587">
            <w:t>1</w:t>
          </w:r>
          <w:r w:rsidR="00890175">
            <w:t>1</w:t>
          </w:r>
        </w:p>
        <w:p w14:paraId="31A29450" w14:textId="0B636E64"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4.1 Organisational Overview</w:t>
          </w:r>
          <w:r w:rsidRPr="000A2587">
            <w:rPr>
              <w:rFonts w:ascii="Times New Roman" w:hAnsi="Times New Roman"/>
              <w:sz w:val="24"/>
              <w:szCs w:val="24"/>
            </w:rPr>
            <w:ptab w:relativeTo="margin" w:alignment="right" w:leader="dot"/>
          </w:r>
          <w:r w:rsidR="00890175">
            <w:rPr>
              <w:rFonts w:ascii="Times New Roman" w:hAnsi="Times New Roman"/>
              <w:sz w:val="24"/>
              <w:szCs w:val="24"/>
            </w:rPr>
            <w:t>11</w:t>
          </w:r>
        </w:p>
        <w:p w14:paraId="6320B143" w14:textId="6EAE51A4"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4.2 Current Security Posture</w:t>
          </w:r>
          <w:r w:rsidRPr="000A2587">
            <w:rPr>
              <w:rFonts w:ascii="Times New Roman" w:hAnsi="Times New Roman"/>
              <w:sz w:val="24"/>
              <w:szCs w:val="24"/>
            </w:rPr>
            <w:ptab w:relativeTo="margin" w:alignment="right" w:leader="dot"/>
          </w:r>
          <w:r w:rsidR="00890175">
            <w:rPr>
              <w:rFonts w:ascii="Times New Roman" w:hAnsi="Times New Roman"/>
              <w:sz w:val="24"/>
              <w:szCs w:val="24"/>
            </w:rPr>
            <w:t>11</w:t>
          </w:r>
        </w:p>
        <w:p w14:paraId="4F47E9AE" w14:textId="4BE6F9EE"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4.3 Governance Gaps</w:t>
          </w:r>
          <w:r w:rsidRPr="000A2587">
            <w:rPr>
              <w:rFonts w:ascii="Times New Roman" w:hAnsi="Times New Roman"/>
              <w:sz w:val="24"/>
              <w:szCs w:val="24"/>
            </w:rPr>
            <w:ptab w:relativeTo="margin" w:alignment="right" w:leader="dot"/>
          </w:r>
          <w:r w:rsidR="00890175">
            <w:rPr>
              <w:rFonts w:ascii="Times New Roman" w:hAnsi="Times New Roman"/>
              <w:sz w:val="24"/>
              <w:szCs w:val="24"/>
            </w:rPr>
            <w:t>11</w:t>
          </w:r>
        </w:p>
        <w:p w14:paraId="1AE33C1C" w14:textId="1EE5773D"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4.4 Risk Management Weakness</w:t>
          </w:r>
          <w:r w:rsidRPr="000A2587">
            <w:rPr>
              <w:rFonts w:ascii="Times New Roman" w:hAnsi="Times New Roman"/>
              <w:sz w:val="24"/>
              <w:szCs w:val="24"/>
            </w:rPr>
            <w:ptab w:relativeTo="margin" w:alignment="right" w:leader="dot"/>
          </w:r>
          <w:r w:rsidR="00890175">
            <w:rPr>
              <w:rFonts w:ascii="Times New Roman" w:hAnsi="Times New Roman"/>
              <w:sz w:val="24"/>
              <w:szCs w:val="24"/>
            </w:rPr>
            <w:t>15</w:t>
          </w:r>
        </w:p>
        <w:p w14:paraId="4F1C42B1" w14:textId="47F93337"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4.5 Compliance Challenges</w:t>
          </w:r>
          <w:r w:rsidRPr="000A2587">
            <w:rPr>
              <w:rFonts w:ascii="Times New Roman" w:hAnsi="Times New Roman"/>
              <w:sz w:val="24"/>
              <w:szCs w:val="24"/>
            </w:rPr>
            <w:ptab w:relativeTo="margin" w:alignment="right" w:leader="dot"/>
          </w:r>
          <w:r w:rsidR="00890175">
            <w:rPr>
              <w:rFonts w:ascii="Times New Roman" w:hAnsi="Times New Roman"/>
              <w:sz w:val="24"/>
              <w:szCs w:val="24"/>
            </w:rPr>
            <w:t>16</w:t>
          </w:r>
        </w:p>
        <w:p w14:paraId="3A4F65B6" w14:textId="0E618F85"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4.6 Threat Landscape Analysis</w:t>
          </w:r>
          <w:r w:rsidRPr="000A2587">
            <w:rPr>
              <w:rFonts w:ascii="Times New Roman" w:hAnsi="Times New Roman"/>
              <w:sz w:val="24"/>
              <w:szCs w:val="24"/>
            </w:rPr>
            <w:ptab w:relativeTo="margin" w:alignment="right" w:leader="dot"/>
          </w:r>
          <w:r w:rsidR="00890175">
            <w:rPr>
              <w:rFonts w:ascii="Times New Roman" w:hAnsi="Times New Roman"/>
              <w:sz w:val="24"/>
              <w:szCs w:val="24"/>
            </w:rPr>
            <w:t>16</w:t>
          </w:r>
        </w:p>
        <w:p w14:paraId="43F74A35" w14:textId="4078202D" w:rsidR="00841E7E" w:rsidRPr="00841E7E" w:rsidRDefault="00841E7E" w:rsidP="008E6821">
          <w:pPr>
            <w:pStyle w:val="TOC1"/>
            <w:spacing w:line="240" w:lineRule="auto"/>
          </w:pPr>
          <w:r w:rsidRPr="00841E7E">
            <w:t xml:space="preserve">5. Proposed Governance, Security and Compliance Model </w:t>
          </w:r>
          <w:r w:rsidRPr="00841E7E">
            <w:ptab w:relativeTo="margin" w:alignment="right" w:leader="dot"/>
          </w:r>
          <w:r w:rsidR="00890175">
            <w:t>16</w:t>
          </w:r>
        </w:p>
        <w:p w14:paraId="3ABE7407" w14:textId="49573671"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5.1 Governance Structure</w:t>
          </w:r>
          <w:r w:rsidRPr="000A2587">
            <w:rPr>
              <w:rFonts w:ascii="Times New Roman" w:hAnsi="Times New Roman"/>
              <w:sz w:val="24"/>
              <w:szCs w:val="24"/>
            </w:rPr>
            <w:ptab w:relativeTo="margin" w:alignment="right" w:leader="dot"/>
          </w:r>
          <w:r w:rsidR="00890175">
            <w:rPr>
              <w:rFonts w:ascii="Times New Roman" w:hAnsi="Times New Roman"/>
              <w:sz w:val="24"/>
              <w:szCs w:val="24"/>
            </w:rPr>
            <w:t>16</w:t>
          </w:r>
        </w:p>
        <w:p w14:paraId="209F6817" w14:textId="021E503B"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5.2 Security Policy Framework</w:t>
          </w:r>
          <w:r w:rsidRPr="000A2587">
            <w:rPr>
              <w:rFonts w:ascii="Times New Roman" w:hAnsi="Times New Roman"/>
              <w:sz w:val="24"/>
              <w:szCs w:val="24"/>
            </w:rPr>
            <w:ptab w:relativeTo="margin" w:alignment="right" w:leader="dot"/>
          </w:r>
          <w:r w:rsidR="00890175">
            <w:rPr>
              <w:rFonts w:ascii="Times New Roman" w:hAnsi="Times New Roman"/>
              <w:sz w:val="24"/>
              <w:szCs w:val="24"/>
            </w:rPr>
            <w:t>16</w:t>
          </w:r>
        </w:p>
        <w:p w14:paraId="7B59FF3D" w14:textId="66E2DC6A"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5.3 Risk Management Model</w:t>
          </w:r>
          <w:r w:rsidRPr="000A2587">
            <w:rPr>
              <w:rFonts w:ascii="Times New Roman" w:hAnsi="Times New Roman"/>
              <w:sz w:val="24"/>
              <w:szCs w:val="24"/>
            </w:rPr>
            <w:ptab w:relativeTo="margin" w:alignment="right" w:leader="dot"/>
          </w:r>
          <w:r w:rsidR="00890175">
            <w:rPr>
              <w:rFonts w:ascii="Times New Roman" w:hAnsi="Times New Roman"/>
              <w:sz w:val="24"/>
              <w:szCs w:val="24"/>
            </w:rPr>
            <w:t>17</w:t>
          </w:r>
        </w:p>
        <w:p w14:paraId="3181E621" w14:textId="028322EB" w:rsidR="00841E7E" w:rsidRPr="000A2587" w:rsidRDefault="00841E7E" w:rsidP="008E6821">
          <w:pPr>
            <w:pStyle w:val="TOC2"/>
            <w:spacing w:line="240" w:lineRule="auto"/>
            <w:ind w:left="216"/>
            <w:rPr>
              <w:rFonts w:ascii="Times New Roman" w:hAnsi="Times New Roman"/>
              <w:sz w:val="24"/>
              <w:szCs w:val="24"/>
            </w:rPr>
          </w:pPr>
          <w:r>
            <w:rPr>
              <w:rFonts w:ascii="Times New Roman" w:hAnsi="Times New Roman"/>
              <w:sz w:val="24"/>
              <w:szCs w:val="24"/>
            </w:rPr>
            <w:t>5.</w:t>
          </w:r>
          <w:r w:rsidR="00FE3FF3">
            <w:rPr>
              <w:rFonts w:ascii="Times New Roman" w:hAnsi="Times New Roman"/>
              <w:sz w:val="24"/>
              <w:szCs w:val="24"/>
            </w:rPr>
            <w:t>4</w:t>
          </w:r>
          <w:r>
            <w:rPr>
              <w:rFonts w:ascii="Times New Roman" w:hAnsi="Times New Roman"/>
              <w:sz w:val="24"/>
              <w:szCs w:val="24"/>
            </w:rPr>
            <w:t xml:space="preserve"> </w:t>
          </w:r>
          <w:r w:rsidR="00FE3FF3">
            <w:rPr>
              <w:rFonts w:ascii="Times New Roman" w:hAnsi="Times New Roman"/>
              <w:sz w:val="24"/>
              <w:szCs w:val="24"/>
            </w:rPr>
            <w:t>Zero Trust Access Control and BYOD Security</w:t>
          </w:r>
          <w:r w:rsidRPr="000A2587">
            <w:rPr>
              <w:rFonts w:ascii="Times New Roman" w:hAnsi="Times New Roman"/>
              <w:sz w:val="24"/>
              <w:szCs w:val="24"/>
            </w:rPr>
            <w:ptab w:relativeTo="margin" w:alignment="right" w:leader="dot"/>
          </w:r>
          <w:r w:rsidR="00890175">
            <w:rPr>
              <w:rFonts w:ascii="Times New Roman" w:hAnsi="Times New Roman"/>
              <w:sz w:val="24"/>
              <w:szCs w:val="24"/>
            </w:rPr>
            <w:t>17</w:t>
          </w:r>
        </w:p>
        <w:p w14:paraId="0EF3EB17" w14:textId="673181FE"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5.5 Cloud Security Controls</w:t>
          </w:r>
          <w:r w:rsidRPr="000A2587">
            <w:rPr>
              <w:rFonts w:ascii="Times New Roman" w:hAnsi="Times New Roman"/>
              <w:sz w:val="24"/>
              <w:szCs w:val="24"/>
            </w:rPr>
            <w:ptab w:relativeTo="margin" w:alignment="right" w:leader="dot"/>
          </w:r>
          <w:r w:rsidR="00890175">
            <w:rPr>
              <w:rFonts w:ascii="Times New Roman" w:hAnsi="Times New Roman"/>
              <w:sz w:val="24"/>
              <w:szCs w:val="24"/>
            </w:rPr>
            <w:t>17</w:t>
          </w:r>
        </w:p>
        <w:p w14:paraId="4C370BB6" w14:textId="7BC52795"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5.6 Incident Response and Contingency Planning</w:t>
          </w:r>
          <w:r w:rsidRPr="000A2587">
            <w:rPr>
              <w:rFonts w:ascii="Times New Roman" w:hAnsi="Times New Roman"/>
              <w:sz w:val="24"/>
              <w:szCs w:val="24"/>
            </w:rPr>
            <w:ptab w:relativeTo="margin" w:alignment="right" w:leader="dot"/>
          </w:r>
          <w:r w:rsidR="00890175">
            <w:rPr>
              <w:rFonts w:ascii="Times New Roman" w:hAnsi="Times New Roman"/>
              <w:sz w:val="24"/>
              <w:szCs w:val="24"/>
            </w:rPr>
            <w:t>17</w:t>
          </w:r>
        </w:p>
        <w:p w14:paraId="1C314976" w14:textId="588C5DB1"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5.7 Compliance Monitoring and Audit Mechanisms</w:t>
          </w:r>
          <w:r w:rsidRPr="000A2587">
            <w:rPr>
              <w:rFonts w:ascii="Times New Roman" w:hAnsi="Times New Roman"/>
              <w:sz w:val="24"/>
              <w:szCs w:val="24"/>
            </w:rPr>
            <w:ptab w:relativeTo="margin" w:alignment="right" w:leader="dot"/>
          </w:r>
          <w:r w:rsidR="00890175">
            <w:rPr>
              <w:rFonts w:ascii="Times New Roman" w:hAnsi="Times New Roman"/>
              <w:sz w:val="24"/>
              <w:szCs w:val="24"/>
            </w:rPr>
            <w:t>17</w:t>
          </w:r>
        </w:p>
        <w:p w14:paraId="3E079849" w14:textId="3240BF80"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5.8 Service Level Agreements (SLAs)</w:t>
          </w:r>
          <w:r w:rsidRPr="000A2587">
            <w:rPr>
              <w:rFonts w:ascii="Times New Roman" w:hAnsi="Times New Roman"/>
              <w:sz w:val="24"/>
              <w:szCs w:val="24"/>
            </w:rPr>
            <w:ptab w:relativeTo="margin" w:alignment="right" w:leader="dot"/>
          </w:r>
          <w:r w:rsidR="00890175">
            <w:rPr>
              <w:rFonts w:ascii="Times New Roman" w:hAnsi="Times New Roman"/>
              <w:sz w:val="24"/>
              <w:szCs w:val="24"/>
            </w:rPr>
            <w:t>17</w:t>
          </w:r>
        </w:p>
        <w:p w14:paraId="75E821BD" w14:textId="35F168EC" w:rsidR="00FE3FF3" w:rsidRPr="00841E7E" w:rsidRDefault="00FE3FF3" w:rsidP="008E6821">
          <w:pPr>
            <w:pStyle w:val="TOC1"/>
            <w:spacing w:line="240" w:lineRule="auto"/>
          </w:pPr>
          <w:r>
            <w:t>6</w:t>
          </w:r>
          <w:r w:rsidRPr="00841E7E">
            <w:t xml:space="preserve">. </w:t>
          </w:r>
          <w:r>
            <w:t>Framework Mapping and Justification</w:t>
          </w:r>
          <w:r w:rsidRPr="00841E7E">
            <w:ptab w:relativeTo="margin" w:alignment="right" w:leader="dot"/>
          </w:r>
          <w:r w:rsidR="00890175">
            <w:t>18</w:t>
          </w:r>
        </w:p>
        <w:p w14:paraId="7BE07CC6" w14:textId="654AD34F"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lastRenderedPageBreak/>
            <w:t xml:space="preserve">6.1 </w:t>
          </w:r>
          <w:r w:rsidRPr="00D84C70">
            <w:rPr>
              <w:rFonts w:ascii="Times New Roman" w:hAnsi="Times New Roman"/>
              <w:sz w:val="24"/>
              <w:szCs w:val="24"/>
            </w:rPr>
            <w:t>ISO/IEC 27001 Application</w:t>
          </w:r>
          <w:r w:rsidRPr="000A2587">
            <w:rPr>
              <w:rFonts w:ascii="Times New Roman" w:hAnsi="Times New Roman"/>
              <w:sz w:val="24"/>
              <w:szCs w:val="24"/>
            </w:rPr>
            <w:t xml:space="preserve"> </w:t>
          </w:r>
          <w:r w:rsidRPr="000A2587">
            <w:rPr>
              <w:rFonts w:ascii="Times New Roman" w:hAnsi="Times New Roman"/>
              <w:sz w:val="24"/>
              <w:szCs w:val="24"/>
            </w:rPr>
            <w:ptab w:relativeTo="margin" w:alignment="right" w:leader="dot"/>
          </w:r>
          <w:r w:rsidR="00890175">
            <w:rPr>
              <w:rFonts w:ascii="Times New Roman" w:hAnsi="Times New Roman"/>
              <w:sz w:val="24"/>
              <w:szCs w:val="24"/>
            </w:rPr>
            <w:t>18</w:t>
          </w:r>
        </w:p>
        <w:p w14:paraId="3A07563F" w14:textId="57021983"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 xml:space="preserve">6.2 </w:t>
          </w:r>
          <w:r w:rsidRPr="00D84C70">
            <w:rPr>
              <w:rFonts w:ascii="Times New Roman" w:hAnsi="Times New Roman"/>
              <w:sz w:val="24"/>
              <w:szCs w:val="24"/>
            </w:rPr>
            <w:t>NIST Cybersecurity Framework Alignment</w:t>
          </w:r>
          <w:r w:rsidRPr="000A2587">
            <w:rPr>
              <w:rFonts w:ascii="Times New Roman" w:hAnsi="Times New Roman"/>
              <w:sz w:val="24"/>
              <w:szCs w:val="24"/>
            </w:rPr>
            <w:t xml:space="preserve"> </w:t>
          </w:r>
          <w:r w:rsidRPr="000A2587">
            <w:rPr>
              <w:rFonts w:ascii="Times New Roman" w:hAnsi="Times New Roman"/>
              <w:sz w:val="24"/>
              <w:szCs w:val="24"/>
            </w:rPr>
            <w:ptab w:relativeTo="margin" w:alignment="right" w:leader="dot"/>
          </w:r>
          <w:r w:rsidR="00AC69F6">
            <w:rPr>
              <w:rFonts w:ascii="Times New Roman" w:hAnsi="Times New Roman"/>
              <w:sz w:val="24"/>
              <w:szCs w:val="24"/>
            </w:rPr>
            <w:t>18</w:t>
          </w:r>
        </w:p>
        <w:p w14:paraId="6F6936E6" w14:textId="7EE39313"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 xml:space="preserve">6.3 </w:t>
          </w:r>
          <w:r w:rsidRPr="00D84C70">
            <w:rPr>
              <w:rFonts w:ascii="Times New Roman" w:hAnsi="Times New Roman"/>
              <w:sz w:val="24"/>
              <w:szCs w:val="24"/>
            </w:rPr>
            <w:t>COBIT 2019 Integration</w:t>
          </w:r>
          <w:r w:rsidRPr="000A2587">
            <w:rPr>
              <w:rFonts w:ascii="Times New Roman" w:hAnsi="Times New Roman"/>
              <w:sz w:val="24"/>
              <w:szCs w:val="24"/>
            </w:rPr>
            <w:t xml:space="preserve"> </w:t>
          </w:r>
          <w:r w:rsidRPr="000A2587">
            <w:rPr>
              <w:rFonts w:ascii="Times New Roman" w:hAnsi="Times New Roman"/>
              <w:sz w:val="24"/>
              <w:szCs w:val="24"/>
            </w:rPr>
            <w:ptab w:relativeTo="margin" w:alignment="right" w:leader="dot"/>
          </w:r>
          <w:r w:rsidR="00AC69F6">
            <w:rPr>
              <w:rFonts w:ascii="Times New Roman" w:hAnsi="Times New Roman"/>
              <w:sz w:val="24"/>
              <w:szCs w:val="24"/>
            </w:rPr>
            <w:t>18</w:t>
          </w:r>
        </w:p>
        <w:p w14:paraId="58CB817D" w14:textId="58A6151C"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 xml:space="preserve">6.4 </w:t>
          </w:r>
          <w:r w:rsidR="00E06B0C" w:rsidRPr="00D84C70">
            <w:rPr>
              <w:rFonts w:ascii="Times New Roman" w:hAnsi="Times New Roman"/>
              <w:sz w:val="24"/>
              <w:szCs w:val="24"/>
            </w:rPr>
            <w:t>ITIL 4 Contribution</w:t>
          </w:r>
          <w:r w:rsidR="00E06B0C" w:rsidRPr="000A2587">
            <w:rPr>
              <w:rFonts w:ascii="Times New Roman" w:hAnsi="Times New Roman"/>
              <w:sz w:val="24"/>
              <w:szCs w:val="24"/>
            </w:rPr>
            <w:t xml:space="preserve"> </w:t>
          </w:r>
          <w:r w:rsidRPr="000A2587">
            <w:rPr>
              <w:rFonts w:ascii="Times New Roman" w:hAnsi="Times New Roman"/>
              <w:sz w:val="24"/>
              <w:szCs w:val="24"/>
            </w:rPr>
            <w:ptab w:relativeTo="margin" w:alignment="right" w:leader="dot"/>
          </w:r>
          <w:r w:rsidR="00AC69F6">
            <w:rPr>
              <w:rFonts w:ascii="Times New Roman" w:hAnsi="Times New Roman"/>
              <w:sz w:val="24"/>
              <w:szCs w:val="24"/>
            </w:rPr>
            <w:t>19</w:t>
          </w:r>
        </w:p>
        <w:p w14:paraId="7E985D98" w14:textId="40D8F292"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 xml:space="preserve">6.5 </w:t>
          </w:r>
          <w:r w:rsidR="00E06B0C">
            <w:rPr>
              <w:rFonts w:ascii="Times New Roman" w:hAnsi="Times New Roman"/>
              <w:sz w:val="24"/>
              <w:szCs w:val="24"/>
            </w:rPr>
            <w:t>Zero Trust Integration</w:t>
          </w:r>
          <w:r w:rsidRPr="000A2587">
            <w:rPr>
              <w:rFonts w:ascii="Times New Roman" w:hAnsi="Times New Roman"/>
              <w:sz w:val="24"/>
              <w:szCs w:val="24"/>
            </w:rPr>
            <w:ptab w:relativeTo="margin" w:alignment="right" w:leader="dot"/>
          </w:r>
          <w:r w:rsidR="00AC69F6">
            <w:rPr>
              <w:rFonts w:ascii="Times New Roman" w:hAnsi="Times New Roman"/>
              <w:sz w:val="24"/>
              <w:szCs w:val="24"/>
            </w:rPr>
            <w:t>19</w:t>
          </w:r>
        </w:p>
        <w:p w14:paraId="52689908" w14:textId="75912DA5" w:rsidR="00FE3FF3" w:rsidRPr="000A2587" w:rsidRDefault="00FE3FF3" w:rsidP="008E6821">
          <w:pPr>
            <w:pStyle w:val="TOC2"/>
            <w:spacing w:line="240" w:lineRule="auto"/>
            <w:ind w:left="216"/>
            <w:rPr>
              <w:rFonts w:ascii="Times New Roman" w:hAnsi="Times New Roman"/>
              <w:sz w:val="24"/>
              <w:szCs w:val="24"/>
            </w:rPr>
          </w:pPr>
          <w:r>
            <w:rPr>
              <w:rFonts w:ascii="Times New Roman" w:hAnsi="Times New Roman"/>
              <w:sz w:val="24"/>
              <w:szCs w:val="24"/>
            </w:rPr>
            <w:t xml:space="preserve">6.6 </w:t>
          </w:r>
          <w:r w:rsidR="00E06B0C">
            <w:rPr>
              <w:rFonts w:ascii="Times New Roman" w:hAnsi="Times New Roman"/>
              <w:sz w:val="24"/>
              <w:szCs w:val="24"/>
            </w:rPr>
            <w:t>Justification of Hybrid Approach</w:t>
          </w:r>
          <w:r w:rsidRPr="000A2587">
            <w:rPr>
              <w:rFonts w:ascii="Times New Roman" w:hAnsi="Times New Roman"/>
              <w:sz w:val="24"/>
              <w:szCs w:val="24"/>
            </w:rPr>
            <w:ptab w:relativeTo="margin" w:alignment="right" w:leader="dot"/>
          </w:r>
          <w:r w:rsidR="00AC69F6">
            <w:rPr>
              <w:rFonts w:ascii="Times New Roman" w:hAnsi="Times New Roman"/>
              <w:sz w:val="24"/>
              <w:szCs w:val="24"/>
            </w:rPr>
            <w:t>19</w:t>
          </w:r>
        </w:p>
        <w:p w14:paraId="59CCC7CE" w14:textId="5D90F8C4" w:rsidR="00E06B0C" w:rsidRPr="00841E7E" w:rsidRDefault="00E06B0C" w:rsidP="008E6821">
          <w:pPr>
            <w:pStyle w:val="TOC1"/>
            <w:spacing w:line="240" w:lineRule="auto"/>
          </w:pPr>
          <w:r>
            <w:t>7</w:t>
          </w:r>
          <w:r w:rsidRPr="00841E7E">
            <w:t xml:space="preserve">. </w:t>
          </w:r>
          <w:r>
            <w:t>Critical Discussion: Importance of Updated Regulations and Standards</w:t>
          </w:r>
          <w:r w:rsidRPr="00841E7E">
            <w:ptab w:relativeTo="margin" w:alignment="right" w:leader="dot"/>
          </w:r>
          <w:r w:rsidRPr="00841E7E">
            <w:t>1</w:t>
          </w:r>
          <w:r w:rsidR="00AC69F6">
            <w:t>9</w:t>
          </w:r>
        </w:p>
        <w:p w14:paraId="55AC1DFF" w14:textId="69CEA5D6" w:rsidR="00E06B0C" w:rsidRPr="000A2587" w:rsidRDefault="00E06B0C" w:rsidP="008E6821">
          <w:pPr>
            <w:pStyle w:val="TOC2"/>
            <w:spacing w:line="240" w:lineRule="auto"/>
            <w:ind w:left="216"/>
            <w:rPr>
              <w:rFonts w:ascii="Times New Roman" w:hAnsi="Times New Roman"/>
              <w:sz w:val="24"/>
              <w:szCs w:val="24"/>
            </w:rPr>
          </w:pPr>
          <w:r>
            <w:rPr>
              <w:rFonts w:ascii="Times New Roman" w:hAnsi="Times New Roman"/>
              <w:sz w:val="24"/>
              <w:szCs w:val="24"/>
            </w:rPr>
            <w:t>7.1 Evolving Cyber Threat Landscape</w:t>
          </w:r>
          <w:r w:rsidRPr="000A2587">
            <w:rPr>
              <w:rFonts w:ascii="Times New Roman" w:hAnsi="Times New Roman"/>
              <w:sz w:val="24"/>
              <w:szCs w:val="24"/>
            </w:rPr>
            <w:ptab w:relativeTo="margin" w:alignment="right" w:leader="dot"/>
          </w:r>
          <w:r w:rsidR="00AC69F6">
            <w:rPr>
              <w:rFonts w:ascii="Times New Roman" w:hAnsi="Times New Roman"/>
              <w:sz w:val="24"/>
              <w:szCs w:val="24"/>
            </w:rPr>
            <w:t>19</w:t>
          </w:r>
        </w:p>
        <w:p w14:paraId="412354F1" w14:textId="28A30366" w:rsidR="00E06B0C" w:rsidRPr="000A2587" w:rsidRDefault="00E06B0C" w:rsidP="008E6821">
          <w:pPr>
            <w:pStyle w:val="TOC2"/>
            <w:spacing w:line="240" w:lineRule="auto"/>
            <w:ind w:left="216"/>
            <w:rPr>
              <w:rFonts w:ascii="Times New Roman" w:hAnsi="Times New Roman"/>
              <w:sz w:val="24"/>
              <w:szCs w:val="24"/>
            </w:rPr>
          </w:pPr>
          <w:r>
            <w:rPr>
              <w:rFonts w:ascii="Times New Roman" w:hAnsi="Times New Roman"/>
              <w:sz w:val="24"/>
              <w:szCs w:val="24"/>
            </w:rPr>
            <w:t>7.2 Regulatory Adap</w:t>
          </w:r>
          <w:r w:rsidR="00B6207C">
            <w:rPr>
              <w:rFonts w:ascii="Times New Roman" w:hAnsi="Times New Roman"/>
              <w:sz w:val="24"/>
              <w:szCs w:val="24"/>
            </w:rPr>
            <w:t>ta</w:t>
          </w:r>
          <w:r>
            <w:rPr>
              <w:rFonts w:ascii="Times New Roman" w:hAnsi="Times New Roman"/>
              <w:sz w:val="24"/>
              <w:szCs w:val="24"/>
            </w:rPr>
            <w:t>tion and Compliance Requirements</w:t>
          </w:r>
          <w:r w:rsidRPr="000A2587">
            <w:rPr>
              <w:rFonts w:ascii="Times New Roman" w:hAnsi="Times New Roman"/>
              <w:sz w:val="24"/>
              <w:szCs w:val="24"/>
            </w:rPr>
            <w:ptab w:relativeTo="margin" w:alignment="right" w:leader="dot"/>
          </w:r>
          <w:r w:rsidR="00AC69F6">
            <w:rPr>
              <w:rFonts w:ascii="Times New Roman" w:hAnsi="Times New Roman"/>
              <w:sz w:val="24"/>
              <w:szCs w:val="24"/>
            </w:rPr>
            <w:t>19</w:t>
          </w:r>
        </w:p>
        <w:p w14:paraId="08AA3936" w14:textId="36CD6432" w:rsidR="00E06B0C" w:rsidRPr="000A2587" w:rsidRDefault="00E06B0C" w:rsidP="008E6821">
          <w:pPr>
            <w:pStyle w:val="TOC2"/>
            <w:spacing w:line="240" w:lineRule="auto"/>
            <w:ind w:left="216"/>
            <w:rPr>
              <w:rFonts w:ascii="Times New Roman" w:hAnsi="Times New Roman"/>
              <w:sz w:val="24"/>
              <w:szCs w:val="24"/>
            </w:rPr>
          </w:pPr>
          <w:r>
            <w:rPr>
              <w:rFonts w:ascii="Times New Roman" w:hAnsi="Times New Roman"/>
              <w:sz w:val="24"/>
              <w:szCs w:val="24"/>
            </w:rPr>
            <w:t>7.3 Impact on Organisational Security Maturity</w:t>
          </w:r>
          <w:r w:rsidRPr="000A2587">
            <w:rPr>
              <w:rFonts w:ascii="Times New Roman" w:hAnsi="Times New Roman"/>
              <w:sz w:val="24"/>
              <w:szCs w:val="24"/>
            </w:rPr>
            <w:ptab w:relativeTo="margin" w:alignment="right" w:leader="dot"/>
          </w:r>
          <w:r w:rsidR="00AC69F6">
            <w:rPr>
              <w:rFonts w:ascii="Times New Roman" w:hAnsi="Times New Roman"/>
              <w:sz w:val="24"/>
              <w:szCs w:val="24"/>
            </w:rPr>
            <w:t>20</w:t>
          </w:r>
        </w:p>
        <w:p w14:paraId="0CD682DF" w14:textId="1A2F2946" w:rsidR="00E06B0C" w:rsidRPr="000A2587" w:rsidRDefault="00E06B0C" w:rsidP="008E6821">
          <w:pPr>
            <w:pStyle w:val="TOC2"/>
            <w:spacing w:line="240" w:lineRule="auto"/>
            <w:ind w:left="216"/>
            <w:rPr>
              <w:rFonts w:ascii="Times New Roman" w:hAnsi="Times New Roman"/>
              <w:sz w:val="24"/>
              <w:szCs w:val="24"/>
            </w:rPr>
          </w:pPr>
          <w:r>
            <w:rPr>
              <w:rFonts w:ascii="Times New Roman" w:hAnsi="Times New Roman"/>
              <w:sz w:val="24"/>
              <w:szCs w:val="24"/>
            </w:rPr>
            <w:t>7.4 Challenges in Implementation</w:t>
          </w:r>
          <w:r w:rsidRPr="000A2587">
            <w:rPr>
              <w:rFonts w:ascii="Times New Roman" w:hAnsi="Times New Roman"/>
              <w:sz w:val="24"/>
              <w:szCs w:val="24"/>
            </w:rPr>
            <w:ptab w:relativeTo="margin" w:alignment="right" w:leader="dot"/>
          </w:r>
          <w:r w:rsidR="00AC69F6">
            <w:rPr>
              <w:rFonts w:ascii="Times New Roman" w:hAnsi="Times New Roman"/>
              <w:sz w:val="24"/>
              <w:szCs w:val="24"/>
            </w:rPr>
            <w:t>20</w:t>
          </w:r>
        </w:p>
        <w:p w14:paraId="72E7E239" w14:textId="4D46514D" w:rsidR="00E06B0C" w:rsidRPr="00841E7E" w:rsidRDefault="00E06B0C" w:rsidP="008E6821">
          <w:pPr>
            <w:pStyle w:val="TOC1"/>
            <w:spacing w:line="240" w:lineRule="auto"/>
          </w:pPr>
          <w:r>
            <w:t>8</w:t>
          </w:r>
          <w:r w:rsidRPr="00841E7E">
            <w:t xml:space="preserve">. </w:t>
          </w:r>
          <w:r>
            <w:t>Conclusion</w:t>
          </w:r>
          <w:r w:rsidRPr="00841E7E">
            <w:ptab w:relativeTo="margin" w:alignment="right" w:leader="dot"/>
          </w:r>
          <w:r w:rsidR="00AC69F6">
            <w:t>20</w:t>
          </w:r>
        </w:p>
        <w:p w14:paraId="276442A4" w14:textId="11779979" w:rsidR="00E06B0C" w:rsidRPr="00841E7E" w:rsidRDefault="00E06B0C" w:rsidP="008E6821">
          <w:pPr>
            <w:pStyle w:val="TOC1"/>
            <w:spacing w:line="240" w:lineRule="auto"/>
          </w:pPr>
          <w:r>
            <w:t>9. Recommendations</w:t>
          </w:r>
          <w:r w:rsidRPr="00841E7E">
            <w:ptab w:relativeTo="margin" w:alignment="right" w:leader="dot"/>
          </w:r>
          <w:r w:rsidR="00AC69F6">
            <w:t>21</w:t>
          </w:r>
        </w:p>
        <w:p w14:paraId="1195BFFA" w14:textId="7D70A265" w:rsidR="00E06B0C" w:rsidRPr="00841E7E" w:rsidRDefault="00E06B0C" w:rsidP="008E6821">
          <w:pPr>
            <w:pStyle w:val="TOC1"/>
            <w:spacing w:line="240" w:lineRule="auto"/>
          </w:pPr>
          <w:r>
            <w:t>10. References</w:t>
          </w:r>
          <w:r w:rsidRPr="00841E7E">
            <w:ptab w:relativeTo="margin" w:alignment="right" w:leader="dot"/>
          </w:r>
          <w:r w:rsidR="00AC69F6">
            <w:t>22</w:t>
          </w:r>
        </w:p>
        <w:p w14:paraId="29364BB3" w14:textId="260E5F57" w:rsidR="00D84C70" w:rsidRPr="00D84C70" w:rsidRDefault="00000000" w:rsidP="006E6284">
          <w:pPr>
            <w:pStyle w:val="TOC3"/>
            <w:spacing w:line="360" w:lineRule="auto"/>
            <w:ind w:left="446"/>
            <w:rPr>
              <w:rFonts w:ascii="Times New Roman" w:hAnsi="Times New Roman"/>
              <w:sz w:val="24"/>
              <w:szCs w:val="24"/>
            </w:rPr>
          </w:pPr>
        </w:p>
      </w:sdtContent>
    </w:sdt>
    <w:p w14:paraId="15AD7E15" w14:textId="77777777" w:rsidR="008E6821" w:rsidRPr="008E6821" w:rsidRDefault="008E6821" w:rsidP="008E6821">
      <w:pPr>
        <w:spacing w:line="360" w:lineRule="auto"/>
        <w:rPr>
          <w:rFonts w:ascii="Times New Roman" w:hAnsi="Times New Roman" w:cs="Times New Roman"/>
          <w:b/>
          <w:bCs/>
          <w:sz w:val="28"/>
          <w:szCs w:val="28"/>
        </w:rPr>
      </w:pPr>
      <w:r w:rsidRPr="008E6821">
        <w:rPr>
          <w:rFonts w:ascii="Times New Roman" w:hAnsi="Times New Roman" w:cs="Times New Roman"/>
          <w:b/>
          <w:bCs/>
          <w:sz w:val="28"/>
          <w:szCs w:val="28"/>
        </w:rPr>
        <w:t>Table of Figures </w:t>
      </w:r>
    </w:p>
    <w:p w14:paraId="61F760A5" w14:textId="79E96F4B" w:rsidR="008E6821" w:rsidRPr="00890175" w:rsidRDefault="008E6821" w:rsidP="00890175">
      <w:pPr>
        <w:pStyle w:val="NoSpacing"/>
        <w:rPr>
          <w:rFonts w:ascii="Times New Roman" w:hAnsi="Times New Roman" w:cs="Times New Roman"/>
          <w:sz w:val="24"/>
          <w:szCs w:val="24"/>
        </w:rPr>
      </w:pPr>
      <w:r w:rsidRPr="00890175">
        <w:rPr>
          <w:rFonts w:ascii="Times New Roman" w:hAnsi="Times New Roman" w:cs="Times New Roman"/>
          <w:b/>
          <w:bCs/>
          <w:sz w:val="24"/>
          <w:szCs w:val="24"/>
        </w:rPr>
        <w:t>Figure 1</w:t>
      </w:r>
      <w:r w:rsidRPr="00890175">
        <w:rPr>
          <w:rFonts w:ascii="Times New Roman" w:hAnsi="Times New Roman" w:cs="Times New Roman"/>
          <w:sz w:val="24"/>
          <w:szCs w:val="24"/>
        </w:rPr>
        <w:t>: Governance Gaps and Decision Making</w:t>
      </w:r>
      <w:r w:rsidRPr="00890175">
        <w:rPr>
          <w:rFonts w:ascii="Times New Roman" w:hAnsi="Times New Roman" w:cs="Times New Roman"/>
          <w:sz w:val="24"/>
          <w:szCs w:val="24"/>
        </w:rPr>
        <w:ptab w:relativeTo="margin" w:alignment="right" w:leader="dot"/>
      </w:r>
      <w:r w:rsidR="00AC69F6">
        <w:rPr>
          <w:rFonts w:ascii="Times New Roman" w:hAnsi="Times New Roman" w:cs="Times New Roman"/>
          <w:sz w:val="24"/>
          <w:szCs w:val="24"/>
        </w:rPr>
        <w:t>12</w:t>
      </w:r>
    </w:p>
    <w:p w14:paraId="2D3C95A5" w14:textId="6A8DC9BE" w:rsidR="008E6821" w:rsidRPr="00890175" w:rsidRDefault="008E6821" w:rsidP="00890175">
      <w:pPr>
        <w:pStyle w:val="NoSpacing"/>
        <w:rPr>
          <w:rFonts w:ascii="Times New Roman" w:hAnsi="Times New Roman" w:cs="Times New Roman"/>
          <w:sz w:val="24"/>
          <w:szCs w:val="24"/>
        </w:rPr>
      </w:pPr>
      <w:r w:rsidRPr="00890175">
        <w:rPr>
          <w:rFonts w:ascii="Times New Roman" w:hAnsi="Times New Roman" w:cs="Times New Roman"/>
          <w:b/>
          <w:bCs/>
          <w:sz w:val="24"/>
          <w:szCs w:val="24"/>
        </w:rPr>
        <w:t xml:space="preserve">Figure </w:t>
      </w:r>
      <w:r w:rsidRPr="00890175">
        <w:rPr>
          <w:rFonts w:ascii="Times New Roman" w:hAnsi="Times New Roman" w:cs="Times New Roman"/>
          <w:b/>
          <w:bCs/>
          <w:sz w:val="24"/>
          <w:szCs w:val="24"/>
        </w:rPr>
        <w:t>2</w:t>
      </w:r>
      <w:r w:rsidRPr="00890175">
        <w:rPr>
          <w:rFonts w:ascii="Times New Roman" w:hAnsi="Times New Roman" w:cs="Times New Roman"/>
          <w:sz w:val="24"/>
          <w:szCs w:val="24"/>
        </w:rPr>
        <w:t>: Framework Mapping</w:t>
      </w:r>
      <w:r w:rsidRPr="00890175">
        <w:rPr>
          <w:rFonts w:ascii="Times New Roman" w:hAnsi="Times New Roman" w:cs="Times New Roman"/>
          <w:sz w:val="24"/>
          <w:szCs w:val="24"/>
        </w:rPr>
        <w:ptab w:relativeTo="margin" w:alignment="right" w:leader="dot"/>
      </w:r>
      <w:r w:rsidR="00AC69F6">
        <w:rPr>
          <w:rFonts w:ascii="Times New Roman" w:hAnsi="Times New Roman" w:cs="Times New Roman"/>
          <w:sz w:val="24"/>
          <w:szCs w:val="24"/>
        </w:rPr>
        <w:t>13</w:t>
      </w:r>
    </w:p>
    <w:p w14:paraId="562DE921" w14:textId="76DC2FF8" w:rsidR="008E6821" w:rsidRPr="00890175" w:rsidRDefault="008E6821" w:rsidP="00890175">
      <w:pPr>
        <w:pStyle w:val="NoSpacing"/>
        <w:rPr>
          <w:rFonts w:ascii="Times New Roman" w:hAnsi="Times New Roman" w:cs="Times New Roman"/>
          <w:sz w:val="24"/>
          <w:szCs w:val="24"/>
        </w:rPr>
      </w:pPr>
      <w:r w:rsidRPr="00890175">
        <w:rPr>
          <w:rFonts w:ascii="Times New Roman" w:hAnsi="Times New Roman" w:cs="Times New Roman"/>
          <w:b/>
          <w:bCs/>
          <w:sz w:val="24"/>
          <w:szCs w:val="24"/>
        </w:rPr>
        <w:t xml:space="preserve">Figure </w:t>
      </w:r>
      <w:r w:rsidRPr="00890175">
        <w:rPr>
          <w:rFonts w:ascii="Times New Roman" w:hAnsi="Times New Roman" w:cs="Times New Roman"/>
          <w:b/>
          <w:bCs/>
          <w:sz w:val="24"/>
          <w:szCs w:val="24"/>
        </w:rPr>
        <w:t>3</w:t>
      </w:r>
      <w:r w:rsidRPr="00890175">
        <w:rPr>
          <w:rFonts w:ascii="Times New Roman" w:hAnsi="Times New Roman" w:cs="Times New Roman"/>
          <w:sz w:val="24"/>
          <w:szCs w:val="24"/>
        </w:rPr>
        <w:t xml:space="preserve">: </w:t>
      </w:r>
      <w:r w:rsidRPr="00890175">
        <w:rPr>
          <w:rFonts w:ascii="Times New Roman" w:hAnsi="Times New Roman" w:cs="Times New Roman"/>
          <w:sz w:val="24"/>
          <w:szCs w:val="24"/>
        </w:rPr>
        <w:t>Framework Comparison</w:t>
      </w:r>
      <w:r w:rsidRPr="00890175">
        <w:rPr>
          <w:rFonts w:ascii="Times New Roman" w:hAnsi="Times New Roman" w:cs="Times New Roman"/>
          <w:sz w:val="24"/>
          <w:szCs w:val="24"/>
        </w:rPr>
        <w:ptab w:relativeTo="margin" w:alignment="right" w:leader="dot"/>
      </w:r>
      <w:r w:rsidR="00AC69F6">
        <w:rPr>
          <w:rFonts w:ascii="Times New Roman" w:hAnsi="Times New Roman" w:cs="Times New Roman"/>
          <w:sz w:val="24"/>
          <w:szCs w:val="24"/>
        </w:rPr>
        <w:t>14</w:t>
      </w:r>
    </w:p>
    <w:p w14:paraId="76C9E3E8" w14:textId="7C1D4A22" w:rsidR="008E6821" w:rsidRPr="00890175" w:rsidRDefault="008E6821" w:rsidP="00890175">
      <w:pPr>
        <w:pStyle w:val="NoSpacing"/>
        <w:rPr>
          <w:rFonts w:ascii="Times New Roman" w:hAnsi="Times New Roman" w:cs="Times New Roman"/>
          <w:sz w:val="24"/>
          <w:szCs w:val="24"/>
        </w:rPr>
      </w:pPr>
      <w:r w:rsidRPr="00890175">
        <w:rPr>
          <w:rFonts w:ascii="Times New Roman" w:hAnsi="Times New Roman" w:cs="Times New Roman"/>
          <w:b/>
          <w:bCs/>
          <w:sz w:val="24"/>
          <w:szCs w:val="24"/>
        </w:rPr>
        <w:t xml:space="preserve">Figure </w:t>
      </w:r>
      <w:r w:rsidR="00890175" w:rsidRPr="00890175">
        <w:rPr>
          <w:rFonts w:ascii="Times New Roman" w:hAnsi="Times New Roman" w:cs="Times New Roman"/>
          <w:b/>
          <w:bCs/>
          <w:sz w:val="24"/>
          <w:szCs w:val="24"/>
        </w:rPr>
        <w:t>4</w:t>
      </w:r>
      <w:r w:rsidRPr="00890175">
        <w:rPr>
          <w:rFonts w:ascii="Times New Roman" w:hAnsi="Times New Roman" w:cs="Times New Roman"/>
          <w:sz w:val="24"/>
          <w:szCs w:val="24"/>
        </w:rPr>
        <w:t xml:space="preserve">: </w:t>
      </w:r>
      <w:r w:rsidRPr="00890175">
        <w:rPr>
          <w:rFonts w:ascii="Times New Roman" w:hAnsi="Times New Roman" w:cs="Times New Roman"/>
          <w:sz w:val="24"/>
          <w:szCs w:val="24"/>
        </w:rPr>
        <w:t xml:space="preserve">Hybrid </w:t>
      </w:r>
      <w:proofErr w:type="spellStart"/>
      <w:r w:rsidRPr="00890175">
        <w:rPr>
          <w:rFonts w:ascii="Times New Roman" w:hAnsi="Times New Roman" w:cs="Times New Roman"/>
          <w:sz w:val="24"/>
          <w:szCs w:val="24"/>
        </w:rPr>
        <w:t>Finsur</w:t>
      </w:r>
      <w:r w:rsidR="00890175" w:rsidRPr="00890175">
        <w:rPr>
          <w:rFonts w:ascii="Times New Roman" w:hAnsi="Times New Roman" w:cs="Times New Roman"/>
          <w:sz w:val="24"/>
          <w:szCs w:val="24"/>
        </w:rPr>
        <w:t>e</w:t>
      </w:r>
      <w:proofErr w:type="spellEnd"/>
      <w:r w:rsidR="00890175" w:rsidRPr="00890175">
        <w:rPr>
          <w:rFonts w:ascii="Times New Roman" w:hAnsi="Times New Roman" w:cs="Times New Roman"/>
          <w:sz w:val="24"/>
          <w:szCs w:val="24"/>
        </w:rPr>
        <w:t xml:space="preserve"> Model</w:t>
      </w:r>
      <w:r w:rsidRPr="00890175">
        <w:rPr>
          <w:rFonts w:ascii="Times New Roman" w:hAnsi="Times New Roman" w:cs="Times New Roman"/>
          <w:sz w:val="24"/>
          <w:szCs w:val="24"/>
        </w:rPr>
        <w:ptab w:relativeTo="margin" w:alignment="right" w:leader="dot"/>
      </w:r>
      <w:r w:rsidR="00AC69F6">
        <w:rPr>
          <w:rFonts w:ascii="Times New Roman" w:hAnsi="Times New Roman" w:cs="Times New Roman"/>
          <w:sz w:val="24"/>
          <w:szCs w:val="24"/>
        </w:rPr>
        <w:t>15</w:t>
      </w:r>
    </w:p>
    <w:p w14:paraId="3BCAB6DC" w14:textId="21EB7BC1" w:rsidR="008E6821" w:rsidRPr="008E6821" w:rsidRDefault="008E6821" w:rsidP="008E6821">
      <w:pPr>
        <w:spacing w:line="360" w:lineRule="auto"/>
        <w:rPr>
          <w:rFonts w:ascii="Times New Roman" w:hAnsi="Times New Roman" w:cs="Times New Roman"/>
          <w:sz w:val="24"/>
          <w:szCs w:val="24"/>
        </w:rPr>
      </w:pPr>
    </w:p>
    <w:p w14:paraId="093CAEAA" w14:textId="77777777" w:rsidR="008E6821" w:rsidRDefault="008E6821" w:rsidP="006E6284">
      <w:pPr>
        <w:spacing w:line="360" w:lineRule="auto"/>
        <w:rPr>
          <w:rFonts w:ascii="Times New Roman" w:hAnsi="Times New Roman" w:cs="Times New Roman"/>
          <w:sz w:val="24"/>
          <w:szCs w:val="24"/>
        </w:rPr>
      </w:pPr>
    </w:p>
    <w:p w14:paraId="7FFC5AA4" w14:textId="77777777" w:rsidR="008E6821" w:rsidRDefault="008E6821" w:rsidP="006E6284">
      <w:pPr>
        <w:spacing w:line="360" w:lineRule="auto"/>
        <w:rPr>
          <w:rFonts w:ascii="Times New Roman" w:hAnsi="Times New Roman" w:cs="Times New Roman"/>
          <w:sz w:val="24"/>
          <w:szCs w:val="24"/>
        </w:rPr>
      </w:pPr>
    </w:p>
    <w:p w14:paraId="469FAC20" w14:textId="77777777" w:rsidR="00B6207C" w:rsidRDefault="00B6207C" w:rsidP="006E6284">
      <w:pPr>
        <w:spacing w:line="360" w:lineRule="auto"/>
        <w:rPr>
          <w:rFonts w:ascii="Times New Roman" w:hAnsi="Times New Roman" w:cs="Times New Roman"/>
          <w:sz w:val="24"/>
          <w:szCs w:val="24"/>
        </w:rPr>
      </w:pPr>
    </w:p>
    <w:p w14:paraId="1BF2DBEB" w14:textId="77777777" w:rsidR="00890175" w:rsidRDefault="00890175" w:rsidP="006E6284">
      <w:pPr>
        <w:spacing w:line="360" w:lineRule="auto"/>
        <w:rPr>
          <w:rFonts w:ascii="Times New Roman" w:hAnsi="Times New Roman" w:cs="Times New Roman"/>
          <w:sz w:val="24"/>
          <w:szCs w:val="24"/>
        </w:rPr>
      </w:pPr>
    </w:p>
    <w:p w14:paraId="3DFB657C" w14:textId="77777777" w:rsidR="00890175" w:rsidRDefault="00890175" w:rsidP="006E6284">
      <w:pPr>
        <w:spacing w:line="360" w:lineRule="auto"/>
        <w:rPr>
          <w:rFonts w:ascii="Times New Roman" w:hAnsi="Times New Roman" w:cs="Times New Roman"/>
          <w:sz w:val="24"/>
          <w:szCs w:val="24"/>
        </w:rPr>
      </w:pPr>
    </w:p>
    <w:p w14:paraId="3B774074" w14:textId="77777777" w:rsidR="00890175" w:rsidRDefault="00890175" w:rsidP="006E6284">
      <w:pPr>
        <w:spacing w:line="360" w:lineRule="auto"/>
        <w:rPr>
          <w:rFonts w:ascii="Times New Roman" w:hAnsi="Times New Roman" w:cs="Times New Roman"/>
          <w:sz w:val="24"/>
          <w:szCs w:val="24"/>
        </w:rPr>
      </w:pPr>
    </w:p>
    <w:p w14:paraId="6ACBB522" w14:textId="77777777" w:rsidR="00890175" w:rsidRDefault="00890175" w:rsidP="006E6284">
      <w:pPr>
        <w:spacing w:line="360" w:lineRule="auto"/>
        <w:rPr>
          <w:rFonts w:ascii="Times New Roman" w:hAnsi="Times New Roman" w:cs="Times New Roman"/>
          <w:sz w:val="24"/>
          <w:szCs w:val="24"/>
        </w:rPr>
      </w:pPr>
    </w:p>
    <w:p w14:paraId="65F45B14" w14:textId="77777777" w:rsidR="00890175" w:rsidRDefault="00890175" w:rsidP="006E6284">
      <w:pPr>
        <w:spacing w:line="360" w:lineRule="auto"/>
        <w:rPr>
          <w:rFonts w:ascii="Times New Roman" w:hAnsi="Times New Roman" w:cs="Times New Roman"/>
          <w:sz w:val="24"/>
          <w:szCs w:val="24"/>
        </w:rPr>
      </w:pPr>
    </w:p>
    <w:p w14:paraId="25046F1C" w14:textId="77777777" w:rsidR="00890175" w:rsidRDefault="00890175" w:rsidP="006E6284">
      <w:pPr>
        <w:spacing w:line="360" w:lineRule="auto"/>
        <w:rPr>
          <w:rFonts w:ascii="Times New Roman" w:hAnsi="Times New Roman" w:cs="Times New Roman"/>
          <w:sz w:val="24"/>
          <w:szCs w:val="24"/>
        </w:rPr>
      </w:pPr>
    </w:p>
    <w:p w14:paraId="1C080F35" w14:textId="77777777" w:rsidR="00890175" w:rsidRDefault="00890175" w:rsidP="006E6284">
      <w:pPr>
        <w:spacing w:line="360" w:lineRule="auto"/>
        <w:rPr>
          <w:rFonts w:ascii="Times New Roman" w:hAnsi="Times New Roman" w:cs="Times New Roman"/>
          <w:sz w:val="24"/>
          <w:szCs w:val="24"/>
        </w:rPr>
      </w:pPr>
    </w:p>
    <w:p w14:paraId="068C1138" w14:textId="77777777" w:rsidR="00890175" w:rsidRDefault="00890175" w:rsidP="006E6284">
      <w:pPr>
        <w:spacing w:line="360" w:lineRule="auto"/>
        <w:rPr>
          <w:rFonts w:ascii="Times New Roman" w:hAnsi="Times New Roman" w:cs="Times New Roman"/>
          <w:sz w:val="24"/>
          <w:szCs w:val="24"/>
        </w:rPr>
      </w:pPr>
    </w:p>
    <w:p w14:paraId="0A734A7F" w14:textId="77777777" w:rsidR="00C44D34" w:rsidRPr="000A2587" w:rsidRDefault="00C44D34" w:rsidP="006E6284">
      <w:pPr>
        <w:spacing w:line="360" w:lineRule="auto"/>
        <w:rPr>
          <w:rFonts w:ascii="Times New Roman" w:hAnsi="Times New Roman" w:cs="Times New Roman"/>
          <w:sz w:val="24"/>
          <w:szCs w:val="24"/>
        </w:rPr>
      </w:pPr>
    </w:p>
    <w:p w14:paraId="4E76DC6D" w14:textId="7EE05182" w:rsidR="000A2587" w:rsidRPr="00E06B0C" w:rsidRDefault="000A2587" w:rsidP="006E6284">
      <w:pPr>
        <w:pStyle w:val="ListParagraph"/>
        <w:numPr>
          <w:ilvl w:val="0"/>
          <w:numId w:val="1"/>
        </w:numPr>
        <w:spacing w:line="360" w:lineRule="auto"/>
        <w:rPr>
          <w:rFonts w:ascii="Times New Roman" w:hAnsi="Times New Roman" w:cs="Times New Roman"/>
          <w:b/>
          <w:bCs/>
          <w:sz w:val="28"/>
          <w:szCs w:val="28"/>
        </w:rPr>
      </w:pPr>
      <w:r w:rsidRPr="00E06B0C">
        <w:rPr>
          <w:rFonts w:ascii="Times New Roman" w:hAnsi="Times New Roman" w:cs="Times New Roman"/>
          <w:b/>
          <w:bCs/>
          <w:sz w:val="28"/>
          <w:szCs w:val="28"/>
        </w:rPr>
        <w:lastRenderedPageBreak/>
        <w:t>Introduction </w:t>
      </w:r>
    </w:p>
    <w:p w14:paraId="09E3069B" w14:textId="5DD82C1B" w:rsidR="000A2587" w:rsidRDefault="000A2587" w:rsidP="006E6284">
      <w:pPr>
        <w:spacing w:line="360" w:lineRule="auto"/>
        <w:jc w:val="both"/>
        <w:rPr>
          <w:rFonts w:ascii="Times New Roman" w:hAnsi="Times New Roman" w:cs="Times New Roman"/>
          <w:sz w:val="24"/>
          <w:szCs w:val="24"/>
        </w:rPr>
      </w:pPr>
      <w:r w:rsidRPr="000A2587">
        <w:rPr>
          <w:rFonts w:ascii="Times New Roman" w:hAnsi="Times New Roman" w:cs="Times New Roman"/>
          <w:sz w:val="24"/>
          <w:szCs w:val="24"/>
        </w:rPr>
        <w:t xml:space="preserve">The rapid growth of digital-first banking has transformed how financial institutions operate, increasing reliance on cloud computing, mobile platforms, and remote access. </w:t>
      </w:r>
      <w:proofErr w:type="spellStart"/>
      <w:r w:rsidRPr="000A2587">
        <w:rPr>
          <w:rFonts w:ascii="Times New Roman" w:hAnsi="Times New Roman" w:cs="Times New Roman"/>
          <w:sz w:val="24"/>
          <w:szCs w:val="24"/>
        </w:rPr>
        <w:t>FinSure</w:t>
      </w:r>
      <w:proofErr w:type="spellEnd"/>
      <w:r w:rsidRPr="000A2587">
        <w:rPr>
          <w:rFonts w:ascii="Times New Roman" w:hAnsi="Times New Roman" w:cs="Times New Roman"/>
          <w:sz w:val="24"/>
          <w:szCs w:val="24"/>
        </w:rPr>
        <w:t xml:space="preserve"> Bank (FSB), a rapidly expanding cloud-based organisation, faces heightened exposure to cybersecurity threats due to its adoption of Bring Your Own Device (BYOD) practices and cross-border operations. These developments introduce significant challenges in protecting sensitive financial data, ensuring regulatory compliance, and maintaining operational resilience.</w:t>
      </w:r>
    </w:p>
    <w:p w14:paraId="11BEDDF7" w14:textId="77777777" w:rsidR="00E06B0C" w:rsidRPr="000A2587" w:rsidRDefault="00E06B0C" w:rsidP="006E6284">
      <w:pPr>
        <w:spacing w:line="360" w:lineRule="auto"/>
        <w:jc w:val="both"/>
        <w:rPr>
          <w:rFonts w:ascii="Times New Roman" w:hAnsi="Times New Roman" w:cs="Times New Roman"/>
          <w:sz w:val="24"/>
          <w:szCs w:val="24"/>
        </w:rPr>
      </w:pPr>
    </w:p>
    <w:p w14:paraId="65810C1F" w14:textId="7D876CC0" w:rsidR="000A2587" w:rsidRPr="000A2587" w:rsidRDefault="00E06B0C" w:rsidP="006E628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1.1 </w:t>
      </w:r>
      <w:r w:rsidR="000A2587" w:rsidRPr="000A2587">
        <w:rPr>
          <w:rFonts w:ascii="Times New Roman" w:hAnsi="Times New Roman" w:cs="Times New Roman"/>
          <w:b/>
          <w:bCs/>
          <w:sz w:val="24"/>
          <w:szCs w:val="24"/>
        </w:rPr>
        <w:t>Background and Context </w:t>
      </w:r>
    </w:p>
    <w:p w14:paraId="22BAFAB9" w14:textId="77777777" w:rsidR="000A2587" w:rsidRPr="000A2587" w:rsidRDefault="000A2587" w:rsidP="006E6284">
      <w:pPr>
        <w:spacing w:line="360" w:lineRule="auto"/>
        <w:jc w:val="both"/>
        <w:rPr>
          <w:rFonts w:ascii="Times New Roman" w:hAnsi="Times New Roman" w:cs="Times New Roman"/>
          <w:sz w:val="24"/>
          <w:szCs w:val="24"/>
        </w:rPr>
      </w:pPr>
      <w:r w:rsidRPr="000A2587">
        <w:rPr>
          <w:rFonts w:ascii="Times New Roman" w:hAnsi="Times New Roman" w:cs="Times New Roman"/>
          <w:sz w:val="24"/>
          <w:szCs w:val="24"/>
        </w:rPr>
        <w:t>Despite the importance of robust cybersecurity, FSB currently lacks a unified governance framework, resulting in fragmented risk management and inconsistent security controls. This report critically examines established cybersecurity frameworks and models, and proposes an integrated governance, security, and compliance approach tailored to FSB’s environment. It also evaluates the importance of continuously evolving regulations and standards in addressing emerging cyber threats and strengthening organisational security maturity.</w:t>
      </w:r>
    </w:p>
    <w:p w14:paraId="09C4987D" w14:textId="77777777" w:rsidR="000A2587" w:rsidRPr="000A2587" w:rsidRDefault="000A2587" w:rsidP="006E6284">
      <w:pPr>
        <w:spacing w:line="360" w:lineRule="auto"/>
        <w:rPr>
          <w:rFonts w:ascii="Times New Roman" w:hAnsi="Times New Roman" w:cs="Times New Roman"/>
          <w:sz w:val="24"/>
          <w:szCs w:val="24"/>
        </w:rPr>
      </w:pPr>
    </w:p>
    <w:p w14:paraId="561A9F3E" w14:textId="116887FF" w:rsidR="000A2587" w:rsidRPr="000A2587" w:rsidRDefault="00E06B0C" w:rsidP="006E628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1.2 </w:t>
      </w:r>
      <w:r w:rsidR="000A2587" w:rsidRPr="000A2587">
        <w:rPr>
          <w:rFonts w:ascii="Times New Roman" w:hAnsi="Times New Roman" w:cs="Times New Roman"/>
          <w:b/>
          <w:bCs/>
          <w:sz w:val="24"/>
          <w:szCs w:val="24"/>
        </w:rPr>
        <w:t>Problem Statement </w:t>
      </w:r>
    </w:p>
    <w:p w14:paraId="565BF154" w14:textId="77777777" w:rsidR="000A2587" w:rsidRPr="000A2587" w:rsidRDefault="000A2587" w:rsidP="006E6284">
      <w:pPr>
        <w:spacing w:line="360" w:lineRule="auto"/>
        <w:jc w:val="both"/>
        <w:rPr>
          <w:rFonts w:ascii="Times New Roman" w:hAnsi="Times New Roman" w:cs="Times New Roman"/>
          <w:sz w:val="24"/>
          <w:szCs w:val="24"/>
        </w:rPr>
      </w:pPr>
      <w:proofErr w:type="spellStart"/>
      <w:r w:rsidRPr="000A2587">
        <w:rPr>
          <w:rFonts w:ascii="Times New Roman" w:hAnsi="Times New Roman" w:cs="Times New Roman"/>
          <w:sz w:val="24"/>
          <w:szCs w:val="24"/>
        </w:rPr>
        <w:t>FinSure</w:t>
      </w:r>
      <w:proofErr w:type="spellEnd"/>
      <w:r w:rsidRPr="000A2587">
        <w:rPr>
          <w:rFonts w:ascii="Times New Roman" w:hAnsi="Times New Roman" w:cs="Times New Roman"/>
          <w:sz w:val="24"/>
          <w:szCs w:val="24"/>
        </w:rPr>
        <w:t xml:space="preserve"> Bank’s absence of a unified cybersecurity governance framework has resulted in fragmented risk management, inconsistent security controls, and inadequate compliance processes, significantly increasing exposure to cyber threats, data breaches, and regulatory penalties.</w:t>
      </w:r>
    </w:p>
    <w:p w14:paraId="2045FB42" w14:textId="77777777" w:rsidR="000A2587" w:rsidRPr="000A2587" w:rsidRDefault="000A2587" w:rsidP="006E6284">
      <w:pPr>
        <w:spacing w:line="360" w:lineRule="auto"/>
        <w:rPr>
          <w:rFonts w:ascii="Times New Roman" w:hAnsi="Times New Roman" w:cs="Times New Roman"/>
          <w:sz w:val="24"/>
          <w:szCs w:val="24"/>
        </w:rPr>
      </w:pPr>
    </w:p>
    <w:p w14:paraId="37C4E15A" w14:textId="084EAB12" w:rsidR="000A2587" w:rsidRPr="000A2587" w:rsidRDefault="00E06B0C" w:rsidP="006E6284">
      <w:pPr>
        <w:spacing w:line="360" w:lineRule="auto"/>
        <w:rPr>
          <w:rFonts w:ascii="Times New Roman" w:hAnsi="Times New Roman" w:cs="Times New Roman"/>
          <w:b/>
          <w:bCs/>
          <w:sz w:val="24"/>
          <w:szCs w:val="24"/>
        </w:rPr>
      </w:pPr>
      <w:r w:rsidRPr="00E06B0C">
        <w:rPr>
          <w:rFonts w:ascii="Times New Roman" w:hAnsi="Times New Roman" w:cs="Times New Roman"/>
          <w:b/>
          <w:bCs/>
          <w:sz w:val="24"/>
          <w:szCs w:val="24"/>
        </w:rPr>
        <w:t xml:space="preserve">1.3 </w:t>
      </w:r>
      <w:r w:rsidR="000A2587" w:rsidRPr="000A2587">
        <w:rPr>
          <w:rFonts w:ascii="Times New Roman" w:hAnsi="Times New Roman" w:cs="Times New Roman"/>
          <w:b/>
          <w:bCs/>
          <w:sz w:val="24"/>
          <w:szCs w:val="24"/>
        </w:rPr>
        <w:t>Aims and Objectives </w:t>
      </w:r>
    </w:p>
    <w:p w14:paraId="17061363" w14:textId="77777777" w:rsidR="000A2587" w:rsidRPr="000A2587" w:rsidRDefault="000A2587" w:rsidP="006E6284">
      <w:pPr>
        <w:spacing w:line="360" w:lineRule="auto"/>
        <w:jc w:val="both"/>
        <w:rPr>
          <w:rFonts w:ascii="Times New Roman" w:hAnsi="Times New Roman" w:cs="Times New Roman"/>
          <w:sz w:val="24"/>
          <w:szCs w:val="24"/>
        </w:rPr>
      </w:pPr>
      <w:r w:rsidRPr="000A2587">
        <w:rPr>
          <w:rFonts w:ascii="Times New Roman" w:hAnsi="Times New Roman" w:cs="Times New Roman"/>
          <w:sz w:val="24"/>
          <w:szCs w:val="24"/>
        </w:rPr>
        <w:t>Aim:</w:t>
      </w:r>
    </w:p>
    <w:p w14:paraId="5F2280B3" w14:textId="77777777" w:rsidR="000A2587" w:rsidRPr="000A2587" w:rsidRDefault="000A2587" w:rsidP="006E6284">
      <w:pPr>
        <w:spacing w:line="360" w:lineRule="auto"/>
        <w:jc w:val="both"/>
        <w:rPr>
          <w:rFonts w:ascii="Times New Roman" w:hAnsi="Times New Roman" w:cs="Times New Roman"/>
          <w:sz w:val="24"/>
          <w:szCs w:val="24"/>
        </w:rPr>
      </w:pPr>
      <w:r w:rsidRPr="000A2587">
        <w:rPr>
          <w:rFonts w:ascii="Times New Roman" w:hAnsi="Times New Roman" w:cs="Times New Roman"/>
          <w:sz w:val="24"/>
          <w:szCs w:val="24"/>
        </w:rPr>
        <w:t xml:space="preserve">To critically evaluate cybersecurity frameworks and develop an integrated governance, security, and compliance model that enhances </w:t>
      </w:r>
      <w:proofErr w:type="spellStart"/>
      <w:r w:rsidRPr="000A2587">
        <w:rPr>
          <w:rFonts w:ascii="Times New Roman" w:hAnsi="Times New Roman" w:cs="Times New Roman"/>
          <w:sz w:val="24"/>
          <w:szCs w:val="24"/>
        </w:rPr>
        <w:t>FinSure</w:t>
      </w:r>
      <w:proofErr w:type="spellEnd"/>
      <w:r w:rsidRPr="000A2587">
        <w:rPr>
          <w:rFonts w:ascii="Times New Roman" w:hAnsi="Times New Roman" w:cs="Times New Roman"/>
          <w:sz w:val="24"/>
          <w:szCs w:val="24"/>
        </w:rPr>
        <w:t xml:space="preserve"> Bank’s resilience, risk management, and regulatory alignment.</w:t>
      </w:r>
    </w:p>
    <w:p w14:paraId="49B034A9" w14:textId="77777777" w:rsidR="000A2587" w:rsidRPr="000A2587" w:rsidRDefault="000A2587" w:rsidP="006E6284">
      <w:pPr>
        <w:spacing w:line="360" w:lineRule="auto"/>
        <w:jc w:val="both"/>
        <w:rPr>
          <w:rFonts w:ascii="Times New Roman" w:hAnsi="Times New Roman" w:cs="Times New Roman"/>
          <w:sz w:val="24"/>
          <w:szCs w:val="24"/>
        </w:rPr>
      </w:pPr>
      <w:r w:rsidRPr="000A2587">
        <w:rPr>
          <w:rFonts w:ascii="Times New Roman" w:hAnsi="Times New Roman" w:cs="Times New Roman"/>
          <w:sz w:val="24"/>
          <w:szCs w:val="24"/>
        </w:rPr>
        <w:t>Objectives:</w:t>
      </w:r>
    </w:p>
    <w:p w14:paraId="07E104E0" w14:textId="77777777" w:rsidR="000A2587" w:rsidRPr="00B6207C" w:rsidRDefault="000A2587" w:rsidP="00B6207C">
      <w:pPr>
        <w:pStyle w:val="ListParagraph"/>
        <w:numPr>
          <w:ilvl w:val="0"/>
          <w:numId w:val="6"/>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Critically analyse established cybersecurity frameworks and models</w:t>
      </w:r>
    </w:p>
    <w:p w14:paraId="5E84B1CE" w14:textId="77777777" w:rsidR="000A2587" w:rsidRPr="00B6207C" w:rsidRDefault="000A2587" w:rsidP="00B6207C">
      <w:pPr>
        <w:pStyle w:val="ListParagraph"/>
        <w:numPr>
          <w:ilvl w:val="0"/>
          <w:numId w:val="6"/>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 xml:space="preserve">Assess </w:t>
      </w:r>
      <w:proofErr w:type="spellStart"/>
      <w:r w:rsidRPr="00B6207C">
        <w:rPr>
          <w:rFonts w:ascii="Times New Roman" w:hAnsi="Times New Roman" w:cs="Times New Roman"/>
          <w:sz w:val="24"/>
          <w:szCs w:val="24"/>
        </w:rPr>
        <w:t>FinSure</w:t>
      </w:r>
      <w:proofErr w:type="spellEnd"/>
      <w:r w:rsidRPr="00B6207C">
        <w:rPr>
          <w:rFonts w:ascii="Times New Roman" w:hAnsi="Times New Roman" w:cs="Times New Roman"/>
          <w:sz w:val="24"/>
          <w:szCs w:val="24"/>
        </w:rPr>
        <w:t xml:space="preserve"> Bank’s current security, governance, and compliance gaps</w:t>
      </w:r>
    </w:p>
    <w:p w14:paraId="23A62107" w14:textId="77777777" w:rsidR="000A2587" w:rsidRPr="00B6207C" w:rsidRDefault="000A2587" w:rsidP="00B6207C">
      <w:pPr>
        <w:pStyle w:val="ListParagraph"/>
        <w:numPr>
          <w:ilvl w:val="0"/>
          <w:numId w:val="6"/>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Design a tailored, integrated governance and security framework</w:t>
      </w:r>
    </w:p>
    <w:p w14:paraId="374DC051" w14:textId="77777777" w:rsidR="000A2587" w:rsidRPr="00B6207C" w:rsidRDefault="000A2587" w:rsidP="00B6207C">
      <w:pPr>
        <w:pStyle w:val="ListParagraph"/>
        <w:numPr>
          <w:ilvl w:val="0"/>
          <w:numId w:val="6"/>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Evaluate the role of evolving regulations and standards in cybersecurity</w:t>
      </w:r>
    </w:p>
    <w:p w14:paraId="3A3FD9FD" w14:textId="002E638B" w:rsidR="000A2587" w:rsidRPr="00E525BE" w:rsidRDefault="000A2587" w:rsidP="006E6284">
      <w:pPr>
        <w:pStyle w:val="ListParagraph"/>
        <w:numPr>
          <w:ilvl w:val="0"/>
          <w:numId w:val="6"/>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Recommend practical, scalable solutions to improve organisational security maturity</w:t>
      </w:r>
    </w:p>
    <w:p w14:paraId="3E9A9D9F" w14:textId="69CDD43C" w:rsidR="000A2587" w:rsidRPr="000A2587" w:rsidRDefault="00E06B0C" w:rsidP="006E6284">
      <w:pPr>
        <w:spacing w:line="360" w:lineRule="auto"/>
        <w:rPr>
          <w:rFonts w:ascii="Times New Roman" w:hAnsi="Times New Roman" w:cs="Times New Roman"/>
          <w:b/>
          <w:bCs/>
          <w:sz w:val="24"/>
          <w:szCs w:val="24"/>
        </w:rPr>
      </w:pPr>
      <w:r w:rsidRPr="00E06B0C">
        <w:rPr>
          <w:rFonts w:ascii="Times New Roman" w:hAnsi="Times New Roman" w:cs="Times New Roman"/>
          <w:b/>
          <w:bCs/>
          <w:sz w:val="24"/>
          <w:szCs w:val="24"/>
        </w:rPr>
        <w:lastRenderedPageBreak/>
        <w:t xml:space="preserve">1.4 </w:t>
      </w:r>
      <w:r w:rsidR="000A2587" w:rsidRPr="000A2587">
        <w:rPr>
          <w:rFonts w:ascii="Times New Roman" w:hAnsi="Times New Roman" w:cs="Times New Roman"/>
          <w:b/>
          <w:bCs/>
          <w:sz w:val="24"/>
          <w:szCs w:val="24"/>
        </w:rPr>
        <w:t>Scope of the study</w:t>
      </w:r>
    </w:p>
    <w:p w14:paraId="4C9DA704" w14:textId="77777777" w:rsidR="000A2587" w:rsidRPr="000A2587" w:rsidRDefault="000A2587" w:rsidP="006E6284">
      <w:pPr>
        <w:spacing w:line="360" w:lineRule="auto"/>
        <w:jc w:val="both"/>
        <w:rPr>
          <w:rFonts w:ascii="Times New Roman" w:hAnsi="Times New Roman" w:cs="Times New Roman"/>
          <w:sz w:val="24"/>
          <w:szCs w:val="24"/>
        </w:rPr>
      </w:pPr>
      <w:r w:rsidRPr="000A2587">
        <w:rPr>
          <w:rFonts w:ascii="Times New Roman" w:hAnsi="Times New Roman" w:cs="Times New Roman"/>
          <w:sz w:val="24"/>
          <w:szCs w:val="24"/>
        </w:rPr>
        <w:t xml:space="preserve">This study focuses on evaluating cybersecurity governance, risk management, and compliance within </w:t>
      </w:r>
      <w:proofErr w:type="spellStart"/>
      <w:r w:rsidRPr="000A2587">
        <w:rPr>
          <w:rFonts w:ascii="Times New Roman" w:hAnsi="Times New Roman" w:cs="Times New Roman"/>
          <w:sz w:val="24"/>
          <w:szCs w:val="24"/>
        </w:rPr>
        <w:t>FinSure</w:t>
      </w:r>
      <w:proofErr w:type="spellEnd"/>
      <w:r w:rsidRPr="000A2587">
        <w:rPr>
          <w:rFonts w:ascii="Times New Roman" w:hAnsi="Times New Roman" w:cs="Times New Roman"/>
          <w:sz w:val="24"/>
          <w:szCs w:val="24"/>
        </w:rPr>
        <w:t xml:space="preserve"> Bank’s cloud-based and BYOD environment. It examines relevant frameworks, identifies organisational gaps, and proposes a tailored security model aligned with regulatory requirements, excluding detailed technical implementation.</w:t>
      </w:r>
    </w:p>
    <w:p w14:paraId="571D1E84" w14:textId="77777777" w:rsidR="000A2587" w:rsidRPr="000A2587" w:rsidRDefault="000A2587" w:rsidP="006E6284">
      <w:pPr>
        <w:spacing w:line="360" w:lineRule="auto"/>
        <w:rPr>
          <w:rFonts w:ascii="Times New Roman" w:hAnsi="Times New Roman" w:cs="Times New Roman"/>
          <w:sz w:val="24"/>
          <w:szCs w:val="24"/>
        </w:rPr>
      </w:pPr>
    </w:p>
    <w:p w14:paraId="13289488" w14:textId="1BA43F0A" w:rsidR="000A2587" w:rsidRPr="000A2587" w:rsidRDefault="00E06B0C" w:rsidP="006E6284">
      <w:pPr>
        <w:spacing w:line="360" w:lineRule="auto"/>
        <w:rPr>
          <w:rFonts w:ascii="Times New Roman" w:hAnsi="Times New Roman" w:cs="Times New Roman"/>
          <w:b/>
          <w:bCs/>
          <w:sz w:val="24"/>
          <w:szCs w:val="24"/>
        </w:rPr>
      </w:pPr>
      <w:r w:rsidRPr="00E06B0C">
        <w:rPr>
          <w:rFonts w:ascii="Times New Roman" w:hAnsi="Times New Roman" w:cs="Times New Roman"/>
          <w:b/>
          <w:bCs/>
          <w:sz w:val="24"/>
          <w:szCs w:val="24"/>
        </w:rPr>
        <w:t xml:space="preserve">1.5 </w:t>
      </w:r>
      <w:r w:rsidR="000A2587" w:rsidRPr="000A2587">
        <w:rPr>
          <w:rFonts w:ascii="Times New Roman" w:hAnsi="Times New Roman" w:cs="Times New Roman"/>
          <w:b/>
          <w:bCs/>
          <w:sz w:val="24"/>
          <w:szCs w:val="24"/>
        </w:rPr>
        <w:t>Assumptions </w:t>
      </w:r>
    </w:p>
    <w:p w14:paraId="16D6F26F" w14:textId="77777777" w:rsidR="000A2587" w:rsidRPr="000A2587" w:rsidRDefault="000A2587" w:rsidP="006E6284">
      <w:pPr>
        <w:spacing w:line="360" w:lineRule="auto"/>
        <w:jc w:val="both"/>
        <w:rPr>
          <w:rFonts w:ascii="Times New Roman" w:hAnsi="Times New Roman" w:cs="Times New Roman"/>
          <w:sz w:val="24"/>
          <w:szCs w:val="24"/>
        </w:rPr>
      </w:pPr>
      <w:proofErr w:type="spellStart"/>
      <w:r w:rsidRPr="000A2587">
        <w:rPr>
          <w:rFonts w:ascii="Times New Roman" w:hAnsi="Times New Roman" w:cs="Times New Roman"/>
          <w:sz w:val="24"/>
          <w:szCs w:val="24"/>
        </w:rPr>
        <w:t>FinSure</w:t>
      </w:r>
      <w:proofErr w:type="spellEnd"/>
      <w:r w:rsidRPr="000A2587">
        <w:rPr>
          <w:rFonts w:ascii="Times New Roman" w:hAnsi="Times New Roman" w:cs="Times New Roman"/>
          <w:sz w:val="24"/>
          <w:szCs w:val="24"/>
        </w:rPr>
        <w:t xml:space="preserve"> Bank operates as a medium-to-large, cloud-first financial institution with international operations</w:t>
      </w:r>
    </w:p>
    <w:p w14:paraId="4F1F5BAC" w14:textId="77777777" w:rsidR="000A2587" w:rsidRPr="00B6207C" w:rsidRDefault="000A2587" w:rsidP="00B6207C">
      <w:pPr>
        <w:pStyle w:val="ListParagraph"/>
        <w:numPr>
          <w:ilvl w:val="0"/>
          <w:numId w:val="7"/>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BYOD is widely adopted across employees, contractors, and third-party partners</w:t>
      </w:r>
    </w:p>
    <w:p w14:paraId="010CBD0A" w14:textId="77777777" w:rsidR="000A2587" w:rsidRPr="00B6207C" w:rsidRDefault="000A2587" w:rsidP="00B6207C">
      <w:pPr>
        <w:pStyle w:val="ListParagraph"/>
        <w:numPr>
          <w:ilvl w:val="0"/>
          <w:numId w:val="7"/>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Existing security maturity is low-to-moderate with fragmented governance</w:t>
      </w:r>
    </w:p>
    <w:p w14:paraId="60BCDD28" w14:textId="77777777" w:rsidR="000A2587" w:rsidRPr="00B6207C" w:rsidRDefault="000A2587" w:rsidP="00B6207C">
      <w:pPr>
        <w:pStyle w:val="ListParagraph"/>
        <w:numPr>
          <w:ilvl w:val="0"/>
          <w:numId w:val="7"/>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The organisation must comply with GDPR and financial-sector regulations</w:t>
      </w:r>
    </w:p>
    <w:p w14:paraId="487D2E09" w14:textId="77777777" w:rsidR="000A2587" w:rsidRPr="00B6207C" w:rsidRDefault="000A2587" w:rsidP="00B6207C">
      <w:pPr>
        <w:pStyle w:val="ListParagraph"/>
        <w:numPr>
          <w:ilvl w:val="0"/>
          <w:numId w:val="7"/>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Sufficient resources are available to implement industry-standard frameworks</w:t>
      </w:r>
    </w:p>
    <w:p w14:paraId="055BE0CC" w14:textId="77777777" w:rsidR="000A2587" w:rsidRPr="00B6207C" w:rsidRDefault="000A2587" w:rsidP="00B6207C">
      <w:pPr>
        <w:pStyle w:val="ListParagraph"/>
        <w:numPr>
          <w:ilvl w:val="0"/>
          <w:numId w:val="7"/>
        </w:numPr>
        <w:spacing w:line="360" w:lineRule="auto"/>
        <w:jc w:val="both"/>
        <w:rPr>
          <w:rFonts w:ascii="Times New Roman" w:hAnsi="Times New Roman" w:cs="Times New Roman"/>
          <w:sz w:val="24"/>
          <w:szCs w:val="24"/>
        </w:rPr>
      </w:pPr>
      <w:r w:rsidRPr="00B6207C">
        <w:rPr>
          <w:rFonts w:ascii="Times New Roman" w:hAnsi="Times New Roman" w:cs="Times New Roman"/>
          <w:sz w:val="24"/>
          <w:szCs w:val="24"/>
        </w:rPr>
        <w:t>Senior management supports improvements in security governance and compliance</w:t>
      </w:r>
    </w:p>
    <w:p w14:paraId="16CA183F" w14:textId="77777777" w:rsidR="00E06B0C" w:rsidRDefault="00E06B0C" w:rsidP="006E6284">
      <w:pPr>
        <w:spacing w:line="360" w:lineRule="auto"/>
        <w:rPr>
          <w:rFonts w:ascii="Times New Roman" w:hAnsi="Times New Roman" w:cs="Times New Roman"/>
          <w:b/>
          <w:bCs/>
          <w:sz w:val="28"/>
          <w:szCs w:val="28"/>
        </w:rPr>
      </w:pPr>
    </w:p>
    <w:p w14:paraId="45D9C0AE" w14:textId="77777777" w:rsidR="006E6284" w:rsidRDefault="006E6284" w:rsidP="006E6284">
      <w:pPr>
        <w:spacing w:line="360" w:lineRule="auto"/>
        <w:rPr>
          <w:rFonts w:ascii="Times New Roman" w:hAnsi="Times New Roman" w:cs="Times New Roman"/>
          <w:b/>
          <w:bCs/>
          <w:sz w:val="28"/>
          <w:szCs w:val="28"/>
        </w:rPr>
      </w:pPr>
    </w:p>
    <w:p w14:paraId="1C7FC1B9" w14:textId="77777777" w:rsidR="006E6284" w:rsidRDefault="006E6284" w:rsidP="006E6284">
      <w:pPr>
        <w:spacing w:line="360" w:lineRule="auto"/>
        <w:rPr>
          <w:rFonts w:ascii="Times New Roman" w:hAnsi="Times New Roman" w:cs="Times New Roman"/>
          <w:b/>
          <w:bCs/>
          <w:sz w:val="28"/>
          <w:szCs w:val="28"/>
        </w:rPr>
      </w:pPr>
    </w:p>
    <w:p w14:paraId="29A9D03F" w14:textId="77777777" w:rsidR="006E6284" w:rsidRDefault="006E6284" w:rsidP="006E6284">
      <w:pPr>
        <w:spacing w:line="360" w:lineRule="auto"/>
        <w:rPr>
          <w:rFonts w:ascii="Times New Roman" w:hAnsi="Times New Roman" w:cs="Times New Roman"/>
          <w:b/>
          <w:bCs/>
          <w:sz w:val="28"/>
          <w:szCs w:val="28"/>
        </w:rPr>
      </w:pPr>
    </w:p>
    <w:p w14:paraId="061663C3" w14:textId="77777777" w:rsidR="006E6284" w:rsidRDefault="006E6284" w:rsidP="006E6284">
      <w:pPr>
        <w:spacing w:line="360" w:lineRule="auto"/>
        <w:rPr>
          <w:rFonts w:ascii="Times New Roman" w:hAnsi="Times New Roman" w:cs="Times New Roman"/>
          <w:b/>
          <w:bCs/>
          <w:sz w:val="28"/>
          <w:szCs w:val="28"/>
        </w:rPr>
      </w:pPr>
    </w:p>
    <w:p w14:paraId="60735029" w14:textId="77777777" w:rsidR="006E6284" w:rsidRDefault="006E6284" w:rsidP="006E6284">
      <w:pPr>
        <w:spacing w:line="360" w:lineRule="auto"/>
        <w:rPr>
          <w:rFonts w:ascii="Times New Roman" w:hAnsi="Times New Roman" w:cs="Times New Roman"/>
          <w:b/>
          <w:bCs/>
          <w:sz w:val="28"/>
          <w:szCs w:val="28"/>
        </w:rPr>
      </w:pPr>
    </w:p>
    <w:p w14:paraId="53E09FFB" w14:textId="77777777" w:rsidR="006E6284" w:rsidRDefault="006E6284" w:rsidP="006E6284">
      <w:pPr>
        <w:spacing w:line="360" w:lineRule="auto"/>
        <w:rPr>
          <w:rFonts w:ascii="Times New Roman" w:hAnsi="Times New Roman" w:cs="Times New Roman"/>
          <w:b/>
          <w:bCs/>
          <w:sz w:val="28"/>
          <w:szCs w:val="28"/>
        </w:rPr>
      </w:pPr>
    </w:p>
    <w:p w14:paraId="4AAD56C9" w14:textId="77777777" w:rsidR="006E6284" w:rsidRDefault="006E6284" w:rsidP="006E6284">
      <w:pPr>
        <w:spacing w:line="360" w:lineRule="auto"/>
        <w:rPr>
          <w:rFonts w:ascii="Times New Roman" w:hAnsi="Times New Roman" w:cs="Times New Roman"/>
          <w:b/>
          <w:bCs/>
          <w:sz w:val="28"/>
          <w:szCs w:val="28"/>
        </w:rPr>
      </w:pPr>
    </w:p>
    <w:p w14:paraId="1DA9792F" w14:textId="77777777" w:rsidR="006E6284" w:rsidRDefault="006E6284" w:rsidP="006E6284">
      <w:pPr>
        <w:spacing w:line="360" w:lineRule="auto"/>
        <w:rPr>
          <w:rFonts w:ascii="Times New Roman" w:hAnsi="Times New Roman" w:cs="Times New Roman"/>
          <w:b/>
          <w:bCs/>
          <w:sz w:val="28"/>
          <w:szCs w:val="28"/>
        </w:rPr>
      </w:pPr>
    </w:p>
    <w:p w14:paraId="125C5211" w14:textId="77777777" w:rsidR="006E6284" w:rsidRDefault="006E6284" w:rsidP="006E6284">
      <w:pPr>
        <w:spacing w:line="360" w:lineRule="auto"/>
        <w:rPr>
          <w:rFonts w:ascii="Times New Roman" w:hAnsi="Times New Roman" w:cs="Times New Roman"/>
          <w:b/>
          <w:bCs/>
          <w:sz w:val="28"/>
          <w:szCs w:val="28"/>
        </w:rPr>
      </w:pPr>
    </w:p>
    <w:p w14:paraId="738063CE" w14:textId="77777777" w:rsidR="006E6284" w:rsidRDefault="006E6284" w:rsidP="006E6284">
      <w:pPr>
        <w:spacing w:line="360" w:lineRule="auto"/>
        <w:rPr>
          <w:rFonts w:ascii="Times New Roman" w:hAnsi="Times New Roman" w:cs="Times New Roman"/>
          <w:b/>
          <w:bCs/>
          <w:sz w:val="28"/>
          <w:szCs w:val="28"/>
        </w:rPr>
      </w:pPr>
    </w:p>
    <w:p w14:paraId="4F4E39CC" w14:textId="77777777" w:rsidR="006E6284" w:rsidRDefault="006E6284" w:rsidP="006E6284">
      <w:pPr>
        <w:spacing w:line="360" w:lineRule="auto"/>
        <w:rPr>
          <w:rFonts w:ascii="Times New Roman" w:hAnsi="Times New Roman" w:cs="Times New Roman"/>
          <w:b/>
          <w:bCs/>
          <w:sz w:val="28"/>
          <w:szCs w:val="28"/>
        </w:rPr>
      </w:pPr>
    </w:p>
    <w:p w14:paraId="542AEFB3" w14:textId="77777777" w:rsidR="00B6207C" w:rsidRDefault="00B6207C" w:rsidP="006E6284">
      <w:pPr>
        <w:spacing w:line="360" w:lineRule="auto"/>
        <w:rPr>
          <w:rFonts w:ascii="Times New Roman" w:hAnsi="Times New Roman" w:cs="Times New Roman"/>
          <w:b/>
          <w:bCs/>
          <w:sz w:val="28"/>
          <w:szCs w:val="28"/>
        </w:rPr>
      </w:pPr>
    </w:p>
    <w:p w14:paraId="60CCEF81" w14:textId="39A450A4" w:rsidR="00D84C70" w:rsidRPr="00B778B3" w:rsidRDefault="00D84C70" w:rsidP="006E6284">
      <w:pPr>
        <w:pStyle w:val="ListParagraph"/>
        <w:numPr>
          <w:ilvl w:val="0"/>
          <w:numId w:val="1"/>
        </w:numPr>
        <w:spacing w:line="360" w:lineRule="auto"/>
        <w:rPr>
          <w:rFonts w:ascii="Times New Roman" w:hAnsi="Times New Roman" w:cs="Times New Roman"/>
          <w:b/>
          <w:bCs/>
          <w:sz w:val="28"/>
          <w:szCs w:val="28"/>
        </w:rPr>
      </w:pPr>
      <w:r w:rsidRPr="00B778B3">
        <w:rPr>
          <w:rFonts w:ascii="Times New Roman" w:hAnsi="Times New Roman" w:cs="Times New Roman"/>
          <w:b/>
          <w:bCs/>
          <w:sz w:val="28"/>
          <w:szCs w:val="28"/>
        </w:rPr>
        <w:lastRenderedPageBreak/>
        <w:t>Literature Review</w:t>
      </w:r>
    </w:p>
    <w:p w14:paraId="3EB16E8E" w14:textId="77777777"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2.1 Cybersecurity Governance and Strategic Alignment</w:t>
      </w:r>
    </w:p>
    <w:p w14:paraId="37EB0691" w14:textId="0FEABAA6" w:rsidR="00B778B3" w:rsidRPr="00B778B3"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 xml:space="preserve">Cybersecurity governance extends beyond policy creation to encompass organisational structures, accountability, and decision-making processes that ensure security strategies align with business objectives </w:t>
      </w:r>
      <w:r w:rsidR="00EE76B5">
        <w:rPr>
          <w:rFonts w:ascii="Times New Roman" w:hAnsi="Times New Roman" w:cs="Times New Roman"/>
          <w:sz w:val="24"/>
          <w:szCs w:val="24"/>
        </w:rPr>
        <w:t>[1]</w:t>
      </w:r>
      <w:r w:rsidRPr="00B778B3">
        <w:rPr>
          <w:rFonts w:ascii="Times New Roman" w:hAnsi="Times New Roman" w:cs="Times New Roman"/>
          <w:sz w:val="24"/>
          <w:szCs w:val="24"/>
        </w:rPr>
        <w:t xml:space="preserve">. Recent studies argue that organisations lacking strategic alignment often adopt reactive approaches, resulting in fragmented security initiatives and misallocation of </w:t>
      </w:r>
      <w:r w:rsidR="00EE76B5" w:rsidRPr="00B778B3">
        <w:rPr>
          <w:rFonts w:ascii="Times New Roman" w:hAnsi="Times New Roman" w:cs="Times New Roman"/>
          <w:sz w:val="24"/>
          <w:szCs w:val="24"/>
        </w:rPr>
        <w:t>resources.</w:t>
      </w:r>
      <w:r w:rsidRPr="00B778B3">
        <w:rPr>
          <w:rFonts w:ascii="Times New Roman" w:hAnsi="Times New Roman" w:cs="Times New Roman"/>
          <w:sz w:val="24"/>
          <w:szCs w:val="24"/>
        </w:rPr>
        <w:t xml:space="preserve"> Conversely, companies with robust governance frameworks integrate cybersecurity into executive decision-making, enabling proactive risk mitigation and alignment with organisational priorities. Critically, while governance frameworks provide structure, their effectiveness depends on cultural adoption; even well-designed policies fail without executive support and staff engagement, highlighting the interplay between governance, leadership, and organisational behaviour</w:t>
      </w:r>
      <w:r w:rsidR="00EE76B5">
        <w:rPr>
          <w:rFonts w:ascii="Times New Roman" w:hAnsi="Times New Roman" w:cs="Times New Roman"/>
          <w:sz w:val="24"/>
          <w:szCs w:val="24"/>
        </w:rPr>
        <w:t xml:space="preserve"> [2]</w:t>
      </w:r>
      <w:r w:rsidRPr="00B778B3">
        <w:rPr>
          <w:rFonts w:ascii="Times New Roman" w:hAnsi="Times New Roman" w:cs="Times New Roman"/>
          <w:sz w:val="24"/>
          <w:szCs w:val="24"/>
        </w:rPr>
        <w:t>.</w:t>
      </w:r>
    </w:p>
    <w:p w14:paraId="4E67BF5E" w14:textId="5C751D13"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2.2 Security Frameworks and Organisational Maturity</w:t>
      </w:r>
    </w:p>
    <w:p w14:paraId="7D25590E" w14:textId="2A626BD3" w:rsidR="00B778B3" w:rsidRPr="00B778B3"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Structured security frameworks such as ISO/IEC 27001, NIST CSF, and CIS Controls provide both prescriptive guidance and a mechanism for evaluating organisational maturity. Research indicates a strong correlation between high maturity levels and reduced incidence of cyber events, as mature organisations exhibit standardised processes, formalised accountability, and integrated risk management</w:t>
      </w:r>
      <w:r w:rsidR="00EE76B5">
        <w:rPr>
          <w:rFonts w:ascii="Times New Roman" w:hAnsi="Times New Roman" w:cs="Times New Roman"/>
          <w:sz w:val="24"/>
          <w:szCs w:val="24"/>
        </w:rPr>
        <w:t xml:space="preserve"> [2]</w:t>
      </w:r>
      <w:r w:rsidRPr="00B778B3">
        <w:rPr>
          <w:rFonts w:ascii="Times New Roman" w:hAnsi="Times New Roman" w:cs="Times New Roman"/>
          <w:sz w:val="24"/>
          <w:szCs w:val="24"/>
        </w:rPr>
        <w:t>. However, literature also notes a limitation: rigid adherence to frameworks can lead to compliance-focused approaches that neglect dynamic threat landscapes. Consequently, the most effective organisations combine framework adherence with continuous improvement, embedding agility to respond to emerging threats while maintaining documented, auditable processes</w:t>
      </w:r>
      <w:r w:rsidR="00B6207C">
        <w:rPr>
          <w:rFonts w:ascii="Times New Roman" w:hAnsi="Times New Roman" w:cs="Times New Roman"/>
          <w:sz w:val="24"/>
          <w:szCs w:val="24"/>
        </w:rPr>
        <w:t xml:space="preserve"> [2]</w:t>
      </w:r>
      <w:r w:rsidRPr="00B778B3">
        <w:rPr>
          <w:rFonts w:ascii="Times New Roman" w:hAnsi="Times New Roman" w:cs="Times New Roman"/>
          <w:sz w:val="24"/>
          <w:szCs w:val="24"/>
        </w:rPr>
        <w:t>.</w:t>
      </w:r>
    </w:p>
    <w:p w14:paraId="1CD65B1C" w14:textId="77777777"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2.3 Cloud Security and Shared Responsibility Models</w:t>
      </w:r>
    </w:p>
    <w:p w14:paraId="6671FFBC" w14:textId="280A302B" w:rsidR="00B778B3" w:rsidRPr="00B778B3"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The migration to cloud services has shifted security responsibilities between providers and clients, necessitating a nuanced understanding of shared responsibility models. Misinterpretation of these responsibilities is a leading cause of breaches, often linked to misconfigurations and insufficient client-side controls</w:t>
      </w:r>
      <w:r w:rsidR="00EE76B5">
        <w:rPr>
          <w:rFonts w:ascii="Times New Roman" w:hAnsi="Times New Roman" w:cs="Times New Roman"/>
          <w:sz w:val="24"/>
          <w:szCs w:val="24"/>
        </w:rPr>
        <w:t xml:space="preserve"> [3]</w:t>
      </w:r>
      <w:r w:rsidRPr="00B778B3">
        <w:rPr>
          <w:rFonts w:ascii="Times New Roman" w:hAnsi="Times New Roman" w:cs="Times New Roman"/>
          <w:sz w:val="24"/>
          <w:szCs w:val="24"/>
        </w:rPr>
        <w:t>. Literature emphasises that effective cloud security requires formalised governance, automated monitoring, and integration of identity-centric controls to maintain data integrity across hybrid and multi-cloud environments. Notably, while cloud adoption offers scalability and resilience, it introduces complexity in monitoring and compliance, underscoring the need for organisations to reassess traditional security approaches and invest in cloud-specific competencies</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4</w:t>
      </w:r>
      <w:r w:rsidR="00EE76B5">
        <w:rPr>
          <w:rFonts w:ascii="Times New Roman" w:hAnsi="Times New Roman" w:cs="Times New Roman"/>
          <w:sz w:val="24"/>
          <w:szCs w:val="24"/>
        </w:rPr>
        <w:t>]</w:t>
      </w:r>
      <w:r w:rsidRPr="00B778B3">
        <w:rPr>
          <w:rFonts w:ascii="Times New Roman" w:hAnsi="Times New Roman" w:cs="Times New Roman"/>
          <w:sz w:val="24"/>
          <w:szCs w:val="24"/>
        </w:rPr>
        <w:t>.</w:t>
      </w:r>
    </w:p>
    <w:p w14:paraId="3E6CC2D6" w14:textId="77777777"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2.4 BYOD Security Challenges</w:t>
      </w:r>
    </w:p>
    <w:p w14:paraId="6D7B6907" w14:textId="2EAD8167" w:rsidR="00B778B3" w:rsidRPr="00B778B3"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 xml:space="preserve">Bring Your Own Device (BYOD) policies exemplify the tension between workforce flexibility and security risk. While enhancing productivity, BYOD significantly increases the attack surface, exposing organisations to malware, data leakage, and compliance violations </w:t>
      </w:r>
      <w:r w:rsidR="00EE76B5">
        <w:rPr>
          <w:rFonts w:ascii="Times New Roman" w:hAnsi="Times New Roman" w:cs="Times New Roman"/>
          <w:sz w:val="24"/>
          <w:szCs w:val="24"/>
        </w:rPr>
        <w:t>[</w:t>
      </w:r>
      <w:r w:rsidR="009B0345">
        <w:rPr>
          <w:rFonts w:ascii="Times New Roman" w:hAnsi="Times New Roman" w:cs="Times New Roman"/>
          <w:sz w:val="24"/>
          <w:szCs w:val="24"/>
        </w:rPr>
        <w:t>5</w:t>
      </w:r>
      <w:r w:rsidR="00EE76B5">
        <w:rPr>
          <w:rFonts w:ascii="Times New Roman" w:hAnsi="Times New Roman" w:cs="Times New Roman"/>
          <w:sz w:val="24"/>
          <w:szCs w:val="24"/>
        </w:rPr>
        <w:t>]</w:t>
      </w:r>
      <w:r w:rsidRPr="00B778B3">
        <w:rPr>
          <w:rFonts w:ascii="Times New Roman" w:hAnsi="Times New Roman" w:cs="Times New Roman"/>
          <w:sz w:val="24"/>
          <w:szCs w:val="24"/>
        </w:rPr>
        <w:t xml:space="preserve">. Research demonstrates that technical controls alone </w:t>
      </w:r>
      <w:r w:rsidRPr="00B778B3">
        <w:rPr>
          <w:rFonts w:ascii="Times New Roman" w:hAnsi="Times New Roman" w:cs="Times New Roman"/>
          <w:sz w:val="24"/>
          <w:szCs w:val="24"/>
        </w:rPr>
        <w:lastRenderedPageBreak/>
        <w:t>are insufficient; effective BYOD strategies integrate Mobile Device Management, endpoint security, encryption, access controls, and ongoing employee training</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5</w:t>
      </w:r>
      <w:r w:rsidR="00EE76B5">
        <w:rPr>
          <w:rFonts w:ascii="Times New Roman" w:hAnsi="Times New Roman" w:cs="Times New Roman"/>
          <w:sz w:val="24"/>
          <w:szCs w:val="24"/>
        </w:rPr>
        <w:t>]</w:t>
      </w:r>
      <w:r w:rsidRPr="00B778B3">
        <w:rPr>
          <w:rFonts w:ascii="Times New Roman" w:hAnsi="Times New Roman" w:cs="Times New Roman"/>
          <w:sz w:val="24"/>
          <w:szCs w:val="24"/>
        </w:rPr>
        <w:t>. Critically, literature suggests that the success of BYOD programs depends on balancing organisational control with user autonomy, reflecting a broader trend in cybersecurity research: effective security requires harmonising technological, procedural, and human factors.</w:t>
      </w:r>
    </w:p>
    <w:p w14:paraId="327910DA" w14:textId="77777777"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2.5 Regulatory Compliance and Data Protection</w:t>
      </w:r>
    </w:p>
    <w:p w14:paraId="698856D5" w14:textId="2529659F" w:rsidR="00B778B3" w:rsidRPr="00B778B3"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 xml:space="preserve">Regulatory frameworks such as GDPR, HIPAA, and PCI DSS provide critical benchmarks for protecting sensitive information, yet literature consistently argues that compliance does not equate to security </w:t>
      </w:r>
      <w:r w:rsidR="00EE76B5">
        <w:rPr>
          <w:rFonts w:ascii="Times New Roman" w:hAnsi="Times New Roman" w:cs="Times New Roman"/>
          <w:sz w:val="24"/>
          <w:szCs w:val="24"/>
        </w:rPr>
        <w:t>[</w:t>
      </w:r>
      <w:r w:rsidR="009B0345">
        <w:rPr>
          <w:rFonts w:ascii="Times New Roman" w:hAnsi="Times New Roman" w:cs="Times New Roman"/>
          <w:sz w:val="24"/>
          <w:szCs w:val="24"/>
        </w:rPr>
        <w:t>6</w:t>
      </w:r>
      <w:r w:rsidR="00EE76B5">
        <w:rPr>
          <w:rFonts w:ascii="Times New Roman" w:hAnsi="Times New Roman" w:cs="Times New Roman"/>
          <w:sz w:val="24"/>
          <w:szCs w:val="24"/>
        </w:rPr>
        <w:t>]</w:t>
      </w:r>
      <w:r w:rsidRPr="00B778B3">
        <w:rPr>
          <w:rFonts w:ascii="Times New Roman" w:hAnsi="Times New Roman" w:cs="Times New Roman"/>
          <w:sz w:val="24"/>
          <w:szCs w:val="24"/>
        </w:rPr>
        <w:t>. Organisations that pursue compliance in isolation may overlook emerging threats, highlighting the importance of integrating legal mandates with proactive risk management. Studies further show that adopting data protection measures such as encryption, privacy-by-design, and secure storage not only ensures legal compliance but also enhances stakeholder trust and reduces the financial and reputational consequences of breaches. This reflects a growing consensus that regulatory adherence must be complemented by strategic, forward-looking security practices</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6</w:t>
      </w:r>
      <w:r w:rsidR="00EE76B5">
        <w:rPr>
          <w:rFonts w:ascii="Times New Roman" w:hAnsi="Times New Roman" w:cs="Times New Roman"/>
          <w:sz w:val="24"/>
          <w:szCs w:val="24"/>
        </w:rPr>
        <w:t>]</w:t>
      </w:r>
      <w:r w:rsidRPr="00B778B3">
        <w:rPr>
          <w:rFonts w:ascii="Times New Roman" w:hAnsi="Times New Roman" w:cs="Times New Roman"/>
          <w:sz w:val="24"/>
          <w:szCs w:val="24"/>
        </w:rPr>
        <w:t>.</w:t>
      </w:r>
    </w:p>
    <w:p w14:paraId="2E7808D7" w14:textId="1DBC1DF7"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2.6 Risk Management and Continuous Monitoring</w:t>
      </w:r>
    </w:p>
    <w:p w14:paraId="5F831E7D" w14:textId="05FAB8EA" w:rsidR="00E525BE" w:rsidRPr="00B778B3"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Risk management and continuous monitoring are foundational to resilient cybersecurity. By identifying, prioritising, and mitigating threats, organisations can reduce the likelihood and impact of incidents. Literature emphasises the role of Security Information and Event Management (SIEM) systems and advanced analytics in providing real-time situational awareness, enabling swift and informed decision-making</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7</w:t>
      </w:r>
      <w:r w:rsidR="00EE76B5">
        <w:rPr>
          <w:rFonts w:ascii="Times New Roman" w:hAnsi="Times New Roman" w:cs="Times New Roman"/>
          <w:sz w:val="24"/>
          <w:szCs w:val="24"/>
        </w:rPr>
        <w:t>]</w:t>
      </w:r>
      <w:r w:rsidRPr="00B778B3">
        <w:rPr>
          <w:rFonts w:ascii="Times New Roman" w:hAnsi="Times New Roman" w:cs="Times New Roman"/>
          <w:sz w:val="24"/>
          <w:szCs w:val="24"/>
        </w:rPr>
        <w:t>. Importantly, effective monitoring supports strategic planning and regulatory compliance, offering actionable intelligence to adapt security policies dynamically. Critically, research identifies a gap in many organisations: while monitoring capabilities exist, they are often underutilised due to insufficient integration with risk assessment and response strategies.</w:t>
      </w:r>
    </w:p>
    <w:p w14:paraId="39D871A5" w14:textId="3D0D8489"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t>2.7 Zero Trust Architecture</w:t>
      </w:r>
    </w:p>
    <w:p w14:paraId="4211B7AE" w14:textId="3853D895" w:rsidR="00B6207C" w:rsidRPr="00E525BE"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Zero Trust Architecture (ZTA) represents a paradigm shift from perimeter-focused security to a model that assumes no implicit trust, requiring continuous authentication, authorisation, and micro-segmentation</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8</w:t>
      </w:r>
      <w:r w:rsidR="00EE76B5">
        <w:rPr>
          <w:rFonts w:ascii="Times New Roman" w:hAnsi="Times New Roman" w:cs="Times New Roman"/>
          <w:sz w:val="24"/>
          <w:szCs w:val="24"/>
        </w:rPr>
        <w:t>]</w:t>
      </w:r>
      <w:r w:rsidRPr="00B778B3">
        <w:rPr>
          <w:rFonts w:ascii="Times New Roman" w:hAnsi="Times New Roman" w:cs="Times New Roman"/>
          <w:sz w:val="24"/>
          <w:szCs w:val="24"/>
        </w:rPr>
        <w:t>. Literature demonstrates that ZTA mitigates insider threats, lateral movement, and credential compromise, particularly in hybrid and cloud environments. While implementation challenges exist—particularly in legacy systems—organisations adopting ZTA report enhanced visibility, granular access control, and improved resilience against sophisticated attacks. This aligns with the broader trend towards identity-centric, adaptive security models that integrate technological controls with continuous monitoring and policy enforcement</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8</w:t>
      </w:r>
      <w:r w:rsidR="00EE76B5">
        <w:rPr>
          <w:rFonts w:ascii="Times New Roman" w:hAnsi="Times New Roman" w:cs="Times New Roman"/>
          <w:sz w:val="24"/>
          <w:szCs w:val="24"/>
        </w:rPr>
        <w:t>]</w:t>
      </w:r>
      <w:r w:rsidRPr="00B778B3">
        <w:rPr>
          <w:rFonts w:ascii="Times New Roman" w:hAnsi="Times New Roman" w:cs="Times New Roman"/>
          <w:sz w:val="24"/>
          <w:szCs w:val="24"/>
        </w:rPr>
        <w:t>.</w:t>
      </w:r>
    </w:p>
    <w:p w14:paraId="3A288622" w14:textId="77777777" w:rsidR="00B6207C" w:rsidRDefault="00B6207C" w:rsidP="006E6284">
      <w:pPr>
        <w:spacing w:line="360" w:lineRule="auto"/>
        <w:jc w:val="both"/>
        <w:rPr>
          <w:rFonts w:ascii="Times New Roman" w:hAnsi="Times New Roman" w:cs="Times New Roman"/>
          <w:b/>
          <w:bCs/>
          <w:sz w:val="24"/>
          <w:szCs w:val="24"/>
        </w:rPr>
      </w:pPr>
    </w:p>
    <w:p w14:paraId="286ED9C3" w14:textId="77777777" w:rsidR="00890175" w:rsidRDefault="00890175" w:rsidP="006E6284">
      <w:pPr>
        <w:spacing w:line="360" w:lineRule="auto"/>
        <w:jc w:val="both"/>
        <w:rPr>
          <w:rFonts w:ascii="Times New Roman" w:hAnsi="Times New Roman" w:cs="Times New Roman"/>
          <w:b/>
          <w:bCs/>
          <w:sz w:val="24"/>
          <w:szCs w:val="24"/>
        </w:rPr>
      </w:pPr>
    </w:p>
    <w:p w14:paraId="0DB99018" w14:textId="3CC05924" w:rsidR="00B778B3" w:rsidRPr="00B778B3" w:rsidRDefault="00B778B3" w:rsidP="006E6284">
      <w:pPr>
        <w:spacing w:line="360" w:lineRule="auto"/>
        <w:jc w:val="both"/>
        <w:rPr>
          <w:rFonts w:ascii="Times New Roman" w:hAnsi="Times New Roman" w:cs="Times New Roman"/>
          <w:b/>
          <w:bCs/>
          <w:sz w:val="24"/>
          <w:szCs w:val="24"/>
        </w:rPr>
      </w:pPr>
      <w:r w:rsidRPr="00B778B3">
        <w:rPr>
          <w:rFonts w:ascii="Times New Roman" w:hAnsi="Times New Roman" w:cs="Times New Roman"/>
          <w:b/>
          <w:bCs/>
          <w:sz w:val="24"/>
          <w:szCs w:val="24"/>
        </w:rPr>
        <w:lastRenderedPageBreak/>
        <w:t>2.8 Summary of Findings</w:t>
      </w:r>
    </w:p>
    <w:p w14:paraId="4F8176A1" w14:textId="3A68E1F8" w:rsidR="00AC5854" w:rsidRDefault="00B778B3" w:rsidP="006E6284">
      <w:pPr>
        <w:spacing w:line="360" w:lineRule="auto"/>
        <w:jc w:val="both"/>
        <w:rPr>
          <w:rFonts w:ascii="Times New Roman" w:hAnsi="Times New Roman" w:cs="Times New Roman"/>
          <w:sz w:val="24"/>
          <w:szCs w:val="24"/>
        </w:rPr>
      </w:pPr>
      <w:r w:rsidRPr="00B778B3">
        <w:rPr>
          <w:rFonts w:ascii="Times New Roman" w:hAnsi="Times New Roman" w:cs="Times New Roman"/>
          <w:sz w:val="24"/>
          <w:szCs w:val="24"/>
        </w:rPr>
        <w:t>The literature reveals that effective cybersecurity is inherently multi-dimensional, requiring strategic governance, mature frameworks, technological adaptation, and cultural integration. Cloud adoption, BYOD, and dynamic threat landscapes necessitate adaptive risk management, continuous monitoring, and regulatory alignment. Emerging paradigms such as Zero Trust Architecture and automated monitoring are increasingly critical, offering granular, identity-centric controls that align with modern organisational needs</w:t>
      </w:r>
      <w:r w:rsidR="00EE76B5">
        <w:rPr>
          <w:rFonts w:ascii="Times New Roman" w:hAnsi="Times New Roman" w:cs="Times New Roman"/>
          <w:sz w:val="24"/>
          <w:szCs w:val="24"/>
        </w:rPr>
        <w:t xml:space="preserve"> [</w:t>
      </w:r>
      <w:r w:rsidR="009B0345">
        <w:rPr>
          <w:rFonts w:ascii="Times New Roman" w:hAnsi="Times New Roman" w:cs="Times New Roman"/>
          <w:sz w:val="24"/>
          <w:szCs w:val="24"/>
        </w:rPr>
        <w:t>20</w:t>
      </w:r>
      <w:r w:rsidR="00EE76B5">
        <w:rPr>
          <w:rFonts w:ascii="Times New Roman" w:hAnsi="Times New Roman" w:cs="Times New Roman"/>
          <w:sz w:val="24"/>
          <w:szCs w:val="24"/>
        </w:rPr>
        <w:t>]</w:t>
      </w:r>
      <w:r w:rsidRPr="00B778B3">
        <w:rPr>
          <w:rFonts w:ascii="Times New Roman" w:hAnsi="Times New Roman" w:cs="Times New Roman"/>
          <w:sz w:val="24"/>
          <w:szCs w:val="24"/>
        </w:rPr>
        <w:t>. Critically, the most resilient organisations combine governance, technology, and human factors, demonstrating that cybersecurity is not a purely technical endeavour but a socio-technical system requiring continuous adaptation, strategic foresight, and proactive risk management.</w:t>
      </w:r>
    </w:p>
    <w:p w14:paraId="51EA7209" w14:textId="77777777" w:rsidR="006E6284" w:rsidRDefault="006E6284" w:rsidP="006E6284">
      <w:pPr>
        <w:spacing w:line="360" w:lineRule="auto"/>
        <w:jc w:val="both"/>
        <w:rPr>
          <w:rFonts w:ascii="Times New Roman" w:hAnsi="Times New Roman" w:cs="Times New Roman"/>
          <w:sz w:val="24"/>
          <w:szCs w:val="24"/>
        </w:rPr>
      </w:pPr>
    </w:p>
    <w:p w14:paraId="7E6B1F77" w14:textId="77777777" w:rsidR="006E6284" w:rsidRDefault="006E6284" w:rsidP="006E6284">
      <w:pPr>
        <w:spacing w:line="360" w:lineRule="auto"/>
        <w:jc w:val="both"/>
        <w:rPr>
          <w:rFonts w:ascii="Times New Roman" w:hAnsi="Times New Roman" w:cs="Times New Roman"/>
          <w:sz w:val="24"/>
          <w:szCs w:val="24"/>
        </w:rPr>
      </w:pPr>
    </w:p>
    <w:p w14:paraId="7ECE1005" w14:textId="77777777" w:rsidR="006E6284" w:rsidRDefault="006E6284" w:rsidP="006E6284">
      <w:pPr>
        <w:spacing w:line="360" w:lineRule="auto"/>
        <w:jc w:val="both"/>
        <w:rPr>
          <w:rFonts w:ascii="Times New Roman" w:hAnsi="Times New Roman" w:cs="Times New Roman"/>
          <w:sz w:val="24"/>
          <w:szCs w:val="24"/>
        </w:rPr>
      </w:pPr>
    </w:p>
    <w:p w14:paraId="1B5A9F3D" w14:textId="77777777" w:rsidR="006E6284" w:rsidRDefault="006E6284" w:rsidP="006E6284">
      <w:pPr>
        <w:spacing w:line="360" w:lineRule="auto"/>
        <w:jc w:val="both"/>
        <w:rPr>
          <w:rFonts w:ascii="Times New Roman" w:hAnsi="Times New Roman" w:cs="Times New Roman"/>
          <w:sz w:val="24"/>
          <w:szCs w:val="24"/>
        </w:rPr>
      </w:pPr>
    </w:p>
    <w:p w14:paraId="33E4013D" w14:textId="77777777" w:rsidR="006E6284" w:rsidRDefault="006E6284" w:rsidP="006E6284">
      <w:pPr>
        <w:spacing w:line="360" w:lineRule="auto"/>
        <w:jc w:val="both"/>
        <w:rPr>
          <w:rFonts w:ascii="Times New Roman" w:hAnsi="Times New Roman" w:cs="Times New Roman"/>
          <w:sz w:val="24"/>
          <w:szCs w:val="24"/>
        </w:rPr>
      </w:pPr>
    </w:p>
    <w:p w14:paraId="07746131" w14:textId="77777777" w:rsidR="006E6284" w:rsidRDefault="006E6284" w:rsidP="006E6284">
      <w:pPr>
        <w:spacing w:line="360" w:lineRule="auto"/>
        <w:jc w:val="both"/>
        <w:rPr>
          <w:rFonts w:ascii="Times New Roman" w:hAnsi="Times New Roman" w:cs="Times New Roman"/>
          <w:sz w:val="24"/>
          <w:szCs w:val="24"/>
        </w:rPr>
      </w:pPr>
    </w:p>
    <w:p w14:paraId="1265C1CB" w14:textId="77777777" w:rsidR="006E6284" w:rsidRDefault="006E6284" w:rsidP="006E6284">
      <w:pPr>
        <w:spacing w:line="360" w:lineRule="auto"/>
        <w:jc w:val="both"/>
        <w:rPr>
          <w:rFonts w:ascii="Times New Roman" w:hAnsi="Times New Roman" w:cs="Times New Roman"/>
          <w:sz w:val="24"/>
          <w:szCs w:val="24"/>
        </w:rPr>
      </w:pPr>
    </w:p>
    <w:p w14:paraId="70BB2860" w14:textId="77777777" w:rsidR="006E6284" w:rsidRDefault="006E6284" w:rsidP="006E6284">
      <w:pPr>
        <w:spacing w:line="360" w:lineRule="auto"/>
        <w:jc w:val="both"/>
        <w:rPr>
          <w:rFonts w:ascii="Times New Roman" w:hAnsi="Times New Roman" w:cs="Times New Roman"/>
          <w:sz w:val="24"/>
          <w:szCs w:val="24"/>
        </w:rPr>
      </w:pPr>
    </w:p>
    <w:p w14:paraId="0C1DF0CB" w14:textId="77777777" w:rsidR="006E6284" w:rsidRDefault="006E6284" w:rsidP="006E6284">
      <w:pPr>
        <w:spacing w:line="360" w:lineRule="auto"/>
        <w:jc w:val="both"/>
        <w:rPr>
          <w:rFonts w:ascii="Times New Roman" w:hAnsi="Times New Roman" w:cs="Times New Roman"/>
          <w:sz w:val="24"/>
          <w:szCs w:val="24"/>
        </w:rPr>
      </w:pPr>
    </w:p>
    <w:p w14:paraId="0CF9FBAB" w14:textId="77777777" w:rsidR="006E6284" w:rsidRDefault="006E6284" w:rsidP="006E6284">
      <w:pPr>
        <w:spacing w:line="360" w:lineRule="auto"/>
        <w:jc w:val="both"/>
        <w:rPr>
          <w:rFonts w:ascii="Times New Roman" w:hAnsi="Times New Roman" w:cs="Times New Roman"/>
          <w:sz w:val="24"/>
          <w:szCs w:val="24"/>
        </w:rPr>
      </w:pPr>
    </w:p>
    <w:p w14:paraId="72A171AC" w14:textId="77777777" w:rsidR="00E525BE" w:rsidRDefault="00E525BE" w:rsidP="006E6284">
      <w:pPr>
        <w:spacing w:line="360" w:lineRule="auto"/>
        <w:jc w:val="both"/>
        <w:rPr>
          <w:rFonts w:ascii="Times New Roman" w:hAnsi="Times New Roman" w:cs="Times New Roman"/>
          <w:sz w:val="24"/>
          <w:szCs w:val="24"/>
        </w:rPr>
      </w:pPr>
    </w:p>
    <w:p w14:paraId="11E1A6E5" w14:textId="77777777" w:rsidR="009B0345" w:rsidRDefault="009B0345" w:rsidP="006E6284">
      <w:pPr>
        <w:spacing w:line="360" w:lineRule="auto"/>
        <w:jc w:val="both"/>
        <w:rPr>
          <w:rFonts w:ascii="Times New Roman" w:hAnsi="Times New Roman" w:cs="Times New Roman"/>
          <w:sz w:val="24"/>
          <w:szCs w:val="24"/>
        </w:rPr>
      </w:pPr>
    </w:p>
    <w:p w14:paraId="753B115F" w14:textId="77777777" w:rsidR="009B0345" w:rsidRDefault="009B0345" w:rsidP="006E6284">
      <w:pPr>
        <w:spacing w:line="360" w:lineRule="auto"/>
        <w:jc w:val="both"/>
        <w:rPr>
          <w:rFonts w:ascii="Times New Roman" w:hAnsi="Times New Roman" w:cs="Times New Roman"/>
          <w:sz w:val="24"/>
          <w:szCs w:val="24"/>
        </w:rPr>
      </w:pPr>
    </w:p>
    <w:p w14:paraId="53783385" w14:textId="77777777" w:rsidR="009B0345" w:rsidRDefault="009B0345" w:rsidP="006E6284">
      <w:pPr>
        <w:spacing w:line="360" w:lineRule="auto"/>
        <w:jc w:val="both"/>
        <w:rPr>
          <w:rFonts w:ascii="Times New Roman" w:hAnsi="Times New Roman" w:cs="Times New Roman"/>
          <w:sz w:val="24"/>
          <w:szCs w:val="24"/>
        </w:rPr>
      </w:pPr>
    </w:p>
    <w:p w14:paraId="2BC31464" w14:textId="77777777" w:rsidR="009B0345" w:rsidRDefault="009B0345" w:rsidP="006E6284">
      <w:pPr>
        <w:spacing w:line="360" w:lineRule="auto"/>
        <w:jc w:val="both"/>
        <w:rPr>
          <w:rFonts w:ascii="Times New Roman" w:hAnsi="Times New Roman" w:cs="Times New Roman"/>
          <w:sz w:val="24"/>
          <w:szCs w:val="24"/>
        </w:rPr>
      </w:pPr>
    </w:p>
    <w:p w14:paraId="5EB870C8" w14:textId="77777777" w:rsidR="009B0345" w:rsidRDefault="009B0345" w:rsidP="006E6284">
      <w:pPr>
        <w:spacing w:line="360" w:lineRule="auto"/>
        <w:jc w:val="both"/>
        <w:rPr>
          <w:rFonts w:ascii="Times New Roman" w:hAnsi="Times New Roman" w:cs="Times New Roman"/>
          <w:sz w:val="24"/>
          <w:szCs w:val="24"/>
        </w:rPr>
      </w:pPr>
    </w:p>
    <w:p w14:paraId="70AFF8E8" w14:textId="77777777" w:rsidR="009B0345" w:rsidRDefault="009B0345" w:rsidP="006E6284">
      <w:pPr>
        <w:spacing w:line="360" w:lineRule="auto"/>
        <w:jc w:val="both"/>
        <w:rPr>
          <w:rFonts w:ascii="Times New Roman" w:hAnsi="Times New Roman" w:cs="Times New Roman"/>
          <w:sz w:val="24"/>
          <w:szCs w:val="24"/>
        </w:rPr>
      </w:pPr>
    </w:p>
    <w:p w14:paraId="7CC82A54" w14:textId="77777777" w:rsidR="009B0345" w:rsidRDefault="009B0345" w:rsidP="006E6284">
      <w:pPr>
        <w:spacing w:line="360" w:lineRule="auto"/>
        <w:jc w:val="both"/>
        <w:rPr>
          <w:rFonts w:ascii="Times New Roman" w:hAnsi="Times New Roman" w:cs="Times New Roman"/>
          <w:sz w:val="24"/>
          <w:szCs w:val="24"/>
        </w:rPr>
      </w:pPr>
    </w:p>
    <w:p w14:paraId="14E6DF10" w14:textId="77777777" w:rsidR="00EE76B5" w:rsidRPr="006E6284" w:rsidRDefault="00EE76B5" w:rsidP="006E6284">
      <w:pPr>
        <w:spacing w:line="360" w:lineRule="auto"/>
        <w:jc w:val="both"/>
        <w:rPr>
          <w:rFonts w:ascii="Times New Roman" w:hAnsi="Times New Roman" w:cs="Times New Roman"/>
          <w:sz w:val="24"/>
          <w:szCs w:val="24"/>
        </w:rPr>
      </w:pPr>
    </w:p>
    <w:p w14:paraId="539B47F4" w14:textId="77777777" w:rsidR="00AC5854" w:rsidRPr="00AC5854" w:rsidRDefault="00AC5854" w:rsidP="006E6284">
      <w:pPr>
        <w:spacing w:line="360" w:lineRule="auto"/>
        <w:rPr>
          <w:rFonts w:ascii="Times New Roman" w:hAnsi="Times New Roman" w:cs="Times New Roman"/>
          <w:b/>
          <w:bCs/>
          <w:sz w:val="28"/>
          <w:szCs w:val="28"/>
        </w:rPr>
      </w:pPr>
      <w:r w:rsidRPr="00AC5854">
        <w:rPr>
          <w:rFonts w:ascii="Times New Roman" w:hAnsi="Times New Roman" w:cs="Times New Roman"/>
          <w:b/>
          <w:bCs/>
          <w:sz w:val="28"/>
          <w:szCs w:val="28"/>
        </w:rPr>
        <w:lastRenderedPageBreak/>
        <w:t>3. Methodology</w:t>
      </w:r>
    </w:p>
    <w:p w14:paraId="146672E0" w14:textId="77777777"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3.1 Research Approach</w:t>
      </w:r>
    </w:p>
    <w:p w14:paraId="0D6E75B7" w14:textId="5B2AF726"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 xml:space="preserve">This study employs a qualitative, applied research approach, focusing on the evaluation and integration of established information security, governance, and compliance frameworks. A case-study methodology is adopted, allowing an in-depth exploration of </w:t>
      </w: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Bank’s (FSB) cloud-centric, BYOD-enabled environment</w:t>
      </w:r>
      <w:r w:rsidR="00012FA1">
        <w:rPr>
          <w:rFonts w:ascii="Times New Roman" w:hAnsi="Times New Roman" w:cs="Times New Roman"/>
          <w:sz w:val="24"/>
          <w:szCs w:val="24"/>
        </w:rPr>
        <w:t xml:space="preserve"> [</w:t>
      </w:r>
      <w:r w:rsidR="009B0345">
        <w:rPr>
          <w:rFonts w:ascii="Times New Roman" w:hAnsi="Times New Roman" w:cs="Times New Roman"/>
          <w:sz w:val="24"/>
          <w:szCs w:val="24"/>
        </w:rPr>
        <w:t>9</w:t>
      </w:r>
      <w:r w:rsidR="00012FA1">
        <w:rPr>
          <w:rFonts w:ascii="Times New Roman" w:hAnsi="Times New Roman" w:cs="Times New Roman"/>
          <w:sz w:val="24"/>
          <w:szCs w:val="24"/>
        </w:rPr>
        <w:t>]</w:t>
      </w:r>
      <w:r w:rsidRPr="00AC5854">
        <w:rPr>
          <w:rFonts w:ascii="Times New Roman" w:hAnsi="Times New Roman" w:cs="Times New Roman"/>
          <w:sz w:val="24"/>
          <w:szCs w:val="24"/>
        </w:rPr>
        <w:t>. The approach combines literature review, comparative analysis of industry frameworks, and synthesis of best practices to develop a tailored Governance, Security, and Compliance (GSC) model. Strategic alignment with organisational objectives, regulatory requirements, and emerging cyber threats guided the methodological design</w:t>
      </w:r>
      <w:r w:rsidR="00012FA1">
        <w:rPr>
          <w:rFonts w:ascii="Times New Roman" w:hAnsi="Times New Roman" w:cs="Times New Roman"/>
          <w:sz w:val="24"/>
          <w:szCs w:val="24"/>
        </w:rPr>
        <w:t xml:space="preserve"> [</w:t>
      </w:r>
      <w:r w:rsidR="009B0345">
        <w:rPr>
          <w:rFonts w:ascii="Times New Roman" w:hAnsi="Times New Roman" w:cs="Times New Roman"/>
          <w:sz w:val="24"/>
          <w:szCs w:val="24"/>
        </w:rPr>
        <w:t>10</w:t>
      </w:r>
      <w:r w:rsidR="00012FA1">
        <w:rPr>
          <w:rFonts w:ascii="Times New Roman" w:hAnsi="Times New Roman" w:cs="Times New Roman"/>
          <w:sz w:val="24"/>
          <w:szCs w:val="24"/>
        </w:rPr>
        <w:t>]</w:t>
      </w:r>
      <w:r w:rsidRPr="00AC5854">
        <w:rPr>
          <w:rFonts w:ascii="Times New Roman" w:hAnsi="Times New Roman" w:cs="Times New Roman"/>
          <w:sz w:val="24"/>
          <w:szCs w:val="24"/>
        </w:rPr>
        <w:t>.</w:t>
      </w:r>
    </w:p>
    <w:p w14:paraId="3B41E5C2" w14:textId="77777777" w:rsidR="006E6284" w:rsidRDefault="006E6284" w:rsidP="006E6284">
      <w:pPr>
        <w:spacing w:line="360" w:lineRule="auto"/>
        <w:rPr>
          <w:rFonts w:ascii="Times New Roman" w:hAnsi="Times New Roman" w:cs="Times New Roman"/>
          <w:b/>
          <w:bCs/>
          <w:sz w:val="28"/>
          <w:szCs w:val="28"/>
        </w:rPr>
      </w:pPr>
    </w:p>
    <w:p w14:paraId="527F1165" w14:textId="0BF11867"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3.2 Data Sources</w:t>
      </w:r>
    </w:p>
    <w:p w14:paraId="63C52CE2" w14:textId="48039754"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Secondary data forms the primary source for this research. Peer-reviewed journals, white papers, industry reports, and standards documentation were consulted, including ISO/IEC 27001, NIST Cybersecurity Framework</w:t>
      </w:r>
      <w:r w:rsidR="00012FA1">
        <w:rPr>
          <w:rFonts w:ascii="Times New Roman" w:hAnsi="Times New Roman" w:cs="Times New Roman"/>
          <w:sz w:val="24"/>
          <w:szCs w:val="24"/>
        </w:rPr>
        <w:t xml:space="preserve"> [</w:t>
      </w:r>
      <w:r w:rsidR="009B0345">
        <w:rPr>
          <w:rFonts w:ascii="Times New Roman" w:hAnsi="Times New Roman" w:cs="Times New Roman"/>
          <w:sz w:val="24"/>
          <w:szCs w:val="24"/>
        </w:rPr>
        <w:t>17</w:t>
      </w:r>
      <w:r w:rsidR="00012FA1">
        <w:rPr>
          <w:rFonts w:ascii="Times New Roman" w:hAnsi="Times New Roman" w:cs="Times New Roman"/>
          <w:sz w:val="24"/>
          <w:szCs w:val="24"/>
        </w:rPr>
        <w:t>]</w:t>
      </w:r>
      <w:r w:rsidR="009B0345">
        <w:rPr>
          <w:rFonts w:ascii="Times New Roman" w:hAnsi="Times New Roman" w:cs="Times New Roman"/>
          <w:sz w:val="24"/>
          <w:szCs w:val="24"/>
        </w:rPr>
        <w:t xml:space="preserve"> [18] [19]</w:t>
      </w:r>
      <w:r w:rsidRPr="00AC5854">
        <w:rPr>
          <w:rFonts w:ascii="Times New Roman" w:hAnsi="Times New Roman" w:cs="Times New Roman"/>
          <w:sz w:val="24"/>
          <w:szCs w:val="24"/>
        </w:rPr>
        <w:t>, COBIT 2019, ITIL 4, and cloud security guidelines (CSA CCM, ISO 27017). Case studies from financial institutions and cloud-first enterprises provided practical insights into risk management, policy frameworks, and BYOD controls. Regulatory guidance documents, including GDPR and PCI DSS, informed compliance considerations</w:t>
      </w:r>
      <w:r w:rsidR="00012FA1">
        <w:rPr>
          <w:rFonts w:ascii="Times New Roman" w:hAnsi="Times New Roman" w:cs="Times New Roman"/>
          <w:sz w:val="24"/>
          <w:szCs w:val="24"/>
        </w:rPr>
        <w:t xml:space="preserve"> [</w:t>
      </w:r>
      <w:r w:rsidR="009B0345">
        <w:rPr>
          <w:rFonts w:ascii="Times New Roman" w:hAnsi="Times New Roman" w:cs="Times New Roman"/>
          <w:sz w:val="24"/>
          <w:szCs w:val="24"/>
        </w:rPr>
        <w:t>21</w:t>
      </w:r>
      <w:r w:rsidR="00012FA1">
        <w:rPr>
          <w:rFonts w:ascii="Times New Roman" w:hAnsi="Times New Roman" w:cs="Times New Roman"/>
          <w:sz w:val="24"/>
          <w:szCs w:val="24"/>
        </w:rPr>
        <w:t>]</w:t>
      </w:r>
      <w:r w:rsidRPr="00AC5854">
        <w:rPr>
          <w:rFonts w:ascii="Times New Roman" w:hAnsi="Times New Roman" w:cs="Times New Roman"/>
          <w:sz w:val="24"/>
          <w:szCs w:val="24"/>
        </w:rPr>
        <w:t>. Triangulation of multiple data sources ensured reliability, validity, and contextual relevance to FSB’s operational environment.</w:t>
      </w:r>
    </w:p>
    <w:p w14:paraId="1E57B824" w14:textId="77777777" w:rsidR="00AC5854" w:rsidRPr="00AC5854" w:rsidRDefault="00AC5854" w:rsidP="006E6284">
      <w:pPr>
        <w:spacing w:line="360" w:lineRule="auto"/>
        <w:rPr>
          <w:rFonts w:ascii="Times New Roman" w:hAnsi="Times New Roman" w:cs="Times New Roman"/>
          <w:b/>
          <w:bCs/>
          <w:sz w:val="28"/>
          <w:szCs w:val="28"/>
        </w:rPr>
      </w:pPr>
    </w:p>
    <w:p w14:paraId="263FEEFB" w14:textId="77777777"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3.3 Framework Selection Criteria</w:t>
      </w:r>
    </w:p>
    <w:p w14:paraId="46CC92A9" w14:textId="11AAE65B"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Frameworks were selected based on their relevance to cloud security, regulatory compliance, scalability, and alignment with modern governance practices. ISO 27001 was chosen for its robust control framework, NIST CSF for operational guidance, COBIT 2019 for enterprise governance alignment, ITIL 4 for service management integration, and Zero Trust Architecture for access control in distributed environments</w:t>
      </w:r>
      <w:r w:rsidR="009B0345">
        <w:rPr>
          <w:rFonts w:ascii="Times New Roman" w:hAnsi="Times New Roman" w:cs="Times New Roman"/>
          <w:sz w:val="24"/>
          <w:szCs w:val="24"/>
        </w:rPr>
        <w:t xml:space="preserve"> [12]</w:t>
      </w:r>
      <w:r w:rsidRPr="00AC5854">
        <w:rPr>
          <w:rFonts w:ascii="Times New Roman" w:hAnsi="Times New Roman" w:cs="Times New Roman"/>
          <w:sz w:val="24"/>
          <w:szCs w:val="24"/>
        </w:rPr>
        <w:t>. Criteria included adaptability to multi-jurisdictional operations, support for BYOD policies, risk-driven decision-making, and evidence of widespread industry adoption.</w:t>
      </w:r>
    </w:p>
    <w:p w14:paraId="31234A1E" w14:textId="77777777" w:rsidR="00AC5854" w:rsidRPr="00AC5854" w:rsidRDefault="00AC5854" w:rsidP="006E6284">
      <w:pPr>
        <w:spacing w:line="360" w:lineRule="auto"/>
        <w:rPr>
          <w:rFonts w:ascii="Times New Roman" w:hAnsi="Times New Roman" w:cs="Times New Roman"/>
          <w:b/>
          <w:bCs/>
          <w:sz w:val="28"/>
          <w:szCs w:val="28"/>
        </w:rPr>
      </w:pPr>
    </w:p>
    <w:p w14:paraId="31DF29E1" w14:textId="77777777"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3.4 Limitations of the Study</w:t>
      </w:r>
    </w:p>
    <w:p w14:paraId="06DF5EAF" w14:textId="0D4EBD9F"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 xml:space="preserve">Limitations include reliance on secondary sources, which may lack organisation-specific operational nuances. The study assumes </w:t>
      </w: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Bank’s security maturity and budget align with industry standards, potentially </w:t>
      </w:r>
      <w:r w:rsidRPr="00AC5854">
        <w:rPr>
          <w:rFonts w:ascii="Times New Roman" w:hAnsi="Times New Roman" w:cs="Times New Roman"/>
          <w:sz w:val="24"/>
          <w:szCs w:val="24"/>
        </w:rPr>
        <w:lastRenderedPageBreak/>
        <w:t>oversimplifying practical constraints. Rapidly evolving cyber threats may also outpace framework guidance, necessitating ongoing review beyond this analysis</w:t>
      </w:r>
      <w:r w:rsidR="00012FA1">
        <w:rPr>
          <w:rFonts w:ascii="Times New Roman" w:hAnsi="Times New Roman" w:cs="Times New Roman"/>
          <w:sz w:val="24"/>
          <w:szCs w:val="24"/>
        </w:rPr>
        <w:t xml:space="preserve"> [</w:t>
      </w:r>
      <w:r w:rsidR="009B0345">
        <w:rPr>
          <w:rFonts w:ascii="Times New Roman" w:hAnsi="Times New Roman" w:cs="Times New Roman"/>
          <w:sz w:val="24"/>
          <w:szCs w:val="24"/>
        </w:rPr>
        <w:t>11</w:t>
      </w:r>
      <w:r w:rsidR="00012FA1">
        <w:rPr>
          <w:rFonts w:ascii="Times New Roman" w:hAnsi="Times New Roman" w:cs="Times New Roman"/>
          <w:sz w:val="24"/>
          <w:szCs w:val="24"/>
        </w:rPr>
        <w:t>]</w:t>
      </w:r>
      <w:r w:rsidRPr="00AC5854">
        <w:rPr>
          <w:rFonts w:ascii="Times New Roman" w:hAnsi="Times New Roman" w:cs="Times New Roman"/>
          <w:sz w:val="24"/>
          <w:szCs w:val="24"/>
        </w:rPr>
        <w:t>.</w:t>
      </w:r>
    </w:p>
    <w:p w14:paraId="3FBD5407" w14:textId="7146346C" w:rsidR="00AC5854" w:rsidRPr="00AC5854" w:rsidRDefault="00AC5854" w:rsidP="006E6284">
      <w:pPr>
        <w:spacing w:line="360" w:lineRule="auto"/>
        <w:rPr>
          <w:rFonts w:ascii="Times New Roman" w:hAnsi="Times New Roman" w:cs="Times New Roman"/>
          <w:b/>
          <w:bCs/>
          <w:sz w:val="28"/>
          <w:szCs w:val="28"/>
        </w:rPr>
      </w:pPr>
      <w:r w:rsidRPr="00AC5854">
        <w:rPr>
          <w:rFonts w:ascii="Times New Roman" w:hAnsi="Times New Roman" w:cs="Times New Roman"/>
          <w:b/>
          <w:bCs/>
          <w:sz w:val="28"/>
          <w:szCs w:val="28"/>
        </w:rPr>
        <w:t xml:space="preserve">4. Analysis of </w:t>
      </w:r>
      <w:proofErr w:type="spellStart"/>
      <w:r w:rsidRPr="00AC5854">
        <w:rPr>
          <w:rFonts w:ascii="Times New Roman" w:hAnsi="Times New Roman" w:cs="Times New Roman"/>
          <w:b/>
          <w:bCs/>
          <w:sz w:val="28"/>
          <w:szCs w:val="28"/>
        </w:rPr>
        <w:t>FinSure</w:t>
      </w:r>
      <w:proofErr w:type="spellEnd"/>
      <w:r w:rsidRPr="00AC5854">
        <w:rPr>
          <w:rFonts w:ascii="Times New Roman" w:hAnsi="Times New Roman" w:cs="Times New Roman"/>
          <w:b/>
          <w:bCs/>
          <w:sz w:val="28"/>
          <w:szCs w:val="28"/>
        </w:rPr>
        <w:t xml:space="preserve"> Bank (FSB)</w:t>
      </w:r>
    </w:p>
    <w:p w14:paraId="5D4D71F3" w14:textId="22EB05F0"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4.1 Organisational Overview</w:t>
      </w:r>
    </w:p>
    <w:p w14:paraId="56E19095" w14:textId="2E58A2D0" w:rsidR="006E6284" w:rsidRPr="00AC5854" w:rsidRDefault="00AC5854" w:rsidP="006E6284">
      <w:pPr>
        <w:spacing w:line="360" w:lineRule="auto"/>
        <w:jc w:val="both"/>
        <w:rPr>
          <w:rFonts w:ascii="Times New Roman" w:hAnsi="Times New Roman" w:cs="Times New Roman"/>
          <w:sz w:val="24"/>
          <w:szCs w:val="24"/>
        </w:rPr>
      </w:pP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 (FSB) is a rapidly expanding digital-first financial institution operating primarily on cloud-based platforms. With services spanning online banking, loans, investments, and mobile applications across multiple jurisdictions, FSB relies heavily on a distributed workforce and third-party partnerships, including Bring Your Own Device (BYOD) policies</w:t>
      </w:r>
      <w:r w:rsidR="00012FA1">
        <w:rPr>
          <w:rFonts w:ascii="Times New Roman" w:hAnsi="Times New Roman" w:cs="Times New Roman"/>
          <w:sz w:val="24"/>
          <w:szCs w:val="24"/>
        </w:rPr>
        <w:t xml:space="preserve"> [</w:t>
      </w:r>
      <w:r w:rsidR="009B0345">
        <w:rPr>
          <w:rFonts w:ascii="Times New Roman" w:hAnsi="Times New Roman" w:cs="Times New Roman"/>
          <w:sz w:val="24"/>
          <w:szCs w:val="24"/>
        </w:rPr>
        <w:t>14</w:t>
      </w:r>
      <w:r w:rsidR="00012FA1">
        <w:rPr>
          <w:rFonts w:ascii="Times New Roman" w:hAnsi="Times New Roman" w:cs="Times New Roman"/>
          <w:sz w:val="24"/>
          <w:szCs w:val="24"/>
        </w:rPr>
        <w:t>]</w:t>
      </w:r>
      <w:r w:rsidRPr="00AC5854">
        <w:rPr>
          <w:rFonts w:ascii="Times New Roman" w:hAnsi="Times New Roman" w:cs="Times New Roman"/>
          <w:sz w:val="24"/>
          <w:szCs w:val="24"/>
        </w:rPr>
        <w:t>. The bank’s strategic focus on cloud adoption enhances scalability and operational efficiency but introduces complex security and governance requirements.</w:t>
      </w:r>
    </w:p>
    <w:p w14:paraId="3D104EB7" w14:textId="46686A39"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4.2 Current Security Posture</w:t>
      </w:r>
    </w:p>
    <w:p w14:paraId="253ED549" w14:textId="6729BFFF" w:rsidR="00983CBF" w:rsidRDefault="00AC5854" w:rsidP="00D46C65">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FSB’s current security posture is fragmented and reactive. While basic technical controls exist, there is limited integration across access management, data protection, and monitoring systems</w:t>
      </w:r>
      <w:r w:rsidR="00012FA1">
        <w:rPr>
          <w:rFonts w:ascii="Times New Roman" w:hAnsi="Times New Roman" w:cs="Times New Roman"/>
          <w:sz w:val="24"/>
          <w:szCs w:val="24"/>
        </w:rPr>
        <w:t xml:space="preserve"> [1</w:t>
      </w:r>
      <w:r w:rsidR="004120EE">
        <w:rPr>
          <w:rFonts w:ascii="Times New Roman" w:hAnsi="Times New Roman" w:cs="Times New Roman"/>
          <w:sz w:val="24"/>
          <w:szCs w:val="24"/>
        </w:rPr>
        <w:t>3</w:t>
      </w:r>
      <w:r w:rsidR="00012FA1">
        <w:rPr>
          <w:rFonts w:ascii="Times New Roman" w:hAnsi="Times New Roman" w:cs="Times New Roman"/>
          <w:sz w:val="24"/>
          <w:szCs w:val="24"/>
        </w:rPr>
        <w:t>]</w:t>
      </w:r>
      <w:r w:rsidRPr="00AC5854">
        <w:rPr>
          <w:rFonts w:ascii="Times New Roman" w:hAnsi="Times New Roman" w:cs="Times New Roman"/>
          <w:sz w:val="24"/>
          <w:szCs w:val="24"/>
        </w:rPr>
        <w:t>. Endpoint protection is inconsistent, particularly across BYOD devices, and cloud infrastructure lacks formalised baseline configurations and comprehensive encryption policies. Incident response processes are ad hoc, resulting in potential delays in threat detection and mitigation.</w:t>
      </w:r>
    </w:p>
    <w:p w14:paraId="03CD8294" w14:textId="71855352" w:rsidR="00983CBF" w:rsidRPr="00D46C65" w:rsidRDefault="00D46C65" w:rsidP="00983CBF">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4.3 Governance Gaps</w:t>
      </w:r>
    </w:p>
    <w:p w14:paraId="11AF320F" w14:textId="768913E7" w:rsidR="00983CBF" w:rsidRPr="00983CBF" w:rsidRDefault="00983CBF" w:rsidP="00983CBF">
      <w:pPr>
        <w:spacing w:line="360" w:lineRule="auto"/>
        <w:jc w:val="both"/>
        <w:rPr>
          <w:rFonts w:ascii="Times New Roman" w:hAnsi="Times New Roman" w:cs="Times New Roman"/>
          <w:sz w:val="24"/>
          <w:szCs w:val="24"/>
        </w:rPr>
      </w:pPr>
      <w:proofErr w:type="spellStart"/>
      <w:r w:rsidRPr="00983CBF">
        <w:rPr>
          <w:rFonts w:ascii="Times New Roman" w:hAnsi="Times New Roman" w:cs="Times New Roman"/>
          <w:sz w:val="24"/>
          <w:szCs w:val="24"/>
        </w:rPr>
        <w:t>Finsure</w:t>
      </w:r>
      <w:proofErr w:type="spellEnd"/>
      <w:r w:rsidRPr="00983CBF">
        <w:rPr>
          <w:rFonts w:ascii="Times New Roman" w:hAnsi="Times New Roman" w:cs="Times New Roman"/>
          <w:sz w:val="24"/>
          <w:szCs w:val="24"/>
        </w:rPr>
        <w:t xml:space="preserve"> Bank currently exhibits significant governance and decision-making weaknesses that undermine its cybersecurity posture. These gaps are evident in the unclear allocation of responsibilities, fragmented oversight, and inconsistent strategic alignment across departments. As illustrated in Figure 1, several key committees lack clearly defined roles, leading to delayed decision-making and inadequate risk oversight. This lack of structured governance not only increases the organisation’s vulnerability to cyber threats but also limits its ability to ensure compliance with regulatory requirements.</w:t>
      </w:r>
    </w:p>
    <w:p w14:paraId="7097CAD3" w14:textId="77777777" w:rsidR="00983CBF" w:rsidRDefault="00983CBF" w:rsidP="00983CBF">
      <w:pPr>
        <w:spacing w:line="360" w:lineRule="auto"/>
        <w:rPr>
          <w:rFonts w:ascii="Times New Roman" w:hAnsi="Times New Roman" w:cs="Times New Roman"/>
          <w:b/>
          <w:bCs/>
          <w:sz w:val="24"/>
          <w:szCs w:val="24"/>
        </w:rPr>
      </w:pPr>
    </w:p>
    <w:p w14:paraId="6FF68B9B" w14:textId="77777777" w:rsidR="00D46C65" w:rsidRDefault="00983CBF" w:rsidP="00D46C65">
      <w:pPr>
        <w:spacing w:line="360" w:lineRule="auto"/>
        <w:jc w:val="center"/>
        <w:rPr>
          <w:rFonts w:ascii="Times New Roman" w:hAnsi="Times New Roman" w:cs="Times New Roman"/>
          <w:b/>
          <w:bCs/>
        </w:rPr>
      </w:pPr>
      <w:r w:rsidRPr="008F3FB2">
        <w:rPr>
          <w:rFonts w:ascii="Times New Roman" w:hAnsi="Times New Roman" w:cs="Times New Roman"/>
          <w:b/>
          <w:bCs/>
          <w:noProof/>
          <w:sz w:val="28"/>
          <w:szCs w:val="28"/>
        </w:rPr>
        <w:lastRenderedPageBreak/>
        <w:drawing>
          <wp:inline distT="0" distB="0" distL="0" distR="0" wp14:anchorId="3E7EA4AB" wp14:editId="1CA5EB21">
            <wp:extent cx="3840073" cy="2582333"/>
            <wp:effectExtent l="152400" t="152400" r="370205" b="370840"/>
            <wp:docPr id="583801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801899" name=""/>
                    <pic:cNvPicPr/>
                  </pic:nvPicPr>
                  <pic:blipFill>
                    <a:blip r:embed="rId8"/>
                    <a:stretch>
                      <a:fillRect/>
                    </a:stretch>
                  </pic:blipFill>
                  <pic:spPr>
                    <a:xfrm>
                      <a:off x="0" y="0"/>
                      <a:ext cx="3907461" cy="2627649"/>
                    </a:xfrm>
                    <a:prstGeom prst="rect">
                      <a:avLst/>
                    </a:prstGeom>
                    <a:ln>
                      <a:noFill/>
                    </a:ln>
                    <a:effectLst>
                      <a:outerShdw blurRad="292100" dist="139700" dir="2700000" algn="tl" rotWithShape="0">
                        <a:srgbClr val="333333">
                          <a:alpha val="65000"/>
                        </a:srgbClr>
                      </a:outerShdw>
                    </a:effectLst>
                  </pic:spPr>
                </pic:pic>
              </a:graphicData>
            </a:graphic>
          </wp:inline>
        </w:drawing>
      </w:r>
    </w:p>
    <w:p w14:paraId="2E6D3401" w14:textId="3CBB13E2" w:rsidR="00983CBF" w:rsidRPr="00D46C65" w:rsidRDefault="00983CBF" w:rsidP="00D46C65">
      <w:pPr>
        <w:spacing w:line="360" w:lineRule="auto"/>
        <w:jc w:val="both"/>
        <w:rPr>
          <w:rFonts w:ascii="Times New Roman" w:hAnsi="Times New Roman" w:cs="Times New Roman"/>
          <w:b/>
          <w:bCs/>
          <w:sz w:val="24"/>
          <w:szCs w:val="24"/>
        </w:rPr>
      </w:pPr>
      <w:r w:rsidRPr="00983CBF">
        <w:rPr>
          <w:rFonts w:ascii="Times New Roman" w:hAnsi="Times New Roman" w:cs="Times New Roman"/>
          <w:b/>
          <w:bCs/>
        </w:rPr>
        <w:t>Figure 1</w:t>
      </w:r>
      <w:r w:rsidRPr="00983CBF">
        <w:rPr>
          <w:rFonts w:ascii="Times New Roman" w:hAnsi="Times New Roman" w:cs="Times New Roman"/>
        </w:rPr>
        <w:t xml:space="preserve">: </w:t>
      </w:r>
      <w:proofErr w:type="spellStart"/>
      <w:r w:rsidRPr="00983CBF">
        <w:rPr>
          <w:rFonts w:ascii="Times New Roman" w:hAnsi="Times New Roman" w:cs="Times New Roman"/>
        </w:rPr>
        <w:t>Finsure</w:t>
      </w:r>
      <w:proofErr w:type="spellEnd"/>
      <w:r w:rsidRPr="00983CBF">
        <w:rPr>
          <w:rFonts w:ascii="Times New Roman" w:hAnsi="Times New Roman" w:cs="Times New Roman"/>
        </w:rPr>
        <w:t xml:space="preserve"> Bank governance and decision-making gaps highlighting weaknesses in oversight, unclear roles and responsibilities, and fragmented accountability structures.</w:t>
      </w:r>
    </w:p>
    <w:p w14:paraId="62796829" w14:textId="77777777" w:rsidR="00983CBF" w:rsidRDefault="00983CBF" w:rsidP="00983CBF">
      <w:pPr>
        <w:pStyle w:val="NoSpacing"/>
        <w:rPr>
          <w:rFonts w:ascii="Times New Roman" w:hAnsi="Times New Roman" w:cs="Times New Roman"/>
        </w:rPr>
      </w:pPr>
    </w:p>
    <w:p w14:paraId="4E0BE9E6" w14:textId="77777777" w:rsidR="00983CBF" w:rsidRPr="00983CBF" w:rsidRDefault="00983CBF" w:rsidP="00983CBF">
      <w:pPr>
        <w:pStyle w:val="NoSpacing"/>
        <w:jc w:val="both"/>
        <w:rPr>
          <w:rFonts w:ascii="Times New Roman" w:hAnsi="Times New Roman" w:cs="Times New Roman"/>
          <w:b/>
          <w:bCs/>
        </w:rPr>
      </w:pPr>
    </w:p>
    <w:p w14:paraId="2E70E960" w14:textId="418D17EF" w:rsidR="00983CBF" w:rsidRPr="00983CBF" w:rsidRDefault="00983CBF" w:rsidP="00983CBF">
      <w:pPr>
        <w:spacing w:line="360" w:lineRule="auto"/>
        <w:jc w:val="both"/>
        <w:rPr>
          <w:rFonts w:ascii="Times New Roman" w:hAnsi="Times New Roman" w:cs="Times New Roman"/>
          <w:sz w:val="24"/>
          <w:szCs w:val="24"/>
        </w:rPr>
      </w:pPr>
      <w:r w:rsidRPr="00983CBF">
        <w:rPr>
          <w:rFonts w:ascii="Times New Roman" w:hAnsi="Times New Roman" w:cs="Times New Roman"/>
          <w:sz w:val="24"/>
          <w:szCs w:val="24"/>
        </w:rPr>
        <w:t xml:space="preserve">The presence of these gaps highlights the need for alignment with established cybersecurity governance frameworks. Mapping </w:t>
      </w:r>
      <w:proofErr w:type="spellStart"/>
      <w:r w:rsidRPr="00983CBF">
        <w:rPr>
          <w:rFonts w:ascii="Times New Roman" w:hAnsi="Times New Roman" w:cs="Times New Roman"/>
          <w:sz w:val="24"/>
          <w:szCs w:val="24"/>
        </w:rPr>
        <w:t>Finsure</w:t>
      </w:r>
      <w:proofErr w:type="spellEnd"/>
      <w:r w:rsidRPr="00983CBF">
        <w:rPr>
          <w:rFonts w:ascii="Times New Roman" w:hAnsi="Times New Roman" w:cs="Times New Roman"/>
          <w:sz w:val="24"/>
          <w:szCs w:val="24"/>
        </w:rPr>
        <w:t xml:space="preserve"> Bank’s current governance structure against recognised frameworks provides a foundation for improvement. Figure </w:t>
      </w:r>
      <w:r>
        <w:rPr>
          <w:rFonts w:ascii="Times New Roman" w:hAnsi="Times New Roman" w:cs="Times New Roman"/>
          <w:sz w:val="24"/>
          <w:szCs w:val="24"/>
        </w:rPr>
        <w:t>2</w:t>
      </w:r>
      <w:r w:rsidRPr="00983CBF">
        <w:rPr>
          <w:rFonts w:ascii="Times New Roman" w:hAnsi="Times New Roman" w:cs="Times New Roman"/>
          <w:sz w:val="24"/>
          <w:szCs w:val="24"/>
        </w:rPr>
        <w:t xml:space="preserve"> demonstrates how ISO 27001, NIST, and COBIT can be integrated to create a structured governance framework. ISO 27001 provides a systematic approach to information security management, NIST offers comprehensive technical controls, and COBIT emphasises governance and strategic alignment</w:t>
      </w:r>
      <w:r w:rsidR="004120EE">
        <w:rPr>
          <w:rFonts w:ascii="Times New Roman" w:hAnsi="Times New Roman" w:cs="Times New Roman"/>
          <w:sz w:val="24"/>
          <w:szCs w:val="24"/>
        </w:rPr>
        <w:t xml:space="preserve"> [14]</w:t>
      </w:r>
      <w:r w:rsidRPr="00983CBF">
        <w:rPr>
          <w:rFonts w:ascii="Times New Roman" w:hAnsi="Times New Roman" w:cs="Times New Roman"/>
          <w:sz w:val="24"/>
          <w:szCs w:val="24"/>
        </w:rPr>
        <w:t>. Together, these frameworks form a robust reference model that addresses oversight deficiencies and clarifies roles and responsibilities across the organisation.</w:t>
      </w:r>
    </w:p>
    <w:p w14:paraId="3CB5C7A4" w14:textId="7DEA1084" w:rsidR="00983CBF" w:rsidRDefault="00983CBF" w:rsidP="00983CBF">
      <w:pPr>
        <w:spacing w:line="360" w:lineRule="auto"/>
        <w:rPr>
          <w:rFonts w:ascii="Times New Roman" w:hAnsi="Times New Roman" w:cs="Times New Roman"/>
          <w:b/>
          <w:bCs/>
          <w:sz w:val="24"/>
          <w:szCs w:val="24"/>
        </w:rPr>
      </w:pPr>
    </w:p>
    <w:p w14:paraId="3D1A540C" w14:textId="77777777" w:rsidR="00983CBF" w:rsidRDefault="00983CBF" w:rsidP="00983CBF">
      <w:pPr>
        <w:spacing w:line="360" w:lineRule="auto"/>
        <w:jc w:val="center"/>
        <w:rPr>
          <w:rFonts w:ascii="Times New Roman" w:hAnsi="Times New Roman" w:cs="Times New Roman"/>
          <w:b/>
          <w:bCs/>
        </w:rPr>
      </w:pPr>
      <w:r w:rsidRPr="00FC486A">
        <w:rPr>
          <w:rFonts w:ascii="Times New Roman" w:hAnsi="Times New Roman" w:cs="Times New Roman"/>
          <w:b/>
          <w:bCs/>
          <w:noProof/>
          <w:sz w:val="24"/>
          <w:szCs w:val="24"/>
        </w:rPr>
        <w:lastRenderedPageBreak/>
        <w:drawing>
          <wp:inline distT="0" distB="0" distL="0" distR="0" wp14:anchorId="424D0351" wp14:editId="1F851458">
            <wp:extent cx="2597283" cy="3873699"/>
            <wp:effectExtent l="152400" t="152400" r="355600" b="355600"/>
            <wp:docPr id="152589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93584" name=""/>
                    <pic:cNvPicPr/>
                  </pic:nvPicPr>
                  <pic:blipFill>
                    <a:blip r:embed="rId9"/>
                    <a:stretch>
                      <a:fillRect/>
                    </a:stretch>
                  </pic:blipFill>
                  <pic:spPr>
                    <a:xfrm>
                      <a:off x="0" y="0"/>
                      <a:ext cx="2597283" cy="3873699"/>
                    </a:xfrm>
                    <a:prstGeom prst="rect">
                      <a:avLst/>
                    </a:prstGeom>
                    <a:ln>
                      <a:noFill/>
                    </a:ln>
                    <a:effectLst>
                      <a:outerShdw blurRad="292100" dist="139700" dir="2700000" algn="tl" rotWithShape="0">
                        <a:srgbClr val="333333">
                          <a:alpha val="65000"/>
                        </a:srgbClr>
                      </a:outerShdw>
                    </a:effectLst>
                  </pic:spPr>
                </pic:pic>
              </a:graphicData>
            </a:graphic>
          </wp:inline>
        </w:drawing>
      </w:r>
    </w:p>
    <w:p w14:paraId="24B8A829" w14:textId="3621788C" w:rsidR="00983CBF" w:rsidRPr="00983CBF" w:rsidRDefault="00983CBF" w:rsidP="00983CBF">
      <w:pPr>
        <w:pStyle w:val="NoSpacing"/>
        <w:rPr>
          <w:rFonts w:ascii="Times New Roman" w:hAnsi="Times New Roman" w:cs="Times New Roman"/>
          <w:b/>
          <w:bCs/>
          <w:sz w:val="24"/>
          <w:szCs w:val="24"/>
        </w:rPr>
      </w:pPr>
      <w:r w:rsidRPr="00983CBF">
        <w:rPr>
          <w:rFonts w:ascii="Times New Roman" w:hAnsi="Times New Roman" w:cs="Times New Roman"/>
          <w:b/>
          <w:bCs/>
        </w:rPr>
        <w:t>Figure 2</w:t>
      </w:r>
      <w:r w:rsidRPr="00983CBF">
        <w:rPr>
          <w:rFonts w:ascii="Times New Roman" w:hAnsi="Times New Roman" w:cs="Times New Roman"/>
        </w:rPr>
        <w:t xml:space="preserve">: Governance framework mapping showing alignment between ISO 27001, NIST, and COBIT standards to support effective cybersecurity governance at </w:t>
      </w:r>
      <w:proofErr w:type="spellStart"/>
      <w:r w:rsidRPr="00983CBF">
        <w:rPr>
          <w:rFonts w:ascii="Times New Roman" w:hAnsi="Times New Roman" w:cs="Times New Roman"/>
        </w:rPr>
        <w:t>Finsure</w:t>
      </w:r>
      <w:proofErr w:type="spellEnd"/>
      <w:r w:rsidRPr="00983CBF">
        <w:rPr>
          <w:rFonts w:ascii="Times New Roman" w:hAnsi="Times New Roman" w:cs="Times New Roman"/>
        </w:rPr>
        <w:t xml:space="preserve"> Bank.</w:t>
      </w:r>
    </w:p>
    <w:p w14:paraId="2F7EE6BD" w14:textId="77777777" w:rsidR="00983CBF" w:rsidRDefault="00983CBF" w:rsidP="00983CBF">
      <w:pPr>
        <w:spacing w:line="360" w:lineRule="auto"/>
        <w:rPr>
          <w:rFonts w:ascii="Times New Roman" w:hAnsi="Times New Roman" w:cs="Times New Roman"/>
          <w:b/>
          <w:bCs/>
          <w:sz w:val="24"/>
          <w:szCs w:val="24"/>
        </w:rPr>
      </w:pPr>
    </w:p>
    <w:p w14:paraId="5B17EE9B" w14:textId="5A89D82D" w:rsidR="00983CBF" w:rsidRPr="00983CBF" w:rsidRDefault="00983CBF" w:rsidP="00983CBF">
      <w:pPr>
        <w:spacing w:line="360" w:lineRule="auto"/>
        <w:jc w:val="both"/>
        <w:rPr>
          <w:rFonts w:ascii="Times New Roman" w:hAnsi="Times New Roman" w:cs="Times New Roman"/>
          <w:sz w:val="24"/>
          <w:szCs w:val="24"/>
        </w:rPr>
      </w:pPr>
      <w:r w:rsidRPr="00983CBF">
        <w:rPr>
          <w:rFonts w:ascii="Times New Roman" w:hAnsi="Times New Roman" w:cs="Times New Roman"/>
          <w:sz w:val="24"/>
          <w:szCs w:val="24"/>
        </w:rPr>
        <w:t xml:space="preserve">While understanding the individual frameworks is valuable, comparing their strengths and limitations allows </w:t>
      </w:r>
      <w:proofErr w:type="spellStart"/>
      <w:r w:rsidRPr="00983CBF">
        <w:rPr>
          <w:rFonts w:ascii="Times New Roman" w:hAnsi="Times New Roman" w:cs="Times New Roman"/>
          <w:sz w:val="24"/>
          <w:szCs w:val="24"/>
        </w:rPr>
        <w:t>Finsure</w:t>
      </w:r>
      <w:proofErr w:type="spellEnd"/>
      <w:r w:rsidRPr="00983CBF">
        <w:rPr>
          <w:rFonts w:ascii="Times New Roman" w:hAnsi="Times New Roman" w:cs="Times New Roman"/>
          <w:sz w:val="24"/>
          <w:szCs w:val="24"/>
        </w:rPr>
        <w:t xml:space="preserve"> Bank to select the most suitable components for its operational context. As shown in Figure </w:t>
      </w:r>
      <w:r>
        <w:rPr>
          <w:rFonts w:ascii="Times New Roman" w:hAnsi="Times New Roman" w:cs="Times New Roman"/>
          <w:sz w:val="24"/>
          <w:szCs w:val="24"/>
        </w:rPr>
        <w:t>3</w:t>
      </w:r>
      <w:r w:rsidRPr="00983CBF">
        <w:rPr>
          <w:rFonts w:ascii="Times New Roman" w:hAnsi="Times New Roman" w:cs="Times New Roman"/>
          <w:sz w:val="24"/>
          <w:szCs w:val="24"/>
        </w:rPr>
        <w:t>, ISO 27001 excels in structured management and policy formulation, NIST provides detailed guidance on technical controls and threat mitigation, and COBIT focuses on strategic oversight and governance accountability</w:t>
      </w:r>
      <w:r w:rsidR="004120EE">
        <w:rPr>
          <w:rFonts w:ascii="Times New Roman" w:hAnsi="Times New Roman" w:cs="Times New Roman"/>
          <w:sz w:val="24"/>
          <w:szCs w:val="24"/>
        </w:rPr>
        <w:t xml:space="preserve"> [16]</w:t>
      </w:r>
      <w:r w:rsidRPr="00983CBF">
        <w:rPr>
          <w:rFonts w:ascii="Times New Roman" w:hAnsi="Times New Roman" w:cs="Times New Roman"/>
          <w:sz w:val="24"/>
          <w:szCs w:val="24"/>
        </w:rPr>
        <w:t>. This comparative analysis underscores the importance of a hybrid approach that leverages the complementary strengths of these frameworks to enhance governance, reduce risks, and ensure compliance with regulatory expectations.</w:t>
      </w:r>
    </w:p>
    <w:p w14:paraId="7CFDF09A" w14:textId="77777777" w:rsidR="00983CBF" w:rsidRDefault="00983CBF" w:rsidP="00983CBF">
      <w:pPr>
        <w:spacing w:line="360" w:lineRule="auto"/>
        <w:rPr>
          <w:rFonts w:ascii="Times New Roman" w:hAnsi="Times New Roman" w:cs="Times New Roman"/>
          <w:b/>
          <w:bCs/>
          <w:sz w:val="24"/>
          <w:szCs w:val="24"/>
        </w:rPr>
      </w:pPr>
    </w:p>
    <w:p w14:paraId="7C645DD4" w14:textId="1C112F57" w:rsidR="00983CBF" w:rsidRDefault="00983CBF" w:rsidP="00983CBF">
      <w:pPr>
        <w:spacing w:line="360" w:lineRule="auto"/>
        <w:rPr>
          <w:rFonts w:ascii="Times New Roman" w:hAnsi="Times New Roman" w:cs="Times New Roman"/>
          <w:b/>
          <w:bCs/>
          <w:sz w:val="24"/>
          <w:szCs w:val="24"/>
        </w:rPr>
      </w:pPr>
      <w:r w:rsidRPr="00B6207C">
        <w:rPr>
          <w:rFonts w:ascii="Times New Roman" w:hAnsi="Times New Roman" w:cs="Times New Roman"/>
          <w:b/>
          <w:bCs/>
          <w:noProof/>
        </w:rPr>
        <w:lastRenderedPageBreak/>
        <w:drawing>
          <wp:inline distT="0" distB="0" distL="0" distR="0" wp14:anchorId="5A51EA14" wp14:editId="138DFA6D">
            <wp:extent cx="5835950" cy="3873699"/>
            <wp:effectExtent l="152400" t="152400" r="355600" b="355600"/>
            <wp:docPr id="258254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254111" name=""/>
                    <pic:cNvPicPr/>
                  </pic:nvPicPr>
                  <pic:blipFill>
                    <a:blip r:embed="rId10"/>
                    <a:stretch>
                      <a:fillRect/>
                    </a:stretch>
                  </pic:blipFill>
                  <pic:spPr>
                    <a:xfrm>
                      <a:off x="0" y="0"/>
                      <a:ext cx="5835950" cy="3873699"/>
                    </a:xfrm>
                    <a:prstGeom prst="rect">
                      <a:avLst/>
                    </a:prstGeom>
                    <a:ln>
                      <a:noFill/>
                    </a:ln>
                    <a:effectLst>
                      <a:outerShdw blurRad="292100" dist="139700" dir="2700000" algn="tl" rotWithShape="0">
                        <a:srgbClr val="333333">
                          <a:alpha val="65000"/>
                        </a:srgbClr>
                      </a:outerShdw>
                    </a:effectLst>
                  </pic:spPr>
                </pic:pic>
              </a:graphicData>
            </a:graphic>
          </wp:inline>
        </w:drawing>
      </w:r>
    </w:p>
    <w:p w14:paraId="165D71B1" w14:textId="616833CA" w:rsidR="00983CBF" w:rsidRPr="00983CBF" w:rsidRDefault="00983CBF" w:rsidP="00983CBF">
      <w:pPr>
        <w:pStyle w:val="NoSpacing"/>
        <w:rPr>
          <w:rFonts w:ascii="Times New Roman" w:hAnsi="Times New Roman" w:cs="Times New Roman"/>
        </w:rPr>
      </w:pPr>
      <w:r w:rsidRPr="00983CBF">
        <w:rPr>
          <w:rFonts w:ascii="Times New Roman" w:hAnsi="Times New Roman" w:cs="Times New Roman"/>
          <w:b/>
          <w:bCs/>
        </w:rPr>
        <w:t xml:space="preserve">Figure </w:t>
      </w:r>
      <w:r w:rsidR="00A468A6">
        <w:rPr>
          <w:rFonts w:ascii="Times New Roman" w:hAnsi="Times New Roman" w:cs="Times New Roman"/>
          <w:b/>
          <w:bCs/>
        </w:rPr>
        <w:t>3</w:t>
      </w:r>
      <w:r w:rsidRPr="00983CBF">
        <w:rPr>
          <w:rFonts w:ascii="Times New Roman" w:hAnsi="Times New Roman" w:cs="Times New Roman"/>
        </w:rPr>
        <w:t xml:space="preserve">: Comparative analysis of cybersecurity frameworks (ISO 27001, NIST, and COBIT) highlighting their strengths, limitations, and applicability to </w:t>
      </w:r>
      <w:proofErr w:type="spellStart"/>
      <w:r w:rsidRPr="00983CBF">
        <w:rPr>
          <w:rFonts w:ascii="Times New Roman" w:hAnsi="Times New Roman" w:cs="Times New Roman"/>
        </w:rPr>
        <w:t>Finsure</w:t>
      </w:r>
      <w:proofErr w:type="spellEnd"/>
      <w:r w:rsidRPr="00983CBF">
        <w:rPr>
          <w:rFonts w:ascii="Times New Roman" w:hAnsi="Times New Roman" w:cs="Times New Roman"/>
        </w:rPr>
        <w:t xml:space="preserve"> Bank.</w:t>
      </w:r>
    </w:p>
    <w:p w14:paraId="3E445F74" w14:textId="77777777" w:rsidR="00983CBF" w:rsidRDefault="00983CBF" w:rsidP="00983CBF">
      <w:pPr>
        <w:spacing w:line="360" w:lineRule="auto"/>
        <w:rPr>
          <w:rFonts w:ascii="Times New Roman" w:hAnsi="Times New Roman" w:cs="Times New Roman"/>
          <w:b/>
          <w:bCs/>
          <w:sz w:val="24"/>
          <w:szCs w:val="24"/>
        </w:rPr>
      </w:pPr>
    </w:p>
    <w:p w14:paraId="19DF5BFC" w14:textId="5E022F2B" w:rsidR="00983CBF" w:rsidRPr="00983CBF" w:rsidRDefault="00983CBF" w:rsidP="00983CBF">
      <w:pPr>
        <w:spacing w:line="360" w:lineRule="auto"/>
        <w:jc w:val="both"/>
        <w:rPr>
          <w:rFonts w:ascii="Times New Roman" w:hAnsi="Times New Roman" w:cs="Times New Roman"/>
          <w:sz w:val="24"/>
          <w:szCs w:val="24"/>
        </w:rPr>
      </w:pPr>
      <w:r w:rsidRPr="00983CBF">
        <w:rPr>
          <w:rFonts w:ascii="Times New Roman" w:hAnsi="Times New Roman" w:cs="Times New Roman"/>
          <w:sz w:val="24"/>
          <w:szCs w:val="24"/>
        </w:rPr>
        <w:t xml:space="preserve">Building on this analysis, a tailored hybrid governance model is proposed for </w:t>
      </w:r>
      <w:proofErr w:type="spellStart"/>
      <w:r w:rsidRPr="00983CBF">
        <w:rPr>
          <w:rFonts w:ascii="Times New Roman" w:hAnsi="Times New Roman" w:cs="Times New Roman"/>
          <w:sz w:val="24"/>
          <w:szCs w:val="24"/>
        </w:rPr>
        <w:t>Finsure</w:t>
      </w:r>
      <w:proofErr w:type="spellEnd"/>
      <w:r w:rsidRPr="00983CBF">
        <w:rPr>
          <w:rFonts w:ascii="Times New Roman" w:hAnsi="Times New Roman" w:cs="Times New Roman"/>
          <w:sz w:val="24"/>
          <w:szCs w:val="24"/>
        </w:rPr>
        <w:t xml:space="preserve"> Bank, integrating the key strengths of all three frameworks. As illustrated in Figure </w:t>
      </w:r>
      <w:r>
        <w:rPr>
          <w:rFonts w:ascii="Times New Roman" w:hAnsi="Times New Roman" w:cs="Times New Roman"/>
          <w:sz w:val="24"/>
          <w:szCs w:val="24"/>
        </w:rPr>
        <w:t>4</w:t>
      </w:r>
      <w:r w:rsidRPr="00983CBF">
        <w:rPr>
          <w:rFonts w:ascii="Times New Roman" w:hAnsi="Times New Roman" w:cs="Times New Roman"/>
          <w:sz w:val="24"/>
          <w:szCs w:val="24"/>
        </w:rPr>
        <w:t xml:space="preserve">, this model provides clear lines of accountability, structured decision-making processes, and a combination of managerial and technical controls designed to mitigate risk and strengthen compliance. By implementing this hybrid model, </w:t>
      </w:r>
      <w:proofErr w:type="spellStart"/>
      <w:r w:rsidRPr="00983CBF">
        <w:rPr>
          <w:rFonts w:ascii="Times New Roman" w:hAnsi="Times New Roman" w:cs="Times New Roman"/>
          <w:sz w:val="24"/>
          <w:szCs w:val="24"/>
        </w:rPr>
        <w:t>Finsure</w:t>
      </w:r>
      <w:proofErr w:type="spellEnd"/>
      <w:r w:rsidRPr="00983CBF">
        <w:rPr>
          <w:rFonts w:ascii="Times New Roman" w:hAnsi="Times New Roman" w:cs="Times New Roman"/>
          <w:sz w:val="24"/>
          <w:szCs w:val="24"/>
        </w:rPr>
        <w:t xml:space="preserve"> Bank can close the governance and decision-making gaps identified earlier, achieve better alignment between strategic objectives and operational controls, and create a resilient organisational structure capable of responding effectively to evolving cybersecurity threats.</w:t>
      </w:r>
    </w:p>
    <w:p w14:paraId="28D88D5E" w14:textId="7D968392" w:rsidR="00983CBF" w:rsidRDefault="00983CBF" w:rsidP="00983CBF">
      <w:pPr>
        <w:spacing w:line="360" w:lineRule="auto"/>
        <w:rPr>
          <w:rFonts w:ascii="Times New Roman" w:hAnsi="Times New Roman" w:cs="Times New Roman"/>
          <w:b/>
          <w:bCs/>
          <w:sz w:val="24"/>
          <w:szCs w:val="24"/>
        </w:rPr>
      </w:pPr>
    </w:p>
    <w:p w14:paraId="1B64E744" w14:textId="7B7D30F4" w:rsidR="00983CBF" w:rsidRDefault="00983CBF" w:rsidP="00983CBF">
      <w:pPr>
        <w:spacing w:line="360" w:lineRule="auto"/>
        <w:rPr>
          <w:rFonts w:ascii="Times New Roman" w:hAnsi="Times New Roman" w:cs="Times New Roman"/>
          <w:b/>
          <w:bCs/>
          <w:sz w:val="24"/>
          <w:szCs w:val="24"/>
        </w:rPr>
      </w:pPr>
      <w:r w:rsidRPr="008F3FB2">
        <w:rPr>
          <w:rFonts w:ascii="Times New Roman" w:hAnsi="Times New Roman" w:cs="Times New Roman"/>
          <w:b/>
          <w:bCs/>
          <w:noProof/>
          <w:sz w:val="28"/>
          <w:szCs w:val="28"/>
        </w:rPr>
        <w:lastRenderedPageBreak/>
        <w:drawing>
          <wp:inline distT="0" distB="0" distL="0" distR="0" wp14:anchorId="0CCBEB91" wp14:editId="0618D4F3">
            <wp:extent cx="5816899" cy="3829247"/>
            <wp:effectExtent l="152400" t="152400" r="355600" b="361950"/>
            <wp:docPr id="760019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019128" name=""/>
                    <pic:cNvPicPr/>
                  </pic:nvPicPr>
                  <pic:blipFill>
                    <a:blip r:embed="rId11"/>
                    <a:stretch>
                      <a:fillRect/>
                    </a:stretch>
                  </pic:blipFill>
                  <pic:spPr>
                    <a:xfrm>
                      <a:off x="0" y="0"/>
                      <a:ext cx="5816899" cy="3829247"/>
                    </a:xfrm>
                    <a:prstGeom prst="rect">
                      <a:avLst/>
                    </a:prstGeom>
                    <a:ln>
                      <a:noFill/>
                    </a:ln>
                    <a:effectLst>
                      <a:outerShdw blurRad="292100" dist="139700" dir="2700000" algn="tl" rotWithShape="0">
                        <a:srgbClr val="333333">
                          <a:alpha val="65000"/>
                        </a:srgbClr>
                      </a:outerShdw>
                    </a:effectLst>
                  </pic:spPr>
                </pic:pic>
              </a:graphicData>
            </a:graphic>
          </wp:inline>
        </w:drawing>
      </w:r>
    </w:p>
    <w:p w14:paraId="16B4192E" w14:textId="05E835EB" w:rsidR="00983CBF" w:rsidRPr="00983CBF" w:rsidRDefault="00983CBF" w:rsidP="00983CBF">
      <w:pPr>
        <w:pStyle w:val="NoSpacing"/>
        <w:rPr>
          <w:rFonts w:ascii="Times New Roman" w:hAnsi="Times New Roman" w:cs="Times New Roman"/>
        </w:rPr>
      </w:pPr>
      <w:r w:rsidRPr="00983CBF">
        <w:rPr>
          <w:rFonts w:ascii="Times New Roman" w:hAnsi="Times New Roman" w:cs="Times New Roman"/>
          <w:b/>
          <w:bCs/>
        </w:rPr>
        <w:t xml:space="preserve">Figure </w:t>
      </w:r>
      <w:r>
        <w:rPr>
          <w:rFonts w:ascii="Times New Roman" w:hAnsi="Times New Roman" w:cs="Times New Roman"/>
          <w:b/>
          <w:bCs/>
        </w:rPr>
        <w:t>4</w:t>
      </w:r>
      <w:r w:rsidRPr="00983CBF">
        <w:rPr>
          <w:rFonts w:ascii="Times New Roman" w:hAnsi="Times New Roman" w:cs="Times New Roman"/>
        </w:rPr>
        <w:t xml:space="preserve">: Hybrid cybersecurity governance model for </w:t>
      </w:r>
      <w:proofErr w:type="spellStart"/>
      <w:r w:rsidRPr="00983CBF">
        <w:rPr>
          <w:rFonts w:ascii="Times New Roman" w:hAnsi="Times New Roman" w:cs="Times New Roman"/>
        </w:rPr>
        <w:t>Finsure</w:t>
      </w:r>
      <w:proofErr w:type="spellEnd"/>
      <w:r w:rsidRPr="00983CBF">
        <w:rPr>
          <w:rFonts w:ascii="Times New Roman" w:hAnsi="Times New Roman" w:cs="Times New Roman"/>
        </w:rPr>
        <w:t xml:space="preserve"> Bank, integrating ISO 27001, NIST, and COBIT principles to address governance gaps and strengthen organisational oversight.</w:t>
      </w:r>
    </w:p>
    <w:p w14:paraId="79196787" w14:textId="77777777" w:rsidR="00FC486A" w:rsidRDefault="00FC486A" w:rsidP="006E6284">
      <w:pPr>
        <w:spacing w:line="360" w:lineRule="auto"/>
        <w:rPr>
          <w:rFonts w:ascii="Times New Roman" w:hAnsi="Times New Roman" w:cs="Times New Roman"/>
          <w:b/>
          <w:bCs/>
          <w:sz w:val="24"/>
          <w:szCs w:val="24"/>
        </w:rPr>
      </w:pPr>
    </w:p>
    <w:p w14:paraId="6C670360" w14:textId="27328F4C"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4.4 Risk Management Weaknesses</w:t>
      </w:r>
    </w:p>
    <w:p w14:paraId="671E037A" w14:textId="363B50F8" w:rsidR="00AC5854" w:rsidRDefault="00AC5854" w:rsidP="00D46C65">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FSB’s risk management approach is largely manual, with limited assessment of emerging cyber threats or cross-jurisdictional compliance obligations</w:t>
      </w:r>
      <w:r w:rsidR="004120EE">
        <w:rPr>
          <w:rFonts w:ascii="Times New Roman" w:hAnsi="Times New Roman" w:cs="Times New Roman"/>
          <w:sz w:val="24"/>
          <w:szCs w:val="24"/>
        </w:rPr>
        <w:t xml:space="preserve"> [20]</w:t>
      </w:r>
      <w:r w:rsidRPr="00AC5854">
        <w:rPr>
          <w:rFonts w:ascii="Times New Roman" w:hAnsi="Times New Roman" w:cs="Times New Roman"/>
          <w:sz w:val="24"/>
          <w:szCs w:val="24"/>
        </w:rPr>
        <w:t>. Risk registers are incomplete, and risk treatment strategies are inconsistent, increasing exposure to data breaches, insider threats, and operational disruptions.</w:t>
      </w:r>
    </w:p>
    <w:p w14:paraId="6F167981" w14:textId="77777777" w:rsidR="00D46C65" w:rsidRPr="00D46C65" w:rsidRDefault="00D46C65" w:rsidP="00D46C65">
      <w:pPr>
        <w:spacing w:line="360" w:lineRule="auto"/>
        <w:jc w:val="both"/>
        <w:rPr>
          <w:rFonts w:ascii="Times New Roman" w:hAnsi="Times New Roman" w:cs="Times New Roman"/>
          <w:sz w:val="24"/>
          <w:szCs w:val="24"/>
        </w:rPr>
      </w:pPr>
    </w:p>
    <w:p w14:paraId="05783E8F" w14:textId="77777777" w:rsidR="00AC5854" w:rsidRPr="00AC5854" w:rsidRDefault="00AC5854" w:rsidP="006E6284">
      <w:pPr>
        <w:spacing w:line="360" w:lineRule="auto"/>
        <w:rPr>
          <w:rFonts w:ascii="Times New Roman" w:hAnsi="Times New Roman" w:cs="Times New Roman"/>
          <w:b/>
          <w:bCs/>
          <w:sz w:val="24"/>
          <w:szCs w:val="24"/>
        </w:rPr>
      </w:pPr>
      <w:r w:rsidRPr="00AC5854">
        <w:rPr>
          <w:rFonts w:ascii="Times New Roman" w:hAnsi="Times New Roman" w:cs="Times New Roman"/>
          <w:b/>
          <w:bCs/>
          <w:sz w:val="24"/>
          <w:szCs w:val="24"/>
        </w:rPr>
        <w:t>4.5 Compliance Challenges</w:t>
      </w:r>
    </w:p>
    <w:p w14:paraId="546FF013" w14:textId="52637CCA" w:rsidR="00AC5854" w:rsidRDefault="00AC5854" w:rsidP="00D46C65">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Compliance with GDPR, PCI DSS, and financial-sector regulations is incomplete. Internal audit mechanisms are irregular, and the organisation has limited mechanisms for continuous monitoring or conducting Data Protection Impact Assessments (DPIAs). Third-party and BYOD risks further complicate adherence to legal and ethical requirements</w:t>
      </w:r>
      <w:r w:rsidR="00012FA1">
        <w:rPr>
          <w:rFonts w:ascii="Times New Roman" w:hAnsi="Times New Roman" w:cs="Times New Roman"/>
          <w:sz w:val="24"/>
          <w:szCs w:val="24"/>
        </w:rPr>
        <w:t xml:space="preserve"> [2</w:t>
      </w:r>
      <w:r w:rsidR="004120EE">
        <w:rPr>
          <w:rFonts w:ascii="Times New Roman" w:hAnsi="Times New Roman" w:cs="Times New Roman"/>
          <w:sz w:val="24"/>
          <w:szCs w:val="24"/>
        </w:rPr>
        <w:t>1</w:t>
      </w:r>
      <w:r w:rsidR="00012FA1">
        <w:rPr>
          <w:rFonts w:ascii="Times New Roman" w:hAnsi="Times New Roman" w:cs="Times New Roman"/>
          <w:sz w:val="24"/>
          <w:szCs w:val="24"/>
        </w:rPr>
        <w:t>] [</w:t>
      </w:r>
      <w:r w:rsidR="004120EE">
        <w:rPr>
          <w:rFonts w:ascii="Times New Roman" w:hAnsi="Times New Roman" w:cs="Times New Roman"/>
          <w:sz w:val="24"/>
          <w:szCs w:val="24"/>
        </w:rPr>
        <w:t>22</w:t>
      </w:r>
      <w:r w:rsidR="00012FA1">
        <w:rPr>
          <w:rFonts w:ascii="Times New Roman" w:hAnsi="Times New Roman" w:cs="Times New Roman"/>
          <w:sz w:val="24"/>
          <w:szCs w:val="24"/>
        </w:rPr>
        <w:t>]</w:t>
      </w:r>
      <w:r w:rsidRPr="00AC5854">
        <w:rPr>
          <w:rFonts w:ascii="Times New Roman" w:hAnsi="Times New Roman" w:cs="Times New Roman"/>
          <w:sz w:val="24"/>
          <w:szCs w:val="24"/>
        </w:rPr>
        <w:t>.</w:t>
      </w:r>
    </w:p>
    <w:p w14:paraId="715F4CDF" w14:textId="77777777" w:rsidR="00D46C65" w:rsidRDefault="00D46C65" w:rsidP="00D46C65">
      <w:pPr>
        <w:spacing w:line="360" w:lineRule="auto"/>
        <w:jc w:val="both"/>
        <w:rPr>
          <w:rFonts w:ascii="Times New Roman" w:hAnsi="Times New Roman" w:cs="Times New Roman"/>
          <w:sz w:val="24"/>
          <w:szCs w:val="24"/>
        </w:rPr>
      </w:pPr>
    </w:p>
    <w:p w14:paraId="57E51140" w14:textId="77777777" w:rsidR="00D46C65" w:rsidRDefault="00D46C65" w:rsidP="00D46C65">
      <w:pPr>
        <w:spacing w:line="360" w:lineRule="auto"/>
        <w:jc w:val="both"/>
        <w:rPr>
          <w:rFonts w:ascii="Times New Roman" w:hAnsi="Times New Roman" w:cs="Times New Roman"/>
          <w:sz w:val="24"/>
          <w:szCs w:val="24"/>
        </w:rPr>
      </w:pPr>
    </w:p>
    <w:p w14:paraId="19A364A8" w14:textId="77777777" w:rsidR="00D46C65" w:rsidRDefault="00D46C65" w:rsidP="00D46C65">
      <w:pPr>
        <w:spacing w:line="360" w:lineRule="auto"/>
        <w:jc w:val="both"/>
        <w:rPr>
          <w:rFonts w:ascii="Times New Roman" w:hAnsi="Times New Roman" w:cs="Times New Roman"/>
          <w:sz w:val="24"/>
          <w:szCs w:val="24"/>
        </w:rPr>
      </w:pPr>
    </w:p>
    <w:p w14:paraId="74ECD4A5" w14:textId="77777777" w:rsidR="00D46C65" w:rsidRPr="00D46C65" w:rsidRDefault="00D46C65" w:rsidP="00D46C65">
      <w:pPr>
        <w:spacing w:line="360" w:lineRule="auto"/>
        <w:jc w:val="both"/>
        <w:rPr>
          <w:rFonts w:ascii="Times New Roman" w:hAnsi="Times New Roman" w:cs="Times New Roman"/>
          <w:sz w:val="24"/>
          <w:szCs w:val="24"/>
        </w:rPr>
      </w:pPr>
    </w:p>
    <w:p w14:paraId="6559EA9B"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4.6 Threat Landscape Analysis</w:t>
      </w:r>
    </w:p>
    <w:p w14:paraId="62714892" w14:textId="58D73CF3"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FSB operates in a dynamic threat landscape, facing cyber risks from malware, ransomware, phishing, identity theft, and cloud misconfigurations. BYOD adoption increases attack surfaces, while advanced persistent threats (APTs) and insider risks amplify potential impact</w:t>
      </w:r>
      <w:r w:rsidR="00012FA1">
        <w:rPr>
          <w:rFonts w:ascii="Times New Roman" w:hAnsi="Times New Roman" w:cs="Times New Roman"/>
          <w:sz w:val="24"/>
          <w:szCs w:val="24"/>
        </w:rPr>
        <w:t xml:space="preserve"> [</w:t>
      </w:r>
      <w:r w:rsidR="004120EE">
        <w:rPr>
          <w:rFonts w:ascii="Times New Roman" w:hAnsi="Times New Roman" w:cs="Times New Roman"/>
          <w:sz w:val="24"/>
          <w:szCs w:val="24"/>
        </w:rPr>
        <w:t>23</w:t>
      </w:r>
      <w:r w:rsidR="00012FA1">
        <w:rPr>
          <w:rFonts w:ascii="Times New Roman" w:hAnsi="Times New Roman" w:cs="Times New Roman"/>
          <w:sz w:val="24"/>
          <w:szCs w:val="24"/>
        </w:rPr>
        <w:t>]</w:t>
      </w:r>
      <w:r w:rsidRPr="00AC5854">
        <w:rPr>
          <w:rFonts w:ascii="Times New Roman" w:hAnsi="Times New Roman" w:cs="Times New Roman"/>
          <w:sz w:val="24"/>
          <w:szCs w:val="24"/>
        </w:rPr>
        <w:t>. Regulatory non-compliance and operational gaps exacerbate vulnerabilities, underscoring the need for a unified, risk-driven security and governance framework.</w:t>
      </w:r>
    </w:p>
    <w:p w14:paraId="2EF9FE9A" w14:textId="77777777" w:rsidR="00AC5854" w:rsidRPr="00AC5854" w:rsidRDefault="00AC5854" w:rsidP="006E6284">
      <w:pPr>
        <w:spacing w:line="360" w:lineRule="auto"/>
        <w:jc w:val="both"/>
        <w:rPr>
          <w:rFonts w:ascii="Times New Roman" w:hAnsi="Times New Roman" w:cs="Times New Roman"/>
          <w:sz w:val="24"/>
          <w:szCs w:val="24"/>
        </w:rPr>
      </w:pPr>
    </w:p>
    <w:p w14:paraId="4A0D5D05" w14:textId="77777777" w:rsidR="00AC5854" w:rsidRPr="00AC5854" w:rsidRDefault="00AC5854" w:rsidP="006E6284">
      <w:pPr>
        <w:spacing w:line="360" w:lineRule="auto"/>
        <w:jc w:val="both"/>
        <w:rPr>
          <w:rFonts w:ascii="Times New Roman" w:hAnsi="Times New Roman" w:cs="Times New Roman"/>
          <w:b/>
          <w:bCs/>
          <w:sz w:val="28"/>
          <w:szCs w:val="28"/>
        </w:rPr>
      </w:pPr>
      <w:r w:rsidRPr="00AC5854">
        <w:rPr>
          <w:rFonts w:ascii="Times New Roman" w:hAnsi="Times New Roman" w:cs="Times New Roman"/>
          <w:b/>
          <w:bCs/>
          <w:sz w:val="28"/>
          <w:szCs w:val="28"/>
        </w:rPr>
        <w:t>5. Proposed Governance, Security and Compliance Model</w:t>
      </w:r>
    </w:p>
    <w:p w14:paraId="570AEEB0" w14:textId="79A8FD8E"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 xml:space="preserve">To address </w:t>
      </w: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Bank’s (FSB) fragmented security posture, a comprehensive Governance, Security, and Compliance (GSC) model is proposed. This model integrates established industry frameworks, including ISO/IEC 27001, NIST CSF, COBIT 2019, ITIL 4, and Zero Trust Architecture (ZTA), providing a unified, scalable, and risk-driven approach</w:t>
      </w:r>
      <w:r w:rsidR="00012FA1">
        <w:rPr>
          <w:rFonts w:ascii="Times New Roman" w:hAnsi="Times New Roman" w:cs="Times New Roman"/>
          <w:sz w:val="24"/>
          <w:szCs w:val="24"/>
        </w:rPr>
        <w:t xml:space="preserve"> [</w:t>
      </w:r>
      <w:r w:rsidR="004120EE">
        <w:rPr>
          <w:rFonts w:ascii="Times New Roman" w:hAnsi="Times New Roman" w:cs="Times New Roman"/>
          <w:sz w:val="24"/>
          <w:szCs w:val="24"/>
        </w:rPr>
        <w:t>24</w:t>
      </w:r>
      <w:r w:rsidR="00012FA1">
        <w:rPr>
          <w:rFonts w:ascii="Times New Roman" w:hAnsi="Times New Roman" w:cs="Times New Roman"/>
          <w:sz w:val="24"/>
          <w:szCs w:val="24"/>
        </w:rPr>
        <w:t>] [</w:t>
      </w:r>
      <w:r w:rsidR="004120EE">
        <w:rPr>
          <w:rFonts w:ascii="Times New Roman" w:hAnsi="Times New Roman" w:cs="Times New Roman"/>
          <w:sz w:val="24"/>
          <w:szCs w:val="24"/>
        </w:rPr>
        <w:t>27</w:t>
      </w:r>
      <w:r w:rsidR="00012FA1">
        <w:rPr>
          <w:rFonts w:ascii="Times New Roman" w:hAnsi="Times New Roman" w:cs="Times New Roman"/>
          <w:sz w:val="24"/>
          <w:szCs w:val="24"/>
        </w:rPr>
        <w:t>]</w:t>
      </w:r>
      <w:r w:rsidRPr="00AC5854">
        <w:rPr>
          <w:rFonts w:ascii="Times New Roman" w:hAnsi="Times New Roman" w:cs="Times New Roman"/>
          <w:sz w:val="24"/>
          <w:szCs w:val="24"/>
        </w:rPr>
        <w:t>. It ensures that strategic oversight, operational controls, and regulatory requirements are aligned with organisational objectives.</w:t>
      </w:r>
    </w:p>
    <w:p w14:paraId="5973B95E" w14:textId="77777777" w:rsidR="00AC5854" w:rsidRPr="00AC5854" w:rsidRDefault="00AC5854" w:rsidP="006E6284">
      <w:pPr>
        <w:spacing w:line="360" w:lineRule="auto"/>
        <w:jc w:val="both"/>
        <w:rPr>
          <w:rFonts w:ascii="Times New Roman" w:hAnsi="Times New Roman" w:cs="Times New Roman"/>
          <w:sz w:val="24"/>
          <w:szCs w:val="24"/>
        </w:rPr>
      </w:pPr>
    </w:p>
    <w:p w14:paraId="479B2669"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5.1 Governance Structure</w:t>
      </w:r>
    </w:p>
    <w:p w14:paraId="51F03C71" w14:textId="25EF1F16"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A Security Governance Board (SGB) is recommended, comprising senior leadership, including the CISO, Data Protection Officer, Compliance Manager, Legal Counsel, and Business Unit Leads</w:t>
      </w:r>
      <w:r w:rsidR="00995268">
        <w:rPr>
          <w:rFonts w:ascii="Times New Roman" w:hAnsi="Times New Roman" w:cs="Times New Roman"/>
          <w:sz w:val="24"/>
          <w:szCs w:val="24"/>
        </w:rPr>
        <w:t xml:space="preserve"> [</w:t>
      </w:r>
      <w:r w:rsidR="004120EE">
        <w:rPr>
          <w:rFonts w:ascii="Times New Roman" w:hAnsi="Times New Roman" w:cs="Times New Roman"/>
          <w:sz w:val="24"/>
          <w:szCs w:val="24"/>
        </w:rPr>
        <w:t>25</w:t>
      </w:r>
      <w:r w:rsidR="00995268">
        <w:rPr>
          <w:rFonts w:ascii="Times New Roman" w:hAnsi="Times New Roman" w:cs="Times New Roman"/>
          <w:sz w:val="24"/>
          <w:szCs w:val="24"/>
        </w:rPr>
        <w:t>]</w:t>
      </w:r>
      <w:r w:rsidRPr="00AC5854">
        <w:rPr>
          <w:rFonts w:ascii="Times New Roman" w:hAnsi="Times New Roman" w:cs="Times New Roman"/>
          <w:sz w:val="24"/>
          <w:szCs w:val="24"/>
        </w:rPr>
        <w:t>. The SGB oversees security strategy, policy approval, risk management decisions, and regulatory alignment, ensuring governance accountability across all business units.</w:t>
      </w:r>
    </w:p>
    <w:p w14:paraId="084B9066" w14:textId="77777777" w:rsidR="00AC5854" w:rsidRPr="00AC5854" w:rsidRDefault="00AC5854" w:rsidP="006E6284">
      <w:pPr>
        <w:spacing w:line="360" w:lineRule="auto"/>
        <w:jc w:val="both"/>
        <w:rPr>
          <w:rFonts w:ascii="Times New Roman" w:hAnsi="Times New Roman" w:cs="Times New Roman"/>
          <w:sz w:val="24"/>
          <w:szCs w:val="24"/>
        </w:rPr>
      </w:pPr>
    </w:p>
    <w:p w14:paraId="55EF4842"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5.2 Security Policy Framework</w:t>
      </w:r>
    </w:p>
    <w:p w14:paraId="2E0277E4" w14:textId="0EA140A5"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A tiered policy framework ensures consistency and enforceability. Tier 1 covers enterprise-wide policies (Information Security Policy), Tier 2 defines standards and baselines (BYOD, Cloud Security), Tier 3 provides procedures and playbooks (Incident Response), and Tier 4 includes technical guidelines (secure coding, encryption rules)</w:t>
      </w:r>
      <w:r w:rsidR="00995268">
        <w:rPr>
          <w:rFonts w:ascii="Times New Roman" w:hAnsi="Times New Roman" w:cs="Times New Roman"/>
          <w:sz w:val="24"/>
          <w:szCs w:val="24"/>
        </w:rPr>
        <w:t xml:space="preserve"> [</w:t>
      </w:r>
      <w:r w:rsidR="004120EE">
        <w:rPr>
          <w:rFonts w:ascii="Times New Roman" w:hAnsi="Times New Roman" w:cs="Times New Roman"/>
          <w:sz w:val="24"/>
          <w:szCs w:val="24"/>
        </w:rPr>
        <w:t>26</w:t>
      </w:r>
      <w:r w:rsidR="00995268">
        <w:rPr>
          <w:rFonts w:ascii="Times New Roman" w:hAnsi="Times New Roman" w:cs="Times New Roman"/>
          <w:sz w:val="24"/>
          <w:szCs w:val="24"/>
        </w:rPr>
        <w:t>]</w:t>
      </w:r>
      <w:r w:rsidRPr="00AC5854">
        <w:rPr>
          <w:rFonts w:ascii="Times New Roman" w:hAnsi="Times New Roman" w:cs="Times New Roman"/>
          <w:sz w:val="24"/>
          <w:szCs w:val="24"/>
        </w:rPr>
        <w:t>.</w:t>
      </w:r>
    </w:p>
    <w:p w14:paraId="2FBE1EB3" w14:textId="77777777" w:rsidR="00AC5854" w:rsidRDefault="00AC5854" w:rsidP="006E6284">
      <w:pPr>
        <w:spacing w:line="360" w:lineRule="auto"/>
        <w:jc w:val="both"/>
        <w:rPr>
          <w:rFonts w:ascii="Times New Roman" w:hAnsi="Times New Roman" w:cs="Times New Roman"/>
          <w:sz w:val="24"/>
          <w:szCs w:val="24"/>
        </w:rPr>
      </w:pPr>
    </w:p>
    <w:p w14:paraId="0D25CBAA" w14:textId="77777777" w:rsidR="00A468A6" w:rsidRDefault="00A468A6" w:rsidP="006E6284">
      <w:pPr>
        <w:spacing w:line="360" w:lineRule="auto"/>
        <w:jc w:val="both"/>
        <w:rPr>
          <w:rFonts w:ascii="Times New Roman" w:hAnsi="Times New Roman" w:cs="Times New Roman"/>
          <w:sz w:val="24"/>
          <w:szCs w:val="24"/>
        </w:rPr>
      </w:pPr>
    </w:p>
    <w:p w14:paraId="531ED518" w14:textId="77777777" w:rsidR="00A468A6" w:rsidRDefault="00A468A6" w:rsidP="006E6284">
      <w:pPr>
        <w:spacing w:line="360" w:lineRule="auto"/>
        <w:jc w:val="both"/>
        <w:rPr>
          <w:rFonts w:ascii="Times New Roman" w:hAnsi="Times New Roman" w:cs="Times New Roman"/>
          <w:sz w:val="24"/>
          <w:szCs w:val="24"/>
        </w:rPr>
      </w:pPr>
    </w:p>
    <w:p w14:paraId="54D3CBB8" w14:textId="77777777" w:rsidR="00A468A6" w:rsidRPr="00AC5854" w:rsidRDefault="00A468A6" w:rsidP="006E6284">
      <w:pPr>
        <w:spacing w:line="360" w:lineRule="auto"/>
        <w:jc w:val="both"/>
        <w:rPr>
          <w:rFonts w:ascii="Times New Roman" w:hAnsi="Times New Roman" w:cs="Times New Roman"/>
          <w:sz w:val="24"/>
          <w:szCs w:val="24"/>
        </w:rPr>
      </w:pPr>
    </w:p>
    <w:p w14:paraId="15C4C93F"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lastRenderedPageBreak/>
        <w:t>5.3 Risk Management Model</w:t>
      </w:r>
    </w:p>
    <w:p w14:paraId="14B1EBF3" w14:textId="5ED8B9F8"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FSB adopts a continuous risk-management cycle: identify assets and threats, assess likelihood and impact, treat risks, implement controls, monitor continuously, and review quarterly. This aligns with ISO 27005 and NIST RMF standards, supported by a risk register reviewed by the SGB</w:t>
      </w:r>
      <w:r w:rsidR="00995268">
        <w:rPr>
          <w:rFonts w:ascii="Times New Roman" w:hAnsi="Times New Roman" w:cs="Times New Roman"/>
          <w:sz w:val="24"/>
          <w:szCs w:val="24"/>
        </w:rPr>
        <w:t xml:space="preserve"> [</w:t>
      </w:r>
      <w:r w:rsidR="004120EE">
        <w:rPr>
          <w:rFonts w:ascii="Times New Roman" w:hAnsi="Times New Roman" w:cs="Times New Roman"/>
          <w:sz w:val="24"/>
          <w:szCs w:val="24"/>
        </w:rPr>
        <w:t>28</w:t>
      </w:r>
      <w:r w:rsidR="00995268">
        <w:rPr>
          <w:rFonts w:ascii="Times New Roman" w:hAnsi="Times New Roman" w:cs="Times New Roman"/>
          <w:sz w:val="24"/>
          <w:szCs w:val="24"/>
        </w:rPr>
        <w:t>]</w:t>
      </w:r>
      <w:r w:rsidRPr="00AC5854">
        <w:rPr>
          <w:rFonts w:ascii="Times New Roman" w:hAnsi="Times New Roman" w:cs="Times New Roman"/>
          <w:sz w:val="24"/>
          <w:szCs w:val="24"/>
        </w:rPr>
        <w:t>.</w:t>
      </w:r>
    </w:p>
    <w:p w14:paraId="08B57B7C" w14:textId="77777777" w:rsidR="00AC5854" w:rsidRPr="00AC5854" w:rsidRDefault="00AC5854" w:rsidP="006E6284">
      <w:pPr>
        <w:spacing w:line="360" w:lineRule="auto"/>
        <w:jc w:val="both"/>
        <w:rPr>
          <w:rFonts w:ascii="Times New Roman" w:hAnsi="Times New Roman" w:cs="Times New Roman"/>
          <w:sz w:val="24"/>
          <w:szCs w:val="24"/>
        </w:rPr>
      </w:pPr>
    </w:p>
    <w:p w14:paraId="354EEBFC"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5.4 Zero Trust Access Control and BYOD Security</w:t>
      </w:r>
    </w:p>
    <w:p w14:paraId="72311FEB" w14:textId="0D1D4155"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Zero Trust principles enforce identity-first security, least privilege access, micro-segmentation, and continuous device verification</w:t>
      </w:r>
      <w:r w:rsidR="00995268">
        <w:rPr>
          <w:rFonts w:ascii="Times New Roman" w:hAnsi="Times New Roman" w:cs="Times New Roman"/>
          <w:sz w:val="24"/>
          <w:szCs w:val="24"/>
        </w:rPr>
        <w:t xml:space="preserve"> [19]</w:t>
      </w:r>
      <w:r w:rsidRPr="00AC5854">
        <w:rPr>
          <w:rFonts w:ascii="Times New Roman" w:hAnsi="Times New Roman" w:cs="Times New Roman"/>
          <w:sz w:val="24"/>
          <w:szCs w:val="24"/>
        </w:rPr>
        <w:t>. BYOD devices are enrolled in MDM platforms with encryption, remote wipe, and behavioural monitoring to mitigate threats from personal devices.</w:t>
      </w:r>
    </w:p>
    <w:p w14:paraId="61A281FD" w14:textId="77777777" w:rsidR="00AC5854" w:rsidRPr="00AC5854" w:rsidRDefault="00AC5854" w:rsidP="006E6284">
      <w:pPr>
        <w:spacing w:line="360" w:lineRule="auto"/>
        <w:jc w:val="both"/>
        <w:rPr>
          <w:rFonts w:ascii="Times New Roman" w:hAnsi="Times New Roman" w:cs="Times New Roman"/>
          <w:sz w:val="24"/>
          <w:szCs w:val="24"/>
        </w:rPr>
      </w:pPr>
    </w:p>
    <w:p w14:paraId="3261BE6C"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5.5 Cloud Security Controls</w:t>
      </w:r>
    </w:p>
    <w:p w14:paraId="3C555054" w14:textId="2D907459"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Controls include secure configuration baselines, encryption of data at rest and in transit, centralised key management, logging via SIEM, and geo-redundant backups</w:t>
      </w:r>
      <w:r w:rsidR="004120EE">
        <w:rPr>
          <w:rFonts w:ascii="Times New Roman" w:hAnsi="Times New Roman" w:cs="Times New Roman"/>
          <w:sz w:val="24"/>
          <w:szCs w:val="24"/>
        </w:rPr>
        <w:t xml:space="preserve"> [4]</w:t>
      </w:r>
      <w:r w:rsidRPr="00AC5854">
        <w:rPr>
          <w:rFonts w:ascii="Times New Roman" w:hAnsi="Times New Roman" w:cs="Times New Roman"/>
          <w:sz w:val="24"/>
          <w:szCs w:val="24"/>
        </w:rPr>
        <w:t>. Shared responsibility agreements with cloud providers ensure accountability.</w:t>
      </w:r>
    </w:p>
    <w:p w14:paraId="2FF76FB9" w14:textId="77777777" w:rsidR="00AC5854" w:rsidRPr="00AC5854" w:rsidRDefault="00AC5854" w:rsidP="006E6284">
      <w:pPr>
        <w:spacing w:line="360" w:lineRule="auto"/>
        <w:jc w:val="both"/>
        <w:rPr>
          <w:rFonts w:ascii="Times New Roman" w:hAnsi="Times New Roman" w:cs="Times New Roman"/>
          <w:sz w:val="24"/>
          <w:szCs w:val="24"/>
        </w:rPr>
      </w:pPr>
    </w:p>
    <w:p w14:paraId="4285D171"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5.6 Incident Response and Contingency Planning</w:t>
      </w:r>
    </w:p>
    <w:p w14:paraId="551D485D" w14:textId="0EE45B2C"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FSB adopts a four-phase response: preparation, detection, containment and recovery, and post-incident review. Contingency planning integrates Business Continuity Plans (BCP), Disaster Recovery Plans (DRP), and simulation exercises</w:t>
      </w:r>
      <w:r w:rsidR="00995268">
        <w:rPr>
          <w:rFonts w:ascii="Times New Roman" w:hAnsi="Times New Roman" w:cs="Times New Roman"/>
          <w:sz w:val="24"/>
          <w:szCs w:val="24"/>
        </w:rPr>
        <w:t xml:space="preserve"> [</w:t>
      </w:r>
      <w:r w:rsidR="004120EE">
        <w:rPr>
          <w:rFonts w:ascii="Times New Roman" w:hAnsi="Times New Roman" w:cs="Times New Roman"/>
          <w:sz w:val="24"/>
          <w:szCs w:val="24"/>
        </w:rPr>
        <w:t>12</w:t>
      </w:r>
      <w:r w:rsidR="00995268">
        <w:rPr>
          <w:rFonts w:ascii="Times New Roman" w:hAnsi="Times New Roman" w:cs="Times New Roman"/>
          <w:sz w:val="24"/>
          <w:szCs w:val="24"/>
        </w:rPr>
        <w:t>]</w:t>
      </w:r>
      <w:r w:rsidRPr="00AC5854">
        <w:rPr>
          <w:rFonts w:ascii="Times New Roman" w:hAnsi="Times New Roman" w:cs="Times New Roman"/>
          <w:sz w:val="24"/>
          <w:szCs w:val="24"/>
        </w:rPr>
        <w:t>.</w:t>
      </w:r>
    </w:p>
    <w:p w14:paraId="3236B9C9" w14:textId="77777777" w:rsidR="006E6284" w:rsidRDefault="006E6284" w:rsidP="006E6284">
      <w:pPr>
        <w:spacing w:line="360" w:lineRule="auto"/>
        <w:jc w:val="both"/>
        <w:rPr>
          <w:rFonts w:ascii="Times New Roman" w:hAnsi="Times New Roman" w:cs="Times New Roman"/>
          <w:b/>
          <w:bCs/>
          <w:sz w:val="24"/>
          <w:szCs w:val="24"/>
        </w:rPr>
      </w:pPr>
    </w:p>
    <w:p w14:paraId="17EC9806" w14:textId="3707683D"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5.7 Compliance Monitoring and Audit Mechanisms</w:t>
      </w:r>
    </w:p>
    <w:p w14:paraId="52C1D4F1" w14:textId="3F68133D"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Automated dashboards, quarterly internal audits, annual external audits, and Data Protection Impact Assessments (DPIAs) ensure adherence to GDPR, PCI DSS, and ISO 27001 controls</w:t>
      </w:r>
      <w:r w:rsidR="00995268">
        <w:rPr>
          <w:rFonts w:ascii="Times New Roman" w:hAnsi="Times New Roman" w:cs="Times New Roman"/>
          <w:sz w:val="24"/>
          <w:szCs w:val="24"/>
        </w:rPr>
        <w:t xml:space="preserve"> [</w:t>
      </w:r>
      <w:r w:rsidR="004120EE">
        <w:rPr>
          <w:rFonts w:ascii="Times New Roman" w:hAnsi="Times New Roman" w:cs="Times New Roman"/>
          <w:sz w:val="24"/>
          <w:szCs w:val="24"/>
        </w:rPr>
        <w:t>1</w:t>
      </w:r>
      <w:r w:rsidR="00995268">
        <w:rPr>
          <w:rFonts w:ascii="Times New Roman" w:hAnsi="Times New Roman" w:cs="Times New Roman"/>
          <w:sz w:val="24"/>
          <w:szCs w:val="24"/>
        </w:rPr>
        <w:t>2]</w:t>
      </w:r>
      <w:r w:rsidRPr="00AC5854">
        <w:rPr>
          <w:rFonts w:ascii="Times New Roman" w:hAnsi="Times New Roman" w:cs="Times New Roman"/>
          <w:sz w:val="24"/>
          <w:szCs w:val="24"/>
        </w:rPr>
        <w:t>. Third-party vendor assessments maintain supply chain security.</w:t>
      </w:r>
    </w:p>
    <w:p w14:paraId="7112FE89" w14:textId="77777777" w:rsidR="00AC5854" w:rsidRPr="00AC5854" w:rsidRDefault="00AC5854" w:rsidP="006E6284">
      <w:pPr>
        <w:spacing w:line="360" w:lineRule="auto"/>
        <w:jc w:val="both"/>
        <w:rPr>
          <w:rFonts w:ascii="Times New Roman" w:hAnsi="Times New Roman" w:cs="Times New Roman"/>
          <w:sz w:val="24"/>
          <w:szCs w:val="24"/>
        </w:rPr>
      </w:pPr>
    </w:p>
    <w:p w14:paraId="00BBB793"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5.8 Service Level Agreements (SLAs)</w:t>
      </w:r>
    </w:p>
    <w:p w14:paraId="0F6A600E" w14:textId="35E34682" w:rsidR="006E628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SLAs with vendors and cloud providers define security responsibilities, data-protection obligations, incident reporting timelines, and penalties for non-compliance, ensuring accountability and continuity</w:t>
      </w:r>
      <w:r w:rsidR="004120EE">
        <w:rPr>
          <w:rFonts w:ascii="Times New Roman" w:hAnsi="Times New Roman" w:cs="Times New Roman"/>
          <w:sz w:val="24"/>
          <w:szCs w:val="24"/>
        </w:rPr>
        <w:t xml:space="preserve"> [15]</w:t>
      </w:r>
      <w:r w:rsidRPr="00AC5854">
        <w:rPr>
          <w:rFonts w:ascii="Times New Roman" w:hAnsi="Times New Roman" w:cs="Times New Roman"/>
          <w:sz w:val="24"/>
          <w:szCs w:val="24"/>
        </w:rPr>
        <w:t>.</w:t>
      </w:r>
    </w:p>
    <w:p w14:paraId="6A3F387E" w14:textId="77777777" w:rsidR="00A468A6" w:rsidRPr="00AC5854" w:rsidRDefault="00A468A6" w:rsidP="006E6284">
      <w:pPr>
        <w:spacing w:line="360" w:lineRule="auto"/>
        <w:jc w:val="both"/>
        <w:rPr>
          <w:rFonts w:ascii="Times New Roman" w:hAnsi="Times New Roman" w:cs="Times New Roman"/>
          <w:sz w:val="24"/>
          <w:szCs w:val="24"/>
        </w:rPr>
      </w:pPr>
    </w:p>
    <w:p w14:paraId="075FA4C6" w14:textId="77777777" w:rsidR="00AC5854" w:rsidRPr="00AC5854" w:rsidRDefault="00AC5854" w:rsidP="006E6284">
      <w:pPr>
        <w:spacing w:line="360" w:lineRule="auto"/>
        <w:jc w:val="both"/>
        <w:rPr>
          <w:rFonts w:ascii="Times New Roman" w:hAnsi="Times New Roman" w:cs="Times New Roman"/>
          <w:b/>
          <w:bCs/>
          <w:sz w:val="28"/>
          <w:szCs w:val="28"/>
        </w:rPr>
      </w:pPr>
      <w:r w:rsidRPr="00AC5854">
        <w:rPr>
          <w:rFonts w:ascii="Times New Roman" w:hAnsi="Times New Roman" w:cs="Times New Roman"/>
          <w:b/>
          <w:bCs/>
          <w:sz w:val="28"/>
          <w:szCs w:val="28"/>
        </w:rPr>
        <w:lastRenderedPageBreak/>
        <w:t>6. Framework Mapping and Justification</w:t>
      </w:r>
    </w:p>
    <w:p w14:paraId="7B40F666" w14:textId="77777777" w:rsidR="00AC5854" w:rsidRPr="00AC5854" w:rsidRDefault="00AC5854" w:rsidP="006E6284">
      <w:pPr>
        <w:spacing w:line="360" w:lineRule="auto"/>
        <w:jc w:val="both"/>
        <w:rPr>
          <w:rFonts w:ascii="Times New Roman" w:hAnsi="Times New Roman" w:cs="Times New Roman"/>
          <w:sz w:val="24"/>
          <w:szCs w:val="24"/>
        </w:rPr>
      </w:pPr>
    </w:p>
    <w:p w14:paraId="0639A949"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6.1 ISO/IEC 27001 Application</w:t>
      </w:r>
    </w:p>
    <w:p w14:paraId="7F45847B" w14:textId="5ACC4BE4"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 xml:space="preserve">ISO/IEC 27001 provides the foundational structure for </w:t>
      </w: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Bank’s information security management system (ISMS). Its emphasis on risk-based control selection, documented policies, and continual improvement aligns with the organisation’s need for formalised governance, robust access controls, and consistent audit processes. The standard supports regulatory compliance, including GDPR and financial-sector requirements</w:t>
      </w:r>
      <w:r w:rsidR="00995268">
        <w:rPr>
          <w:rFonts w:ascii="Times New Roman" w:hAnsi="Times New Roman" w:cs="Times New Roman"/>
          <w:sz w:val="24"/>
          <w:szCs w:val="24"/>
        </w:rPr>
        <w:t xml:space="preserve"> [23]</w:t>
      </w:r>
      <w:r w:rsidRPr="00AC5854">
        <w:rPr>
          <w:rFonts w:ascii="Times New Roman" w:hAnsi="Times New Roman" w:cs="Times New Roman"/>
          <w:sz w:val="24"/>
          <w:szCs w:val="24"/>
        </w:rPr>
        <w:t>.</w:t>
      </w:r>
    </w:p>
    <w:p w14:paraId="28F8594C" w14:textId="77777777" w:rsidR="00AC5854" w:rsidRPr="00AC5854" w:rsidRDefault="00AC5854" w:rsidP="006E6284">
      <w:pPr>
        <w:spacing w:line="360" w:lineRule="auto"/>
        <w:jc w:val="both"/>
        <w:rPr>
          <w:rFonts w:ascii="Times New Roman" w:hAnsi="Times New Roman" w:cs="Times New Roman"/>
          <w:sz w:val="24"/>
          <w:szCs w:val="24"/>
        </w:rPr>
      </w:pPr>
    </w:p>
    <w:p w14:paraId="5A8680C4"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6.2 NIST Cybersecurity Framework Alignment</w:t>
      </w:r>
    </w:p>
    <w:p w14:paraId="1D7FD1F9" w14:textId="238E116D"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The NIST Cybersecurity Framework (CSF) operationalises security across Identify, Protect, Detect, Respond, and Recover functions</w:t>
      </w:r>
      <w:r w:rsidR="00995268">
        <w:rPr>
          <w:rFonts w:ascii="Times New Roman" w:hAnsi="Times New Roman" w:cs="Times New Roman"/>
          <w:sz w:val="24"/>
          <w:szCs w:val="24"/>
        </w:rPr>
        <w:t xml:space="preserve"> [</w:t>
      </w:r>
      <w:r w:rsidR="008E6821">
        <w:rPr>
          <w:rFonts w:ascii="Times New Roman" w:hAnsi="Times New Roman" w:cs="Times New Roman"/>
          <w:sz w:val="24"/>
          <w:szCs w:val="24"/>
        </w:rPr>
        <w:t>17</w:t>
      </w:r>
      <w:r w:rsidR="00995268">
        <w:rPr>
          <w:rFonts w:ascii="Times New Roman" w:hAnsi="Times New Roman" w:cs="Times New Roman"/>
          <w:sz w:val="24"/>
          <w:szCs w:val="24"/>
        </w:rPr>
        <w:t>]</w:t>
      </w:r>
      <w:r w:rsidRPr="00AC5854">
        <w:rPr>
          <w:rFonts w:ascii="Times New Roman" w:hAnsi="Times New Roman" w:cs="Times New Roman"/>
          <w:sz w:val="24"/>
          <w:szCs w:val="24"/>
        </w:rPr>
        <w:t>. Mapping FSB’s risk management and incident response processes to the CSF ensures structured threat detection, timely incident mitigation, and recovery planning. It complements ISO 27001 by providing practical, actionable guidance tailored to technical and operational controls</w:t>
      </w:r>
      <w:r w:rsidR="00995268">
        <w:rPr>
          <w:rFonts w:ascii="Times New Roman" w:hAnsi="Times New Roman" w:cs="Times New Roman"/>
          <w:sz w:val="24"/>
          <w:szCs w:val="24"/>
        </w:rPr>
        <w:t xml:space="preserve"> [</w:t>
      </w:r>
      <w:r w:rsidR="008E6821">
        <w:rPr>
          <w:rFonts w:ascii="Times New Roman" w:hAnsi="Times New Roman" w:cs="Times New Roman"/>
          <w:sz w:val="24"/>
          <w:szCs w:val="24"/>
        </w:rPr>
        <w:t>24</w:t>
      </w:r>
      <w:r w:rsidR="00995268">
        <w:rPr>
          <w:rFonts w:ascii="Times New Roman" w:hAnsi="Times New Roman" w:cs="Times New Roman"/>
          <w:sz w:val="24"/>
          <w:szCs w:val="24"/>
        </w:rPr>
        <w:t>]</w:t>
      </w:r>
      <w:r w:rsidRPr="00AC5854">
        <w:rPr>
          <w:rFonts w:ascii="Times New Roman" w:hAnsi="Times New Roman" w:cs="Times New Roman"/>
          <w:sz w:val="24"/>
          <w:szCs w:val="24"/>
        </w:rPr>
        <w:t>.</w:t>
      </w:r>
    </w:p>
    <w:p w14:paraId="4BA70011" w14:textId="77777777" w:rsidR="00AC5854" w:rsidRPr="00AC5854" w:rsidRDefault="00AC5854" w:rsidP="006E6284">
      <w:pPr>
        <w:spacing w:line="360" w:lineRule="auto"/>
        <w:jc w:val="both"/>
        <w:rPr>
          <w:rFonts w:ascii="Times New Roman" w:hAnsi="Times New Roman" w:cs="Times New Roman"/>
          <w:sz w:val="24"/>
          <w:szCs w:val="24"/>
        </w:rPr>
      </w:pPr>
    </w:p>
    <w:p w14:paraId="60BA785F"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6.3 COBIT 2019 Integration</w:t>
      </w:r>
    </w:p>
    <w:p w14:paraId="1FDEF13B" w14:textId="416EB88A"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COBIT 2019 strengthens enterprise governance by linking IT decisions to business objectives</w:t>
      </w:r>
      <w:r w:rsidR="00995268">
        <w:rPr>
          <w:rFonts w:ascii="Times New Roman" w:hAnsi="Times New Roman" w:cs="Times New Roman"/>
          <w:sz w:val="24"/>
          <w:szCs w:val="24"/>
        </w:rPr>
        <w:t xml:space="preserve"> [1</w:t>
      </w:r>
      <w:r w:rsidR="008E6821">
        <w:rPr>
          <w:rFonts w:ascii="Times New Roman" w:hAnsi="Times New Roman" w:cs="Times New Roman"/>
          <w:sz w:val="24"/>
          <w:szCs w:val="24"/>
        </w:rPr>
        <w:t>8</w:t>
      </w:r>
      <w:r w:rsidR="00995268">
        <w:rPr>
          <w:rFonts w:ascii="Times New Roman" w:hAnsi="Times New Roman" w:cs="Times New Roman"/>
          <w:sz w:val="24"/>
          <w:szCs w:val="24"/>
        </w:rPr>
        <w:t>]</w:t>
      </w:r>
      <w:r w:rsidRPr="00AC5854">
        <w:rPr>
          <w:rFonts w:ascii="Times New Roman" w:hAnsi="Times New Roman" w:cs="Times New Roman"/>
          <w:sz w:val="24"/>
          <w:szCs w:val="24"/>
        </w:rPr>
        <w:t>. Its emphasis on performance metrics, stakeholder accountability, and control objectives enables FSB to establish strategic oversight, formalise board-level responsibilities, and integrate compliance reporting into governance practices.</w:t>
      </w:r>
    </w:p>
    <w:p w14:paraId="46D91B81" w14:textId="77777777" w:rsidR="00AC5854" w:rsidRPr="00AC5854" w:rsidRDefault="00AC5854" w:rsidP="006E6284">
      <w:pPr>
        <w:spacing w:line="360" w:lineRule="auto"/>
        <w:jc w:val="both"/>
        <w:rPr>
          <w:rFonts w:ascii="Times New Roman" w:hAnsi="Times New Roman" w:cs="Times New Roman"/>
          <w:sz w:val="24"/>
          <w:szCs w:val="24"/>
        </w:rPr>
      </w:pPr>
    </w:p>
    <w:p w14:paraId="1201111D"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6.4 ITIL 4 Contribution</w:t>
      </w:r>
    </w:p>
    <w:p w14:paraId="1272C4E3" w14:textId="150960FF"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ITIL 4 contributes service management discipline, particularly in incident handling, change management, and continual improvement. By aligning IT operations with business value streams, FSB can improve operational resilience, maintain service quality, and ensure seamless integration of security controls within everyday workflows</w:t>
      </w:r>
      <w:r w:rsidR="00995268">
        <w:rPr>
          <w:rFonts w:ascii="Times New Roman" w:hAnsi="Times New Roman" w:cs="Times New Roman"/>
          <w:sz w:val="24"/>
          <w:szCs w:val="24"/>
        </w:rPr>
        <w:t xml:space="preserve"> [</w:t>
      </w:r>
      <w:r w:rsidR="008E6821">
        <w:rPr>
          <w:rFonts w:ascii="Times New Roman" w:hAnsi="Times New Roman" w:cs="Times New Roman"/>
          <w:sz w:val="24"/>
          <w:szCs w:val="24"/>
        </w:rPr>
        <w:t>18</w:t>
      </w:r>
      <w:r w:rsidR="00995268">
        <w:rPr>
          <w:rFonts w:ascii="Times New Roman" w:hAnsi="Times New Roman" w:cs="Times New Roman"/>
          <w:sz w:val="24"/>
          <w:szCs w:val="24"/>
        </w:rPr>
        <w:t>]</w:t>
      </w:r>
      <w:r w:rsidRPr="00AC5854">
        <w:rPr>
          <w:rFonts w:ascii="Times New Roman" w:hAnsi="Times New Roman" w:cs="Times New Roman"/>
          <w:sz w:val="24"/>
          <w:szCs w:val="24"/>
        </w:rPr>
        <w:t>.</w:t>
      </w:r>
    </w:p>
    <w:p w14:paraId="362E96B2" w14:textId="77777777" w:rsidR="006E6284" w:rsidRDefault="006E6284" w:rsidP="006E6284">
      <w:pPr>
        <w:spacing w:line="360" w:lineRule="auto"/>
        <w:jc w:val="both"/>
        <w:rPr>
          <w:rFonts w:ascii="Times New Roman" w:hAnsi="Times New Roman" w:cs="Times New Roman"/>
          <w:sz w:val="24"/>
          <w:szCs w:val="24"/>
        </w:rPr>
      </w:pPr>
    </w:p>
    <w:p w14:paraId="392EDFED" w14:textId="77777777" w:rsidR="00E525BE" w:rsidRDefault="00E525BE" w:rsidP="006E6284">
      <w:pPr>
        <w:spacing w:line="360" w:lineRule="auto"/>
        <w:jc w:val="both"/>
        <w:rPr>
          <w:rFonts w:ascii="Times New Roman" w:hAnsi="Times New Roman" w:cs="Times New Roman"/>
          <w:sz w:val="24"/>
          <w:szCs w:val="24"/>
        </w:rPr>
      </w:pPr>
    </w:p>
    <w:p w14:paraId="0C11BC94" w14:textId="77777777" w:rsidR="00E525BE" w:rsidRDefault="00E525BE" w:rsidP="006E6284">
      <w:pPr>
        <w:spacing w:line="360" w:lineRule="auto"/>
        <w:jc w:val="both"/>
        <w:rPr>
          <w:rFonts w:ascii="Times New Roman" w:hAnsi="Times New Roman" w:cs="Times New Roman"/>
          <w:sz w:val="24"/>
          <w:szCs w:val="24"/>
        </w:rPr>
      </w:pPr>
    </w:p>
    <w:p w14:paraId="5E70BF38" w14:textId="788234C0"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lastRenderedPageBreak/>
        <w:t>6.5 Zero Trust Integration</w:t>
      </w:r>
    </w:p>
    <w:p w14:paraId="009076D5" w14:textId="1CE73C6F"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Zero Trust Architecture (ZTA) addresses the risks associated with BYOD, cloud-first operations, and distributed workforces</w:t>
      </w:r>
      <w:r w:rsidR="00995268">
        <w:rPr>
          <w:rFonts w:ascii="Times New Roman" w:hAnsi="Times New Roman" w:cs="Times New Roman"/>
          <w:sz w:val="24"/>
          <w:szCs w:val="24"/>
        </w:rPr>
        <w:t xml:space="preserve"> [</w:t>
      </w:r>
      <w:r w:rsidR="008E6821">
        <w:rPr>
          <w:rFonts w:ascii="Times New Roman" w:hAnsi="Times New Roman" w:cs="Times New Roman"/>
          <w:sz w:val="24"/>
          <w:szCs w:val="24"/>
        </w:rPr>
        <w:t>27</w:t>
      </w:r>
      <w:r w:rsidR="00995268">
        <w:rPr>
          <w:rFonts w:ascii="Times New Roman" w:hAnsi="Times New Roman" w:cs="Times New Roman"/>
          <w:sz w:val="24"/>
          <w:szCs w:val="24"/>
        </w:rPr>
        <w:t>]</w:t>
      </w:r>
      <w:r w:rsidRPr="00AC5854">
        <w:rPr>
          <w:rFonts w:ascii="Times New Roman" w:hAnsi="Times New Roman" w:cs="Times New Roman"/>
          <w:sz w:val="24"/>
          <w:szCs w:val="24"/>
        </w:rPr>
        <w:t>. Core principles—least privilege access, continuous verification, micro-segmentation, and identity-centric controls—reduce attack surfaces and strengthen control over sensitive data.</w:t>
      </w:r>
    </w:p>
    <w:p w14:paraId="412B7C41" w14:textId="77777777" w:rsidR="00AC5854" w:rsidRPr="00AC5854" w:rsidRDefault="00AC5854" w:rsidP="006E6284">
      <w:pPr>
        <w:spacing w:line="360" w:lineRule="auto"/>
        <w:jc w:val="both"/>
        <w:rPr>
          <w:rFonts w:ascii="Times New Roman" w:hAnsi="Times New Roman" w:cs="Times New Roman"/>
          <w:sz w:val="24"/>
          <w:szCs w:val="24"/>
        </w:rPr>
      </w:pPr>
    </w:p>
    <w:p w14:paraId="3C4AB044"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6.6 Justification of Hybrid Approach</w:t>
      </w:r>
    </w:p>
    <w:p w14:paraId="29680E78" w14:textId="6F128619"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No single framework fully addresses FSB’s complex, cloud-based, multi-jurisdictional environment. By integrating ISO 27001, NIST CSF, COBIT 2019, ITIL 4, and Zero Trust principles, the hybrid model provides strategic governance, operational efficiency, regulatory alignment, and adaptive security</w:t>
      </w:r>
      <w:r w:rsidR="00995268">
        <w:rPr>
          <w:rFonts w:ascii="Times New Roman" w:hAnsi="Times New Roman" w:cs="Times New Roman"/>
          <w:sz w:val="24"/>
          <w:szCs w:val="24"/>
        </w:rPr>
        <w:t xml:space="preserve"> [</w:t>
      </w:r>
      <w:r w:rsidR="008E6821">
        <w:rPr>
          <w:rFonts w:ascii="Times New Roman" w:hAnsi="Times New Roman" w:cs="Times New Roman"/>
          <w:sz w:val="24"/>
          <w:szCs w:val="24"/>
        </w:rPr>
        <w:t>28</w:t>
      </w:r>
      <w:r w:rsidR="00D43BBA">
        <w:rPr>
          <w:rFonts w:ascii="Times New Roman" w:hAnsi="Times New Roman" w:cs="Times New Roman"/>
          <w:sz w:val="24"/>
          <w:szCs w:val="24"/>
        </w:rPr>
        <w:t>] [</w:t>
      </w:r>
      <w:r w:rsidR="008E6821">
        <w:rPr>
          <w:rFonts w:ascii="Times New Roman" w:hAnsi="Times New Roman" w:cs="Times New Roman"/>
          <w:sz w:val="24"/>
          <w:szCs w:val="24"/>
        </w:rPr>
        <w:t>29</w:t>
      </w:r>
      <w:r w:rsidR="00D43BBA">
        <w:rPr>
          <w:rFonts w:ascii="Times New Roman" w:hAnsi="Times New Roman" w:cs="Times New Roman"/>
          <w:sz w:val="24"/>
          <w:szCs w:val="24"/>
        </w:rPr>
        <w:t>]</w:t>
      </w:r>
      <w:r w:rsidRPr="00AC5854">
        <w:rPr>
          <w:rFonts w:ascii="Times New Roman" w:hAnsi="Times New Roman" w:cs="Times New Roman"/>
          <w:sz w:val="24"/>
          <w:szCs w:val="24"/>
        </w:rPr>
        <w:t>. This combination ensures comprehensive coverage, scalability, and resilience, establishing a robust framework capable of mitigating cyber threats while supporting organisational objectives.</w:t>
      </w:r>
    </w:p>
    <w:p w14:paraId="17FFE8D0" w14:textId="77777777" w:rsidR="00AC5854" w:rsidRPr="00AC5854" w:rsidRDefault="00AC5854" w:rsidP="006E6284">
      <w:pPr>
        <w:spacing w:line="360" w:lineRule="auto"/>
        <w:jc w:val="both"/>
        <w:rPr>
          <w:rFonts w:ascii="Times New Roman" w:hAnsi="Times New Roman" w:cs="Times New Roman"/>
          <w:sz w:val="24"/>
          <w:szCs w:val="24"/>
        </w:rPr>
      </w:pPr>
    </w:p>
    <w:p w14:paraId="4F933786" w14:textId="77777777" w:rsidR="00AC5854" w:rsidRPr="00AC5854" w:rsidRDefault="00AC5854" w:rsidP="006E6284">
      <w:pPr>
        <w:spacing w:line="360" w:lineRule="auto"/>
        <w:jc w:val="both"/>
        <w:rPr>
          <w:rFonts w:ascii="Times New Roman" w:hAnsi="Times New Roman" w:cs="Times New Roman"/>
          <w:b/>
          <w:bCs/>
          <w:sz w:val="28"/>
          <w:szCs w:val="28"/>
        </w:rPr>
      </w:pPr>
      <w:r w:rsidRPr="00AC5854">
        <w:rPr>
          <w:rFonts w:ascii="Times New Roman" w:hAnsi="Times New Roman" w:cs="Times New Roman"/>
          <w:b/>
          <w:bCs/>
          <w:sz w:val="28"/>
          <w:szCs w:val="28"/>
        </w:rPr>
        <w:t>7. Critical Discussion: Importance of Updated Regulations and Standards</w:t>
      </w:r>
    </w:p>
    <w:p w14:paraId="5DC5DFDA" w14:textId="77777777" w:rsidR="00AC5854" w:rsidRPr="00AC5854" w:rsidRDefault="00AC5854" w:rsidP="006E6284">
      <w:pPr>
        <w:spacing w:line="360" w:lineRule="auto"/>
        <w:jc w:val="both"/>
        <w:rPr>
          <w:rFonts w:ascii="Times New Roman" w:hAnsi="Times New Roman" w:cs="Times New Roman"/>
          <w:sz w:val="24"/>
          <w:szCs w:val="24"/>
        </w:rPr>
      </w:pPr>
    </w:p>
    <w:p w14:paraId="0B2995AD"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7.1 Evolving Cyber Threat Landscape</w:t>
      </w:r>
    </w:p>
    <w:p w14:paraId="54A5490A"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 xml:space="preserve">The cyber threat environment is increasingly dynamic, with adversaries leveraging sophisticated techniques such as AI-driven malware, ransomware-as-a-service, and supply-chain attacks. Financial institutions like </w:t>
      </w: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 (FSB) face growing risks from insider threats, identity theft, and cloud misconfigurations. Static or outdated regulations fail to anticipate these threats, creating gaps in organisational security postures. Continuous regulatory evolution ensures that emerging vulnerabilities are addressed promptly, supporting proactive risk mitigation.</w:t>
      </w:r>
    </w:p>
    <w:p w14:paraId="63EFF0AD" w14:textId="77777777" w:rsidR="00AC5854" w:rsidRPr="00AC5854" w:rsidRDefault="00AC5854" w:rsidP="006E6284">
      <w:pPr>
        <w:spacing w:line="360" w:lineRule="auto"/>
        <w:jc w:val="both"/>
        <w:rPr>
          <w:rFonts w:ascii="Times New Roman" w:hAnsi="Times New Roman" w:cs="Times New Roman"/>
          <w:sz w:val="24"/>
          <w:szCs w:val="24"/>
        </w:rPr>
      </w:pPr>
    </w:p>
    <w:p w14:paraId="06F11A35"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7.2 Regulatory Adaptation and Compliance Requirements</w:t>
      </w:r>
    </w:p>
    <w:p w14:paraId="5AD63D3C" w14:textId="5DB11512"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Updated standards and regulations, including ISO/IEC 27001:2022, NIST CSF 2.0, and evolving GDPR guidelines, provide organisations with frameworks aligned to contemporary threats and technological environments</w:t>
      </w:r>
      <w:r w:rsidR="00D43BBA">
        <w:rPr>
          <w:rFonts w:ascii="Times New Roman" w:hAnsi="Times New Roman" w:cs="Times New Roman"/>
          <w:sz w:val="24"/>
          <w:szCs w:val="24"/>
        </w:rPr>
        <w:t xml:space="preserve"> [</w:t>
      </w:r>
      <w:r w:rsidR="008E6821">
        <w:rPr>
          <w:rFonts w:ascii="Times New Roman" w:hAnsi="Times New Roman" w:cs="Times New Roman"/>
          <w:sz w:val="24"/>
          <w:szCs w:val="24"/>
        </w:rPr>
        <w:t>25</w:t>
      </w:r>
      <w:r w:rsidR="00D43BBA">
        <w:rPr>
          <w:rFonts w:ascii="Times New Roman" w:hAnsi="Times New Roman" w:cs="Times New Roman"/>
          <w:sz w:val="24"/>
          <w:szCs w:val="24"/>
        </w:rPr>
        <w:t>]</w:t>
      </w:r>
      <w:r w:rsidRPr="00AC5854">
        <w:rPr>
          <w:rFonts w:ascii="Times New Roman" w:hAnsi="Times New Roman" w:cs="Times New Roman"/>
          <w:sz w:val="24"/>
          <w:szCs w:val="24"/>
        </w:rPr>
        <w:t>. They support compliance with cross-border data-protection requirements, cloud security practices, and financial-sector regulations. Regular updates ensure FSB’s policies, controls, and procedures remain legally compliant, reducing the risk of penalties, reputational damage, and operational disruptions.</w:t>
      </w:r>
    </w:p>
    <w:p w14:paraId="67F80D26" w14:textId="77777777" w:rsidR="00AC5854" w:rsidRDefault="00AC5854" w:rsidP="006E6284">
      <w:pPr>
        <w:spacing w:line="360" w:lineRule="auto"/>
        <w:jc w:val="both"/>
        <w:rPr>
          <w:rFonts w:ascii="Times New Roman" w:hAnsi="Times New Roman" w:cs="Times New Roman"/>
          <w:sz w:val="24"/>
          <w:szCs w:val="24"/>
        </w:rPr>
      </w:pPr>
    </w:p>
    <w:p w14:paraId="78A1638C" w14:textId="77777777" w:rsidR="00E525BE" w:rsidRPr="00AC5854" w:rsidRDefault="00E525BE" w:rsidP="006E6284">
      <w:pPr>
        <w:spacing w:line="360" w:lineRule="auto"/>
        <w:jc w:val="both"/>
        <w:rPr>
          <w:rFonts w:ascii="Times New Roman" w:hAnsi="Times New Roman" w:cs="Times New Roman"/>
          <w:sz w:val="24"/>
          <w:szCs w:val="24"/>
        </w:rPr>
      </w:pPr>
    </w:p>
    <w:p w14:paraId="321D494A" w14:textId="77777777"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lastRenderedPageBreak/>
        <w:t>7.3 Impact on Organisational Security Maturity</w:t>
      </w:r>
    </w:p>
    <w:p w14:paraId="6FA5E8A5" w14:textId="050D453B"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Continually updated regulations drive organisational maturity by encouraging the adoption of modern security architectures such as Zero Trust, continuous monitoring, and automated threat detection</w:t>
      </w:r>
      <w:r w:rsidR="00D43BBA">
        <w:rPr>
          <w:rFonts w:ascii="Times New Roman" w:hAnsi="Times New Roman" w:cs="Times New Roman"/>
          <w:sz w:val="24"/>
          <w:szCs w:val="24"/>
        </w:rPr>
        <w:t xml:space="preserve"> [</w:t>
      </w:r>
      <w:r w:rsidR="008E6821">
        <w:rPr>
          <w:rFonts w:ascii="Times New Roman" w:hAnsi="Times New Roman" w:cs="Times New Roman"/>
          <w:sz w:val="24"/>
          <w:szCs w:val="24"/>
        </w:rPr>
        <w:t>3</w:t>
      </w:r>
      <w:r w:rsidR="00D43BBA">
        <w:rPr>
          <w:rFonts w:ascii="Times New Roman" w:hAnsi="Times New Roman" w:cs="Times New Roman"/>
          <w:sz w:val="24"/>
          <w:szCs w:val="24"/>
        </w:rPr>
        <w:t>]</w:t>
      </w:r>
      <w:r w:rsidRPr="00AC5854">
        <w:rPr>
          <w:rFonts w:ascii="Times New Roman" w:hAnsi="Times New Roman" w:cs="Times New Roman"/>
          <w:sz w:val="24"/>
          <w:szCs w:val="24"/>
        </w:rPr>
        <w:t>. They compel management to review risk-assessment processes, enhance incident-response capabilities, and implement continuous assurance mechanisms. Consequently, FSB can evolve from a fragmented security posture to a proactive, integrated governance and compliance model that strengthens resilience and builds stakeholder trust.</w:t>
      </w:r>
    </w:p>
    <w:p w14:paraId="3052934B" w14:textId="77777777" w:rsidR="006E6284" w:rsidRDefault="006E6284" w:rsidP="006E6284">
      <w:pPr>
        <w:spacing w:line="360" w:lineRule="auto"/>
        <w:jc w:val="both"/>
        <w:rPr>
          <w:rFonts w:ascii="Times New Roman" w:hAnsi="Times New Roman" w:cs="Times New Roman"/>
          <w:sz w:val="24"/>
          <w:szCs w:val="24"/>
        </w:rPr>
      </w:pPr>
    </w:p>
    <w:p w14:paraId="4AEBE56F" w14:textId="345808B3" w:rsidR="00AC5854" w:rsidRPr="00AC5854" w:rsidRDefault="00AC5854" w:rsidP="006E6284">
      <w:pPr>
        <w:spacing w:line="360" w:lineRule="auto"/>
        <w:jc w:val="both"/>
        <w:rPr>
          <w:rFonts w:ascii="Times New Roman" w:hAnsi="Times New Roman" w:cs="Times New Roman"/>
          <w:b/>
          <w:bCs/>
          <w:sz w:val="24"/>
          <w:szCs w:val="24"/>
        </w:rPr>
      </w:pPr>
      <w:r w:rsidRPr="00AC5854">
        <w:rPr>
          <w:rFonts w:ascii="Times New Roman" w:hAnsi="Times New Roman" w:cs="Times New Roman"/>
          <w:b/>
          <w:bCs/>
          <w:sz w:val="24"/>
          <w:szCs w:val="24"/>
        </w:rPr>
        <w:t>7.4 Challenges in Implementation</w:t>
      </w:r>
    </w:p>
    <w:p w14:paraId="29C129B8"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Despite their benefits, implementing updated regulations presents challenges. Organisations must allocate resources to policy revision, staff training, and technical integration. Legacy systems, limited budgets, and resistance to organisational change can impede compliance. Furthermore, harmonising multiple international standards across jurisdictions introduces complexity. Addressing these challenges requires strategic planning, executive sponsorship, and cross-departmental collaboration to ensure that regulatory updates translate into practical, effective security measures.</w:t>
      </w:r>
    </w:p>
    <w:p w14:paraId="726A3B94" w14:textId="77777777" w:rsidR="00AC5854" w:rsidRPr="00AC5854" w:rsidRDefault="00AC5854" w:rsidP="006E6284">
      <w:pPr>
        <w:spacing w:line="360" w:lineRule="auto"/>
        <w:jc w:val="both"/>
        <w:rPr>
          <w:rFonts w:ascii="Times New Roman" w:hAnsi="Times New Roman" w:cs="Times New Roman"/>
          <w:sz w:val="24"/>
          <w:szCs w:val="24"/>
        </w:rPr>
      </w:pPr>
    </w:p>
    <w:p w14:paraId="1EB8B718" w14:textId="430C4795" w:rsid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In summary, regularly updated regulations and standards are essential for aligning FSB’s security strategy with evolving threats, improving compliance, and enhancing organisational resilience, while careful management of implementation challenges ensures effective adoption</w:t>
      </w:r>
    </w:p>
    <w:p w14:paraId="5F260336" w14:textId="77777777" w:rsidR="00AC5854" w:rsidRPr="00AC5854" w:rsidRDefault="00AC5854" w:rsidP="006E6284">
      <w:pPr>
        <w:spacing w:line="360" w:lineRule="auto"/>
        <w:jc w:val="both"/>
        <w:rPr>
          <w:rFonts w:ascii="Times New Roman" w:hAnsi="Times New Roman" w:cs="Times New Roman"/>
          <w:sz w:val="24"/>
          <w:szCs w:val="24"/>
        </w:rPr>
      </w:pPr>
    </w:p>
    <w:p w14:paraId="5C610025" w14:textId="324BBDAF" w:rsidR="00AC5854" w:rsidRPr="00AC5854" w:rsidRDefault="00AC5854" w:rsidP="006E6284">
      <w:pPr>
        <w:spacing w:line="360" w:lineRule="auto"/>
        <w:jc w:val="both"/>
        <w:rPr>
          <w:rFonts w:ascii="Times New Roman" w:hAnsi="Times New Roman" w:cs="Times New Roman"/>
          <w:b/>
          <w:bCs/>
          <w:sz w:val="28"/>
          <w:szCs w:val="28"/>
        </w:rPr>
      </w:pPr>
      <w:r w:rsidRPr="00AC5854">
        <w:rPr>
          <w:rFonts w:ascii="Times New Roman" w:hAnsi="Times New Roman" w:cs="Times New Roman"/>
          <w:b/>
          <w:bCs/>
          <w:sz w:val="28"/>
          <w:szCs w:val="28"/>
        </w:rPr>
        <w:t>8. Conclusion</w:t>
      </w:r>
    </w:p>
    <w:p w14:paraId="1CC2D62B" w14:textId="33B77C1B" w:rsidR="00D46C65" w:rsidRDefault="00AC5854" w:rsidP="006E6284">
      <w:pPr>
        <w:spacing w:line="360" w:lineRule="auto"/>
        <w:jc w:val="both"/>
        <w:rPr>
          <w:rFonts w:ascii="Times New Roman" w:hAnsi="Times New Roman" w:cs="Times New Roman"/>
          <w:sz w:val="24"/>
          <w:szCs w:val="24"/>
        </w:rPr>
      </w:pP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Bank’s rapid digital expansion, cloud-centric infrastructure, and widespread BYOD adoption have created a complex security, governance, and compliance landscape. The analysis demonstrates that its current fragmented approach exposes the organisation to cyber threats, regulatory non-compliance, and operational vulnerabilities. By integrating established frameworks—ISO/IEC 27001, NIST CSF, COBIT 2019, ITIL 4, and Zero Trust—into a hybrid governance model, FSB can achieve strategic oversight, continuous risk management, robust access controls, and cloud security assurance. This unified, standards-driven approach enhances resilience, regulatory alignment, and stakeholder trust, supporting the bank’s long-term secure digital growth</w:t>
      </w:r>
      <w:r w:rsidR="00A468A6">
        <w:rPr>
          <w:rFonts w:ascii="Times New Roman" w:hAnsi="Times New Roman" w:cs="Times New Roman"/>
          <w:sz w:val="24"/>
          <w:szCs w:val="24"/>
        </w:rPr>
        <w:t>.</w:t>
      </w:r>
    </w:p>
    <w:p w14:paraId="3AF5C774" w14:textId="77777777" w:rsidR="00E525BE" w:rsidRDefault="00E525BE" w:rsidP="006E6284">
      <w:pPr>
        <w:spacing w:line="360" w:lineRule="auto"/>
        <w:jc w:val="both"/>
        <w:rPr>
          <w:rFonts w:ascii="Times New Roman" w:hAnsi="Times New Roman" w:cs="Times New Roman"/>
          <w:sz w:val="24"/>
          <w:szCs w:val="24"/>
        </w:rPr>
      </w:pPr>
    </w:p>
    <w:p w14:paraId="2AE53092" w14:textId="77777777" w:rsidR="00E525BE" w:rsidRDefault="00E525BE" w:rsidP="006E6284">
      <w:pPr>
        <w:spacing w:line="360" w:lineRule="auto"/>
        <w:jc w:val="both"/>
        <w:rPr>
          <w:rFonts w:ascii="Times New Roman" w:hAnsi="Times New Roman" w:cs="Times New Roman"/>
          <w:sz w:val="24"/>
          <w:szCs w:val="24"/>
        </w:rPr>
      </w:pPr>
    </w:p>
    <w:p w14:paraId="65B9D78D" w14:textId="2FAAC1B0" w:rsidR="00AC5854" w:rsidRPr="00AC5854" w:rsidRDefault="00AC5854" w:rsidP="006E6284">
      <w:pPr>
        <w:spacing w:line="360" w:lineRule="auto"/>
        <w:jc w:val="both"/>
        <w:rPr>
          <w:rFonts w:ascii="Times New Roman" w:hAnsi="Times New Roman" w:cs="Times New Roman"/>
          <w:b/>
          <w:bCs/>
          <w:sz w:val="28"/>
          <w:szCs w:val="28"/>
        </w:rPr>
      </w:pPr>
      <w:r w:rsidRPr="00AC5854">
        <w:rPr>
          <w:rFonts w:ascii="Times New Roman" w:hAnsi="Times New Roman" w:cs="Times New Roman"/>
          <w:b/>
          <w:bCs/>
          <w:sz w:val="28"/>
          <w:szCs w:val="28"/>
        </w:rPr>
        <w:lastRenderedPageBreak/>
        <w:t>9. Recommendations</w:t>
      </w:r>
    </w:p>
    <w:p w14:paraId="5171993F" w14:textId="09630F13"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 xml:space="preserve">To enhance </w:t>
      </w:r>
      <w:proofErr w:type="spellStart"/>
      <w:r w:rsidRPr="00AC5854">
        <w:rPr>
          <w:rFonts w:ascii="Times New Roman" w:hAnsi="Times New Roman" w:cs="Times New Roman"/>
          <w:sz w:val="24"/>
          <w:szCs w:val="24"/>
        </w:rPr>
        <w:t>FinSure</w:t>
      </w:r>
      <w:proofErr w:type="spellEnd"/>
      <w:r w:rsidRPr="00AC5854">
        <w:rPr>
          <w:rFonts w:ascii="Times New Roman" w:hAnsi="Times New Roman" w:cs="Times New Roman"/>
          <w:sz w:val="24"/>
          <w:szCs w:val="24"/>
        </w:rPr>
        <w:t xml:space="preserve"> Bank’s (FSB) security, governance, and compliance posture, the following measures are recommended:</w:t>
      </w:r>
    </w:p>
    <w:p w14:paraId="37FC445D" w14:textId="38460B98" w:rsid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1. Adopt the Hybrid Governance Model: Formalise the integrated framework, ensuring board-level sponsorship, cross-functional engagement, and clear accountability for security and compliance.</w:t>
      </w:r>
    </w:p>
    <w:p w14:paraId="57891936" w14:textId="77777777" w:rsidR="00914278" w:rsidRPr="00AC5854" w:rsidRDefault="00914278" w:rsidP="006E6284">
      <w:pPr>
        <w:spacing w:line="360" w:lineRule="auto"/>
        <w:jc w:val="both"/>
        <w:rPr>
          <w:rFonts w:ascii="Times New Roman" w:hAnsi="Times New Roman" w:cs="Times New Roman"/>
          <w:sz w:val="24"/>
          <w:szCs w:val="24"/>
        </w:rPr>
      </w:pPr>
    </w:p>
    <w:p w14:paraId="63D7700F"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2. Implement Zero Trust Principles: Enforce identity-first access, least-privilege controls, device verification, and continuous monitoring across all BYOD and cloud-access pathways.</w:t>
      </w:r>
    </w:p>
    <w:p w14:paraId="5AF2EC34" w14:textId="77777777" w:rsidR="00AC5854" w:rsidRPr="00AC5854" w:rsidRDefault="00AC5854" w:rsidP="006E6284">
      <w:pPr>
        <w:spacing w:line="360" w:lineRule="auto"/>
        <w:jc w:val="both"/>
        <w:rPr>
          <w:rFonts w:ascii="Times New Roman" w:hAnsi="Times New Roman" w:cs="Times New Roman"/>
          <w:sz w:val="24"/>
          <w:szCs w:val="24"/>
        </w:rPr>
      </w:pPr>
    </w:p>
    <w:p w14:paraId="345C714A"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3. Strengthen Cloud Security: Apply secure configuration baselines, encryption, key management, and shared-responsibility agreements with providers.</w:t>
      </w:r>
    </w:p>
    <w:p w14:paraId="5972FB06" w14:textId="77777777" w:rsidR="00AC5854" w:rsidRPr="00AC5854" w:rsidRDefault="00AC5854" w:rsidP="006E6284">
      <w:pPr>
        <w:spacing w:line="360" w:lineRule="auto"/>
        <w:jc w:val="both"/>
        <w:rPr>
          <w:rFonts w:ascii="Times New Roman" w:hAnsi="Times New Roman" w:cs="Times New Roman"/>
          <w:sz w:val="24"/>
          <w:szCs w:val="24"/>
        </w:rPr>
      </w:pPr>
    </w:p>
    <w:p w14:paraId="2B14F889"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4. Continuous Compliance Programme: Integrate automated monitoring, regular internal audits, Data Protection Impact Assessments (DPIAs), and vendor risk assessments.</w:t>
      </w:r>
    </w:p>
    <w:p w14:paraId="5E8F7410" w14:textId="77777777" w:rsidR="00AC5854" w:rsidRPr="00AC5854" w:rsidRDefault="00AC5854" w:rsidP="006E6284">
      <w:pPr>
        <w:spacing w:line="360" w:lineRule="auto"/>
        <w:jc w:val="both"/>
        <w:rPr>
          <w:rFonts w:ascii="Times New Roman" w:hAnsi="Times New Roman" w:cs="Times New Roman"/>
          <w:sz w:val="24"/>
          <w:szCs w:val="24"/>
        </w:rPr>
      </w:pPr>
    </w:p>
    <w:p w14:paraId="406470EA"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5. Incident Response and Contingency Planning: Maintain updated playbooks, conduct simulation exercises, and integrate threat intelligence for rapid response.</w:t>
      </w:r>
    </w:p>
    <w:p w14:paraId="684C9872" w14:textId="77777777" w:rsidR="00AC5854" w:rsidRPr="00AC5854" w:rsidRDefault="00AC5854" w:rsidP="006E6284">
      <w:pPr>
        <w:spacing w:line="360" w:lineRule="auto"/>
        <w:jc w:val="both"/>
        <w:rPr>
          <w:rFonts w:ascii="Times New Roman" w:hAnsi="Times New Roman" w:cs="Times New Roman"/>
          <w:sz w:val="24"/>
          <w:szCs w:val="24"/>
        </w:rPr>
      </w:pPr>
    </w:p>
    <w:p w14:paraId="5D814CA4"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6.Staff Training and Awareness: Promote cybersecurity education, particularly regarding phishing, mobile-app security, and BYOD risks.</w:t>
      </w:r>
    </w:p>
    <w:p w14:paraId="446619C0" w14:textId="77777777" w:rsidR="00AC5854" w:rsidRPr="00AC5854" w:rsidRDefault="00AC5854" w:rsidP="006E6284">
      <w:pPr>
        <w:spacing w:line="360" w:lineRule="auto"/>
        <w:jc w:val="both"/>
        <w:rPr>
          <w:rFonts w:ascii="Times New Roman" w:hAnsi="Times New Roman" w:cs="Times New Roman"/>
          <w:sz w:val="24"/>
          <w:szCs w:val="24"/>
        </w:rPr>
      </w:pPr>
    </w:p>
    <w:p w14:paraId="1BF6C35A" w14:textId="77777777" w:rsidR="00AC5854" w:rsidRPr="00AC5854"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7. Policy Review and Update: Regularly revise policies to align with evolving threats, regulations, and technological advancements.</w:t>
      </w:r>
    </w:p>
    <w:p w14:paraId="64B11D0C" w14:textId="77777777" w:rsidR="00AC5854" w:rsidRPr="00AC5854" w:rsidRDefault="00AC5854" w:rsidP="006E6284">
      <w:pPr>
        <w:spacing w:line="360" w:lineRule="auto"/>
        <w:jc w:val="both"/>
        <w:rPr>
          <w:rFonts w:ascii="Times New Roman" w:hAnsi="Times New Roman" w:cs="Times New Roman"/>
          <w:sz w:val="24"/>
          <w:szCs w:val="24"/>
        </w:rPr>
      </w:pPr>
    </w:p>
    <w:p w14:paraId="11733001" w14:textId="07D93AF5" w:rsidR="00D46C65" w:rsidRDefault="00AC5854" w:rsidP="006E6284">
      <w:pPr>
        <w:spacing w:line="360" w:lineRule="auto"/>
        <w:jc w:val="both"/>
        <w:rPr>
          <w:rFonts w:ascii="Times New Roman" w:hAnsi="Times New Roman" w:cs="Times New Roman"/>
          <w:sz w:val="24"/>
          <w:szCs w:val="24"/>
        </w:rPr>
      </w:pPr>
      <w:r w:rsidRPr="00AC5854">
        <w:rPr>
          <w:rFonts w:ascii="Times New Roman" w:hAnsi="Times New Roman" w:cs="Times New Roman"/>
          <w:sz w:val="24"/>
          <w:szCs w:val="24"/>
        </w:rPr>
        <w:t>These recommendations collectively ensure operational resilience, regulatory adherence, and secure digital growth.</w:t>
      </w:r>
    </w:p>
    <w:p w14:paraId="07310700" w14:textId="77777777" w:rsidR="00A468A6" w:rsidRDefault="00A468A6" w:rsidP="006E6284">
      <w:pPr>
        <w:spacing w:line="360" w:lineRule="auto"/>
        <w:jc w:val="both"/>
        <w:rPr>
          <w:rFonts w:ascii="Times New Roman" w:hAnsi="Times New Roman" w:cs="Times New Roman"/>
          <w:sz w:val="24"/>
          <w:szCs w:val="24"/>
        </w:rPr>
      </w:pPr>
    </w:p>
    <w:p w14:paraId="4F8BD0C5" w14:textId="77777777" w:rsidR="00E525BE" w:rsidRPr="00A468A6" w:rsidRDefault="00E525BE" w:rsidP="006E6284">
      <w:pPr>
        <w:spacing w:line="360" w:lineRule="auto"/>
        <w:jc w:val="both"/>
        <w:rPr>
          <w:rFonts w:ascii="Times New Roman" w:hAnsi="Times New Roman" w:cs="Times New Roman"/>
          <w:sz w:val="24"/>
          <w:szCs w:val="24"/>
        </w:rPr>
      </w:pPr>
    </w:p>
    <w:p w14:paraId="2BFEB8ED" w14:textId="4D85FA0D" w:rsidR="001846EA" w:rsidRDefault="00914278" w:rsidP="00914278">
      <w:pPr>
        <w:spacing w:line="240" w:lineRule="auto"/>
        <w:rPr>
          <w:rFonts w:ascii="Times New Roman" w:hAnsi="Times New Roman" w:cs="Times New Roman"/>
          <w:b/>
          <w:bCs/>
          <w:sz w:val="28"/>
          <w:szCs w:val="28"/>
        </w:rPr>
      </w:pPr>
      <w:r w:rsidRPr="00914278">
        <w:rPr>
          <w:rFonts w:ascii="Times New Roman" w:hAnsi="Times New Roman" w:cs="Times New Roman"/>
          <w:b/>
          <w:bCs/>
          <w:sz w:val="28"/>
          <w:szCs w:val="28"/>
        </w:rPr>
        <w:lastRenderedPageBreak/>
        <w:t>References</w:t>
      </w:r>
    </w:p>
    <w:p w14:paraId="741F5FA4" w14:textId="0B055229"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[1] HM Melaku "A dynamic and adaptive cybersecurity governance framework" Journal of Cybersecurity and Privacy, 2023 - </w:t>
      </w:r>
      <w:hyperlink r:id="rId12" w:history="1">
        <w:r w:rsidRPr="00D46C65">
          <w:rPr>
            <w:rStyle w:val="Hyperlink"/>
            <w:rFonts w:ascii="Times New Roman" w:hAnsi="Times New Roman" w:cs="Times New Roman"/>
            <w:sz w:val="24"/>
            <w:szCs w:val="24"/>
          </w:rPr>
          <w:t>mdpi.com</w:t>
        </w:r>
      </w:hyperlink>
    </w:p>
    <w:p w14:paraId="336D9578" w14:textId="662DA06C"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 H </w:t>
      </w:r>
      <w:proofErr w:type="spellStart"/>
      <w:r w:rsidRPr="00D46C65">
        <w:rPr>
          <w:rFonts w:ascii="Times New Roman" w:hAnsi="Times New Roman" w:cs="Times New Roman"/>
          <w:sz w:val="24"/>
          <w:szCs w:val="24"/>
        </w:rPr>
        <w:t>Taherdoost</w:t>
      </w:r>
      <w:proofErr w:type="spellEnd"/>
      <w:r w:rsidRPr="00D46C65">
        <w:rPr>
          <w:rFonts w:ascii="Times New Roman" w:hAnsi="Times New Roman" w:cs="Times New Roman"/>
          <w:sz w:val="24"/>
          <w:szCs w:val="24"/>
        </w:rPr>
        <w:t xml:space="preserve"> "Understanding cybersecurity frameworks and information security standards—a review and comprehensive overview" Electronics, 2022 </w:t>
      </w:r>
    </w:p>
    <w:p w14:paraId="7CD4531E" w14:textId="7F702B8B"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[3] A </w:t>
      </w:r>
      <w:proofErr w:type="spellStart"/>
      <w:r w:rsidRPr="00D46C65">
        <w:rPr>
          <w:rFonts w:ascii="Times New Roman" w:hAnsi="Times New Roman" w:cs="Times New Roman"/>
          <w:sz w:val="24"/>
          <w:szCs w:val="24"/>
        </w:rPr>
        <w:t>Brezavšček</w:t>
      </w:r>
      <w:proofErr w:type="spellEnd"/>
      <w:r w:rsidRPr="00D46C65">
        <w:rPr>
          <w:rFonts w:ascii="Times New Roman" w:hAnsi="Times New Roman" w:cs="Times New Roman"/>
          <w:sz w:val="24"/>
          <w:szCs w:val="24"/>
        </w:rPr>
        <w:t xml:space="preserve">, A </w:t>
      </w:r>
      <w:proofErr w:type="spellStart"/>
      <w:r w:rsidRPr="00D46C65">
        <w:rPr>
          <w:rFonts w:ascii="Times New Roman" w:hAnsi="Times New Roman" w:cs="Times New Roman"/>
          <w:sz w:val="24"/>
          <w:szCs w:val="24"/>
        </w:rPr>
        <w:t>Baggia</w:t>
      </w:r>
      <w:proofErr w:type="spellEnd"/>
      <w:r w:rsidRPr="00D46C65">
        <w:rPr>
          <w:rFonts w:ascii="Times New Roman" w:hAnsi="Times New Roman" w:cs="Times New Roman"/>
          <w:sz w:val="24"/>
          <w:szCs w:val="24"/>
        </w:rPr>
        <w:t>."Recent trends in information and cyber security maturity assessment: A systematic literature review" Systems, 2025 </w:t>
      </w:r>
    </w:p>
    <w:p w14:paraId="09B6048E" w14:textId="6E787A42"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[4] M Chauhan, S </w:t>
      </w:r>
      <w:proofErr w:type="spellStart"/>
      <w:r w:rsidRPr="00D46C65">
        <w:rPr>
          <w:rFonts w:ascii="Times New Roman" w:hAnsi="Times New Roman" w:cs="Times New Roman"/>
          <w:sz w:val="24"/>
          <w:szCs w:val="24"/>
        </w:rPr>
        <w:t>Shiaeles</w:t>
      </w:r>
      <w:proofErr w:type="spellEnd"/>
      <w:r w:rsidRPr="00D46C65">
        <w:rPr>
          <w:rFonts w:ascii="Times New Roman" w:hAnsi="Times New Roman" w:cs="Times New Roman"/>
          <w:sz w:val="24"/>
          <w:szCs w:val="24"/>
        </w:rPr>
        <w:t>, "An analysis of cloud security frameworks, problems and proposed solutions" 2023</w:t>
      </w:r>
    </w:p>
    <w:p w14:paraId="6F014BCB" w14:textId="1EF71789"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[5] K Downer, M Bhattacharya, "BYOD security: A study of human dimensions" 2022 </w:t>
      </w:r>
    </w:p>
    <w:p w14:paraId="33879846" w14:textId="084EA96E"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[6] HYF Lim. "Regulatory compliance" Artificial Intelligence, 2025 </w:t>
      </w:r>
    </w:p>
    <w:p w14:paraId="1874CCB2" w14:textId="4CC69F73"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[7] IA Adeniran, AO </w:t>
      </w:r>
      <w:proofErr w:type="spellStart"/>
      <w:r w:rsidRPr="00D46C65">
        <w:rPr>
          <w:rFonts w:ascii="Times New Roman" w:hAnsi="Times New Roman" w:cs="Times New Roman"/>
          <w:sz w:val="24"/>
          <w:szCs w:val="24"/>
        </w:rPr>
        <w:t>Abhulimen</w:t>
      </w:r>
      <w:proofErr w:type="spellEnd"/>
      <w:r w:rsidRPr="00D46C65">
        <w:rPr>
          <w:rFonts w:ascii="Times New Roman" w:hAnsi="Times New Roman" w:cs="Times New Roman"/>
          <w:sz w:val="24"/>
          <w:szCs w:val="24"/>
        </w:rPr>
        <w:t xml:space="preserve">, "Strategic risk management in financial institutions: Ensuring robust regulatory </w:t>
      </w:r>
      <w:proofErr w:type="spellStart"/>
      <w:r w:rsidRPr="00D46C65">
        <w:rPr>
          <w:rFonts w:ascii="Times New Roman" w:hAnsi="Times New Roman" w:cs="Times New Roman"/>
          <w:sz w:val="24"/>
          <w:szCs w:val="24"/>
        </w:rPr>
        <w:t>compliance"Finance</w:t>
      </w:r>
      <w:proofErr w:type="spellEnd"/>
      <w:r w:rsidRPr="00D46C65">
        <w:rPr>
          <w:rFonts w:ascii="Times New Roman" w:hAnsi="Times New Roman" w:cs="Times New Roman"/>
          <w:sz w:val="24"/>
          <w:szCs w:val="24"/>
        </w:rPr>
        <w:t xml:space="preserve"> &amp; Accounting Research Journal 6 (8), 1582-1596, 2024 </w:t>
      </w:r>
    </w:p>
    <w:p w14:paraId="5E611342" w14:textId="7ADFEB58"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[8] ML Gambo, A </w:t>
      </w:r>
      <w:proofErr w:type="spellStart"/>
      <w:r w:rsidRPr="00D46C65">
        <w:rPr>
          <w:rFonts w:ascii="Times New Roman" w:hAnsi="Times New Roman" w:cs="Times New Roman"/>
          <w:sz w:val="24"/>
          <w:szCs w:val="24"/>
        </w:rPr>
        <w:t>Almulhem</w:t>
      </w:r>
      <w:proofErr w:type="spellEnd"/>
      <w:r w:rsidRPr="00D46C65">
        <w:rPr>
          <w:rFonts w:ascii="Times New Roman" w:hAnsi="Times New Roman" w:cs="Times New Roman"/>
          <w:sz w:val="24"/>
          <w:szCs w:val="24"/>
        </w:rPr>
        <w:t xml:space="preserve">. "Zero Trust Architecture: A systematic literature </w:t>
      </w:r>
      <w:proofErr w:type="spellStart"/>
      <w:r w:rsidRPr="00D46C65">
        <w:rPr>
          <w:rFonts w:ascii="Times New Roman" w:hAnsi="Times New Roman" w:cs="Times New Roman"/>
          <w:sz w:val="24"/>
          <w:szCs w:val="24"/>
        </w:rPr>
        <w:t>review"Journal</w:t>
      </w:r>
      <w:proofErr w:type="spellEnd"/>
      <w:r w:rsidRPr="00D46C65">
        <w:rPr>
          <w:rFonts w:ascii="Times New Roman" w:hAnsi="Times New Roman" w:cs="Times New Roman"/>
          <w:sz w:val="24"/>
          <w:szCs w:val="24"/>
        </w:rPr>
        <w:t xml:space="preserve"> of Network and Systems Management, 2026 Springer</w:t>
      </w:r>
    </w:p>
    <w:p w14:paraId="4AE6F77A" w14:textId="7B5496BC"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[8] Abdullaev </w:t>
      </w:r>
      <w:proofErr w:type="spellStart"/>
      <w:r w:rsidRPr="00D46C65">
        <w:rPr>
          <w:rFonts w:ascii="Times New Roman" w:hAnsi="Times New Roman" w:cs="Times New Roman"/>
          <w:sz w:val="24"/>
          <w:szCs w:val="24"/>
        </w:rPr>
        <w:t>Altinbek</w:t>
      </w:r>
      <w:proofErr w:type="spellEnd"/>
      <w:r w:rsidRPr="00D46C65">
        <w:rPr>
          <w:rFonts w:ascii="Times New Roman" w:hAnsi="Times New Roman" w:cs="Times New Roman"/>
          <w:sz w:val="24"/>
          <w:szCs w:val="24"/>
        </w:rPr>
        <w:t xml:space="preserve"> Yangibayevich, </w:t>
      </w:r>
      <w:proofErr w:type="spellStart"/>
      <w:r w:rsidRPr="00D46C65">
        <w:rPr>
          <w:rFonts w:ascii="Times New Roman" w:hAnsi="Times New Roman" w:cs="Times New Roman"/>
          <w:sz w:val="24"/>
          <w:szCs w:val="24"/>
        </w:rPr>
        <w:t>Abdullaeva</w:t>
      </w:r>
      <w:proofErr w:type="spellEnd"/>
      <w:r w:rsidRPr="00D46C65">
        <w:rPr>
          <w:rFonts w:ascii="Times New Roman" w:hAnsi="Times New Roman" w:cs="Times New Roman"/>
          <w:sz w:val="24"/>
          <w:szCs w:val="24"/>
        </w:rPr>
        <w:t xml:space="preserve"> Guzal Altinbekovna. "Methodology for ensuring economic security of commercial banks". SAARJ J. Bank. </w:t>
      </w:r>
      <w:proofErr w:type="spellStart"/>
      <w:r w:rsidRPr="00D46C65">
        <w:rPr>
          <w:rFonts w:ascii="Times New Roman" w:hAnsi="Times New Roman" w:cs="Times New Roman"/>
          <w:sz w:val="24"/>
          <w:szCs w:val="24"/>
        </w:rPr>
        <w:t>Insur</w:t>
      </w:r>
      <w:proofErr w:type="spellEnd"/>
      <w:r w:rsidRPr="00D46C65">
        <w:rPr>
          <w:rFonts w:ascii="Times New Roman" w:hAnsi="Times New Roman" w:cs="Times New Roman"/>
          <w:sz w:val="24"/>
          <w:szCs w:val="24"/>
        </w:rPr>
        <w:t>. Res. 11 (1), 17-32, 2022</w:t>
      </w:r>
    </w:p>
    <w:p w14:paraId="56211D83" w14:textId="7727AF97"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[9] M Hasan, A Hoque, T Le - FinTech, "Big data-driven banking operations: Opportunities, challenges, and data security perspectives" 2023.</w:t>
      </w:r>
    </w:p>
    <w:p w14:paraId="60ADF075" w14:textId="48883974"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[10] E Zangerle, C Bauer. "Evaluating recommender systems: survey and framework" ACM computing surveys, 2022</w:t>
      </w:r>
    </w:p>
    <w:p w14:paraId="4D8C00E8" w14:textId="2D10EBE3"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[11] K Kastiel, Y Nili. "The corporate governance gap" The Yale Law Journal, 2022</w:t>
      </w:r>
    </w:p>
    <w:p w14:paraId="4B03D72A" w14:textId="7D3627A5"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[12] J Martins, HS Mamede, J </w:t>
      </w:r>
      <w:proofErr w:type="spellStart"/>
      <w:r w:rsidRPr="00D46C65">
        <w:rPr>
          <w:rFonts w:ascii="Times New Roman" w:hAnsi="Times New Roman" w:cs="Times New Roman"/>
          <w:sz w:val="24"/>
          <w:szCs w:val="24"/>
        </w:rPr>
        <w:t>Correia."Risk</w:t>
      </w:r>
      <w:proofErr w:type="spellEnd"/>
      <w:r w:rsidRPr="00D46C65">
        <w:rPr>
          <w:rFonts w:ascii="Times New Roman" w:hAnsi="Times New Roman" w:cs="Times New Roman"/>
          <w:sz w:val="24"/>
          <w:szCs w:val="24"/>
        </w:rPr>
        <w:t xml:space="preserve"> compliance and master data management in banking–A novel BCBS 239 compliance action-plan proposal" </w:t>
      </w:r>
      <w:proofErr w:type="spellStart"/>
      <w:r w:rsidRPr="00D46C65">
        <w:rPr>
          <w:rFonts w:ascii="Times New Roman" w:hAnsi="Times New Roman" w:cs="Times New Roman"/>
          <w:sz w:val="24"/>
          <w:szCs w:val="24"/>
        </w:rPr>
        <w:t>Heliyon</w:t>
      </w:r>
      <w:proofErr w:type="spellEnd"/>
      <w:r w:rsidRPr="00D46C65">
        <w:rPr>
          <w:rFonts w:ascii="Times New Roman" w:hAnsi="Times New Roman" w:cs="Times New Roman"/>
          <w:sz w:val="24"/>
          <w:szCs w:val="24"/>
        </w:rPr>
        <w:t>, 2022</w:t>
      </w:r>
    </w:p>
    <w:p w14:paraId="4C47750C" w14:textId="219BF063"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[13] HS Galadima, D Morris, C Doherty, R </w:t>
      </w:r>
      <w:proofErr w:type="spellStart"/>
      <w:r w:rsidRPr="00D46C65">
        <w:rPr>
          <w:rFonts w:ascii="Times New Roman" w:hAnsi="Times New Roman" w:cs="Times New Roman"/>
          <w:sz w:val="24"/>
          <w:szCs w:val="24"/>
        </w:rPr>
        <w:t>Brennan."Safety</w:t>
      </w:r>
      <w:proofErr w:type="spellEnd"/>
      <w:r w:rsidRPr="00D46C65">
        <w:rPr>
          <w:rFonts w:ascii="Times New Roman" w:hAnsi="Times New Roman" w:cs="Times New Roman"/>
          <w:sz w:val="24"/>
          <w:szCs w:val="24"/>
        </w:rPr>
        <w:t xml:space="preserve"> Science as a Source of Organisational Cyber Resilience in Incident Response" IEEE Access, 2026</w:t>
      </w:r>
    </w:p>
    <w:p w14:paraId="789F8137" w14:textId="7661BAC9"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[14] S Cosma, G Rimo, G </w:t>
      </w:r>
      <w:proofErr w:type="spellStart"/>
      <w:r w:rsidRPr="00D46C65">
        <w:rPr>
          <w:rFonts w:ascii="Times New Roman" w:hAnsi="Times New Roman" w:cs="Times New Roman"/>
          <w:sz w:val="24"/>
          <w:szCs w:val="24"/>
        </w:rPr>
        <w:t>Torluccio</w:t>
      </w:r>
      <w:proofErr w:type="spellEnd"/>
      <w:r w:rsidRPr="00D46C65">
        <w:rPr>
          <w:rFonts w:ascii="Times New Roman" w:hAnsi="Times New Roman" w:cs="Times New Roman"/>
          <w:sz w:val="24"/>
          <w:szCs w:val="24"/>
        </w:rPr>
        <w:t xml:space="preserve"> "Knowledge mapping of model risk in banking" International Review of Financial Analysis, 2023</w:t>
      </w:r>
    </w:p>
    <w:p w14:paraId="4009979F" w14:textId="1E47B366"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[15] X Liu. "The relation of input, interaction, and output in SLA" 2022 7th International Conference on Social Sciences …, 2022</w:t>
      </w:r>
    </w:p>
    <w:p w14:paraId="1471BACC" w14:textId="3FBA05A1"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lastRenderedPageBreak/>
        <w:t>[16] TS Junaid "ISO 27001: information security management systems" 2023 </w:t>
      </w:r>
    </w:p>
    <w:p w14:paraId="7999BC4F" w14:textId="5E76C675"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[17] O </w:t>
      </w:r>
      <w:proofErr w:type="spellStart"/>
      <w:r w:rsidRPr="00D46C65">
        <w:rPr>
          <w:rFonts w:ascii="Times New Roman" w:hAnsi="Times New Roman" w:cs="Times New Roman"/>
          <w:sz w:val="24"/>
          <w:szCs w:val="24"/>
        </w:rPr>
        <w:t>Aljumaiah</w:t>
      </w:r>
      <w:proofErr w:type="spellEnd"/>
      <w:r w:rsidRPr="00D46C65">
        <w:rPr>
          <w:rFonts w:ascii="Times New Roman" w:hAnsi="Times New Roman" w:cs="Times New Roman"/>
          <w:sz w:val="24"/>
          <w:szCs w:val="24"/>
        </w:rPr>
        <w:t>, W Jiang, SR Addula "</w:t>
      </w:r>
      <w:proofErr w:type="spellStart"/>
      <w:r w:rsidRPr="00D46C65">
        <w:rPr>
          <w:rFonts w:ascii="Times New Roman" w:hAnsi="Times New Roman" w:cs="Times New Roman"/>
          <w:sz w:val="24"/>
          <w:szCs w:val="24"/>
        </w:rPr>
        <w:t>Analyzing</w:t>
      </w:r>
      <w:proofErr w:type="spellEnd"/>
      <w:r w:rsidRPr="00D46C65">
        <w:rPr>
          <w:rFonts w:ascii="Times New Roman" w:hAnsi="Times New Roman" w:cs="Times New Roman"/>
          <w:sz w:val="24"/>
          <w:szCs w:val="24"/>
        </w:rPr>
        <w:t xml:space="preserve"> cybersecurity risks and threats in IT infrastructure based on NIST framework". Journal of Cyber Security 2025</w:t>
      </w:r>
    </w:p>
    <w:p w14:paraId="74E48144" w14:textId="0DA84F99"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[18] A </w:t>
      </w:r>
      <w:proofErr w:type="spellStart"/>
      <w:r w:rsidRPr="00D46C65">
        <w:rPr>
          <w:rFonts w:ascii="Times New Roman" w:hAnsi="Times New Roman" w:cs="Times New Roman"/>
          <w:sz w:val="24"/>
          <w:szCs w:val="24"/>
        </w:rPr>
        <w:t>Rusman</w:t>
      </w:r>
      <w:proofErr w:type="spellEnd"/>
      <w:r w:rsidRPr="00D46C65">
        <w:rPr>
          <w:rFonts w:ascii="Times New Roman" w:hAnsi="Times New Roman" w:cs="Times New Roman"/>
          <w:sz w:val="24"/>
          <w:szCs w:val="24"/>
        </w:rPr>
        <w:t xml:space="preserve">, R </w:t>
      </w:r>
      <w:proofErr w:type="spellStart"/>
      <w:r w:rsidRPr="00D46C65">
        <w:rPr>
          <w:rFonts w:ascii="Times New Roman" w:hAnsi="Times New Roman" w:cs="Times New Roman"/>
          <w:sz w:val="24"/>
          <w:szCs w:val="24"/>
        </w:rPr>
        <w:t>Nadlifati</w:t>
      </w:r>
      <w:proofErr w:type="spellEnd"/>
      <w:r w:rsidRPr="00D46C65">
        <w:rPr>
          <w:rFonts w:ascii="Times New Roman" w:hAnsi="Times New Roman" w:cs="Times New Roman"/>
          <w:sz w:val="24"/>
          <w:szCs w:val="24"/>
        </w:rPr>
        <w:t>. "Information system audit using COBIT and ITIL framework: literature review" 2022</w:t>
      </w:r>
    </w:p>
    <w:p w14:paraId="1D3CFB8C" w14:textId="0D0252F0"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[19] HJ Bartel. "Overcoming the Challenges of Implementing ITIL4 for Private Industry" 2022</w:t>
      </w:r>
    </w:p>
    <w:p w14:paraId="0B767773" w14:textId="2D347710"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[20] T Alkhdour, BM </w:t>
      </w:r>
      <w:proofErr w:type="spellStart"/>
      <w:r w:rsidRPr="00D46C65">
        <w:rPr>
          <w:rFonts w:ascii="Times New Roman" w:hAnsi="Times New Roman" w:cs="Times New Roman"/>
          <w:sz w:val="24"/>
          <w:szCs w:val="24"/>
        </w:rPr>
        <w:t>AlWadi</w:t>
      </w:r>
      <w:proofErr w:type="spellEnd"/>
      <w:r w:rsidRPr="00D46C65">
        <w:rPr>
          <w:rFonts w:ascii="Times New Roman" w:hAnsi="Times New Roman" w:cs="Times New Roman"/>
          <w:sz w:val="24"/>
          <w:szCs w:val="24"/>
        </w:rPr>
        <w:t xml:space="preserve">, M </w:t>
      </w:r>
      <w:proofErr w:type="spellStart"/>
      <w:r w:rsidRPr="00D46C65">
        <w:rPr>
          <w:rFonts w:ascii="Times New Roman" w:hAnsi="Times New Roman" w:cs="Times New Roman"/>
          <w:sz w:val="24"/>
          <w:szCs w:val="24"/>
        </w:rPr>
        <w:t>Alrawad</w:t>
      </w:r>
      <w:proofErr w:type="spellEnd"/>
      <w:r w:rsidRPr="00D46C65">
        <w:rPr>
          <w:rFonts w:ascii="Times New Roman" w:hAnsi="Times New Roman" w:cs="Times New Roman"/>
          <w:sz w:val="24"/>
          <w:szCs w:val="24"/>
        </w:rPr>
        <w:t xml:space="preserve">. Assessment of cybersecurity risks and threats on banking and financial services </w:t>
      </w:r>
      <w:proofErr w:type="spellStart"/>
      <w:r w:rsidRPr="00D46C65">
        <w:rPr>
          <w:rFonts w:ascii="Times New Roman" w:hAnsi="Times New Roman" w:cs="Times New Roman"/>
          <w:sz w:val="24"/>
          <w:szCs w:val="24"/>
        </w:rPr>
        <w:t>Services</w:t>
      </w:r>
      <w:proofErr w:type="spellEnd"/>
      <w:r w:rsidRPr="00D46C65">
        <w:rPr>
          <w:rFonts w:ascii="Times New Roman" w:hAnsi="Times New Roman" w:cs="Times New Roman"/>
          <w:sz w:val="24"/>
          <w:szCs w:val="24"/>
        </w:rPr>
        <w:t xml:space="preserve"> and Information Security, 2024</w:t>
      </w:r>
    </w:p>
    <w:p w14:paraId="1643CE1C" w14:textId="5B9896AB"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[21] </w:t>
      </w:r>
      <w:r w:rsidR="008E6821">
        <w:rPr>
          <w:rFonts w:ascii="Times New Roman" w:hAnsi="Times New Roman" w:cs="Times New Roman"/>
          <w:sz w:val="24"/>
          <w:szCs w:val="24"/>
        </w:rPr>
        <w:t xml:space="preserve">AO. Bello, O. </w:t>
      </w:r>
      <w:proofErr w:type="spellStart"/>
      <w:r w:rsidR="008E6821">
        <w:rPr>
          <w:rFonts w:ascii="Times New Roman" w:hAnsi="Times New Roman" w:cs="Times New Roman"/>
          <w:sz w:val="24"/>
          <w:szCs w:val="24"/>
        </w:rPr>
        <w:t>Elebe</w:t>
      </w:r>
      <w:proofErr w:type="spellEnd"/>
      <w:r w:rsidR="008E6821">
        <w:rPr>
          <w:rFonts w:ascii="Times New Roman" w:hAnsi="Times New Roman" w:cs="Times New Roman"/>
          <w:sz w:val="24"/>
          <w:szCs w:val="24"/>
        </w:rPr>
        <w:t xml:space="preserve">, </w:t>
      </w:r>
      <w:r w:rsidRPr="00D46C65">
        <w:rPr>
          <w:rFonts w:ascii="Times New Roman" w:hAnsi="Times New Roman" w:cs="Times New Roman"/>
          <w:sz w:val="24"/>
          <w:szCs w:val="24"/>
        </w:rPr>
        <w:t>“A cybersecurity risk management and regulatory compliance framework for financial institutions,” ICONIC Research and Engineering Journals, vol. 8, no. 2, 2024. ResearchGate</w:t>
      </w:r>
    </w:p>
    <w:p w14:paraId="1D0C371D" w14:textId="33C8E4DA"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[22] M. Toussaint, A. Krima, and S. </w:t>
      </w:r>
      <w:proofErr w:type="spellStart"/>
      <w:r w:rsidRPr="00D46C65">
        <w:rPr>
          <w:rFonts w:ascii="Times New Roman" w:hAnsi="Times New Roman" w:cs="Times New Roman"/>
          <w:sz w:val="24"/>
          <w:szCs w:val="24"/>
        </w:rPr>
        <w:t>Penetto</w:t>
      </w:r>
      <w:proofErr w:type="spellEnd"/>
      <w:r w:rsidRPr="00D46C65">
        <w:rPr>
          <w:rFonts w:ascii="Times New Roman" w:hAnsi="Times New Roman" w:cs="Times New Roman"/>
          <w:sz w:val="24"/>
          <w:szCs w:val="24"/>
        </w:rPr>
        <w:t>, “A systematic review of voluntary cybersecurity standards and frameworks,” International Journal of Information Security, 2024. Springer</w:t>
      </w:r>
    </w:p>
    <w:p w14:paraId="37752D0A" w14:textId="3D005969"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[23] A. </w:t>
      </w:r>
      <w:proofErr w:type="spellStart"/>
      <w:r w:rsidRPr="00D46C65">
        <w:rPr>
          <w:rFonts w:ascii="Times New Roman" w:hAnsi="Times New Roman" w:cs="Times New Roman"/>
          <w:sz w:val="24"/>
          <w:szCs w:val="24"/>
        </w:rPr>
        <w:t>Rifkha</w:t>
      </w:r>
      <w:proofErr w:type="spellEnd"/>
      <w:r w:rsidRPr="00D46C65">
        <w:rPr>
          <w:rFonts w:ascii="Times New Roman" w:hAnsi="Times New Roman" w:cs="Times New Roman"/>
          <w:sz w:val="24"/>
          <w:szCs w:val="24"/>
        </w:rPr>
        <w:t xml:space="preserve"> Rahmika, M. Akbar, D. L. </w:t>
      </w:r>
      <w:proofErr w:type="spellStart"/>
      <w:r w:rsidRPr="00D46C65">
        <w:rPr>
          <w:rFonts w:ascii="Times New Roman" w:hAnsi="Times New Roman" w:cs="Times New Roman"/>
          <w:sz w:val="24"/>
          <w:szCs w:val="24"/>
        </w:rPr>
        <w:t>Jayanto</w:t>
      </w:r>
      <w:proofErr w:type="spellEnd"/>
      <w:r w:rsidRPr="00D46C65">
        <w:rPr>
          <w:rFonts w:ascii="Times New Roman" w:hAnsi="Times New Roman" w:cs="Times New Roman"/>
          <w:sz w:val="24"/>
          <w:szCs w:val="24"/>
        </w:rPr>
        <w:t xml:space="preserve">, and J. R. </w:t>
      </w:r>
      <w:proofErr w:type="spellStart"/>
      <w:r w:rsidRPr="00D46C65">
        <w:rPr>
          <w:rFonts w:ascii="Times New Roman" w:hAnsi="Times New Roman" w:cs="Times New Roman"/>
          <w:sz w:val="24"/>
          <w:szCs w:val="24"/>
        </w:rPr>
        <w:t>Bu'tu</w:t>
      </w:r>
      <w:proofErr w:type="spellEnd"/>
      <w:r w:rsidRPr="00D46C65">
        <w:rPr>
          <w:rFonts w:ascii="Times New Roman" w:hAnsi="Times New Roman" w:cs="Times New Roman"/>
          <w:sz w:val="24"/>
          <w:szCs w:val="24"/>
        </w:rPr>
        <w:t>, “Cloud governance frameworks: CIA-based security and compliance,” Journal of Embedded Systems, Security and Intelligent Systems, vol. 6, no. 3, pp. 379–389, 2025.</w:t>
      </w:r>
    </w:p>
    <w:p w14:paraId="6BB76EE4" w14:textId="5172DF4B"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[24] C. Pascoe, S. Quinn, and K. Scarfone, The NIST Cybersecurity Framework (CSF) 2.0, National Institute of Standards and Technology (NIST), 2024.</w:t>
      </w:r>
    </w:p>
    <w:p w14:paraId="7A5AFAB3" w14:textId="3EED2B65"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[25] J. Dwivedi, A. K. Jha, and A. N. Tandon, Ten years of cybersecurity governance, risk and compliance: A systematic analysis of research themes, International Journal of Information Security (survey paper), vol. 24, no. 3, pp. 43–57, 2023. IACIS</w:t>
      </w:r>
    </w:p>
    <w:p w14:paraId="033D1804" w14:textId="2BA691CB"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[26] M. Waliullah, M. Z. H. George, M. T. Hasan, M. K. A. Munira, and N. A. Siddiqui, “Assessing the influence of cybersecurity threats and risks on digital banking adoption and growth: A systematic literature review,” </w:t>
      </w:r>
      <w:proofErr w:type="spellStart"/>
      <w:r w:rsidRPr="00D46C65">
        <w:rPr>
          <w:rFonts w:ascii="Times New Roman" w:hAnsi="Times New Roman" w:cs="Times New Roman"/>
          <w:sz w:val="24"/>
          <w:szCs w:val="24"/>
        </w:rPr>
        <w:t>arXiv</w:t>
      </w:r>
      <w:proofErr w:type="spellEnd"/>
      <w:r w:rsidRPr="00D46C65">
        <w:rPr>
          <w:rFonts w:ascii="Times New Roman" w:hAnsi="Times New Roman" w:cs="Times New Roman"/>
          <w:sz w:val="24"/>
          <w:szCs w:val="24"/>
        </w:rPr>
        <w:t xml:space="preserve"> preprint, Mar. 2025. </w:t>
      </w:r>
      <w:proofErr w:type="spellStart"/>
      <w:r w:rsidRPr="00D46C65">
        <w:rPr>
          <w:rFonts w:ascii="Times New Roman" w:hAnsi="Times New Roman" w:cs="Times New Roman"/>
          <w:sz w:val="24"/>
          <w:szCs w:val="24"/>
        </w:rPr>
        <w:t>arXiv</w:t>
      </w:r>
      <w:proofErr w:type="spellEnd"/>
    </w:p>
    <w:p w14:paraId="5004C8C4" w14:textId="3033D2E4"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[27] J. Biao, “</w:t>
      </w:r>
      <w:proofErr w:type="spellStart"/>
      <w:r w:rsidRPr="00D46C65">
        <w:rPr>
          <w:rFonts w:ascii="Times New Roman" w:hAnsi="Times New Roman" w:cs="Times New Roman"/>
          <w:sz w:val="24"/>
          <w:szCs w:val="24"/>
        </w:rPr>
        <w:t>SecureBank</w:t>
      </w:r>
      <w:proofErr w:type="spellEnd"/>
      <w:r w:rsidRPr="00D46C65">
        <w:rPr>
          <w:rFonts w:ascii="Times New Roman" w:hAnsi="Times New Roman" w:cs="Times New Roman"/>
          <w:sz w:val="24"/>
          <w:szCs w:val="24"/>
        </w:rPr>
        <w:t>: A financially aware Zero Trust architecture for high</w:t>
      </w:r>
      <w:r w:rsidRPr="00D46C65">
        <w:rPr>
          <w:rFonts w:ascii="Times New Roman" w:hAnsi="Times New Roman" w:cs="Times New Roman"/>
          <w:sz w:val="24"/>
          <w:szCs w:val="24"/>
        </w:rPr>
        <w:noBreakHyphen/>
        <w:t xml:space="preserve">assurance banking systems,” </w:t>
      </w:r>
      <w:proofErr w:type="spellStart"/>
      <w:r w:rsidRPr="00D46C65">
        <w:rPr>
          <w:rFonts w:ascii="Times New Roman" w:hAnsi="Times New Roman" w:cs="Times New Roman"/>
          <w:sz w:val="24"/>
          <w:szCs w:val="24"/>
        </w:rPr>
        <w:t>arXiv</w:t>
      </w:r>
      <w:proofErr w:type="spellEnd"/>
      <w:r w:rsidRPr="00D46C65">
        <w:rPr>
          <w:rFonts w:ascii="Times New Roman" w:hAnsi="Times New Roman" w:cs="Times New Roman"/>
          <w:sz w:val="24"/>
          <w:szCs w:val="24"/>
        </w:rPr>
        <w:t xml:space="preserve"> preprint arXiv:2512.23124, Dec. 2025.  </w:t>
      </w:r>
    </w:p>
    <w:p w14:paraId="3056370A" w14:textId="4F2E4CDE"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[28] J. Jevelin and A. Faza, “Evaluation of an information security management system: A path towards ISO 27001 certification,” Journal of Information Systems and Informatics, vol. 5, no. 4, pp. 1240–1256, 2023.</w:t>
      </w:r>
    </w:p>
    <w:p w14:paraId="768A4509" w14:textId="77777777" w:rsidR="00D46C65" w:rsidRPr="00D46C65" w:rsidRDefault="00D46C65" w:rsidP="00D46C65">
      <w:pPr>
        <w:spacing w:line="360" w:lineRule="auto"/>
        <w:rPr>
          <w:rFonts w:ascii="Times New Roman" w:hAnsi="Times New Roman" w:cs="Times New Roman"/>
          <w:sz w:val="24"/>
          <w:szCs w:val="24"/>
        </w:rPr>
      </w:pPr>
      <w:r w:rsidRPr="00D46C65">
        <w:rPr>
          <w:rFonts w:ascii="Times New Roman" w:hAnsi="Times New Roman" w:cs="Times New Roman"/>
          <w:sz w:val="24"/>
          <w:szCs w:val="24"/>
        </w:rPr>
        <w:t xml:space="preserve">[29] G. Wojak et al., “Data protection and corporate reputation management in the digital era,” 2025. </w:t>
      </w:r>
      <w:proofErr w:type="spellStart"/>
      <w:r w:rsidRPr="00D46C65">
        <w:rPr>
          <w:rFonts w:ascii="Times New Roman" w:hAnsi="Times New Roman" w:cs="Times New Roman"/>
          <w:sz w:val="24"/>
          <w:szCs w:val="24"/>
        </w:rPr>
        <w:t>arXiv</w:t>
      </w:r>
      <w:proofErr w:type="spellEnd"/>
    </w:p>
    <w:p w14:paraId="31875245" w14:textId="77777777" w:rsidR="00D46C65" w:rsidRPr="00D46C65" w:rsidRDefault="00D46C65" w:rsidP="00D46C65">
      <w:pPr>
        <w:spacing w:line="360" w:lineRule="auto"/>
        <w:rPr>
          <w:rFonts w:ascii="Times New Roman" w:hAnsi="Times New Roman" w:cs="Times New Roman"/>
          <w:sz w:val="24"/>
          <w:szCs w:val="24"/>
        </w:rPr>
      </w:pPr>
    </w:p>
    <w:p w14:paraId="2F6BFF67" w14:textId="77777777" w:rsidR="00D46C65" w:rsidRPr="00D46C65" w:rsidRDefault="00D46C65" w:rsidP="00D46C65">
      <w:pPr>
        <w:spacing w:line="360" w:lineRule="auto"/>
        <w:rPr>
          <w:rFonts w:ascii="Times New Roman" w:hAnsi="Times New Roman" w:cs="Times New Roman"/>
          <w:sz w:val="24"/>
          <w:szCs w:val="24"/>
        </w:rPr>
      </w:pPr>
    </w:p>
    <w:p w14:paraId="71B5B327" w14:textId="77777777" w:rsidR="00914278" w:rsidRPr="00914278" w:rsidRDefault="00914278" w:rsidP="006E6284">
      <w:pPr>
        <w:spacing w:line="360" w:lineRule="auto"/>
        <w:rPr>
          <w:rFonts w:ascii="Times New Roman" w:hAnsi="Times New Roman" w:cs="Times New Roman"/>
          <w:sz w:val="24"/>
          <w:szCs w:val="24"/>
        </w:rPr>
      </w:pPr>
    </w:p>
    <w:sectPr w:rsidR="00914278" w:rsidRPr="00914278" w:rsidSect="00C44D34">
      <w:footerReference w:type="default" r:id="rId1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302D0" w14:textId="77777777" w:rsidR="009F3C5D" w:rsidRDefault="009F3C5D" w:rsidP="00A468A6">
      <w:pPr>
        <w:spacing w:after="0" w:line="240" w:lineRule="auto"/>
      </w:pPr>
      <w:r>
        <w:separator/>
      </w:r>
    </w:p>
  </w:endnote>
  <w:endnote w:type="continuationSeparator" w:id="0">
    <w:p w14:paraId="0258D3CD" w14:textId="77777777" w:rsidR="009F3C5D" w:rsidRDefault="009F3C5D" w:rsidP="00A46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840388"/>
      <w:docPartObj>
        <w:docPartGallery w:val="Page Numbers (Bottom of Page)"/>
        <w:docPartUnique/>
      </w:docPartObj>
    </w:sdtPr>
    <w:sdtContent>
      <w:p w14:paraId="211E2238" w14:textId="27B7FC67" w:rsidR="00A468A6" w:rsidRDefault="00A468A6">
        <w:pPr>
          <w:pStyle w:val="Footer"/>
          <w:jc w:val="center"/>
        </w:pPr>
        <w:r>
          <w:fldChar w:fldCharType="begin"/>
        </w:r>
        <w:r>
          <w:instrText>PAGE   \* MERGEFORMAT</w:instrText>
        </w:r>
        <w:r>
          <w:fldChar w:fldCharType="separate"/>
        </w:r>
        <w:r>
          <w:t>2</w:t>
        </w:r>
        <w:r>
          <w:fldChar w:fldCharType="end"/>
        </w:r>
      </w:p>
    </w:sdtContent>
  </w:sdt>
  <w:p w14:paraId="63C2A0B4" w14:textId="77777777" w:rsidR="00A468A6" w:rsidRDefault="00A46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4ABF8" w14:textId="77777777" w:rsidR="009F3C5D" w:rsidRDefault="009F3C5D" w:rsidP="00A468A6">
      <w:pPr>
        <w:spacing w:after="0" w:line="240" w:lineRule="auto"/>
      </w:pPr>
      <w:r>
        <w:separator/>
      </w:r>
    </w:p>
  </w:footnote>
  <w:footnote w:type="continuationSeparator" w:id="0">
    <w:p w14:paraId="15954539" w14:textId="77777777" w:rsidR="009F3C5D" w:rsidRDefault="009F3C5D" w:rsidP="00A468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B7049"/>
    <w:multiLevelType w:val="hybridMultilevel"/>
    <w:tmpl w:val="D44C1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C1D92"/>
    <w:multiLevelType w:val="multilevel"/>
    <w:tmpl w:val="5EC2C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CC7CAD"/>
    <w:multiLevelType w:val="multilevel"/>
    <w:tmpl w:val="A0488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F54583"/>
    <w:multiLevelType w:val="multilevel"/>
    <w:tmpl w:val="F60A6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876251"/>
    <w:multiLevelType w:val="multilevel"/>
    <w:tmpl w:val="F204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637C8D"/>
    <w:multiLevelType w:val="hybridMultilevel"/>
    <w:tmpl w:val="C3866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A27162"/>
    <w:multiLevelType w:val="hybridMultilevel"/>
    <w:tmpl w:val="E4842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3384484">
    <w:abstractNumId w:val="6"/>
  </w:num>
  <w:num w:numId="2" w16cid:durableId="1920675613">
    <w:abstractNumId w:val="3"/>
  </w:num>
  <w:num w:numId="3" w16cid:durableId="1607497881">
    <w:abstractNumId w:val="1"/>
  </w:num>
  <w:num w:numId="4" w16cid:durableId="1638023542">
    <w:abstractNumId w:val="4"/>
  </w:num>
  <w:num w:numId="5" w16cid:durableId="1360472753">
    <w:abstractNumId w:val="2"/>
  </w:num>
  <w:num w:numId="6" w16cid:durableId="1901551227">
    <w:abstractNumId w:val="5"/>
  </w:num>
  <w:num w:numId="7" w16cid:durableId="664014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C70"/>
    <w:rsid w:val="00012FA1"/>
    <w:rsid w:val="000A2587"/>
    <w:rsid w:val="001615D3"/>
    <w:rsid w:val="001846EA"/>
    <w:rsid w:val="001A7D3D"/>
    <w:rsid w:val="002B41DE"/>
    <w:rsid w:val="002F1B80"/>
    <w:rsid w:val="003051EE"/>
    <w:rsid w:val="003B505E"/>
    <w:rsid w:val="004120EE"/>
    <w:rsid w:val="00482012"/>
    <w:rsid w:val="004B394A"/>
    <w:rsid w:val="006E6284"/>
    <w:rsid w:val="00790638"/>
    <w:rsid w:val="00841E7E"/>
    <w:rsid w:val="00890175"/>
    <w:rsid w:val="008E6821"/>
    <w:rsid w:val="008F3FB2"/>
    <w:rsid w:val="00914278"/>
    <w:rsid w:val="00983CBF"/>
    <w:rsid w:val="00993365"/>
    <w:rsid w:val="00995268"/>
    <w:rsid w:val="009A5AD5"/>
    <w:rsid w:val="009B0345"/>
    <w:rsid w:val="009F3C5D"/>
    <w:rsid w:val="00A468A6"/>
    <w:rsid w:val="00A82059"/>
    <w:rsid w:val="00AC5854"/>
    <w:rsid w:val="00AC69F6"/>
    <w:rsid w:val="00B6207C"/>
    <w:rsid w:val="00B778B3"/>
    <w:rsid w:val="00C44D34"/>
    <w:rsid w:val="00C8622F"/>
    <w:rsid w:val="00D23BDE"/>
    <w:rsid w:val="00D43BBA"/>
    <w:rsid w:val="00D46C65"/>
    <w:rsid w:val="00D84C70"/>
    <w:rsid w:val="00D86F98"/>
    <w:rsid w:val="00D90139"/>
    <w:rsid w:val="00DB12C9"/>
    <w:rsid w:val="00DE23CB"/>
    <w:rsid w:val="00E06B0C"/>
    <w:rsid w:val="00E525BE"/>
    <w:rsid w:val="00E70F31"/>
    <w:rsid w:val="00E72498"/>
    <w:rsid w:val="00EE3ABF"/>
    <w:rsid w:val="00EE76B5"/>
    <w:rsid w:val="00FC486A"/>
    <w:rsid w:val="00FE3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7D590"/>
  <w15:chartTrackingRefBased/>
  <w15:docId w15:val="{628EBBBE-3FFF-4377-B2D1-E2B80F374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821"/>
  </w:style>
  <w:style w:type="paragraph" w:styleId="Heading1">
    <w:name w:val="heading 1"/>
    <w:basedOn w:val="Normal"/>
    <w:next w:val="Normal"/>
    <w:link w:val="Heading1Char"/>
    <w:uiPriority w:val="9"/>
    <w:qFormat/>
    <w:rsid w:val="00D84C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C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C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C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C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C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C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C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C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C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C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C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C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C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C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C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C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C70"/>
    <w:rPr>
      <w:rFonts w:eastAsiaTheme="majorEastAsia" w:cstheme="majorBidi"/>
      <w:color w:val="272727" w:themeColor="text1" w:themeTint="D8"/>
    </w:rPr>
  </w:style>
  <w:style w:type="paragraph" w:styleId="Title">
    <w:name w:val="Title"/>
    <w:basedOn w:val="Normal"/>
    <w:next w:val="Normal"/>
    <w:link w:val="TitleChar"/>
    <w:uiPriority w:val="10"/>
    <w:qFormat/>
    <w:rsid w:val="00D84C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C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C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C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C70"/>
    <w:pPr>
      <w:spacing w:before="160"/>
      <w:jc w:val="center"/>
    </w:pPr>
    <w:rPr>
      <w:i/>
      <w:iCs/>
      <w:color w:val="404040" w:themeColor="text1" w:themeTint="BF"/>
    </w:rPr>
  </w:style>
  <w:style w:type="character" w:customStyle="1" w:styleId="QuoteChar">
    <w:name w:val="Quote Char"/>
    <w:basedOn w:val="DefaultParagraphFont"/>
    <w:link w:val="Quote"/>
    <w:uiPriority w:val="29"/>
    <w:rsid w:val="00D84C70"/>
    <w:rPr>
      <w:i/>
      <w:iCs/>
      <w:color w:val="404040" w:themeColor="text1" w:themeTint="BF"/>
    </w:rPr>
  </w:style>
  <w:style w:type="paragraph" w:styleId="ListParagraph">
    <w:name w:val="List Paragraph"/>
    <w:basedOn w:val="Normal"/>
    <w:uiPriority w:val="34"/>
    <w:qFormat/>
    <w:rsid w:val="00D84C70"/>
    <w:pPr>
      <w:ind w:left="720"/>
      <w:contextualSpacing/>
    </w:pPr>
  </w:style>
  <w:style w:type="character" w:styleId="IntenseEmphasis">
    <w:name w:val="Intense Emphasis"/>
    <w:basedOn w:val="DefaultParagraphFont"/>
    <w:uiPriority w:val="21"/>
    <w:qFormat/>
    <w:rsid w:val="00D84C70"/>
    <w:rPr>
      <w:i/>
      <w:iCs/>
      <w:color w:val="0F4761" w:themeColor="accent1" w:themeShade="BF"/>
    </w:rPr>
  </w:style>
  <w:style w:type="paragraph" w:styleId="IntenseQuote">
    <w:name w:val="Intense Quote"/>
    <w:basedOn w:val="Normal"/>
    <w:next w:val="Normal"/>
    <w:link w:val="IntenseQuoteChar"/>
    <w:uiPriority w:val="30"/>
    <w:qFormat/>
    <w:rsid w:val="00D84C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C70"/>
    <w:rPr>
      <w:i/>
      <w:iCs/>
      <w:color w:val="0F4761" w:themeColor="accent1" w:themeShade="BF"/>
    </w:rPr>
  </w:style>
  <w:style w:type="character" w:styleId="IntenseReference">
    <w:name w:val="Intense Reference"/>
    <w:basedOn w:val="DefaultParagraphFont"/>
    <w:uiPriority w:val="32"/>
    <w:qFormat/>
    <w:rsid w:val="00D84C70"/>
    <w:rPr>
      <w:b/>
      <w:bCs/>
      <w:smallCaps/>
      <w:color w:val="0F4761" w:themeColor="accent1" w:themeShade="BF"/>
      <w:spacing w:val="5"/>
    </w:rPr>
  </w:style>
  <w:style w:type="paragraph" w:styleId="NoSpacing">
    <w:name w:val="No Spacing"/>
    <w:link w:val="NoSpacingChar"/>
    <w:uiPriority w:val="1"/>
    <w:qFormat/>
    <w:rsid w:val="00D84C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84C70"/>
    <w:rPr>
      <w:rFonts w:eastAsiaTheme="minorEastAsia"/>
      <w:kern w:val="0"/>
      <w:lang w:eastAsia="en-GB"/>
      <w14:ligatures w14:val="none"/>
    </w:rPr>
  </w:style>
  <w:style w:type="paragraph" w:styleId="TOCHeading">
    <w:name w:val="TOC Heading"/>
    <w:basedOn w:val="Heading1"/>
    <w:next w:val="Normal"/>
    <w:uiPriority w:val="39"/>
    <w:unhideWhenUsed/>
    <w:qFormat/>
    <w:rsid w:val="00D84C7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D84C70"/>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41E7E"/>
    <w:pPr>
      <w:spacing w:after="100"/>
    </w:pPr>
    <w:rPr>
      <w:rFonts w:ascii="Times New Roman" w:eastAsiaTheme="minorEastAsia" w:hAnsi="Times New Roman" w:cs="Times New Roman"/>
      <w:b/>
      <w:bCs/>
      <w:kern w:val="0"/>
      <w:sz w:val="24"/>
      <w:szCs w:val="24"/>
      <w:lang w:eastAsia="en-GB"/>
      <w14:ligatures w14:val="none"/>
    </w:rPr>
  </w:style>
  <w:style w:type="paragraph" w:styleId="TOC3">
    <w:name w:val="toc 3"/>
    <w:basedOn w:val="Normal"/>
    <w:next w:val="Normal"/>
    <w:autoRedefine/>
    <w:uiPriority w:val="39"/>
    <w:unhideWhenUsed/>
    <w:rsid w:val="00D84C70"/>
    <w:pPr>
      <w:spacing w:after="100"/>
      <w:ind w:left="440"/>
    </w:pPr>
    <w:rPr>
      <w:rFonts w:eastAsiaTheme="minorEastAsia" w:cs="Times New Roman"/>
      <w:kern w:val="0"/>
      <w:lang w:eastAsia="en-GB"/>
      <w14:ligatures w14:val="none"/>
    </w:rPr>
  </w:style>
  <w:style w:type="table" w:styleId="TableGrid">
    <w:name w:val="Table Grid"/>
    <w:basedOn w:val="TableNormal"/>
    <w:uiPriority w:val="39"/>
    <w:rsid w:val="00EE3A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4278"/>
    <w:rPr>
      <w:color w:val="467886" w:themeColor="hyperlink"/>
      <w:u w:val="single"/>
    </w:rPr>
  </w:style>
  <w:style w:type="character" w:styleId="UnresolvedMention">
    <w:name w:val="Unresolved Mention"/>
    <w:basedOn w:val="DefaultParagraphFont"/>
    <w:uiPriority w:val="99"/>
    <w:semiHidden/>
    <w:unhideWhenUsed/>
    <w:rsid w:val="00914278"/>
    <w:rPr>
      <w:color w:val="605E5C"/>
      <w:shd w:val="clear" w:color="auto" w:fill="E1DFDD"/>
    </w:rPr>
  </w:style>
  <w:style w:type="paragraph" w:styleId="Header">
    <w:name w:val="header"/>
    <w:basedOn w:val="Normal"/>
    <w:link w:val="HeaderChar"/>
    <w:uiPriority w:val="99"/>
    <w:unhideWhenUsed/>
    <w:rsid w:val="00A46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8A6"/>
  </w:style>
  <w:style w:type="paragraph" w:styleId="Footer">
    <w:name w:val="footer"/>
    <w:basedOn w:val="Normal"/>
    <w:link w:val="FooterChar"/>
    <w:uiPriority w:val="99"/>
    <w:unhideWhenUsed/>
    <w:rsid w:val="00A468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8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mea01.safelinks.protection.outlook.com/?url=http%3A%2F%2Fmdpi.com%2F&amp;data=05%7C02%7C%7C3955af1f04e34043d2e708de8f04b1ca%7C84df9e7fe9f640afb435aaaaaaaaaaaa%7C1%7C0%7C639105447472922279%7CUnknown%7CTWFpbGZsb3d8eyJFbXB0eU1hcGkiOnRydWUsIlYiOiIwLjAuMDAwMCIsIlAiOiJXaW4zMiIsIkFOIjoiTWFpbCIsIldUIjoyfQ%3D%3D%7C0%7C%7C%7C&amp;sdata=0ANqa%2FrVExgrlRYLeL7SafYXjNVVVr2jVnLMV4ZWBRc%3D&amp;reserved=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43262-A5A8-4D86-91B2-2D119510E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24</Pages>
  <Words>4635</Words>
  <Characters>31849</Characters>
  <Application>Microsoft Office Word</Application>
  <DocSecurity>0</DocSecurity>
  <Lines>600</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18</cp:revision>
  <dcterms:created xsi:type="dcterms:W3CDTF">2026-03-30T23:30:00Z</dcterms:created>
  <dcterms:modified xsi:type="dcterms:W3CDTF">2026-03-31T10:43:00Z</dcterms:modified>
</cp:coreProperties>
</file>