
<file path=[Content_Types].xml><?xml version="1.0" encoding="utf-8"?>
<Types xmlns="http://schemas.openxmlformats.org/package/2006/content-types">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ageBreakBefore w:val="0"/>
        <w:kinsoku/>
        <w:wordWrap/>
        <w:overflowPunct/>
        <w:topLinePunct w:val="0"/>
        <w:autoSpaceDE/>
        <w:autoSpaceDN/>
        <w:bidi w:val="0"/>
        <w:adjustRightInd/>
        <w:snapToGrid/>
        <w:spacing w:line="600" w:lineRule="auto"/>
        <w:jc w:val="both"/>
        <w:textAlignment w:val="auto"/>
        <w:rPr>
          <w:rFonts w:hint="default" w:ascii="Arial" w:hAnsi="Arial" w:cs="Arial"/>
          <w:sz w:val="24"/>
          <w:szCs w:val="24"/>
        </w:rPr>
      </w:pPr>
      <w:r>
        <w:rPr>
          <w:rFonts w:hint="default" w:ascii="Arial" w:hAnsi="Arial" w:cs="Arial"/>
          <w:sz w:val="24"/>
          <w:szCs w:val="24"/>
        </w:rPr>
        <w:drawing>
          <wp:inline distT="0" distB="0" distL="0" distR="0">
            <wp:extent cx="3337560" cy="1334770"/>
            <wp:effectExtent l="0" t="0" r="0" b="0"/>
            <wp:docPr id="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5"/>
                    <pic:cNvPicPr>
                      <a:picLocks noChangeAspect="1"/>
                    </pic:cNvPicPr>
                  </pic:nvPicPr>
                  <pic:blipFill>
                    <a:blip r:embed="rId4">
                      <a:extLst>
                        <a:ext uri="{28A0092B-C50C-407E-A947-70E740481C1C}">
                          <a14:useLocalDpi xmlns:a14="http://schemas.microsoft.com/office/drawing/2010/main" val="0"/>
                        </a:ext>
                      </a:extLst>
                    </a:blip>
                    <a:stretch>
                      <a:fillRect/>
                    </a:stretch>
                  </pic:blipFill>
                  <pic:spPr>
                    <a:xfrm>
                      <a:off x="0" y="0"/>
                      <a:ext cx="3337560" cy="1334770"/>
                    </a:xfrm>
                    <a:prstGeom prst="rect">
                      <a:avLst/>
                    </a:prstGeom>
                  </pic:spPr>
                </pic:pic>
              </a:graphicData>
            </a:graphic>
          </wp:inline>
        </w:drawing>
      </w:r>
    </w:p>
    <w:p>
      <w:pPr>
        <w:pageBreakBefore w:val="0"/>
        <w:kinsoku/>
        <w:wordWrap/>
        <w:overflowPunct/>
        <w:topLinePunct w:val="0"/>
        <w:autoSpaceDE/>
        <w:autoSpaceDN/>
        <w:bidi w:val="0"/>
        <w:adjustRightInd/>
        <w:snapToGrid/>
        <w:spacing w:line="600" w:lineRule="auto"/>
        <w:jc w:val="both"/>
        <w:textAlignment w:val="auto"/>
        <w:rPr>
          <w:rFonts w:hint="default" w:ascii="Arial" w:hAnsi="Arial" w:cs="Arial"/>
          <w:sz w:val="24"/>
          <w:szCs w:val="24"/>
        </w:rPr>
      </w:pPr>
    </w:p>
    <w:p>
      <w:pPr>
        <w:keepNext w:val="0"/>
        <w:keepLines w:val="0"/>
        <w:pageBreakBefore w:val="0"/>
        <w:widowControl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Student Name:</w:t>
      </w:r>
      <w:bookmarkStart w:id="0" w:name="OLE_LINK2"/>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 xml:space="preserve">Zhenwei Zhang </w:t>
      </w:r>
      <w:bookmarkEnd w:id="0"/>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 xml:space="preserve"> </w:t>
      </w:r>
    </w:p>
    <w:p>
      <w:pPr>
        <w:keepNext w:val="0"/>
        <w:keepLines w:val="0"/>
        <w:pageBreakBefore w:val="0"/>
        <w:widowControl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Student ID number:2200243</w:t>
      </w:r>
    </w:p>
    <w:p>
      <w:pPr>
        <w:keepNext w:val="0"/>
        <w:keepLines w:val="0"/>
        <w:pageBreakBefore w:val="0"/>
        <w:widowControl w:val="0"/>
        <w:kinsoku/>
        <w:wordWrap/>
        <w:overflowPunct/>
        <w:topLinePunct w:val="0"/>
        <w:autoSpaceDE/>
        <w:autoSpaceDN/>
        <w:bidi w:val="0"/>
        <w:adjustRightInd/>
        <w:snapToGrid/>
        <w:spacing w:line="600" w:lineRule="auto"/>
        <w:jc w:val="both"/>
        <w:textAlignment w:val="auto"/>
        <w:rPr>
          <w:rFonts w:hint="default" w:ascii="Arial" w:hAnsi="Arial" w:cs="Arial"/>
          <w:sz w:val="24"/>
          <w:szCs w:val="24"/>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Assignment Title:</w:t>
      </w:r>
      <w:r>
        <w:rPr>
          <w:rFonts w:hint="default" w:ascii="Arial" w:hAnsi="Arial" w:eastAsia="Arial" w:cs="Arial"/>
          <w:b/>
          <w:sz w:val="24"/>
          <w:szCs w:val="24"/>
        </w:rPr>
        <w:t>T</w:t>
      </w:r>
      <w:r>
        <w:rPr>
          <w:rFonts w:hint="default" w:ascii="Arial" w:hAnsi="Arial" w:cs="Arial"/>
          <w:sz w:val="24"/>
          <w:szCs w:val="24"/>
        </w:rPr>
        <w:t>he Complexity of Modern Leadership</w:t>
      </w:r>
    </w:p>
    <w:p>
      <w:pPr>
        <w:keepNext w:val="0"/>
        <w:keepLines w:val="0"/>
        <w:pageBreakBefore w:val="0"/>
        <w:widowControl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Module Code:</w:t>
      </w:r>
      <w:bookmarkStart w:id="1" w:name="OLE_LINK1"/>
      <w:r>
        <w:rPr>
          <w:rFonts w:hint="default" w:ascii="Arial" w:hAnsi="Arial" w:eastAsia="Arial" w:cs="Arial"/>
          <w:b/>
          <w:sz w:val="24"/>
          <w:szCs w:val="24"/>
        </w:rPr>
        <w:t xml:space="preserve">BMBM6012 </w:t>
      </w:r>
      <w:bookmarkEnd w:id="1"/>
    </w:p>
    <w:p>
      <w:pPr>
        <w:keepNext w:val="0"/>
        <w:keepLines w:val="0"/>
        <w:pageBreakBefore w:val="0"/>
        <w:widowControl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Module:</w:t>
      </w:r>
      <w:r>
        <w:rPr>
          <w:rFonts w:hint="default" w:ascii="Arial" w:hAnsi="Arial" w:eastAsia="Arial" w:cs="Arial"/>
          <w:b/>
          <w:sz w:val="24"/>
          <w:szCs w:val="24"/>
        </w:rPr>
        <w:t xml:space="preserve">Leading and Developing People </w:t>
      </w:r>
    </w:p>
    <w:p>
      <w:pPr>
        <w:keepNext w:val="0"/>
        <w:keepLines w:val="0"/>
        <w:pageBreakBefore w:val="0"/>
        <w:widowControl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 xml:space="preserve">Submitted to </w:t>
      </w:r>
      <w:r>
        <w:rPr>
          <w:rFonts w:hint="default" w:ascii="Arial" w:hAnsi="Arial" w:cs="Arial"/>
          <w:b/>
          <w:bCs/>
          <w:sz w:val="24"/>
          <w:szCs w:val="24"/>
        </w:rPr>
        <w:t>L</w:t>
      </w:r>
      <w:r>
        <w:rPr>
          <w:rFonts w:hint="default" w:ascii="Arial" w:hAnsi="Arial" w:cs="Arial"/>
          <w:bCs/>
          <w:sz w:val="24"/>
          <w:szCs w:val="24"/>
        </w:rPr>
        <w:t xml:space="preserve">aura James </w:t>
      </w: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t>Reported by Zhenwei Zhang</w:t>
      </w: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center"/>
        <w:textAlignment w:val="auto"/>
        <w:outlineLvl w:val="0"/>
        <w:rPr>
          <w:rFonts w:hint="default" w:ascii="Arial" w:hAnsi="Arial" w:cs="Arial"/>
          <w:b/>
          <w:bCs/>
          <w:sz w:val="24"/>
          <w:szCs w:val="24"/>
        </w:rPr>
      </w:pPr>
      <w:bookmarkStart w:id="2" w:name="_Toc17160"/>
      <w:bookmarkStart w:id="3" w:name="_Toc26744"/>
      <w:r>
        <w:rPr>
          <w:rFonts w:hint="default" w:ascii="Arial" w:hAnsi="Arial" w:cs="Arial"/>
          <w:b/>
          <w:bCs/>
          <w:sz w:val="24"/>
          <w:szCs w:val="24"/>
        </w:rPr>
        <w:t>Summary</w:t>
      </w:r>
      <w:bookmarkEnd w:id="2"/>
      <w:bookmarkEnd w:id="3"/>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val="0"/>
          <w:bCs w:val="0"/>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 w:val="0"/>
          <w:bCs w:val="0"/>
          <w:color w:val="262626" w:themeColor="text1" w:themeTint="D9"/>
          <w:sz w:val="24"/>
          <w:szCs w:val="24"/>
          <w:lang w:val="en-US" w:eastAsia="zh-CN"/>
          <w14:textFill>
            <w14:solidFill>
              <w14:schemeClr w14:val="tx1">
                <w14:lumMod w14:val="85000"/>
                <w14:lumOff w14:val="15000"/>
              </w14:schemeClr>
            </w14:solidFill>
          </w14:textFill>
        </w:rPr>
        <w:t>This report describes the complexity of leaders in an organization. In this paper, we take Howard Schultz, CEO of Starbucks, as a globally renowned brand, and his case is the best learning textbook. This paper introduces the background of Howard and achievements, in the second part introduces the complex market environment and evaluate the problem, here with Burns theory of transformation leadership model, for example Howard in starbucks crisis encourage innovation, expanding stores to adapt to the local culture and in the enterprise efficient operation of the case. Second, the report mentions the problems of transformative leaders, and that this leadership model is not necessarily suitable for small businesses. Finally, the simple examples of other leadership models, such as transactional leadership and servant leadership, respectively describe whether these methods meet the above questions.</w:t>
      </w: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sdt>
      <w:sdtPr>
        <w:rPr>
          <w:rFonts w:hint="default" w:ascii="Arial" w:hAnsi="Arial" w:eastAsia="宋体" w:cs="Arial"/>
          <w:kern w:val="2"/>
          <w:sz w:val="24"/>
          <w:szCs w:val="24"/>
          <w:lang w:val="en-US" w:eastAsia="zh-CN" w:bidi="ar-SA"/>
        </w:rPr>
        <w:id w:val="147463265"/>
        <w15:color w:val="DBDBDB"/>
        <w:docPartObj>
          <w:docPartGallery w:val="Table of Contents"/>
          <w:docPartUnique/>
        </w:docPartObj>
      </w:sdtPr>
      <w:sdtEndPr>
        <w:rPr>
          <w:rFonts w:hint="default" w:ascii="Arial" w:hAnsi="Arial" w:eastAsia="微软雅黑" w:cs="Arial"/>
          <w:b/>
          <w:bCs/>
          <w:color w:val="262626" w:themeColor="text1" w:themeTint="D9"/>
          <w:kern w:val="2"/>
          <w:sz w:val="24"/>
          <w:szCs w:val="24"/>
          <w:lang w:val="en-US" w:eastAsia="zh-CN" w:bidi="ar-SA"/>
          <w14:textFill>
            <w14:solidFill>
              <w14:schemeClr w14:val="tx1">
                <w14:lumMod w14:val="85000"/>
                <w14:lumOff w14:val="15000"/>
              </w14:schemeClr>
            </w14:solidFill>
          </w14:textFill>
        </w:rPr>
      </w:sdtEndPr>
      <w:sdtContent>
        <w:p>
          <w:pPr>
            <w:pageBreakBefore w:val="0"/>
            <w:kinsoku/>
            <w:wordWrap/>
            <w:overflowPunct/>
            <w:topLinePunct w:val="0"/>
            <w:autoSpaceDE/>
            <w:autoSpaceDN/>
            <w:bidi w:val="0"/>
            <w:adjustRightInd/>
            <w:snapToGrid/>
            <w:spacing w:before="0" w:beforeLines="0" w:after="0" w:afterLines="0" w:line="480" w:lineRule="auto"/>
            <w:ind w:left="0" w:leftChars="0" w:right="0" w:rightChars="0" w:firstLine="0" w:firstLineChars="0"/>
            <w:jc w:val="center"/>
            <w:textAlignment w:val="auto"/>
            <w:rPr>
              <w:rFonts w:hint="default" w:ascii="Arial" w:hAnsi="Arial" w:eastAsia="宋体" w:cs="Arial"/>
              <w:sz w:val="24"/>
              <w:szCs w:val="24"/>
              <w:lang w:val="en-US" w:eastAsia="zh-CN"/>
            </w:rPr>
          </w:pPr>
          <w:r>
            <w:rPr>
              <w:rFonts w:hint="default" w:ascii="Arial" w:hAnsi="Arial" w:eastAsia="宋体" w:cs="Arial"/>
              <w:kern w:val="2"/>
              <w:sz w:val="24"/>
              <w:szCs w:val="24"/>
              <w:lang w:val="en-US" w:eastAsia="zh-CN" w:bidi="ar-SA"/>
            </w:rPr>
            <w:t>content</w:t>
          </w:r>
        </w:p>
        <w:p>
          <w:pPr>
            <w:spacing w:before="0" w:beforeLines="0" w:after="0" w:afterLines="0" w:line="240" w:lineRule="auto"/>
            <w:ind w:left="0" w:leftChars="0" w:right="0" w:rightChars="0" w:firstLine="0" w:firstLineChars="0"/>
            <w:jc w:val="center"/>
            <w:rPr>
              <w:rFonts w:hint="default" w:ascii="Arial" w:hAnsi="Arial" w:cs="Arial"/>
              <w:sz w:val="24"/>
              <w:szCs w:val="24"/>
            </w:rPr>
          </w:pPr>
        </w:p>
        <w:p>
          <w:pPr>
            <w:pStyle w:val="4"/>
            <w:tabs>
              <w:tab w:val="right" w:leader="dot" w:pos="8306"/>
            </w:tabs>
            <w:rPr>
              <w:rFonts w:hint="default" w:ascii="Arial" w:hAnsi="Arial" w:cs="Arial"/>
              <w:sz w:val="24"/>
              <w:szCs w:val="24"/>
            </w:rPr>
          </w:pP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instrText xml:space="preserve">TOC \o "1-2" \h \u </w:instrText>
          </w:r>
          <w:r>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fldChar w:fldCharType="separate"/>
          </w:r>
        </w:p>
        <w:p>
          <w:pPr>
            <w:pStyle w:val="4"/>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_Toc32566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rPr>
            <w:t>1.0 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_Toc32566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5"/>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_Toc1723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1.1 Character 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_Toc1723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5"/>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_Toc31334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1.2 Development trend</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_Toc31334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4"/>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_Toc30822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2.0 Complexity of leadership</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_Toc30822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5"/>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_Toc19536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2.1 Leadership Theory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_Toc19536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5"/>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_Toc7168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2.2 Transformational leadership</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_Toc7168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5"/>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_Toc27417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2.3 Complex market environment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_Toc27417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5"/>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_Toc8710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2.4 How to deal with problems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_Toc8710 \h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5"/>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_Toc13444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2.5 Character Story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_Toc13444 \h </w:instrText>
          </w:r>
          <w:r>
            <w:rPr>
              <w:rFonts w:hint="default" w:ascii="Arial" w:hAnsi="Arial" w:cs="Arial"/>
              <w:sz w:val="24"/>
              <w:szCs w:val="24"/>
            </w:rPr>
            <w:fldChar w:fldCharType="separate"/>
          </w:r>
          <w:r>
            <w:rPr>
              <w:rFonts w:hint="default" w:ascii="Arial" w:hAnsi="Arial" w:cs="Arial"/>
              <w:sz w:val="24"/>
              <w:szCs w:val="24"/>
            </w:rPr>
            <w:t>12</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5"/>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_Toc11108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2.6 Theoretical defects and other leadership models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_Toc11108 \h </w:instrText>
          </w:r>
          <w:r>
            <w:rPr>
              <w:rFonts w:hint="default" w:ascii="Arial" w:hAnsi="Arial" w:cs="Arial"/>
              <w:sz w:val="24"/>
              <w:szCs w:val="24"/>
            </w:rPr>
            <w:fldChar w:fldCharType="separate"/>
          </w:r>
          <w:r>
            <w:rPr>
              <w:rFonts w:hint="default" w:ascii="Arial" w:hAnsi="Arial" w:cs="Arial"/>
              <w:sz w:val="24"/>
              <w:szCs w:val="24"/>
            </w:rPr>
            <w:t>13</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4"/>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_Toc32551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3.0 Conclusion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_Toc32551 \h </w:instrText>
          </w:r>
          <w:r>
            <w:rPr>
              <w:rFonts w:hint="default" w:ascii="Arial" w:hAnsi="Arial" w:cs="Arial"/>
              <w:sz w:val="24"/>
              <w:szCs w:val="24"/>
            </w:rPr>
            <w:fldChar w:fldCharType="separate"/>
          </w:r>
          <w:r>
            <w:rPr>
              <w:rFonts w:hint="default" w:ascii="Arial" w:hAnsi="Arial" w:cs="Arial"/>
              <w:sz w:val="24"/>
              <w:szCs w:val="24"/>
            </w:rPr>
            <w:t>16</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Style w:val="4"/>
            <w:tabs>
              <w:tab w:val="right" w:leader="dot" w:pos="8306"/>
            </w:tabs>
            <w:rPr>
              <w:rFonts w:hint="default" w:ascii="Arial" w:hAnsi="Arial" w:cs="Arial"/>
              <w:sz w:val="24"/>
              <w:szCs w:val="24"/>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begin"/>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instrText xml:space="preserve"> HYPERLINK \l _Toc20584 </w:instrText>
          </w:r>
          <w:r>
            <w:rPr>
              <w:rFonts w:hint="default" w:ascii="Arial" w:hAnsi="Arial" w:eastAsia="微软雅黑" w:cs="Arial"/>
              <w:bCs/>
              <w:color w:val="067AEF" w:themeColor="hyperlink" w:themeTint="D9"/>
              <w:sz w:val="24"/>
              <w:szCs w:val="24"/>
              <w:lang w:val="en-US" w:eastAsia="zh-CN"/>
              <w14:textFill>
                <w14:solidFill>
                  <w14:schemeClr w14:val="hlink">
                    <w14:lumMod w14:val="85000"/>
                    <w14:lumOff w14:val="15000"/>
                  </w14:schemeClr>
                </w14:solidFill>
              </w14:textFill>
            </w:rPr>
            <w:fldChar w:fldCharType="separate"/>
          </w:r>
          <w:r>
            <w:rPr>
              <w:rFonts w:hint="default" w:ascii="Arial" w:hAnsi="Arial" w:cs="Arial"/>
              <w:sz w:val="24"/>
              <w:szCs w:val="24"/>
              <w:lang w:val="en-US" w:eastAsia="zh-CN"/>
            </w:rPr>
            <w:t>4.0 Reference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_Toc20584 \h </w:instrText>
          </w:r>
          <w:r>
            <w:rPr>
              <w:rFonts w:hint="default" w:ascii="Arial" w:hAnsi="Arial" w:cs="Arial"/>
              <w:sz w:val="24"/>
              <w:szCs w:val="24"/>
            </w:rPr>
            <w:fldChar w:fldCharType="separate"/>
          </w:r>
          <w:r>
            <w:rPr>
              <w:rFonts w:hint="default" w:ascii="Arial" w:hAnsi="Arial" w:cs="Arial"/>
              <w:sz w:val="24"/>
              <w:szCs w:val="24"/>
            </w:rPr>
            <w:t>17</w:t>
          </w:r>
          <w:r>
            <w:rPr>
              <w:rFonts w:hint="default" w:ascii="Arial" w:hAnsi="Arial" w:cs="Arial"/>
              <w:sz w:val="24"/>
              <w:szCs w:val="24"/>
            </w:rPr>
            <w:fldChar w:fldCharType="end"/>
          </w: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r>
            <w:rPr>
              <w:rFonts w:hint="default" w:ascii="Arial" w:hAnsi="Arial" w:eastAsia="微软雅黑" w:cs="Arial"/>
              <w:bCs/>
              <w:color w:val="262626" w:themeColor="text1" w:themeTint="D9"/>
              <w:sz w:val="24"/>
              <w:szCs w:val="24"/>
              <w:lang w:val="en-US" w:eastAsia="zh-CN"/>
              <w14:textFill>
                <w14:solidFill>
                  <w14:schemeClr w14:val="tx1">
                    <w14:lumMod w14:val="85000"/>
                    <w14:lumOff w14:val="15000"/>
                  </w14:schemeClr>
                </w14:solidFill>
              </w14:textFill>
            </w:rPr>
            <w:fldChar w:fldCharType="end"/>
          </w:r>
        </w:p>
      </w:sdtContent>
    </w:sdt>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微软雅黑" w:cs="Arial"/>
          <w:b/>
          <w:bCs/>
          <w:color w:val="262626" w:themeColor="text1" w:themeTint="D9"/>
          <w:sz w:val="24"/>
          <w:szCs w:val="24"/>
          <w:lang w:val="en-US" w:eastAsia="zh-CN"/>
          <w14:textFill>
            <w14:solidFill>
              <w14:schemeClr w14:val="tx1">
                <w14:lumMod w14:val="85000"/>
                <w14:lumOff w14:val="15000"/>
              </w14:schemeClr>
            </w14:solidFill>
          </w14:textFill>
        </w:rPr>
      </w:pPr>
    </w:p>
    <w:p>
      <w:pPr>
        <w:pStyle w:val="2"/>
        <w:bidi w:val="0"/>
        <w:rPr>
          <w:rFonts w:hint="default" w:ascii="Arial" w:hAnsi="Arial" w:cs="Arial"/>
          <w:sz w:val="24"/>
          <w:szCs w:val="24"/>
        </w:rPr>
      </w:pPr>
      <w:bookmarkStart w:id="4" w:name="_Toc31059"/>
      <w:bookmarkStart w:id="5" w:name="_Toc32566"/>
      <w:r>
        <w:rPr>
          <w:rFonts w:hint="default" w:ascii="Arial" w:hAnsi="Arial" w:cs="Arial"/>
          <w:sz w:val="24"/>
          <w:szCs w:val="24"/>
        </w:rPr>
        <w:t>1.0 Introduction</w:t>
      </w:r>
      <w:bookmarkEnd w:id="4"/>
      <w:bookmarkEnd w:id="5"/>
    </w:p>
    <w:p>
      <w:pPr>
        <w:pStyle w:val="3"/>
        <w:bidi w:val="0"/>
        <w:rPr>
          <w:rFonts w:hint="default" w:ascii="Arial" w:hAnsi="Arial" w:cs="Arial"/>
          <w:sz w:val="24"/>
          <w:szCs w:val="24"/>
          <w:lang w:val="en-US" w:eastAsia="zh-CN"/>
        </w:rPr>
      </w:pPr>
      <w:bookmarkStart w:id="6" w:name="_Toc1723"/>
      <w:r>
        <w:rPr>
          <w:rFonts w:hint="default" w:ascii="Arial" w:hAnsi="Arial" w:cs="Arial"/>
          <w:sz w:val="24"/>
          <w:szCs w:val="24"/>
          <w:lang w:val="en-US" w:eastAsia="zh-CN"/>
        </w:rPr>
        <w:t>1.1 Character introduction</w:t>
      </w:r>
      <w:bookmarkEnd w:id="6"/>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宋体" w:cs="Arial"/>
          <w:sz w:val="24"/>
          <w:szCs w:val="24"/>
        </w:rPr>
      </w:pPr>
      <w:r>
        <w:rPr>
          <w:rFonts w:hint="default" w:ascii="Arial" w:hAnsi="Arial" w:eastAsia="宋体" w:cs="Arial"/>
          <w:sz w:val="24"/>
          <w:szCs w:val="24"/>
        </w:rPr>
        <w:drawing>
          <wp:inline distT="0" distB="0" distL="114300" distR="114300">
            <wp:extent cx="2095500" cy="3057525"/>
            <wp:effectExtent l="0" t="0" r="7620" b="5715"/>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5"/>
                    <a:stretch>
                      <a:fillRect/>
                    </a:stretch>
                  </pic:blipFill>
                  <pic:spPr>
                    <a:xfrm>
                      <a:off x="0" y="0"/>
                      <a:ext cx="2095500" cy="3057525"/>
                    </a:xfrm>
                    <a:prstGeom prst="rect">
                      <a:avLst/>
                    </a:prstGeom>
                    <a:noFill/>
                    <a:ln w="9525">
                      <a:noFill/>
                    </a:ln>
                  </pic:spPr>
                </pic:pic>
              </a:graphicData>
            </a:graphic>
          </wp:inline>
        </w:drawing>
      </w:r>
    </w:p>
    <w:p>
      <w:pPr>
        <w:pageBreakBefore w:val="0"/>
        <w:kinsoku/>
        <w:wordWrap/>
        <w:overflowPunct/>
        <w:topLinePunct w:val="0"/>
        <w:autoSpaceDE/>
        <w:autoSpaceDN/>
        <w:bidi w:val="0"/>
        <w:adjustRightInd/>
        <w:snapToGrid/>
        <w:spacing w:line="600" w:lineRule="auto"/>
        <w:ind w:firstLine="420" w:firstLineChars="0"/>
        <w:jc w:val="both"/>
        <w:textAlignment w:val="auto"/>
        <w:rPr>
          <w:rFonts w:hint="default" w:ascii="Arial" w:hAnsi="Arial" w:eastAsia="Segoe UI" w:cs="Arial"/>
          <w:i w:val="0"/>
          <w:iCs w:val="0"/>
          <w:caps w:val="0"/>
          <w:color w:val="101214"/>
          <w:spacing w:val="0"/>
          <w:sz w:val="24"/>
          <w:szCs w:val="24"/>
          <w:shd w:val="clear" w:fill="FFFFFF"/>
        </w:rPr>
      </w:pPr>
      <w:r>
        <w:rPr>
          <w:rFonts w:hint="default" w:ascii="Arial" w:hAnsi="Arial" w:eastAsia="Segoe UI" w:cs="Arial"/>
          <w:i w:val="0"/>
          <w:iCs w:val="0"/>
          <w:caps w:val="0"/>
          <w:color w:val="101214"/>
          <w:spacing w:val="0"/>
          <w:sz w:val="24"/>
          <w:szCs w:val="24"/>
          <w:shd w:val="clear" w:fill="FFFFFF"/>
        </w:rPr>
        <w:t>Howard-Schultz, born in 1952 in Brooklyn, New York, graduated from Northern Michigan University, and is the founder of Starbucks. In 1982, Schultz became the marketing and retail division manager at Starbucks. In 1986, he left Starbucks to open his first coffee shop. In 1987, Schultz called in a group of investors to buy out Starbucks. Starbucks was listed in the United States in 1992. In 1999, Starbucks entered China. In 2006, he was on the Forbes' 400 richest list, worth more than $1 billion. In 2017, Schultz stepped down as CEO and became executive chairman. On June 4,2018, Howard Schultz announced his resignation.</w:t>
      </w: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Segoe UI" w:cs="Arial"/>
          <w:i w:val="0"/>
          <w:iCs w:val="0"/>
          <w:caps w:val="0"/>
          <w:color w:val="101214"/>
          <w:spacing w:val="0"/>
          <w:sz w:val="24"/>
          <w:szCs w:val="24"/>
          <w:shd w:val="clear" w:fill="FFFFFF"/>
        </w:rPr>
      </w:pPr>
    </w:p>
    <w:p>
      <w:pPr>
        <w:pStyle w:val="6"/>
        <w:keepNext w:val="0"/>
        <w:keepLines w:val="0"/>
        <w:pageBreakBefore w:val="0"/>
        <w:widowControl/>
        <w:suppressLineNumbers w:val="0"/>
        <w:shd w:val="clear" w:fill="FFFFFF"/>
        <w:kinsoku/>
        <w:wordWrap/>
        <w:overflowPunct/>
        <w:topLinePunct w:val="0"/>
        <w:autoSpaceDE/>
        <w:autoSpaceDN/>
        <w:bidi w:val="0"/>
        <w:adjustRightInd/>
        <w:snapToGrid/>
        <w:spacing w:before="294" w:beforeAutospacing="0" w:after="294" w:afterAutospacing="0" w:line="600" w:lineRule="auto"/>
        <w:ind w:left="0" w:right="0" w:firstLine="420" w:firstLineChars="0"/>
        <w:jc w:val="both"/>
        <w:textAlignment w:val="auto"/>
        <w:rPr>
          <w:rFonts w:hint="default" w:ascii="Arial" w:hAnsi="Arial" w:eastAsia="Helvetica" w:cs="Arial"/>
          <w:i w:val="0"/>
          <w:iCs w:val="0"/>
          <w:caps w:val="0"/>
          <w:color w:val="333333"/>
          <w:spacing w:val="0"/>
          <w:sz w:val="24"/>
          <w:szCs w:val="24"/>
          <w:shd w:val="clear" w:fill="FFFFFF"/>
        </w:rPr>
      </w:pPr>
      <w:r>
        <w:rPr>
          <w:rFonts w:hint="default" w:ascii="Arial" w:hAnsi="Arial" w:eastAsia="Helvetica" w:cs="Arial"/>
          <w:i w:val="0"/>
          <w:iCs w:val="0"/>
          <w:caps w:val="0"/>
          <w:color w:val="333333"/>
          <w:spacing w:val="0"/>
          <w:sz w:val="24"/>
          <w:szCs w:val="24"/>
          <w:shd w:val="clear" w:fill="FFFFFF"/>
        </w:rPr>
        <w:t>In his more than 40 years as CEO and chairman, Schultz led Starbucks from just 11 stores to more than 28,000 stores in 77 markets around the world. When he left the company as CEO in 2017, Starbucks' stock was up 21,000% from its initial public offering</w:t>
      </w:r>
    </w:p>
    <w:p>
      <w:pPr>
        <w:pStyle w:val="6"/>
        <w:keepNext w:val="0"/>
        <w:keepLines w:val="0"/>
        <w:pageBreakBefore w:val="0"/>
        <w:widowControl/>
        <w:suppressLineNumbers w:val="0"/>
        <w:shd w:val="clear" w:fill="FFFFFF"/>
        <w:kinsoku/>
        <w:wordWrap/>
        <w:overflowPunct/>
        <w:topLinePunct w:val="0"/>
        <w:autoSpaceDE/>
        <w:autoSpaceDN/>
        <w:bidi w:val="0"/>
        <w:adjustRightInd/>
        <w:snapToGrid/>
        <w:spacing w:before="294" w:beforeAutospacing="0" w:after="294" w:afterAutospacing="0" w:line="600" w:lineRule="auto"/>
        <w:ind w:left="0" w:right="0" w:firstLine="420" w:firstLineChars="0"/>
        <w:jc w:val="both"/>
        <w:textAlignment w:val="auto"/>
        <w:rPr>
          <w:rFonts w:hint="default" w:ascii="Arial" w:hAnsi="Arial" w:eastAsia="微软雅黑" w:cs="Arial"/>
          <w:i w:val="0"/>
          <w:iCs w:val="0"/>
          <w:caps w:val="0"/>
          <w:color w:val="121212"/>
          <w:spacing w:val="0"/>
          <w:sz w:val="24"/>
          <w:szCs w:val="24"/>
          <w:shd w:val="clear" w:fill="FFFFFF"/>
        </w:rPr>
      </w:pPr>
      <w:r>
        <w:rPr>
          <w:rFonts w:hint="default" w:ascii="Arial" w:hAnsi="Arial" w:eastAsia="微软雅黑" w:cs="Arial"/>
          <w:i w:val="0"/>
          <w:iCs w:val="0"/>
          <w:caps w:val="0"/>
          <w:color w:val="121212"/>
          <w:spacing w:val="0"/>
          <w:sz w:val="24"/>
          <w:szCs w:val="24"/>
          <w:shd w:val="clear" w:fill="FFFFFF"/>
        </w:rPr>
        <w:t>In his book From scratch, Howard Schultz tells people that even if an ordinary person does not give up, it is possible to reverse his life. Facing difficulties and setbacks, please remember that only action can change the world.(2020, Howard S)</w:t>
      </w:r>
    </w:p>
    <w:p>
      <w:pPr>
        <w:pStyle w:val="3"/>
        <w:bidi w:val="0"/>
        <w:rPr>
          <w:rFonts w:hint="default" w:ascii="Arial" w:hAnsi="Arial" w:cs="Arial"/>
          <w:sz w:val="24"/>
          <w:szCs w:val="24"/>
          <w:lang w:val="en-US" w:eastAsia="zh-CN"/>
        </w:rPr>
      </w:pPr>
      <w:bookmarkStart w:id="7" w:name="_Toc31334"/>
      <w:r>
        <w:rPr>
          <w:rFonts w:hint="default" w:ascii="Arial" w:hAnsi="Arial" w:cs="Arial"/>
          <w:sz w:val="24"/>
          <w:szCs w:val="24"/>
          <w:lang w:val="en-US" w:eastAsia="zh-CN"/>
        </w:rPr>
        <w:t>1.2 Development trend</w:t>
      </w:r>
      <w:bookmarkEnd w:id="7"/>
    </w:p>
    <w:p>
      <w:pPr>
        <w:pStyle w:val="6"/>
        <w:keepNext w:val="0"/>
        <w:keepLines w:val="0"/>
        <w:pageBreakBefore w:val="0"/>
        <w:widowControl/>
        <w:suppressLineNumbers w:val="0"/>
        <w:shd w:val="clear" w:fill="FFFFFF"/>
        <w:kinsoku/>
        <w:wordWrap/>
        <w:overflowPunct/>
        <w:topLinePunct w:val="0"/>
        <w:autoSpaceDE/>
        <w:autoSpaceDN/>
        <w:bidi w:val="0"/>
        <w:adjustRightInd/>
        <w:snapToGrid/>
        <w:spacing w:before="294" w:beforeAutospacing="0" w:after="294" w:afterAutospacing="0" w:line="600" w:lineRule="auto"/>
        <w:ind w:left="0" w:right="0" w:firstLine="420" w:firstLineChars="0"/>
        <w:jc w:val="both"/>
        <w:textAlignment w:val="auto"/>
        <w:rPr>
          <w:rFonts w:hint="default" w:ascii="Arial" w:hAnsi="Arial" w:eastAsia="PingFangSC-Regular" w:cs="Arial"/>
          <w:i w:val="0"/>
          <w:iCs w:val="0"/>
          <w:caps w:val="0"/>
          <w:color w:val="333333"/>
          <w:spacing w:val="0"/>
          <w:sz w:val="24"/>
          <w:szCs w:val="24"/>
          <w:shd w:val="clear" w:fill="FFFFFF"/>
        </w:rPr>
      </w:pPr>
      <w:r>
        <w:rPr>
          <w:rFonts w:hint="default" w:ascii="Arial" w:hAnsi="Arial" w:eastAsia="PingFangSC-Regular" w:cs="Arial"/>
          <w:i w:val="0"/>
          <w:iCs w:val="0"/>
          <w:caps w:val="0"/>
          <w:color w:val="333333"/>
          <w:spacing w:val="0"/>
          <w:sz w:val="24"/>
          <w:szCs w:val="24"/>
          <w:shd w:val="clear" w:fill="FFFFFF"/>
        </w:rPr>
        <w:t>With the continuous development of the global economy and the continuous improvement of people's requirements for the quality of life, the coffee consumption market has a broad prospect. Starbucks, as the world's leading coffee chain brand, will continue to benefit from this market trend. After considering the operational context of Starbucks, this article will analyze the Starbucks leadership approach to determine whether it has successfully inspired innovation, adaptation, and high performance.</w:t>
      </w:r>
    </w:p>
    <w:p>
      <w:pPr>
        <w:pStyle w:val="2"/>
        <w:bidi w:val="0"/>
        <w:rPr>
          <w:rFonts w:hint="default" w:ascii="Arial" w:hAnsi="Arial" w:cs="Arial"/>
          <w:sz w:val="24"/>
          <w:szCs w:val="24"/>
          <w:lang w:val="en-US" w:eastAsia="zh-CN"/>
        </w:rPr>
      </w:pPr>
      <w:bookmarkStart w:id="8" w:name="_Toc30822"/>
      <w:r>
        <w:rPr>
          <w:rFonts w:hint="default" w:ascii="Arial" w:hAnsi="Arial" w:cs="Arial"/>
          <w:sz w:val="24"/>
          <w:szCs w:val="24"/>
          <w:lang w:val="en-US" w:eastAsia="zh-CN"/>
        </w:rPr>
        <w:t>2.0 Complexity of leadership</w:t>
      </w:r>
      <w:bookmarkEnd w:id="8"/>
    </w:p>
    <w:p>
      <w:pPr>
        <w:pStyle w:val="3"/>
        <w:bidi w:val="0"/>
        <w:rPr>
          <w:rFonts w:hint="default" w:ascii="Arial" w:hAnsi="Arial" w:cs="Arial"/>
          <w:sz w:val="24"/>
          <w:szCs w:val="24"/>
          <w:lang w:val="en-US" w:eastAsia="zh-CN"/>
        </w:rPr>
      </w:pPr>
      <w:bookmarkStart w:id="9" w:name="_Toc19536"/>
      <w:r>
        <w:rPr>
          <w:rFonts w:hint="default" w:ascii="Arial" w:hAnsi="Arial" w:cs="Arial"/>
          <w:sz w:val="24"/>
          <w:szCs w:val="24"/>
          <w:lang w:val="en-US" w:eastAsia="zh-CN"/>
        </w:rPr>
        <w:t>2.1 Leadership Theory</w:t>
      </w:r>
      <w:bookmarkEnd w:id="9"/>
    </w:p>
    <w:p>
      <w:pPr>
        <w:pStyle w:val="6"/>
        <w:keepNext w:val="0"/>
        <w:keepLines w:val="0"/>
        <w:pageBreakBefore w:val="0"/>
        <w:widowControl/>
        <w:suppressLineNumbers w:val="0"/>
        <w:shd w:val="clear" w:fill="FFFFFF"/>
        <w:kinsoku/>
        <w:wordWrap/>
        <w:overflowPunct/>
        <w:topLinePunct w:val="0"/>
        <w:autoSpaceDE/>
        <w:autoSpaceDN/>
        <w:bidi w:val="0"/>
        <w:adjustRightInd/>
        <w:snapToGrid/>
        <w:spacing w:before="294" w:beforeAutospacing="0" w:after="294" w:afterAutospacing="0" w:line="600" w:lineRule="auto"/>
        <w:ind w:left="0" w:right="0" w:firstLine="420" w:firstLineChars="0"/>
        <w:jc w:val="both"/>
        <w:textAlignment w:val="auto"/>
        <w:rPr>
          <w:rFonts w:hint="default" w:ascii="Arial" w:hAnsi="Arial" w:eastAsia="宋体" w:cs="Arial"/>
          <w:i w:val="0"/>
          <w:iCs w:val="0"/>
          <w:caps w:val="0"/>
          <w:color w:val="333333"/>
          <w:spacing w:val="0"/>
          <w:sz w:val="24"/>
          <w:szCs w:val="24"/>
          <w:shd w:val="clear" w:fill="FFFFFF"/>
          <w:lang w:val="en-US" w:eastAsia="zh-CN"/>
        </w:rPr>
      </w:pPr>
      <w:r>
        <w:rPr>
          <w:rFonts w:hint="default" w:ascii="Arial" w:hAnsi="Arial" w:eastAsia="宋体" w:cs="Arial"/>
          <w:i w:val="0"/>
          <w:iCs w:val="0"/>
          <w:caps w:val="0"/>
          <w:color w:val="333333"/>
          <w:spacing w:val="0"/>
          <w:sz w:val="24"/>
          <w:szCs w:val="24"/>
          <w:shd w:val="clear" w:fill="FFFFFF"/>
          <w:lang w:val="en-US" w:eastAsia="zh-CN"/>
        </w:rPr>
        <w:t>Leadership refers to the ability to make full use of human resources and objective conditions within the jurisdiction to accomplish needed things at minimum cost to improve the efficiency of the whole group. Common leadership development methods include 12 CEO leadership promotion, EMBA and EDP programs. Dr. Henry Kissinger, former Secretary of State of the United States, said, "Leadership is to take his people, from where they are, and lead them to where they have not been." (2019, Henry K.)</w:t>
      </w:r>
    </w:p>
    <w:p>
      <w:pPr>
        <w:pStyle w:val="6"/>
        <w:keepNext w:val="0"/>
        <w:keepLines w:val="0"/>
        <w:pageBreakBefore w:val="0"/>
        <w:widowControl/>
        <w:suppressLineNumbers w:val="0"/>
        <w:shd w:val="clear" w:fill="FFFFFF"/>
        <w:kinsoku/>
        <w:wordWrap/>
        <w:overflowPunct/>
        <w:topLinePunct w:val="0"/>
        <w:autoSpaceDE/>
        <w:autoSpaceDN/>
        <w:bidi w:val="0"/>
        <w:adjustRightInd/>
        <w:snapToGrid/>
        <w:spacing w:before="294" w:beforeAutospacing="0" w:after="294" w:afterAutospacing="0" w:line="600" w:lineRule="auto"/>
        <w:ind w:left="0" w:right="0" w:firstLine="420" w:firstLineChars="0"/>
        <w:jc w:val="both"/>
        <w:textAlignment w:val="auto"/>
        <w:rPr>
          <w:rFonts w:hint="default" w:ascii="Arial" w:hAnsi="Arial" w:eastAsia="宋体" w:cs="Arial"/>
          <w:i w:val="0"/>
          <w:iCs w:val="0"/>
          <w:caps w:val="0"/>
          <w:color w:val="333333"/>
          <w:spacing w:val="0"/>
          <w:sz w:val="24"/>
          <w:szCs w:val="24"/>
          <w:shd w:val="clear" w:fill="FFFFFF"/>
          <w:lang w:val="en-US" w:eastAsia="zh-CN"/>
        </w:rPr>
      </w:pPr>
      <w:r>
        <w:rPr>
          <w:rFonts w:hint="default" w:ascii="Arial" w:hAnsi="Arial" w:eastAsia="宋体" w:cs="Arial"/>
          <w:i w:val="0"/>
          <w:iCs w:val="0"/>
          <w:caps w:val="0"/>
          <w:color w:val="333333"/>
          <w:spacing w:val="0"/>
          <w:sz w:val="24"/>
          <w:szCs w:val="24"/>
          <w:shd w:val="clear" w:fill="FFFFFF"/>
          <w:lang w:val="en-US" w:eastAsia="zh-CN"/>
        </w:rPr>
        <w:t>The effectiveness of a leadership style is not set in stone, according to Fiedler. In favorable situations, leaders have more authority, more informal support, a lower job structure, good guidance to the group, and members are told what to do. Under unfavorable circumstances, the group appears to be more isolated and lax due to the lack of active intervention control by the leader. Job-oriented leadership behaviors are more effective than considerate and employee-oriented leadership behaviors. In moderately favorable (or moderately unfavorable) situations, considerate or employee-oriented leadership is more effective. If members feel free to advise and contribute, the leader should provide a non-threatening and free environment. Therefore, leaders should be able to switch continuously in different situations to achieve the best leadership effect.</w:t>
      </w:r>
    </w:p>
    <w:p>
      <w:pPr>
        <w:pStyle w:val="6"/>
        <w:keepNext w:val="0"/>
        <w:keepLines w:val="0"/>
        <w:pageBreakBefore w:val="0"/>
        <w:widowControl/>
        <w:suppressLineNumbers w:val="0"/>
        <w:shd w:val="clear" w:fill="FFFFFF"/>
        <w:kinsoku/>
        <w:wordWrap/>
        <w:overflowPunct/>
        <w:topLinePunct w:val="0"/>
        <w:autoSpaceDE/>
        <w:autoSpaceDN/>
        <w:bidi w:val="0"/>
        <w:adjustRightInd/>
        <w:snapToGrid/>
        <w:spacing w:before="294" w:beforeAutospacing="0" w:after="294" w:afterAutospacing="0" w:line="600" w:lineRule="auto"/>
        <w:ind w:left="0" w:right="0" w:firstLine="420" w:firstLineChars="0"/>
        <w:jc w:val="both"/>
        <w:textAlignment w:val="auto"/>
        <w:rPr>
          <w:rFonts w:hint="default" w:ascii="Arial" w:hAnsi="Arial" w:eastAsia="Segoe UI" w:cs="Arial"/>
          <w:i w:val="0"/>
          <w:iCs w:val="0"/>
          <w:caps w:val="0"/>
          <w:color w:val="101214"/>
          <w:spacing w:val="0"/>
          <w:sz w:val="24"/>
          <w:szCs w:val="24"/>
          <w:shd w:val="clear" w:fill="FFFFFF"/>
        </w:rPr>
      </w:pPr>
      <w:r>
        <w:rPr>
          <w:rFonts w:hint="default" w:ascii="Arial" w:hAnsi="Arial" w:eastAsia="宋体" w:cs="Arial"/>
          <w:i w:val="0"/>
          <w:iCs w:val="0"/>
          <w:caps w:val="0"/>
          <w:color w:val="333333"/>
          <w:spacing w:val="0"/>
          <w:sz w:val="24"/>
          <w:szCs w:val="24"/>
          <w:shd w:val="clear" w:fill="FFFFFF"/>
          <w:lang w:val="en-US" w:eastAsia="zh-CN"/>
        </w:rPr>
        <w:t>According to Federer, leaders need to change their style to cope in different circumstances. In 1982, Mr. Howard Schultz joined Starbucks as Director of Marketing and Retail Operations. From the start, Howard set out to build a different kind of business, one that would drive growth from a human perspective. He believes that companies can only achieve true value if they share their success with their employees and the communities they serve. It was this philosophy that drove him to create two signature projects early in the company's development: First, Starbucks offered comprehensive health insurance to all full-time and part-time associates, a retail initiative. Second, Starbucks also launched a stock option incentive system for partners (employees) - "coffee bean stock".</w:t>
      </w:r>
    </w:p>
    <w:p>
      <w:pPr>
        <w:pStyle w:val="3"/>
        <w:bidi w:val="0"/>
        <w:rPr>
          <w:rFonts w:hint="default" w:ascii="Arial" w:hAnsi="Arial" w:cs="Arial"/>
          <w:sz w:val="24"/>
          <w:szCs w:val="24"/>
          <w:lang w:val="en-US" w:eastAsia="zh-CN"/>
        </w:rPr>
      </w:pPr>
      <w:bookmarkStart w:id="10" w:name="_Toc7168"/>
      <w:r>
        <w:rPr>
          <w:rFonts w:hint="default" w:ascii="Arial" w:hAnsi="Arial" w:cs="Arial"/>
          <w:sz w:val="24"/>
          <w:szCs w:val="24"/>
          <w:lang w:val="en-US" w:eastAsia="zh-CN"/>
        </w:rPr>
        <w:t>2.2 Transformational leadership</w:t>
      </w:r>
      <w:bookmarkEnd w:id="10"/>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i w:val="0"/>
          <w:iCs w:val="0"/>
          <w:caps w:val="0"/>
          <w:color w:val="101214"/>
          <w:spacing w:val="0"/>
          <w:sz w:val="24"/>
          <w:szCs w:val="24"/>
          <w:shd w:val="clear" w:fill="FFFFFF"/>
          <w:lang w:val="en-US" w:eastAsia="zh-CN"/>
        </w:rPr>
      </w:pPr>
      <w:r>
        <w:rPr>
          <w:rFonts w:hint="default" w:ascii="Arial" w:hAnsi="Arial" w:eastAsia="宋体" w:cs="Arial"/>
          <w:i w:val="0"/>
          <w:iCs w:val="0"/>
          <w:caps w:val="0"/>
          <w:color w:val="101214"/>
          <w:spacing w:val="0"/>
          <w:sz w:val="24"/>
          <w:szCs w:val="24"/>
          <w:shd w:val="clear" w:fill="FFFFFF"/>
          <w:lang w:val="en-US" w:eastAsia="zh-CN"/>
        </w:rPr>
        <w:t>The transformational leadership model will be used to analyze former Starbucks CEO Howard Schulz and critically evaluate whether he exhibited traits related to emotional, social intelligence, and agility.</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i w:val="0"/>
          <w:iCs w:val="0"/>
          <w:caps w:val="0"/>
          <w:color w:val="101214"/>
          <w:spacing w:val="0"/>
          <w:sz w:val="24"/>
          <w:szCs w:val="24"/>
          <w:shd w:val="clear" w:fill="FFFFFF"/>
          <w:lang w:val="en-US" w:eastAsia="zh-CN"/>
        </w:rPr>
      </w:pPr>
      <w:r>
        <w:rPr>
          <w:rFonts w:hint="default" w:ascii="Arial" w:hAnsi="Arial" w:eastAsia="宋体" w:cs="Arial"/>
          <w:i w:val="0"/>
          <w:iCs w:val="0"/>
          <w:caps w:val="0"/>
          <w:color w:val="101214"/>
          <w:spacing w:val="0"/>
          <w:sz w:val="24"/>
          <w:szCs w:val="24"/>
          <w:shd w:val="clear" w:fill="FFFFFF"/>
          <w:lang w:val="en-US" w:eastAsia="zh-CN"/>
        </w:rPr>
        <w:t>As an important Leadership theory, transformational leadership begins with the classic book Leadership written by Burns, a political sociologist. In his works, Burns described a leader as an individual who can motivate followers to better achieve the goals of leaders and followers, and then defined transformational leadership as a leader who inspires subordinates' high-level needs or expands subordinates' needs and desires by making employees realize the significance and responsibility of the tasks they undertake. Enable subordinates to override personal interests for the good of the team, the organization, and the greater political good. Bass et al. initially divided transformational leadership into six dimensions, and then summarized it into three key factors. On the basis of this, Avolio summarized the mode of transformational leadership behavior into four aspects. idealized influence, inspirational motivation, intellectual stimulation and individualized care consideration). Leaders with these attributes often have strong values and ideals, and they are successful in motivating their employees to transcend their personal interests and work together for the greater purpose of the group.</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i w:val="0"/>
          <w:iCs w:val="0"/>
          <w:caps w:val="0"/>
          <w:color w:val="101214"/>
          <w:spacing w:val="0"/>
          <w:sz w:val="24"/>
          <w:szCs w:val="24"/>
          <w:shd w:val="clear" w:fill="FFFFFF"/>
          <w:lang w:val="en-US" w:eastAsia="zh-CN"/>
        </w:rPr>
      </w:pPr>
      <w:r>
        <w:rPr>
          <w:rFonts w:hint="default" w:ascii="Arial" w:hAnsi="Arial" w:eastAsia="宋体" w:cs="Arial"/>
          <w:i w:val="0"/>
          <w:iCs w:val="0"/>
          <w:caps w:val="0"/>
          <w:color w:val="101214"/>
          <w:spacing w:val="0"/>
          <w:sz w:val="24"/>
          <w:szCs w:val="24"/>
          <w:shd w:val="clear" w:fill="FFFFFF"/>
          <w:lang w:val="en-US" w:eastAsia="zh-CN"/>
        </w:rPr>
        <w:t>Burns believes that transformational leadership improves each other's maturity and motivation through interaction with subordinates. By making employees aware of the significance of the tasks they undertake, it stimulates the high-level needs of subordinates, establishes an atmosphere of mutual trust, urges subordinates to sacrifice their own interests for the interests of the organization, and achieves results beyond the original expectations. (1985, BASS.B. M)</w:t>
      </w:r>
    </w:p>
    <w:p>
      <w:pPr>
        <w:pStyle w:val="3"/>
        <w:bidi w:val="0"/>
        <w:rPr>
          <w:rFonts w:hint="default" w:ascii="Arial" w:hAnsi="Arial" w:cs="Arial"/>
          <w:sz w:val="24"/>
          <w:szCs w:val="24"/>
          <w:lang w:val="en-US" w:eastAsia="zh-CN"/>
        </w:rPr>
      </w:pPr>
      <w:bookmarkStart w:id="11" w:name="_Toc27417"/>
      <w:r>
        <w:rPr>
          <w:rFonts w:hint="default" w:ascii="Arial" w:hAnsi="Arial" w:cs="Arial"/>
          <w:sz w:val="24"/>
          <w:szCs w:val="24"/>
          <w:lang w:val="en-US" w:eastAsia="zh-CN"/>
        </w:rPr>
        <w:t>2.3 Complex market environment</w:t>
      </w:r>
      <w:bookmarkEnd w:id="11"/>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i w:val="0"/>
          <w:iCs w:val="0"/>
          <w:caps w:val="0"/>
          <w:color w:val="101214"/>
          <w:spacing w:val="0"/>
          <w:sz w:val="24"/>
          <w:szCs w:val="24"/>
          <w:shd w:val="clear" w:fill="FFFFFF"/>
          <w:lang w:val="en-US" w:eastAsia="zh-CN"/>
        </w:rPr>
      </w:pPr>
      <w:r>
        <w:rPr>
          <w:rFonts w:hint="default" w:ascii="Arial" w:hAnsi="Arial" w:eastAsia="宋体" w:cs="Arial"/>
          <w:i w:val="0"/>
          <w:iCs w:val="0"/>
          <w:caps w:val="0"/>
          <w:color w:val="101214"/>
          <w:spacing w:val="0"/>
          <w:sz w:val="24"/>
          <w:szCs w:val="24"/>
          <w:shd w:val="clear" w:fill="FFFFFF"/>
          <w:lang w:val="en-US" w:eastAsia="zh-CN"/>
        </w:rPr>
        <w:t>In 2008, due to the impact of the global economic crisis, Starbucks encountered difficulties little by little. In terms of operation, the company made a lot of wrong decisions, such as the location of stores, in-store sales of products other than coffee, training of coffee stirrers, packaging and storage of finished coffee beans and so on. While it seemed fine at the time, some changes affected the in-store experience and brand image. For example, in order to improve the efficiency of coffee making, the new coffee machine is installed in the store, but the new coffee machine is too high, blocking customers' view of making drinks, and baristas interact with customers, which is obviously not good practice. Howard returned that year as chairman and CEO of Starbucks. "We need to get back to our roots, drive change, and make the right decisions to make Starbucks unique again," Howard said.</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i w:val="0"/>
          <w:iCs w:val="0"/>
          <w:caps w:val="0"/>
          <w:color w:val="101214"/>
          <w:spacing w:val="0"/>
          <w:sz w:val="24"/>
          <w:szCs w:val="24"/>
          <w:shd w:val="clear" w:fill="FFFFFF"/>
          <w:lang w:val="en-US" w:eastAsia="zh-CN"/>
        </w:rPr>
      </w:pPr>
    </w:p>
    <w:p>
      <w:pPr>
        <w:pStyle w:val="3"/>
        <w:bidi w:val="0"/>
        <w:rPr>
          <w:rFonts w:hint="default" w:ascii="Arial" w:hAnsi="Arial" w:cs="Arial"/>
          <w:sz w:val="24"/>
          <w:szCs w:val="24"/>
          <w:lang w:val="en-US" w:eastAsia="zh-CN"/>
        </w:rPr>
      </w:pPr>
      <w:bookmarkStart w:id="12" w:name="_Toc8710"/>
      <w:r>
        <w:rPr>
          <w:rFonts w:hint="default" w:ascii="Arial" w:hAnsi="Arial" w:cs="Arial"/>
          <w:sz w:val="24"/>
          <w:szCs w:val="24"/>
          <w:lang w:val="en-US" w:eastAsia="zh-CN"/>
        </w:rPr>
        <w:t>2.4 How to deal with problems</w:t>
      </w:r>
      <w:bookmarkEnd w:id="12"/>
      <w:r>
        <w:rPr>
          <w:rFonts w:hint="default" w:ascii="Arial" w:hAnsi="Arial" w:cs="Arial"/>
          <w:sz w:val="24"/>
          <w:szCs w:val="24"/>
          <w:lang w:val="en-US" w:eastAsia="zh-CN"/>
        </w:rPr>
        <w:t xml:space="preserve"> </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Style w:val="9"/>
          <w:rFonts w:hint="default" w:ascii="Arial" w:hAnsi="Arial" w:eastAsia="宋体" w:cs="Arial"/>
          <w:b/>
          <w:bCs/>
          <w:i w:val="0"/>
          <w:iCs w:val="0"/>
          <w:caps w:val="0"/>
          <w:spacing w:val="12"/>
          <w:sz w:val="24"/>
          <w:szCs w:val="24"/>
          <w:shd w:val="clear" w:fill="FFFFFF"/>
          <w:lang w:val="en-US" w:eastAsia="zh-CN"/>
        </w:rPr>
      </w:pPr>
      <w:r>
        <w:rPr>
          <w:rStyle w:val="9"/>
          <w:rFonts w:hint="default" w:ascii="Arial" w:hAnsi="Arial" w:eastAsia="宋体" w:cs="Arial"/>
          <w:b/>
          <w:bCs/>
          <w:i w:val="0"/>
          <w:iCs w:val="0"/>
          <w:caps w:val="0"/>
          <w:spacing w:val="12"/>
          <w:sz w:val="24"/>
          <w:szCs w:val="24"/>
          <w:shd w:val="clear" w:fill="FFFFFF"/>
          <w:lang w:val="en-US" w:eastAsia="zh-CN"/>
        </w:rPr>
        <w:t>In January 2008, Howard returned as CEO of Starbucks, leading the company on the road to change, refocusing on Starbucks coffee concepts, innovation and customer experience, helping the company achieve sustainable earnings growth. In the following decade, the number of Starbucks stores increased from 15,000 to nearly 30,000, including the pioneering Starbucks Reserve Roastery, Starbucks Community Store, Starbucks Military Families Store and the Global Agronomic Center in Costa Rica. He also launched the Starbucks Education Assistance program to create new educational opportunities for partners (employees), the first program ever to provide a free online college education for employees. In addition, he has pledged to hire tens of thousands of veterans and their spouses and provide jobs for more youth and refugees.</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sz w:val="24"/>
          <w:szCs w:val="24"/>
        </w:rPr>
      </w:pPr>
      <w:r>
        <w:rPr>
          <w:rFonts w:hint="default" w:ascii="Arial" w:hAnsi="Arial" w:eastAsia="宋体" w:cs="Arial"/>
          <w:sz w:val="24"/>
          <w:szCs w:val="24"/>
        </w:rPr>
        <w:drawing>
          <wp:inline distT="0" distB="0" distL="114300" distR="114300">
            <wp:extent cx="2993390" cy="2085975"/>
            <wp:effectExtent l="0" t="0" r="8890" b="1905"/>
            <wp:docPr id="2"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IMG_256"/>
                    <pic:cNvPicPr>
                      <a:picLocks noChangeAspect="1"/>
                    </pic:cNvPicPr>
                  </pic:nvPicPr>
                  <pic:blipFill>
                    <a:blip r:embed="rId6"/>
                    <a:stretch>
                      <a:fillRect/>
                    </a:stretch>
                  </pic:blipFill>
                  <pic:spPr>
                    <a:xfrm>
                      <a:off x="0" y="0"/>
                      <a:ext cx="2993390" cy="2085975"/>
                    </a:xfrm>
                    <a:prstGeom prst="rect">
                      <a:avLst/>
                    </a:prstGeom>
                    <a:noFill/>
                    <a:ln w="9525">
                      <a:noFill/>
                    </a:ln>
                  </pic:spPr>
                </pic:pic>
              </a:graphicData>
            </a:graphic>
          </wp:inline>
        </w:drawing>
      </w:r>
    </w:p>
    <w:p>
      <w:pPr>
        <w:pStyle w:val="3"/>
        <w:bidi w:val="0"/>
        <w:rPr>
          <w:rFonts w:hint="default" w:ascii="Arial" w:hAnsi="Arial" w:cs="Arial"/>
          <w:sz w:val="24"/>
          <w:szCs w:val="24"/>
          <w:lang w:val="en-US" w:eastAsia="zh-CN"/>
        </w:rPr>
      </w:pPr>
      <w:bookmarkStart w:id="13" w:name="_Toc13444"/>
      <w:r>
        <w:rPr>
          <w:rFonts w:hint="default" w:ascii="Arial" w:hAnsi="Arial" w:cs="Arial"/>
          <w:sz w:val="24"/>
          <w:szCs w:val="24"/>
          <w:lang w:val="en-US" w:eastAsia="zh-CN"/>
        </w:rPr>
        <w:t>2.5 Character Story</w:t>
      </w:r>
      <w:bookmarkEnd w:id="13"/>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Howard has been on the positive side of encouraging innovation, whether it's store expansion or new growth outside the coffee business. In March 2017, Starbucks added oat milk to its five select stores in Seattle, San Francisco and New York, giving milk-averse consumers an alternative to soy milk. Starbucks Bakery opened in Shanghai in early April, adding brunch, lunch and dinner, baked goods and wine. Ultimately, Starbucks' investment in food innovation is driven by a core consumer need, "to continuously meet the new generation of consumer hot spots, which is what Starbucks has always done to create new businesses."</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In terms of adapting to the environment, Howard also has his own flexible strategy. He will adopt the corresponding cooperation model according to the market conditions of different countries and regions. For example, Starbucks has 100% ownership in the United Kingdom, Thailand and Australia, 50% ownership in Japan and South Korea, and no ownership in the Philippines, Singapore, Malaysia and Beijing. Because Starbucks' financial resources do not allow them to own 100% of the world's stock, this will help Starbucks expand.</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Secondly, in terms of adapting to the local culture, Howard decided to respect the local culture and habits, and make different changes to the coffee to cater to the local taste, or expand some businesses other than coffee to attract customers.</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Although Starbucks has some disadvantages when it comes to the time-consuming freshly ground coffee compared to the quick instant coffee, it has equipped the new coffee machine and trained every barista carefully. In Starbucks stores, every partner has professional coffee knowledge, which is reflected in coffee making and customer complaint solving. Skilled technology can reduce production errors, which is another embodiment of efficiency.</w:t>
      </w:r>
    </w:p>
    <w:p>
      <w:pPr>
        <w:pStyle w:val="3"/>
        <w:bidi w:val="0"/>
        <w:rPr>
          <w:rFonts w:hint="default" w:ascii="Arial" w:hAnsi="Arial" w:cs="Arial"/>
          <w:sz w:val="24"/>
          <w:szCs w:val="24"/>
          <w:lang w:val="en-US" w:eastAsia="zh-CN"/>
        </w:rPr>
      </w:pPr>
      <w:bookmarkStart w:id="14" w:name="_Toc11108"/>
      <w:r>
        <w:rPr>
          <w:rFonts w:hint="default" w:ascii="Arial" w:hAnsi="Arial" w:cs="Arial"/>
          <w:sz w:val="24"/>
          <w:szCs w:val="24"/>
          <w:lang w:val="en-US" w:eastAsia="zh-CN"/>
        </w:rPr>
        <w:t>2.6 Theoretical defects and other leadership models</w:t>
      </w:r>
      <w:bookmarkEnd w:id="14"/>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Although the theory of transformational leadership has many commendable aspects, it has also encountered some perplexities and deficiencies in the process of its continued development, which is what this theory needs to solve and improve in the future. The theory of transformational leadership mainly comes from the research of senior leaders in Western large enterprises. Whether and how transformational leadership applies to lower-level leaders, as well as its applicability to different cultural environments, need more empirical research. In addition, few samples in these empirical studies are from the government or public institutions. So far, no one can answer whether this leadership theory is suitable for the government and public institutions.</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But in Howard's case, transformational leadership strategy is suitable for the development of Starbucks. Howard provides comprehensive medical insurance for all full-time and part-time associates. This practice satisfies the safety needs of Starbucks employees, stimulates the needs of subordinates' senior management, and makes employees and senior management trust each other. Secondly, in the face of the development of digital globalization, conservative development will only be eliminated by the society. Only by seizing opportunities and continuous innovation can we seize market shares and obtain higher profits. After the enterprise becomes bigger, it will inevitably face the problem of expansion. Only by adapting to the local culture and adopting different management strategies and strategies can it attract more customers. Finally, it is indisputable that a profitable enterprise must be efficient.</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In addition to transformational leadership, there are other leadership models of different styles. For example, the transactional model of leadership was proposed by Hollander in 1978. Hollander believes that leadership behavior is a transaction process in which the leader and the led meet each other in a specific situation, that is, the leader guides and motivates subordinates to complete organizational goals through clear tasks and role demands. It emphasizes task objectives, work standards and output, often focuses on the completion of tasks and employees' compliance, and relies more on the organization's reward and punishment means to influence employees. This model is clearly not innovative and efficient.</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sz w:val="24"/>
          <w:szCs w:val="24"/>
          <w:lang w:val="en-US" w:eastAsia="zh-CN"/>
        </w:rPr>
      </w:pPr>
      <w:r>
        <w:rPr>
          <w:rFonts w:hint="default" w:ascii="Arial" w:hAnsi="Arial" w:eastAsia="宋体" w:cs="Arial"/>
          <w:sz w:val="24"/>
          <w:szCs w:val="24"/>
          <w:lang w:val="en-US" w:eastAsia="zh-CN"/>
        </w:rPr>
        <w:t>Servant leadership by Robert K. Greenleaf (1904-1990) is a philosophy of selfless leadership that exists in practice. This type of leader leads by example and is willing to be a servant and lead by serving; The result of its leadership is also to extend its service functions. He is very different from those who lead for the sake of leading. What he aspires to is to temper that unusual kind of leadership and to weaken his command of resources. For leader-first leaders, service may come after leadership, authority, and influence have been established. Although this leadership model can promote the relationship between leaders and employees, long-term harmonious coexistence may affect the development of enterprises' universities.</w:t>
      </w:r>
    </w:p>
    <w:p>
      <w:pPr>
        <w:pStyle w:val="2"/>
        <w:bidi w:val="0"/>
        <w:rPr>
          <w:rFonts w:hint="default" w:ascii="Arial" w:hAnsi="Arial" w:cs="Arial"/>
          <w:sz w:val="24"/>
          <w:szCs w:val="24"/>
          <w:lang w:val="en-US" w:eastAsia="zh-CN"/>
        </w:rPr>
      </w:pPr>
      <w:bookmarkStart w:id="15" w:name="_Toc32551"/>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pStyle w:val="2"/>
        <w:bidi w:val="0"/>
        <w:rPr>
          <w:rFonts w:hint="default" w:ascii="Arial" w:hAnsi="Arial" w:cs="Arial"/>
          <w:sz w:val="24"/>
          <w:szCs w:val="24"/>
          <w:lang w:val="en-US" w:eastAsia="zh-CN"/>
        </w:rPr>
      </w:pPr>
      <w:bookmarkStart w:id="17" w:name="_GoBack"/>
      <w:bookmarkEnd w:id="17"/>
      <w:r>
        <w:rPr>
          <w:rFonts w:hint="default" w:ascii="Arial" w:hAnsi="Arial" w:cs="Arial"/>
          <w:sz w:val="24"/>
          <w:szCs w:val="24"/>
          <w:lang w:val="en-US" w:eastAsia="zh-CN"/>
        </w:rPr>
        <w:t>3.0 Conclusion</w:t>
      </w:r>
      <w:bookmarkEnd w:id="15"/>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firstLine="420" w:firstLineChars="0"/>
        <w:jc w:val="both"/>
        <w:textAlignment w:val="auto"/>
        <w:rPr>
          <w:rFonts w:hint="default" w:ascii="Arial" w:hAnsi="Arial" w:eastAsia="宋体" w:cs="Arial"/>
          <w:i w:val="0"/>
          <w:iCs w:val="0"/>
          <w:caps w:val="0"/>
          <w:color w:val="333333"/>
          <w:spacing w:val="0"/>
          <w:sz w:val="24"/>
          <w:szCs w:val="24"/>
          <w:shd w:val="clear" w:fill="FFFFFF"/>
          <w:lang w:val="en-US" w:eastAsia="zh-CN"/>
        </w:rPr>
      </w:pPr>
      <w:r>
        <w:rPr>
          <w:rFonts w:hint="default" w:ascii="Arial" w:hAnsi="Arial" w:eastAsia="Helvetica" w:cs="Arial"/>
          <w:i w:val="0"/>
          <w:iCs w:val="0"/>
          <w:caps w:val="0"/>
          <w:color w:val="333333"/>
          <w:spacing w:val="0"/>
          <w:sz w:val="24"/>
          <w:szCs w:val="24"/>
          <w:shd w:val="clear" w:fill="FFFFFF"/>
          <w:lang w:val="en-US" w:eastAsia="zh-CN"/>
        </w:rPr>
        <w:t>This paper introduces the different solutions that leaders adopt in the face of complex environment, and illustrates the practical application of transformational leadership theory with a specific example of Howard Schultz, the former CEO of Starbucks. Firstly, starting with the complexity of leadership, it is concluded through Fedele's theory that the effectiveness of leadership style is not invariable, and leaders need to change their leadership style under different circumstances. Secondly, through Burns' transformational leadership theory, students will interact with subordinates to improve their maturity and motivation. Third, through the impact of the 2008 world economic crisis, Howard made a series of changes to save the crisis of Starbucks. Finally, the report points out the shortcomings of the transformational leadership theory, and that this theory may not be suitable for enterprises in some other countries or some small enterprises. Different from the transformational leadership theory, the report also introduces other leadership models for comparison. This also illustrates the complexity of leadership.</w:t>
      </w:r>
    </w:p>
    <w:p>
      <w:pPr>
        <w:pStyle w:val="2"/>
        <w:bidi w:val="0"/>
        <w:rPr>
          <w:rFonts w:hint="default" w:ascii="Arial" w:hAnsi="Arial" w:cs="Arial"/>
          <w:sz w:val="24"/>
          <w:szCs w:val="24"/>
          <w:lang w:val="en-US" w:eastAsia="zh-CN"/>
        </w:rPr>
      </w:pPr>
      <w:bookmarkStart w:id="16" w:name="_Toc20584"/>
      <w:r>
        <w:rPr>
          <w:rFonts w:hint="default" w:ascii="Arial" w:hAnsi="Arial" w:cs="Arial"/>
          <w:sz w:val="24"/>
          <w:szCs w:val="24"/>
          <w:lang w:val="en-US" w:eastAsia="zh-CN"/>
        </w:rPr>
        <w:t>4.0 Reference</w:t>
      </w:r>
      <w:bookmarkEnd w:id="16"/>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i w:val="0"/>
          <w:iCs w:val="0"/>
          <w:caps w:val="0"/>
          <w:color w:val="333333"/>
          <w:spacing w:val="0"/>
          <w:sz w:val="24"/>
          <w:szCs w:val="24"/>
          <w:shd w:val="clear" w:fill="FFFFFF"/>
          <w:lang w:val="en-US" w:eastAsia="zh-CN"/>
        </w:rPr>
      </w:pPr>
      <w:r>
        <w:rPr>
          <w:rFonts w:hint="default" w:ascii="Arial" w:hAnsi="Arial" w:eastAsia="宋体" w:cs="Arial"/>
          <w:i w:val="0"/>
          <w:iCs w:val="0"/>
          <w:caps w:val="0"/>
          <w:color w:val="333333"/>
          <w:spacing w:val="0"/>
          <w:sz w:val="24"/>
          <w:szCs w:val="24"/>
          <w:shd w:val="clear" w:fill="FFFFFF"/>
          <w:lang w:val="en-US" w:eastAsia="zh-CN"/>
        </w:rPr>
        <w:t>1.Anderson, H., Baur, J., Griffith, J., &amp; Buckley, R. (2017). What works for you may not work for (gen) me: Limitations of present theories for the new generation. The Leadership Quarterly, 28(1), 245–250</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Lucida Sans Unicode" w:cs="Arial"/>
          <w:color w:val="333333"/>
          <w:spacing w:val="12"/>
          <w:sz w:val="24"/>
          <w:szCs w:val="24"/>
        </w:rPr>
      </w:pPr>
      <w:r>
        <w:rPr>
          <w:rFonts w:hint="default" w:ascii="Arial" w:hAnsi="Arial" w:eastAsia="宋体" w:cs="Arial"/>
          <w:i w:val="0"/>
          <w:iCs w:val="0"/>
          <w:caps w:val="0"/>
          <w:color w:val="333333"/>
          <w:spacing w:val="0"/>
          <w:sz w:val="24"/>
          <w:szCs w:val="24"/>
          <w:shd w:val="clear" w:fill="FFFFFF"/>
          <w:lang w:val="en-US" w:eastAsia="zh-CN"/>
        </w:rPr>
        <w:t>2.</w:t>
      </w:r>
      <w:r>
        <w:rPr>
          <w:rFonts w:hint="default" w:ascii="Arial" w:hAnsi="Arial" w:eastAsia="Lucida Sans Unicode" w:cs="Arial"/>
          <w:color w:val="333333"/>
          <w:spacing w:val="12"/>
          <w:sz w:val="24"/>
          <w:szCs w:val="24"/>
        </w:rPr>
        <w:t>Barbuto, J. E., &amp; Gottfredson, R. K. (2016). Human capital, the Millennial’s reign, and the need for servant leadership. Journal of Leadership Studies, 10(2), 59–63.</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3.Bartram, T., &amp; Casimir, G. (2007). The relationship between lead</w:t>
      </w:r>
      <w:r>
        <w:rPr>
          <w:rFonts w:hint="default" w:ascii="Arial" w:hAnsi="Arial" w:eastAsia="宋体" w:cs="Arial"/>
          <w:color w:val="333333"/>
          <w:spacing w:val="12"/>
          <w:sz w:val="24"/>
          <w:szCs w:val="24"/>
          <w:lang w:val="en-US" w:eastAsia="zh-CN"/>
        </w:rPr>
        <w:t/>
      </w:r>
      <w:r>
        <w:rPr>
          <w:rFonts w:hint="default" w:ascii="Arial" w:hAnsi="Arial" w:eastAsia="宋体" w:cs="Arial"/>
          <w:color w:val="333333"/>
          <w:spacing w:val="12"/>
          <w:sz w:val="24"/>
          <w:szCs w:val="24"/>
          <w:lang w:val="en-US" w:eastAsia="zh-CN"/>
        </w:rPr>
        <w:t>ership and follower in-role performance and satisfaction with the leader: The mediating effects of empowerment and trust in the leader. Leadership and Organization Development Journal, 28(1), 4–19</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4.Behrend, P., Malz, S., &amp; Goritz, A. (2017). An integrated model of leadership behavior. The Leadership Quarterly, 28(1), 229–244</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5.Bennis, W. (2007). The challenges of leadership in the modern world: Introduction to the special issue. American Psychologist, 62(1), 2–5.</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6.Bunker, K. (1997). The power of vulnerability in contemporary leadership. Consulting Psychology Journal: Practice and Research, 49(1), 122–136</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7.Dirks, K. T., &amp; Ferrin, D. L. (2002). Trust in leadership: Meta-ana</w:t>
      </w:r>
      <w:r>
        <w:rPr>
          <w:rFonts w:hint="default" w:ascii="Arial" w:hAnsi="Arial" w:eastAsia="宋体" w:cs="Arial"/>
          <w:color w:val="333333"/>
          <w:spacing w:val="12"/>
          <w:sz w:val="24"/>
          <w:szCs w:val="24"/>
          <w:lang w:val="en-US" w:eastAsia="zh-CN"/>
        </w:rPr>
        <w:t/>
      </w:r>
      <w:r>
        <w:rPr>
          <w:rFonts w:hint="default" w:ascii="Arial" w:hAnsi="Arial" w:eastAsia="宋体" w:cs="Arial"/>
          <w:color w:val="333333"/>
          <w:spacing w:val="12"/>
          <w:sz w:val="24"/>
          <w:szCs w:val="24"/>
          <w:lang w:val="en-US" w:eastAsia="zh-CN"/>
        </w:rPr>
        <w:t>lytic findings and implications for research and practice. Journal of Applied Psychology, 87(4), 611–628. https://doi.org/10.1037/0021- 9010.87.4.611</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8.Goleman, D., Boyatzis, R., &amp; Mckee, A. (2013). Primal leadership: Realizing the power of emotional intelligence. Boston, MA: Harvard Business School</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9.Ewest, T. (2015). The provocation: Does prosocial behavior, the concern for the welfare of the other, limit a leader’s ability to inno</w:t>
      </w:r>
      <w:r>
        <w:rPr>
          <w:rFonts w:hint="default" w:ascii="Arial" w:hAnsi="Arial" w:eastAsia="宋体" w:cs="Arial"/>
          <w:color w:val="333333"/>
          <w:spacing w:val="12"/>
          <w:sz w:val="24"/>
          <w:szCs w:val="24"/>
          <w:lang w:val="en-US" w:eastAsia="zh-CN"/>
        </w:rPr>
        <w:t/>
      </w:r>
      <w:r>
        <w:rPr>
          <w:rFonts w:hint="default" w:ascii="Arial" w:hAnsi="Arial" w:eastAsia="宋体" w:cs="Arial"/>
          <w:color w:val="333333"/>
          <w:spacing w:val="12"/>
          <w:sz w:val="24"/>
          <w:szCs w:val="24"/>
          <w:lang w:val="en-US" w:eastAsia="zh-CN"/>
        </w:rPr>
        <w:t>vate? Journal of Leadership Studies, 9(1), 19–29.                        Feser, C., Mayol, F., &amp; Srinivasan, R. (2015, January). Decoding leadership: What really matters. McKinsey Quarterly.                             Glass, C., &amp; Cook, A. (2016). Leading at the top: Understanding women’s challenges above the glass ceiling. The Leadership Quar</w:t>
      </w:r>
      <w:r>
        <w:rPr>
          <w:rFonts w:hint="default" w:ascii="Arial" w:hAnsi="Arial" w:eastAsia="宋体" w:cs="Arial"/>
          <w:color w:val="333333"/>
          <w:spacing w:val="12"/>
          <w:sz w:val="24"/>
          <w:szCs w:val="24"/>
          <w:lang w:val="en-US" w:eastAsia="zh-CN"/>
        </w:rPr>
        <w:t/>
      </w:r>
      <w:r>
        <w:rPr>
          <w:rFonts w:hint="default" w:ascii="Arial" w:hAnsi="Arial" w:eastAsia="宋体" w:cs="Arial"/>
          <w:color w:val="333333"/>
          <w:spacing w:val="12"/>
          <w:sz w:val="24"/>
          <w:szCs w:val="24"/>
          <w:lang w:val="en-US" w:eastAsia="zh-CN"/>
        </w:rPr>
        <w:t>terly, 27(1), 51–63.                  Goleman, D. (1998). What makes a leader? Harvard Business Review, 82(1), 93–102</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10.Ewest, T. (2015). The provocation: Does prosocial behavior, the concern for the welfare of the other, limit a leader’s ability to inno</w:t>
      </w:r>
      <w:r>
        <w:rPr>
          <w:rFonts w:hint="default" w:ascii="Arial" w:hAnsi="Arial" w:eastAsia="宋体" w:cs="Arial"/>
          <w:color w:val="333333"/>
          <w:spacing w:val="12"/>
          <w:sz w:val="24"/>
          <w:szCs w:val="24"/>
          <w:lang w:val="en-US" w:eastAsia="zh-CN"/>
        </w:rPr>
        <w:t/>
      </w:r>
      <w:r>
        <w:rPr>
          <w:rFonts w:hint="default" w:ascii="Arial" w:hAnsi="Arial" w:eastAsia="宋体" w:cs="Arial"/>
          <w:color w:val="333333"/>
          <w:spacing w:val="12"/>
          <w:sz w:val="24"/>
          <w:szCs w:val="24"/>
          <w:lang w:val="en-US" w:eastAsia="zh-CN"/>
        </w:rPr>
        <w:t xml:space="preserve">vate? Journal of Leadership Studies, 9(1), 19–29.   </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 xml:space="preserve">11.Feser, C., Mayol, F., &amp; Srinivasan, R. (2015, January). Decoding leadership: What really matters. McKinsey Quarterly. </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12.Glass, C., &amp; Cook, A. (2016). Leading at the top: Understanding women’s challenges above the glass ceiling. The Leadership Quar</w:t>
      </w:r>
      <w:r>
        <w:rPr>
          <w:rFonts w:hint="default" w:ascii="Arial" w:hAnsi="Arial" w:eastAsia="宋体" w:cs="Arial"/>
          <w:color w:val="333333"/>
          <w:spacing w:val="12"/>
          <w:sz w:val="24"/>
          <w:szCs w:val="24"/>
          <w:lang w:val="en-US" w:eastAsia="zh-CN"/>
        </w:rPr>
        <w:t/>
      </w:r>
      <w:r>
        <w:rPr>
          <w:rFonts w:hint="default" w:ascii="Arial" w:hAnsi="Arial" w:eastAsia="宋体" w:cs="Arial"/>
          <w:color w:val="333333"/>
          <w:spacing w:val="12"/>
          <w:sz w:val="24"/>
          <w:szCs w:val="24"/>
          <w:lang w:val="en-US" w:eastAsia="zh-CN"/>
        </w:rPr>
        <w:t xml:space="preserve">terly, 27(1), 51–63.  </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13.Goleman, D. (1998). What makes a leader? Harvard Business Review, 82(1), 93–102</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14.Goleman, D., Boyatzis, R., &amp; Mckee, A. (2013). Primal leadership: Realizing the power of emotional intelligence. Boston, MA: Harvard Business School</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15.Mumford, E. (1906). The origins of leadership. American Journal of Sociology, 12(2), 212–240</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16.Parr, S. (2012, March 8). How ideas from the 1960s prevail in lead</w:t>
      </w:r>
      <w:r>
        <w:rPr>
          <w:rFonts w:hint="default" w:ascii="Arial" w:hAnsi="Arial" w:eastAsia="宋体" w:cs="Arial"/>
          <w:color w:val="333333"/>
          <w:spacing w:val="12"/>
          <w:sz w:val="24"/>
          <w:szCs w:val="24"/>
          <w:lang w:val="en-US" w:eastAsia="zh-CN"/>
        </w:rPr>
        <w:t/>
      </w:r>
      <w:r>
        <w:rPr>
          <w:rFonts w:hint="default" w:ascii="Arial" w:hAnsi="Arial" w:eastAsia="宋体" w:cs="Arial"/>
          <w:color w:val="333333"/>
          <w:spacing w:val="12"/>
          <w:sz w:val="24"/>
          <w:szCs w:val="24"/>
          <w:lang w:val="en-US" w:eastAsia="zh-CN"/>
        </w:rPr>
        <w:t>ership, art, design, and social movements. Fast Company. 1823202.</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17.Riggio, R., Chaleff, I., &amp; Lipman-Blumen, J. (2009). The art of followership: How great followers create leaders and organizations. Personnel Psychology, 62(3), 636–639</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18.Schneider, M., &amp; Somers, M. (2006). Organizations as complex adaptive systems: Implications for complexity theory for leadership research. The Leadership Quarterly, 17(5), 351–365</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19.Stogdill, R. (1948). Personal factors associated with leadership: A survey of literature. Journal of Psychology, 25, 35–71</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20.Uhl-Bien, M., Riggio, R., Lowe, K., &amp; Carsten, M. (2014). Fol</w:t>
      </w:r>
      <w:r>
        <w:rPr>
          <w:rFonts w:hint="default" w:ascii="Arial" w:hAnsi="Arial" w:eastAsia="宋体" w:cs="Arial"/>
          <w:color w:val="333333"/>
          <w:spacing w:val="12"/>
          <w:sz w:val="24"/>
          <w:szCs w:val="24"/>
          <w:lang w:val="en-US" w:eastAsia="zh-CN"/>
        </w:rPr>
        <w:t/>
      </w:r>
      <w:r>
        <w:rPr>
          <w:rFonts w:hint="default" w:ascii="Arial" w:hAnsi="Arial" w:eastAsia="宋体" w:cs="Arial"/>
          <w:color w:val="333333"/>
          <w:spacing w:val="12"/>
          <w:sz w:val="24"/>
          <w:szCs w:val="24"/>
          <w:lang w:val="en-US" w:eastAsia="zh-CN"/>
        </w:rPr>
        <w:t>lowership theory: A review and research agenda. The Leadership Quarterly, 25, 83–104</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21.Vecchiotti, R. (2011, March 10). Leadership: A contemporary view. Retrieved from: https://beampines.wordpress.com/2011/03/10/ leadership-a-contemporary-view</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22.Walters, K. N., &amp; Diab, D. L. (2016). Humble leadership: Impli</w:t>
      </w:r>
      <w:r>
        <w:rPr>
          <w:rFonts w:hint="default" w:ascii="Arial" w:hAnsi="Arial" w:eastAsia="宋体" w:cs="Arial"/>
          <w:color w:val="333333"/>
          <w:spacing w:val="12"/>
          <w:sz w:val="24"/>
          <w:szCs w:val="24"/>
          <w:lang w:val="en-US" w:eastAsia="zh-CN"/>
        </w:rPr>
        <w:t/>
      </w:r>
      <w:r>
        <w:rPr>
          <w:rFonts w:hint="default" w:ascii="Arial" w:hAnsi="Arial" w:eastAsia="宋体" w:cs="Arial"/>
          <w:color w:val="333333"/>
          <w:spacing w:val="12"/>
          <w:sz w:val="24"/>
          <w:szCs w:val="24"/>
          <w:lang w:val="en-US" w:eastAsia="zh-CN"/>
        </w:rPr>
        <w:t xml:space="preserve">cations for psychological safety and follower engagement. Journal of Leadership Studies, 10(2), 7–19. </w:t>
      </w:r>
    </w:p>
    <w:p>
      <w:pPr>
        <w:pStyle w:val="6"/>
        <w:keepNext w:val="0"/>
        <w:keepLines w:val="0"/>
        <w:pageBreakBefore w:val="0"/>
        <w:widowControl/>
        <w:suppressLineNumbers w:val="0"/>
        <w:kinsoku/>
        <w:wordWrap/>
        <w:overflowPunct/>
        <w:topLinePunct w:val="0"/>
        <w:autoSpaceDE/>
        <w:autoSpaceDN/>
        <w:bidi w:val="0"/>
        <w:adjustRightInd/>
        <w:snapToGrid/>
        <w:spacing w:before="263" w:beforeAutospacing="0" w:after="263" w:afterAutospacing="0" w:line="600" w:lineRule="auto"/>
        <w:ind w:left="0" w:right="0"/>
        <w:jc w:val="both"/>
        <w:textAlignment w:val="auto"/>
        <w:rPr>
          <w:rFonts w:hint="default" w:ascii="Arial" w:hAnsi="Arial" w:eastAsia="宋体" w:cs="Arial"/>
          <w:color w:val="333333"/>
          <w:spacing w:val="12"/>
          <w:sz w:val="24"/>
          <w:szCs w:val="24"/>
          <w:lang w:val="en-US" w:eastAsia="zh-CN"/>
        </w:rPr>
      </w:pPr>
      <w:r>
        <w:rPr>
          <w:rFonts w:hint="default" w:ascii="Arial" w:hAnsi="Arial" w:eastAsia="宋体" w:cs="Arial"/>
          <w:color w:val="333333"/>
          <w:spacing w:val="12"/>
          <w:sz w:val="24"/>
          <w:szCs w:val="24"/>
          <w:lang w:val="en-US" w:eastAsia="zh-CN"/>
        </w:rPr>
        <w:t>23.Winston, B. E., &amp; Patterson, K. (2006). An integrative definition of leadership. International Journal of Leadership Studies, I, 6–66</w:t>
      </w:r>
    </w:p>
    <w:p>
      <w:pPr>
        <w:pStyle w:val="6"/>
        <w:keepNext w:val="0"/>
        <w:keepLines w:val="0"/>
        <w:pageBreakBefore w:val="0"/>
        <w:widowControl/>
        <w:suppressLineNumbers w:val="0"/>
        <w:shd w:val="clear" w:fill="FFFFFF"/>
        <w:kinsoku/>
        <w:wordWrap/>
        <w:overflowPunct/>
        <w:topLinePunct w:val="0"/>
        <w:autoSpaceDE/>
        <w:autoSpaceDN/>
        <w:bidi w:val="0"/>
        <w:adjustRightInd/>
        <w:snapToGrid/>
        <w:spacing w:before="294" w:beforeAutospacing="0" w:after="294" w:afterAutospacing="0" w:line="600" w:lineRule="auto"/>
        <w:ind w:left="0" w:right="0" w:firstLine="0"/>
        <w:jc w:val="both"/>
        <w:textAlignment w:val="auto"/>
        <w:rPr>
          <w:rFonts w:hint="default" w:ascii="Arial" w:hAnsi="Arial" w:eastAsia="宋体" w:cs="Arial"/>
          <w:i w:val="0"/>
          <w:iCs w:val="0"/>
          <w:caps w:val="0"/>
          <w:color w:val="000000" w:themeColor="text1"/>
          <w:spacing w:val="0"/>
          <w:sz w:val="24"/>
          <w:szCs w:val="24"/>
          <w:shd w:val="clear" w:fill="FFFFFF"/>
          <w:lang w:val="en-US" w:eastAsia="zh-CN"/>
          <w14:textFill>
            <w14:solidFill>
              <w14:schemeClr w14:val="tx1"/>
            </w14:solidFill>
          </w14:textFill>
        </w:rPr>
      </w:pPr>
    </w:p>
    <w:p>
      <w:pPr>
        <w:pageBreakBefore w:val="0"/>
        <w:kinsoku/>
        <w:wordWrap/>
        <w:overflowPunct/>
        <w:topLinePunct w:val="0"/>
        <w:autoSpaceDE/>
        <w:autoSpaceDN/>
        <w:bidi w:val="0"/>
        <w:adjustRightInd/>
        <w:snapToGrid/>
        <w:spacing w:line="600" w:lineRule="auto"/>
        <w:jc w:val="both"/>
        <w:textAlignment w:val="auto"/>
        <w:rPr>
          <w:rFonts w:hint="default" w:ascii="Arial" w:hAnsi="Arial" w:eastAsia="Helvetica" w:cs="Arial"/>
          <w:i w:val="0"/>
          <w:iCs w:val="0"/>
          <w:caps w:val="0"/>
          <w:color w:val="333333"/>
          <w:spacing w:val="0"/>
          <w:sz w:val="24"/>
          <w:szCs w:val="24"/>
          <w:shd w:val="clear" w:fill="FFFFFF"/>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Segoe UI">
    <w:panose1 w:val="020B0502040204020203"/>
    <w:charset w:val="00"/>
    <w:family w:val="auto"/>
    <w:pitch w:val="default"/>
    <w:sig w:usb0="E4002EFF" w:usb1="C000E47F"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 w:name="PingFangSC-Regular">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Calibri Light">
    <w:panose1 w:val="020F0302020204030204"/>
    <w:charset w:val="00"/>
    <w:family w:val="auto"/>
    <w:pitch w:val="default"/>
    <w:sig w:usb0="E4002EFF" w:usb1="C000247B" w:usb2="00000009" w:usb3="00000000" w:csb0="200001FF" w:csb1="00000000"/>
  </w:font>
  <w:font w:name="Lucida Sans Unicode">
    <w:panose1 w:val="020B0602030504020204"/>
    <w:charset w:val="00"/>
    <w:family w:val="auto"/>
    <w:pitch w:val="default"/>
    <w:sig w:usb0="80001AFF" w:usb1="0000396B" w:usb2="00000000" w:usb3="00000000" w:csb0="200000BF" w:csb1="D7F70000"/>
  </w:font>
  <w:font w:name="Tahoma">
    <w:panose1 w:val="020B0604030504040204"/>
    <w:charset w:val="00"/>
    <w:family w:val="auto"/>
    <w:pitch w:val="default"/>
    <w:sig w:usb0="E1002EFF" w:usb1="C000605B" w:usb2="00000029" w:usb3="00000000" w:csb0="200101FF" w:csb1="2028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DNiYTdiZjQ2YzM3NjU2NDY2OGFlMGIzOGI1MzI5NTIifQ=="/>
  </w:docVars>
  <w:rsids>
    <w:rsidRoot w:val="48A27FFB"/>
    <w:rsid w:val="48A27FF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8">
    <w:name w:val="Default Paragraph Font"/>
    <w:semiHidden/>
    <w:uiPriority w:val="0"/>
  </w:style>
  <w:style w:type="table" w:default="1" w:styleId="7">
    <w:name w:val="Normal Table"/>
    <w:semiHidden/>
    <w:uiPriority w:val="0"/>
    <w:tblPr>
      <w:tblCellMar>
        <w:top w:w="0" w:type="dxa"/>
        <w:left w:w="108" w:type="dxa"/>
        <w:bottom w:w="0" w:type="dxa"/>
        <w:right w:w="108" w:type="dxa"/>
      </w:tblCellMar>
    </w:tblPr>
  </w:style>
  <w:style w:type="paragraph" w:styleId="4">
    <w:name w:val="toc 1"/>
    <w:basedOn w:val="1"/>
    <w:next w:val="1"/>
    <w:uiPriority w:val="0"/>
  </w:style>
  <w:style w:type="paragraph" w:styleId="5">
    <w:name w:val="toc 2"/>
    <w:basedOn w:val="1"/>
    <w:next w:val="1"/>
    <w:uiPriority w:val="0"/>
    <w:pPr>
      <w:ind w:left="420" w:leftChars="200"/>
    </w:pPr>
  </w:style>
  <w:style w:type="paragraph" w:styleId="6">
    <w:name w:val="Normal (Web)"/>
    <w:basedOn w:val="1"/>
    <w:uiPriority w:val="0"/>
    <w:pPr>
      <w:spacing w:before="0" w:beforeAutospacing="1" w:after="0" w:afterAutospacing="1"/>
      <w:ind w:left="0" w:right="0"/>
      <w:jc w:val="left"/>
    </w:pPr>
    <w:rPr>
      <w:kern w:val="0"/>
      <w:sz w:val="24"/>
      <w:lang w:val="en-US" w:eastAsia="zh-CN" w:bidi="ar"/>
    </w:rPr>
  </w:style>
  <w:style w:type="character" w:styleId="9">
    <w:name w:val="Strong"/>
    <w:basedOn w:val="8"/>
    <w:qFormat/>
    <w:uiPriority w:val="0"/>
    <w:rPr>
      <w:b/>
    </w:rPr>
  </w:style>
  <w:style w:type="character" w:styleId="10">
    <w:name w:val="Emphasis"/>
    <w:basedOn w:val="8"/>
    <w:qFormat/>
    <w:uiPriority w:val="0"/>
    <w:rPr>
      <w:i/>
    </w:rPr>
  </w:style>
  <w:style w:type="character" w:styleId="11">
    <w:name w:val="Hyperlink"/>
    <w:basedOn w:val="8"/>
    <w:uiPriority w:val="0"/>
    <w:rPr>
      <w:color w:val="0000FF"/>
      <w:u w:val="single"/>
    </w:rPr>
  </w:style>
  <w:style w:type="paragraph" w:customStyle="1" w:styleId="12">
    <w:name w:val="WPSOffice手动目录 1"/>
    <w:uiPriority w:val="0"/>
    <w:pPr>
      <w:ind w:leftChars="0"/>
    </w:pPr>
    <w:rPr>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21</Pages>
  <Words>2835</Words>
  <Characters>16410</Characters>
  <Lines>0</Lines>
  <Paragraphs>0</Paragraphs>
  <TotalTime>4</TotalTime>
  <ScaleCrop>false</ScaleCrop>
  <LinksUpToDate>false</LinksUpToDate>
  <CharactersWithSpaces>19441</CharactersWithSpaces>
  <Application>WPS Office_11.1.0.12970_F1E327BC-269C-435d-A152-05C5408002CA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2023-03-16T13:29:00Z</dcterms:created>
  <dc:creator>无量电仙</dc:creator>
  <cp:lastModifiedBy>无量电仙</cp:lastModifiedBy>
  <dcterms:modified xsi:type="dcterms:W3CDTF">2023-03-17T15:17:02Z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2052-11.1.0.12970</vt:lpwstr>
  </property>
  <property fmtid="{D5CDD505-2E9C-101B-9397-08002B2CF9AE}" pid="3" name="ICV">
    <vt:lpwstr>F372942CBF694B1D9F34E2117E1C50F9</vt:lpwstr>
  </property>
</Properties>
</file>