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3D6FE18" wp14:paraId="5E5787A5" wp14:textId="205A1437">
      <w:pPr>
        <w:pBdr>
          <w:top w:val="single" w:color="FF000000" w:sz="4" w:space="4"/>
          <w:left w:val="single" w:color="FF000000" w:sz="4" w:space="4"/>
          <w:bottom w:val="single" w:color="FF000000" w:sz="4" w:space="4"/>
          <w:right w:val="single" w:color="FF000000" w:sz="4" w:space="4"/>
        </w:pBdr>
        <w:shd w:val="clear" w:color="auto" w:fill="E8E8E8" w:themeFill="background2"/>
        <w:jc w:val="center"/>
        <w:rPr>
          <w:rFonts w:ascii="Arial Nova" w:hAnsi="Arial Nova" w:eastAsia="Arial Nova" w:cs="Arial Nova"/>
          <w:b w:val="1"/>
          <w:bCs w:val="1"/>
          <w:color w:val="0E2841" w:themeColor="text2" w:themeTint="FF" w:themeShade="FF"/>
          <w:sz w:val="52"/>
          <w:szCs w:val="52"/>
        </w:rPr>
      </w:pPr>
      <w:r w:rsidRPr="63D6FE18" w:rsidR="3A31F3E8">
        <w:rPr>
          <w:rFonts w:ascii="Arial Nova" w:hAnsi="Arial Nova" w:eastAsia="Arial Nova" w:cs="Arial Nova"/>
          <w:b w:val="1"/>
          <w:bCs w:val="1"/>
          <w:color w:val="0E2841" w:themeColor="text2" w:themeTint="FF" w:themeShade="FF"/>
          <w:sz w:val="52"/>
          <w:szCs w:val="52"/>
        </w:rPr>
        <w:t xml:space="preserve">Introduction </w:t>
      </w:r>
      <w:r w:rsidRPr="63D6FE18" w:rsidR="75AC6E06">
        <w:rPr>
          <w:rFonts w:ascii="Arial Nova" w:hAnsi="Arial Nova" w:eastAsia="Arial Nova" w:cs="Arial Nova"/>
          <w:b w:val="1"/>
          <w:bCs w:val="1"/>
          <w:color w:val="0E2841" w:themeColor="text2" w:themeTint="FF" w:themeShade="FF"/>
          <w:sz w:val="52"/>
          <w:szCs w:val="52"/>
        </w:rPr>
        <w:t>P</w:t>
      </w:r>
      <w:r w:rsidRPr="63D6FE18" w:rsidR="3A31F3E8">
        <w:rPr>
          <w:rFonts w:ascii="Arial Nova" w:hAnsi="Arial Nova" w:eastAsia="Arial Nova" w:cs="Arial Nova"/>
          <w:b w:val="1"/>
          <w:bCs w:val="1"/>
          <w:color w:val="0E2841" w:themeColor="text2" w:themeTint="FF" w:themeShade="FF"/>
          <w:sz w:val="52"/>
          <w:szCs w:val="52"/>
        </w:rPr>
        <w:t>age</w:t>
      </w:r>
    </w:p>
    <w:p w:rsidR="63D6FE18" w:rsidP="63D6FE18" w:rsidRDefault="63D6FE18" w14:paraId="2A9D2BC1" w14:textId="438CF5A1">
      <w:pPr>
        <w:pStyle w:val="Normal"/>
        <w:rPr>
          <w:rFonts w:ascii="Arial Nova" w:hAnsi="Arial Nova" w:eastAsia="Arial Nova" w:cs="Arial Nova"/>
          <w:b w:val="1"/>
          <w:bCs w:val="1"/>
        </w:rPr>
      </w:pPr>
    </w:p>
    <w:p w:rsidR="63D6FE18" w:rsidP="63D6FE18" w:rsidRDefault="63D6FE18" w14:paraId="7EA326D0" w14:textId="03A7181A">
      <w:pPr>
        <w:jc w:val="left"/>
        <w:rPr>
          <w:rFonts w:ascii="Arial Nova" w:hAnsi="Arial Nova" w:eastAsia="Arial Nova" w:cs="Arial Nova"/>
          <w:b w:val="1"/>
          <w:bCs w:val="1"/>
        </w:rPr>
      </w:pPr>
    </w:p>
    <w:p w:rsidR="34FCE4B7" w:rsidP="63D6FE18" w:rsidRDefault="34FCE4B7" w14:paraId="40EA3711" w14:textId="220C6A71">
      <w:pPr>
        <w:pBdr>
          <w:top w:val="single" w:color="FF000000" w:sz="4" w:space="4"/>
          <w:left w:val="single" w:color="FF000000" w:sz="4" w:space="4"/>
          <w:bottom w:val="single" w:color="FF000000" w:sz="4" w:space="4"/>
          <w:right w:val="single" w:color="FF000000" w:sz="4" w:space="4"/>
        </w:pBdr>
        <w:shd w:val="clear" w:color="auto" w:fill="E8E8E8" w:themeFill="background2"/>
        <w:jc w:val="left"/>
        <w:rPr>
          <w:rFonts w:ascii="Arial Nova" w:hAnsi="Arial Nova" w:eastAsia="Arial Nova" w:cs="Arial Nova"/>
          <w:color w:val="215E99" w:themeColor="text2" w:themeTint="BF" w:themeShade="FF"/>
          <w:sz w:val="36"/>
          <w:szCs w:val="36"/>
        </w:rPr>
      </w:pPr>
      <w:r w:rsidRPr="63D6FE18" w:rsidR="34FCE4B7">
        <w:rPr>
          <w:rFonts w:ascii="Arial Nova" w:hAnsi="Arial Nova" w:eastAsia="Arial Nova" w:cs="Arial Nova"/>
          <w:b w:val="1"/>
          <w:bCs w:val="1"/>
          <w:color w:val="0E2841" w:themeColor="text2" w:themeTint="FF" w:themeShade="FF"/>
          <w:sz w:val="36"/>
          <w:szCs w:val="36"/>
        </w:rPr>
        <w:t>Module</w:t>
      </w:r>
      <w:r w:rsidRPr="63D6FE18" w:rsidR="34FCE4B7">
        <w:rPr>
          <w:rFonts w:ascii="Arial Nova" w:hAnsi="Arial Nova" w:eastAsia="Arial Nova" w:cs="Arial Nova"/>
          <w:color w:val="215E99" w:themeColor="text2" w:themeTint="BF" w:themeShade="FF"/>
          <w:sz w:val="36"/>
          <w:szCs w:val="36"/>
        </w:rPr>
        <w:t>- Introduction to health and social care</w:t>
      </w:r>
    </w:p>
    <w:p w:rsidR="613EEDFE" w:rsidP="63D6FE18" w:rsidRDefault="613EEDFE" w14:paraId="77910C26" w14:textId="3F3FB1FE">
      <w:pPr>
        <w:pStyle w:val="Normal"/>
        <w:jc w:val="left"/>
        <w:rPr>
          <w:rFonts w:ascii="Arial Nova" w:hAnsi="Arial Nova" w:eastAsia="Arial Nova" w:cs="Arial Nova"/>
          <w:color w:val="215E99" w:themeColor="text2" w:themeTint="BF" w:themeShade="FF"/>
          <w:sz w:val="36"/>
          <w:szCs w:val="36"/>
        </w:rPr>
      </w:pPr>
      <w:r w:rsidRPr="63D6FE18" w:rsidR="613EEDFE">
        <w:rPr>
          <w:rFonts w:ascii="Arial Nova" w:hAnsi="Arial Nova" w:eastAsia="Arial Nova" w:cs="Arial Nova"/>
          <w:b w:val="1"/>
          <w:bCs w:val="1"/>
          <w:color w:val="0E2841" w:themeColor="text2" w:themeTint="FF" w:themeShade="FF"/>
          <w:sz w:val="36"/>
          <w:szCs w:val="36"/>
        </w:rPr>
        <w:t>Module Number</w:t>
      </w:r>
      <w:r w:rsidRPr="63D6FE18" w:rsidR="613EEDFE">
        <w:rPr>
          <w:rFonts w:ascii="Arial Nova" w:hAnsi="Arial Nova" w:eastAsia="Arial Nova" w:cs="Arial Nova"/>
          <w:b w:val="1"/>
          <w:bCs w:val="1"/>
          <w:color w:val="215E99" w:themeColor="text2" w:themeTint="BF" w:themeShade="FF"/>
          <w:sz w:val="36"/>
          <w:szCs w:val="36"/>
        </w:rPr>
        <w:t>-</w:t>
      </w:r>
      <w:r w:rsidRPr="63D6FE18" w:rsidR="613EEDFE">
        <w:rPr>
          <w:rFonts w:ascii="Arial Nova" w:hAnsi="Arial Nova" w:eastAsia="Arial Nova" w:cs="Arial Nova"/>
          <w:color w:val="215E99" w:themeColor="text2" w:themeTint="BF" w:themeShade="FF"/>
          <w:sz w:val="36"/>
          <w:szCs w:val="36"/>
        </w:rPr>
        <w:t>LCHS4003</w:t>
      </w:r>
    </w:p>
    <w:p w:rsidR="34FCE4B7" w:rsidP="63D6FE18" w:rsidRDefault="34FCE4B7" w14:paraId="3DDF78A9" w14:textId="5C91873D">
      <w:pPr>
        <w:pStyle w:val="Normal"/>
        <w:pBdr>
          <w:top w:val="single" w:color="FF000000" w:sz="4" w:space="4"/>
          <w:left w:val="single" w:color="FF000000" w:sz="4" w:space="4"/>
          <w:bottom w:val="single" w:color="FF000000" w:sz="4" w:space="4"/>
          <w:right w:val="single" w:color="FF000000" w:sz="4" w:space="4"/>
        </w:pBdr>
        <w:shd w:val="clear" w:color="auto" w:fill="E8E8E8" w:themeFill="background2"/>
        <w:jc w:val="left"/>
        <w:rPr>
          <w:rFonts w:ascii="Arial Nova" w:hAnsi="Arial Nova" w:eastAsia="Arial Nova" w:cs="Arial Nova"/>
          <w:color w:val="215E99" w:themeColor="text2" w:themeTint="BF" w:themeShade="FF"/>
          <w:sz w:val="36"/>
          <w:szCs w:val="36"/>
        </w:rPr>
      </w:pPr>
      <w:r w:rsidRPr="63D6FE18" w:rsidR="34FCE4B7">
        <w:rPr>
          <w:rFonts w:ascii="Arial Nova" w:hAnsi="Arial Nova" w:eastAsia="Arial Nova" w:cs="Arial Nova"/>
          <w:b w:val="1"/>
          <w:bCs w:val="1"/>
          <w:color w:val="0E2841" w:themeColor="text2" w:themeTint="FF" w:themeShade="FF"/>
          <w:sz w:val="36"/>
          <w:szCs w:val="36"/>
        </w:rPr>
        <w:t>Tutor</w:t>
      </w:r>
      <w:r w:rsidRPr="63D6FE18" w:rsidR="34FCE4B7">
        <w:rPr>
          <w:rFonts w:ascii="Arial Nova" w:hAnsi="Arial Nova" w:eastAsia="Arial Nova" w:cs="Arial Nova"/>
          <w:color w:val="215E99" w:themeColor="text2" w:themeTint="BF" w:themeShade="FF"/>
          <w:sz w:val="36"/>
          <w:szCs w:val="36"/>
        </w:rPr>
        <w:t xml:space="preserve">- </w:t>
      </w:r>
      <w:r w:rsidRPr="63D6FE18" w:rsidR="4ACFBA82">
        <w:rPr>
          <w:rFonts w:ascii="Arial Nova" w:hAnsi="Arial Nova" w:eastAsia="Arial Nova" w:cs="Arial Nova"/>
          <w:color w:val="215E99" w:themeColor="text2" w:themeTint="BF" w:themeShade="FF"/>
          <w:sz w:val="36"/>
          <w:szCs w:val="36"/>
        </w:rPr>
        <w:t>Wafa Nasir</w:t>
      </w:r>
    </w:p>
    <w:p w:rsidR="34FCE4B7" w:rsidP="63D6FE18" w:rsidRDefault="34FCE4B7" w14:paraId="295D5674" w14:textId="29FCE185">
      <w:pPr>
        <w:pBdr>
          <w:top w:val="single" w:color="FF000000" w:sz="4" w:space="4"/>
          <w:left w:val="single" w:color="FF000000" w:sz="4" w:space="4"/>
          <w:bottom w:val="single" w:color="FF000000" w:sz="4" w:space="4"/>
          <w:right w:val="single" w:color="FF000000" w:sz="4" w:space="4"/>
        </w:pBdr>
        <w:shd w:val="clear" w:color="auto" w:fill="E8E8E8" w:themeFill="background2"/>
        <w:jc w:val="left"/>
        <w:rPr>
          <w:rFonts w:ascii="Arial Nova" w:hAnsi="Arial Nova" w:eastAsia="Arial Nova" w:cs="Arial Nova"/>
          <w:color w:val="215E99" w:themeColor="text2" w:themeTint="BF" w:themeShade="FF"/>
          <w:sz w:val="36"/>
          <w:szCs w:val="36"/>
        </w:rPr>
      </w:pPr>
      <w:r w:rsidRPr="63D6FE18" w:rsidR="34FCE4B7">
        <w:rPr>
          <w:rFonts w:ascii="Arial Nova" w:hAnsi="Arial Nova" w:eastAsia="Arial Nova" w:cs="Arial Nova"/>
          <w:b w:val="1"/>
          <w:bCs w:val="1"/>
          <w:color w:val="0E2841" w:themeColor="text2" w:themeTint="FF" w:themeShade="FF"/>
          <w:sz w:val="36"/>
          <w:szCs w:val="36"/>
        </w:rPr>
        <w:t>Studen</w:t>
      </w:r>
      <w:r w:rsidRPr="63D6FE18" w:rsidR="34FCE4B7">
        <w:rPr>
          <w:rFonts w:ascii="Arial Nova" w:hAnsi="Arial Nova" w:eastAsia="Arial Nova" w:cs="Arial Nova"/>
          <w:b w:val="1"/>
          <w:bCs w:val="1"/>
          <w:color w:val="0E2841" w:themeColor="text2" w:themeTint="FF" w:themeShade="FF"/>
          <w:sz w:val="36"/>
          <w:szCs w:val="36"/>
        </w:rPr>
        <w:t>t</w:t>
      </w:r>
      <w:r w:rsidRPr="63D6FE18" w:rsidR="34FCE4B7">
        <w:rPr>
          <w:rFonts w:ascii="Arial Nova" w:hAnsi="Arial Nova" w:eastAsia="Arial Nova" w:cs="Arial Nova"/>
          <w:color w:val="215E99" w:themeColor="text2" w:themeTint="BF" w:themeShade="FF"/>
          <w:sz w:val="36"/>
          <w:szCs w:val="36"/>
        </w:rPr>
        <w:t>- Rachel-Louise Diane Hathaway</w:t>
      </w:r>
    </w:p>
    <w:p w:rsidR="34FCE4B7" w:rsidP="63D6FE18" w:rsidRDefault="34FCE4B7" w14:paraId="46A48FEA" w14:textId="453A2334">
      <w:pPr>
        <w:pStyle w:val="Normal"/>
        <w:pBdr>
          <w:top w:val="single" w:color="FF000000" w:sz="4" w:space="4"/>
          <w:left w:val="single" w:color="FF000000" w:sz="4" w:space="4"/>
          <w:bottom w:val="single" w:color="FF000000" w:sz="4" w:space="4"/>
          <w:right w:val="single" w:color="FF000000" w:sz="4" w:space="4"/>
        </w:pBdr>
        <w:shd w:val="clear" w:color="auto" w:fill="E8E8E8" w:themeFill="background2"/>
        <w:jc w:val="left"/>
        <w:rPr>
          <w:rFonts w:ascii="Arial Nova" w:hAnsi="Arial Nova" w:eastAsia="Arial Nova" w:cs="Arial Nova"/>
          <w:color w:val="215E99" w:themeColor="text2" w:themeTint="BF" w:themeShade="FF"/>
          <w:sz w:val="36"/>
          <w:szCs w:val="36"/>
        </w:rPr>
      </w:pPr>
      <w:r w:rsidRPr="63D6FE18" w:rsidR="34FCE4B7">
        <w:rPr>
          <w:rFonts w:ascii="Arial Nova" w:hAnsi="Arial Nova" w:eastAsia="Arial Nova" w:cs="Arial Nova"/>
          <w:b w:val="1"/>
          <w:bCs w:val="1"/>
          <w:color w:val="0E2841" w:themeColor="text2" w:themeTint="FF" w:themeShade="FF"/>
          <w:sz w:val="36"/>
          <w:szCs w:val="36"/>
        </w:rPr>
        <w:t>Student Numbe</w:t>
      </w:r>
      <w:r w:rsidRPr="63D6FE18" w:rsidR="34FCE4B7">
        <w:rPr>
          <w:rFonts w:ascii="Arial Nova" w:hAnsi="Arial Nova" w:eastAsia="Arial Nova" w:cs="Arial Nova"/>
          <w:color w:val="0E2841" w:themeColor="text2" w:themeTint="FF" w:themeShade="FF"/>
          <w:sz w:val="36"/>
          <w:szCs w:val="36"/>
        </w:rPr>
        <w:t>r</w:t>
      </w:r>
      <w:r w:rsidRPr="63D6FE18" w:rsidR="34FCE4B7">
        <w:rPr>
          <w:rFonts w:ascii="Arial Nova" w:hAnsi="Arial Nova" w:eastAsia="Arial Nova" w:cs="Arial Nova"/>
          <w:color w:val="215E99" w:themeColor="text2" w:themeTint="BF" w:themeShade="FF"/>
          <w:sz w:val="36"/>
          <w:szCs w:val="36"/>
        </w:rPr>
        <w:t>- 250</w:t>
      </w:r>
      <w:r w:rsidRPr="63D6FE18" w:rsidR="7A1FD5B6">
        <w:rPr>
          <w:rFonts w:ascii="Arial Nova" w:hAnsi="Arial Nova" w:eastAsia="Arial Nova" w:cs="Arial Nova"/>
          <w:color w:val="215E99" w:themeColor="text2" w:themeTint="BF" w:themeShade="FF"/>
          <w:sz w:val="36"/>
          <w:szCs w:val="36"/>
        </w:rPr>
        <w:t>09405</w:t>
      </w:r>
    </w:p>
    <w:p w:rsidR="63D6FE18" w:rsidP="63D6FE18" w:rsidRDefault="63D6FE18" w14:paraId="7A0E5BDC" w14:textId="4990D8ED">
      <w:pPr>
        <w:pStyle w:val="Normal"/>
      </w:pPr>
    </w:p>
    <w:p w:rsidR="63D6FE18" w:rsidP="63D6FE18" w:rsidRDefault="63D6FE18" w14:paraId="4D883204" w14:textId="7CFF39BD">
      <w:pPr>
        <w:pStyle w:val="Normal"/>
      </w:pPr>
    </w:p>
    <w:p w:rsidR="63D6FE18" w:rsidP="63D6FE18" w:rsidRDefault="63D6FE18" w14:paraId="20E94CB5" w14:textId="6A29BAEB">
      <w:pPr>
        <w:pStyle w:val="Normal"/>
      </w:pPr>
    </w:p>
    <w:p w:rsidR="63D6FE18" w:rsidP="63D6FE18" w:rsidRDefault="63D6FE18" w14:paraId="5051ECEF" w14:textId="11E1207E">
      <w:pPr>
        <w:pStyle w:val="Normal"/>
      </w:pPr>
    </w:p>
    <w:p w:rsidR="63D6FE18" w:rsidP="63D6FE18" w:rsidRDefault="63D6FE18" w14:paraId="50267243" w14:textId="0FA082B5">
      <w:pPr>
        <w:pStyle w:val="Normal"/>
      </w:pPr>
    </w:p>
    <w:p w:rsidR="63D6FE18" w:rsidP="63D6FE18" w:rsidRDefault="63D6FE18" w14:paraId="50B60A7B" w14:textId="603194BF">
      <w:pPr>
        <w:pStyle w:val="Normal"/>
      </w:pPr>
    </w:p>
    <w:p w:rsidR="63D6FE18" w:rsidP="63D6FE18" w:rsidRDefault="63D6FE18" w14:paraId="6031127C" w14:textId="68160D33">
      <w:pPr>
        <w:pStyle w:val="Normal"/>
      </w:pPr>
    </w:p>
    <w:p w:rsidR="63D6FE18" w:rsidP="63D6FE18" w:rsidRDefault="63D6FE18" w14:paraId="6B102C87" w14:textId="34610C1E">
      <w:pPr>
        <w:pStyle w:val="Normal"/>
      </w:pPr>
    </w:p>
    <w:p w:rsidR="63D6FE18" w:rsidP="63D6FE18" w:rsidRDefault="63D6FE18" w14:paraId="430DD692" w14:textId="6CF78AF3">
      <w:pPr>
        <w:pStyle w:val="Normal"/>
      </w:pPr>
    </w:p>
    <w:p w:rsidR="63D6FE18" w:rsidP="63D6FE18" w:rsidRDefault="63D6FE18" w14:paraId="5771BBFE" w14:textId="4E7F8C9B">
      <w:pPr>
        <w:pStyle w:val="Normal"/>
      </w:pPr>
    </w:p>
    <w:p w:rsidR="63D6FE18" w:rsidP="63D6FE18" w:rsidRDefault="63D6FE18" w14:paraId="1442A521" w14:textId="74735317">
      <w:pPr>
        <w:pStyle w:val="Normal"/>
      </w:pPr>
    </w:p>
    <w:p w:rsidR="63D6FE18" w:rsidP="63D6FE18" w:rsidRDefault="63D6FE18" w14:paraId="2F65CE9D" w14:textId="485F3775">
      <w:pPr>
        <w:pStyle w:val="Normal"/>
      </w:pPr>
    </w:p>
    <w:p w:rsidR="63D6FE18" w:rsidP="63D6FE18" w:rsidRDefault="63D6FE18" w14:paraId="7503DB34" w14:textId="74FE29EC">
      <w:pPr>
        <w:pStyle w:val="Normal"/>
      </w:pPr>
    </w:p>
    <w:p w:rsidR="63D6FE18" w:rsidP="63D6FE18" w:rsidRDefault="63D6FE18" w14:paraId="62989823" w14:textId="4BE24209">
      <w:pPr>
        <w:pStyle w:val="Normal"/>
      </w:pPr>
    </w:p>
    <w:p w:rsidR="63D6FE18" w:rsidP="63D6FE18" w:rsidRDefault="63D6FE18" w14:paraId="62C61AC8" w14:textId="0DF63D94">
      <w:pPr>
        <w:pStyle w:val="Normal"/>
      </w:pPr>
    </w:p>
    <w:p w:rsidR="63D6FE18" w:rsidP="63D6FE18" w:rsidRDefault="63D6FE18" w14:paraId="7F89D2B1" w14:textId="19CBC6CB">
      <w:pPr>
        <w:pStyle w:val="Normal"/>
      </w:pPr>
    </w:p>
    <w:p w:rsidR="1E29AD51" w:rsidP="63D6FE18" w:rsidRDefault="1E29AD51" w14:paraId="2A481D4B" w14:textId="7C52F4D6">
      <w:pPr>
        <w:pStyle w:val="Normal"/>
        <w:spacing w:before="0" w:beforeAutospacing="off" w:after="160" w:afterAutospacing="off" w:line="279" w:lineRule="auto"/>
        <w:ind w:left="0" w:right="0"/>
        <w:jc w:val="center"/>
        <w:rPr>
          <w:rFonts w:ascii="Arial Nova" w:hAnsi="Arial Nova" w:eastAsia="Arial Nova" w:cs="Arial Nova"/>
          <w:b w:val="1"/>
          <w:bCs w:val="1"/>
          <w:color w:val="0E2841" w:themeColor="text2" w:themeTint="FF" w:themeShade="FF"/>
          <w:sz w:val="20"/>
          <w:szCs w:val="20"/>
        </w:rPr>
      </w:pPr>
      <w:r w:rsidR="1E29AD51">
        <w:drawing>
          <wp:inline wp14:editId="7886C786" wp14:anchorId="4F8FFBBB">
            <wp:extent cx="4743450" cy="1849544"/>
            <wp:effectExtent l="0" t="0" r="0" b="0"/>
            <wp:docPr id="476384499" name="drawing" descr="Preswylfa Care Home, Rhyl © Eirian Evans cc-by-sa/2.0 :: Geograph ..."/>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4641623" name="Picture 1614641623"/>
                    <pic:cNvPicPr/>
                  </pic:nvPicPr>
                  <pic:blipFill>
                    <a:blip xmlns:r="http://schemas.openxmlformats.org/officeDocument/2006/relationships" r:embed="rId2085038778">
                      <a:extLst>
                        <a:ext uri="{28A0092B-C50C-407E-A947-70E740481C1C}">
                          <a14:useLocalDpi xmlns:a14="http://schemas.microsoft.com/office/drawing/2010/main"/>
                        </a:ext>
                      </a:extLst>
                    </a:blip>
                    <a:stretch>
                      <a:fillRect/>
                    </a:stretch>
                  </pic:blipFill>
                  <pic:spPr>
                    <a:xfrm rot="0">
                      <a:off x="0" y="0"/>
                      <a:ext cx="4743450" cy="1849544"/>
                    </a:xfrm>
                    <a:prstGeom prst="rect">
                      <a:avLst/>
                    </a:prstGeom>
                  </pic:spPr>
                </pic:pic>
              </a:graphicData>
            </a:graphic>
          </wp:inline>
        </w:drawing>
      </w:r>
    </w:p>
    <w:p w:rsidR="59CA994B" w:rsidP="63D6FE18" w:rsidRDefault="59CA994B" w14:paraId="5D98C192" w14:textId="579D4CB6">
      <w:pPr>
        <w:pStyle w:val="Normal"/>
        <w:shd w:val="clear" w:color="auto" w:fill="D9E2F3"/>
        <w:spacing w:before="0" w:beforeAutospacing="off" w:after="160" w:afterAutospacing="off" w:line="279" w:lineRule="auto"/>
        <w:ind w:left="0" w:right="0"/>
        <w:jc w:val="center"/>
        <w:rPr>
          <w:rFonts w:ascii="Arial Nova" w:hAnsi="Arial Nova" w:eastAsia="Arial Nova" w:cs="Arial Nova"/>
          <w:b w:val="1"/>
          <w:bCs w:val="1"/>
          <w:color w:val="0E2841" w:themeColor="text2" w:themeTint="FF" w:themeShade="FF"/>
          <w:sz w:val="20"/>
          <w:szCs w:val="20"/>
        </w:rPr>
      </w:pPr>
      <w:r w:rsidRPr="63D6FE18" w:rsidR="59CA994B">
        <w:rPr>
          <w:rFonts w:ascii="Arial Nova" w:hAnsi="Arial Nova" w:eastAsia="Arial Nova" w:cs="Arial Nova"/>
          <w:b w:val="1"/>
          <w:bCs w:val="1"/>
          <w:color w:val="0E2841" w:themeColor="text2" w:themeTint="FF" w:themeShade="FF"/>
          <w:sz w:val="20"/>
          <w:szCs w:val="20"/>
        </w:rPr>
        <w:t>Residential Care Homes</w:t>
      </w:r>
    </w:p>
    <w:p w:rsidR="4B7E45D8" w:rsidP="63D6FE18" w:rsidRDefault="4B7E45D8" w14:paraId="142576C2" w14:textId="3FC9B829">
      <w:pPr>
        <w:pStyle w:val="Normal"/>
        <w:jc w:val="both"/>
        <w:rPr>
          <w:rFonts w:ascii="Arial Nova" w:hAnsi="Arial Nova" w:eastAsia="Arial Nova" w:cs="Arial Nova"/>
          <w:noProof w:val="0"/>
          <w:color w:val="0E2841" w:themeColor="text2" w:themeTint="FF" w:themeShade="FF"/>
          <w:sz w:val="16"/>
          <w:szCs w:val="16"/>
          <w:lang w:val="en-GB"/>
        </w:rPr>
      </w:pPr>
      <w:r w:rsidRPr="63D6FE18" w:rsidR="4B7E45D8">
        <w:rPr>
          <w:rFonts w:ascii="Arial Nova" w:hAnsi="Arial Nova" w:eastAsia="Arial Nova" w:cs="Arial Nova"/>
          <w:b w:val="0"/>
          <w:bCs w:val="0"/>
          <w:color w:val="0E2841" w:themeColor="text2" w:themeTint="FF" w:themeShade="FF"/>
          <w:sz w:val="16"/>
          <w:szCs w:val="16"/>
        </w:rPr>
        <w:t xml:space="preserve">Residential care homes play </w:t>
      </w:r>
      <w:r w:rsidRPr="63D6FE18" w:rsidR="4B7E45D8">
        <w:rPr>
          <w:rFonts w:ascii="Arial Nova" w:hAnsi="Arial Nova" w:eastAsia="Arial Nova" w:cs="Arial Nova"/>
          <w:b w:val="0"/>
          <w:bCs w:val="0"/>
          <w:color w:val="0E2841" w:themeColor="text2" w:themeTint="FF" w:themeShade="FF"/>
          <w:sz w:val="16"/>
          <w:szCs w:val="16"/>
        </w:rPr>
        <w:t>a central role</w:t>
      </w:r>
      <w:r w:rsidRPr="63D6FE18" w:rsidR="4B7E45D8">
        <w:rPr>
          <w:rFonts w:ascii="Arial Nova" w:hAnsi="Arial Nova" w:eastAsia="Arial Nova" w:cs="Arial Nova"/>
          <w:b w:val="0"/>
          <w:bCs w:val="0"/>
          <w:color w:val="0E2841" w:themeColor="text2" w:themeTint="FF" w:themeShade="FF"/>
          <w:sz w:val="16"/>
          <w:szCs w:val="16"/>
        </w:rPr>
        <w:t xml:space="preserve"> in supporting individuals who are unable to live independently due to age, disability, frailty, or long-term health conditions. They provide accommodation alongside personal care within a structured and supervised setting. As the UK population ages, demand for residential care continues to rise, increasing pressure on services and workforce capacity (Office for National Statistics (ONS), 2023). This poster outlines what residential care homes are, their historical development, how they function today, and the key challenges they face. It also explores the importance of effective consultation when assessing senior patients in their own homes. Residential care homes provide 24-hour personal care and supervision for individuals who require </w:t>
      </w:r>
      <w:r w:rsidRPr="63D6FE18" w:rsidR="4B7E45D8">
        <w:rPr>
          <w:rFonts w:ascii="Arial Nova" w:hAnsi="Arial Nova" w:eastAsia="Arial Nova" w:cs="Arial Nova"/>
          <w:b w:val="0"/>
          <w:bCs w:val="0"/>
          <w:color w:val="0E2841" w:themeColor="text2" w:themeTint="FF" w:themeShade="FF"/>
          <w:sz w:val="16"/>
          <w:szCs w:val="16"/>
        </w:rPr>
        <w:t>assistance</w:t>
      </w:r>
      <w:r w:rsidRPr="63D6FE18" w:rsidR="4B7E45D8">
        <w:rPr>
          <w:rFonts w:ascii="Arial Nova" w:hAnsi="Arial Nova" w:eastAsia="Arial Nova" w:cs="Arial Nova"/>
          <w:b w:val="0"/>
          <w:bCs w:val="0"/>
          <w:color w:val="0E2841" w:themeColor="text2" w:themeTint="FF" w:themeShade="FF"/>
          <w:sz w:val="16"/>
          <w:szCs w:val="16"/>
        </w:rPr>
        <w:t xml:space="preserve"> with activities of daily living. These services include help with washing, dressing, eating, mobility, and medication management (Care Quality Commission (CQC), 2023). Unlike nursing homes, residential homes do not usually provide ongoing clinical nursing care but focus primarily on personal support and wellbeing. The core aim of residential care is to promote dignity, independence, safety, and quality of life within a communal environment. Residents typically have private rooms while sharing dining and recreational areas. Social interaction and structured activities are encouraged to reduce loneliness and promote mental wellbeing (Department of Health and Social Care (DHSC), 2022). In England, care homes are regulated by the Care Quality Commission, which inspects and rates services to ensure they are safe, effective, caring, responsive, and well-led (CQC, 2023). This regulatory framework aims to safeguard vulnerable adults and </w:t>
      </w:r>
      <w:r w:rsidRPr="63D6FE18" w:rsidR="4B7E45D8">
        <w:rPr>
          <w:rFonts w:ascii="Arial Nova" w:hAnsi="Arial Nova" w:eastAsia="Arial Nova" w:cs="Arial Nova"/>
          <w:b w:val="0"/>
          <w:bCs w:val="0"/>
          <w:color w:val="0E2841" w:themeColor="text2" w:themeTint="FF" w:themeShade="FF"/>
          <w:sz w:val="16"/>
          <w:szCs w:val="16"/>
        </w:rPr>
        <w:t>maintain</w:t>
      </w:r>
      <w:r w:rsidRPr="63D6FE18" w:rsidR="4B7E45D8">
        <w:rPr>
          <w:rFonts w:ascii="Arial Nova" w:hAnsi="Arial Nova" w:eastAsia="Arial Nova" w:cs="Arial Nova"/>
          <w:b w:val="0"/>
          <w:bCs w:val="0"/>
          <w:color w:val="0E2841" w:themeColor="text2" w:themeTint="FF" w:themeShade="FF"/>
          <w:sz w:val="16"/>
          <w:szCs w:val="16"/>
        </w:rPr>
        <w:t xml:space="preserve"> </w:t>
      </w:r>
      <w:r w:rsidRPr="63D6FE18" w:rsidR="4B7E45D8">
        <w:rPr>
          <w:rFonts w:ascii="Arial Nova" w:hAnsi="Arial Nova" w:eastAsia="Arial Nova" w:cs="Arial Nova"/>
          <w:b w:val="0"/>
          <w:bCs w:val="0"/>
          <w:color w:val="0E2841" w:themeColor="text2" w:themeTint="FF" w:themeShade="FF"/>
          <w:sz w:val="16"/>
          <w:szCs w:val="16"/>
        </w:rPr>
        <w:t>minimum</w:t>
      </w:r>
      <w:r w:rsidRPr="63D6FE18" w:rsidR="4B7E45D8">
        <w:rPr>
          <w:rFonts w:ascii="Arial Nova" w:hAnsi="Arial Nova" w:eastAsia="Arial Nova" w:cs="Arial Nova"/>
          <w:b w:val="0"/>
          <w:bCs w:val="0"/>
          <w:color w:val="0E2841" w:themeColor="text2" w:themeTint="FF" w:themeShade="FF"/>
          <w:sz w:val="16"/>
          <w:szCs w:val="16"/>
        </w:rPr>
        <w:t xml:space="preserve"> standards of care</w:t>
      </w:r>
      <w:r w:rsidRPr="63D6FE18" w:rsidR="4B7E45D8">
        <w:rPr>
          <w:rFonts w:ascii="Arial Nova" w:hAnsi="Arial Nova" w:eastAsia="Arial Nova" w:cs="Arial Nova"/>
          <w:b w:val="0"/>
          <w:bCs w:val="0"/>
          <w:color w:val="0E2841" w:themeColor="text2" w:themeTint="FF" w:themeShade="FF"/>
          <w:sz w:val="16"/>
          <w:szCs w:val="16"/>
        </w:rPr>
        <w:t xml:space="preserve">.  </w:t>
      </w:r>
      <w:r w:rsidRPr="63D6FE18" w:rsidR="4B7E45D8">
        <w:rPr>
          <w:rFonts w:ascii="Arial Nova" w:hAnsi="Arial Nova" w:eastAsia="Arial Nova" w:cs="Arial Nova"/>
          <w:b w:val="0"/>
          <w:bCs w:val="0"/>
          <w:color w:val="0E2841" w:themeColor="text2" w:themeTint="FF" w:themeShade="FF"/>
          <w:sz w:val="16"/>
          <w:szCs w:val="16"/>
        </w:rPr>
        <w:t xml:space="preserve">Assessment should consider physical health, cognitive function, emotional wellbeing, environmental risks, and social support networks (DHSC, 2022). Practitioners must remain alert to signs of neglect, abuse, self-neglect, or medication mismanagement. Safeguarding referrals should be made where </w:t>
      </w:r>
      <w:r w:rsidRPr="63D6FE18" w:rsidR="4B7E45D8">
        <w:rPr>
          <w:rFonts w:ascii="Arial Nova" w:hAnsi="Arial Nova" w:eastAsia="Arial Nova" w:cs="Arial Nova"/>
          <w:b w:val="0"/>
          <w:bCs w:val="0"/>
          <w:color w:val="0E2841" w:themeColor="text2" w:themeTint="FF" w:themeShade="FF"/>
          <w:sz w:val="16"/>
          <w:szCs w:val="16"/>
        </w:rPr>
        <w:t>appropriate (</w:t>
      </w:r>
      <w:r w:rsidRPr="63D6FE18" w:rsidR="4B7E45D8">
        <w:rPr>
          <w:rFonts w:ascii="Arial Nova" w:hAnsi="Arial Nova" w:eastAsia="Arial Nova" w:cs="Arial Nova"/>
          <w:b w:val="0"/>
          <w:bCs w:val="0"/>
          <w:color w:val="0E2841" w:themeColor="text2" w:themeTint="FF" w:themeShade="FF"/>
          <w:sz w:val="16"/>
          <w:szCs w:val="16"/>
        </w:rPr>
        <w:t>CQC, 2023). The adult social care sector experiences high vacancy and turnover rates. Care work is often physically demanding and comparatively low paid, affecting staff morale and continuity of care (Skills for Care, 2023). Workforce shortages can compromise quality and increase reliance on agency staff.</w:t>
      </w:r>
      <w:r w:rsidRPr="63D6FE18" w:rsidR="5CE83B2D">
        <w:rPr>
          <w:rFonts w:ascii="Arial Nova" w:hAnsi="Arial Nova" w:eastAsia="Arial Nova" w:cs="Arial Nova"/>
          <w:b w:val="0"/>
          <w:bCs w:val="0"/>
          <w:color w:val="0E2841" w:themeColor="text2" w:themeTint="FF" w:themeShade="FF"/>
          <w:sz w:val="16"/>
          <w:szCs w:val="16"/>
        </w:rPr>
        <w:t xml:space="preserve"> </w:t>
      </w:r>
      <w:r w:rsidRPr="63D6FE18" w:rsidR="5CE83B2D">
        <w:rPr>
          <w:rFonts w:ascii="Arial Nova" w:hAnsi="Arial Nova" w:eastAsia="Arial Nova" w:cs="Arial Nova"/>
          <w:noProof w:val="0"/>
          <w:color w:val="0E2841" w:themeColor="text2" w:themeTint="FF" w:themeShade="FF"/>
          <w:sz w:val="16"/>
          <w:szCs w:val="16"/>
          <w:lang w:val="en-GB"/>
        </w:rPr>
        <w:t xml:space="preserve">Residential care homes provide 24-hour personal care and supervision for individuals who require </w:t>
      </w:r>
      <w:r w:rsidRPr="63D6FE18" w:rsidR="5CE83B2D">
        <w:rPr>
          <w:rFonts w:ascii="Arial Nova" w:hAnsi="Arial Nova" w:eastAsia="Arial Nova" w:cs="Arial Nova"/>
          <w:noProof w:val="0"/>
          <w:color w:val="0E2841" w:themeColor="text2" w:themeTint="FF" w:themeShade="FF"/>
          <w:sz w:val="16"/>
          <w:szCs w:val="16"/>
          <w:lang w:val="en-GB"/>
        </w:rPr>
        <w:t>assistance</w:t>
      </w:r>
      <w:r w:rsidRPr="63D6FE18" w:rsidR="5CE83B2D">
        <w:rPr>
          <w:rFonts w:ascii="Arial Nova" w:hAnsi="Arial Nova" w:eastAsia="Arial Nova" w:cs="Arial Nova"/>
          <w:noProof w:val="0"/>
          <w:color w:val="0E2841" w:themeColor="text2" w:themeTint="FF" w:themeShade="FF"/>
          <w:sz w:val="16"/>
          <w:szCs w:val="16"/>
          <w:lang w:val="en-GB"/>
        </w:rPr>
        <w:t xml:space="preserve"> with activities of daily living. These services include help with washing, dressing, eating, mobility, and medication management (Care Quality Commission (CQC), 2023). Unlike nursing homes, residential homes do not usually provide ongoing clinical nursing care but focus primarily on personal support and wellbeing. The core aim of residential care is to promote dignity, independence, safety, and quality of life within a communal environment. Residents typically have private rooms while sharing dining and recreational areas. Social interaction and structured activities are encouraged to reduce loneliness and promote mental wellbeing (Department of Health and Social Care (DHSC), 2022). Historically, care for older and vulnerable individuals was </w:t>
      </w:r>
      <w:r w:rsidRPr="63D6FE18" w:rsidR="5CE83B2D">
        <w:rPr>
          <w:rFonts w:ascii="Arial Nova" w:hAnsi="Arial Nova" w:eastAsia="Arial Nova" w:cs="Arial Nova"/>
          <w:noProof w:val="0"/>
          <w:color w:val="0E2841" w:themeColor="text2" w:themeTint="FF" w:themeShade="FF"/>
          <w:sz w:val="16"/>
          <w:szCs w:val="16"/>
          <w:lang w:val="en-GB"/>
        </w:rPr>
        <w:t>largely informal</w:t>
      </w:r>
      <w:r w:rsidRPr="63D6FE18" w:rsidR="5CE83B2D">
        <w:rPr>
          <w:rFonts w:ascii="Arial Nova" w:hAnsi="Arial Nova" w:eastAsia="Arial Nova" w:cs="Arial Nova"/>
          <w:noProof w:val="0"/>
          <w:color w:val="0E2841" w:themeColor="text2" w:themeTint="FF" w:themeShade="FF"/>
          <w:sz w:val="16"/>
          <w:szCs w:val="16"/>
          <w:lang w:val="en-GB"/>
        </w:rPr>
        <w:t xml:space="preserve">, provided by family members or through charitable and Poor Law institutions. Workhouses in the 19th and early 20th centuries offered basic shelter but were often associated with stigma and limited personal dignity (Means, </w:t>
      </w:r>
      <w:r w:rsidRPr="63D6FE18" w:rsidR="5CE83B2D">
        <w:rPr>
          <w:rFonts w:ascii="Arial Nova" w:hAnsi="Arial Nova" w:eastAsia="Arial Nova" w:cs="Arial Nova"/>
          <w:noProof w:val="0"/>
          <w:color w:val="0E2841" w:themeColor="text2" w:themeTint="FF" w:themeShade="FF"/>
          <w:sz w:val="16"/>
          <w:szCs w:val="16"/>
          <w:lang w:val="en-GB"/>
        </w:rPr>
        <w:t>Richards</w:t>
      </w:r>
      <w:r w:rsidRPr="63D6FE18" w:rsidR="5CE83B2D">
        <w:rPr>
          <w:rFonts w:ascii="Arial Nova" w:hAnsi="Arial Nova" w:eastAsia="Arial Nova" w:cs="Arial Nova"/>
          <w:noProof w:val="0"/>
          <w:color w:val="0E2841" w:themeColor="text2" w:themeTint="FF" w:themeShade="FF"/>
          <w:sz w:val="16"/>
          <w:szCs w:val="16"/>
          <w:lang w:val="en-GB"/>
        </w:rPr>
        <w:t xml:space="preserve"> and Smith, 2008). A significant turning point occurred with the publication of the Seebohm Report, which recommended unified local authority social services to improve coordination and quality (Seebohm, 1968). This led to major reforms in how social care was organised and delivered. Individualised care planning based on assessed needs (National Institute for Health and Care Excellence (NICE), 2021) Risk assessments addressing falls, nutrition, and medication Safeguarding procedures to protect vulnerable adults (DHSC, 2022). Medication administration records (MAR charts). Social and recreational activities to promote wellbeing. Coordination with GPs and community health teams. Consulting with senior patients in their own homes is an important aspect of preventative and community-based care. Effective home assessments can delay or prevent admission to residential care by </w:t>
      </w:r>
      <w:r w:rsidRPr="63D6FE18" w:rsidR="5CE83B2D">
        <w:rPr>
          <w:rFonts w:ascii="Arial Nova" w:hAnsi="Arial Nova" w:eastAsia="Arial Nova" w:cs="Arial Nova"/>
          <w:noProof w:val="0"/>
          <w:color w:val="0E2841" w:themeColor="text2" w:themeTint="FF" w:themeShade="FF"/>
          <w:sz w:val="16"/>
          <w:szCs w:val="16"/>
          <w:lang w:val="en-GB"/>
        </w:rPr>
        <w:t>identifying</w:t>
      </w:r>
      <w:r w:rsidRPr="63D6FE18" w:rsidR="5CE83B2D">
        <w:rPr>
          <w:rFonts w:ascii="Arial Nova" w:hAnsi="Arial Nova" w:eastAsia="Arial Nova" w:cs="Arial Nova"/>
          <w:noProof w:val="0"/>
          <w:color w:val="0E2841" w:themeColor="text2" w:themeTint="FF" w:themeShade="FF"/>
          <w:sz w:val="16"/>
          <w:szCs w:val="16"/>
          <w:lang w:val="en-GB"/>
        </w:rPr>
        <w:t xml:space="preserve"> risks early and implementing supportive interventions (NICE, 2021). A home consultation should include Professionals must communicate clearly, allow adequate time for responses, and respect the individual’s autonomy. Shared decision-making enhances trust and engagement (NICE, 2021). Many providers face financial instability due to rising operational costs, inflation, and limited local authority funding (The King’s Fund, 2023). Smaller providers are particularly vulnerable to closure, reducing available placements. Residential care homes </w:t>
      </w:r>
      <w:r w:rsidRPr="63D6FE18" w:rsidR="5CE83B2D">
        <w:rPr>
          <w:rFonts w:ascii="Arial Nova" w:hAnsi="Arial Nova" w:eastAsia="Arial Nova" w:cs="Arial Nova"/>
          <w:noProof w:val="0"/>
          <w:color w:val="0E2841" w:themeColor="text2" w:themeTint="FF" w:themeShade="FF"/>
          <w:sz w:val="16"/>
          <w:szCs w:val="16"/>
          <w:lang w:val="en-GB"/>
        </w:rPr>
        <w:t>remain</w:t>
      </w:r>
      <w:r w:rsidRPr="63D6FE18" w:rsidR="5CE83B2D">
        <w:rPr>
          <w:rFonts w:ascii="Arial Nova" w:hAnsi="Arial Nova" w:eastAsia="Arial Nova" w:cs="Arial Nova"/>
          <w:noProof w:val="0"/>
          <w:color w:val="0E2841" w:themeColor="text2" w:themeTint="FF" w:themeShade="FF"/>
          <w:sz w:val="16"/>
          <w:szCs w:val="16"/>
          <w:lang w:val="en-GB"/>
        </w:rPr>
        <w:t xml:space="preserve"> a fundamental </w:t>
      </w:r>
      <w:r w:rsidRPr="63D6FE18" w:rsidR="5CE83B2D">
        <w:rPr>
          <w:rFonts w:ascii="Arial Nova" w:hAnsi="Arial Nova" w:eastAsia="Arial Nova" w:cs="Arial Nova"/>
          <w:noProof w:val="0"/>
          <w:color w:val="0E2841" w:themeColor="text2" w:themeTint="FF" w:themeShade="FF"/>
          <w:sz w:val="16"/>
          <w:szCs w:val="16"/>
          <w:lang w:val="en-GB"/>
        </w:rPr>
        <w:t>component</w:t>
      </w:r>
      <w:r w:rsidRPr="63D6FE18" w:rsidR="5CE83B2D">
        <w:rPr>
          <w:rFonts w:ascii="Arial Nova" w:hAnsi="Arial Nova" w:eastAsia="Arial Nova" w:cs="Arial Nova"/>
          <w:noProof w:val="0"/>
          <w:color w:val="0E2841" w:themeColor="text2" w:themeTint="FF" w:themeShade="FF"/>
          <w:sz w:val="16"/>
          <w:szCs w:val="16"/>
          <w:lang w:val="en-GB"/>
        </w:rPr>
        <w:t xml:space="preserve"> of the UK social care system, providing safety, structured support, and companionship for individuals unable to live independently. The sector has evolved significantly from institutional beginnings towards regulated, person-centred models of care focused on dignity and wellbeing.</w:t>
      </w:r>
    </w:p>
    <w:p w:rsidR="63D6FE18" w:rsidP="63D6FE18" w:rsidRDefault="63D6FE18" w14:paraId="038917A3" w14:textId="4FE91A25">
      <w:pPr>
        <w:pStyle w:val="Normal"/>
        <w:jc w:val="left"/>
        <w:rPr>
          <w:rFonts w:ascii="Arial Nova" w:hAnsi="Arial Nova" w:eastAsia="Arial Nova" w:cs="Arial Nova"/>
          <w:b w:val="0"/>
          <w:bCs w:val="0"/>
          <w:color w:val="0E2841" w:themeColor="text2" w:themeTint="FF" w:themeShade="FF"/>
          <w:sz w:val="20"/>
          <w:szCs w:val="20"/>
        </w:rPr>
      </w:pPr>
    </w:p>
    <w:p w:rsidR="287D6E70" w:rsidP="63D6FE18" w:rsidRDefault="287D6E70" w14:paraId="70688EC5" w14:textId="1A2AD71E">
      <w:pPr>
        <w:pStyle w:val="Normal"/>
        <w:jc w:val="center"/>
        <w:rPr>
          <w:rFonts w:ascii="Aptos" w:hAnsi="Aptos" w:eastAsia="Aptos" w:cs="Aptos"/>
          <w:b w:val="1"/>
          <w:bCs w:val="1"/>
          <w:color w:val="000000" w:themeColor="text1" w:themeTint="FF" w:themeShade="FF"/>
          <w:sz w:val="28"/>
          <w:szCs w:val="28"/>
        </w:rPr>
      </w:pPr>
      <w:r w:rsidRPr="63D6FE18" w:rsidR="287D6E70">
        <w:rPr>
          <w:rFonts w:ascii="Aptos" w:hAnsi="Aptos" w:eastAsia="Aptos" w:cs="Aptos"/>
          <w:b w:val="1"/>
          <w:bCs w:val="1"/>
          <w:color w:val="000000" w:themeColor="text1" w:themeTint="FF" w:themeShade="FF"/>
          <w:sz w:val="28"/>
          <w:szCs w:val="28"/>
        </w:rPr>
        <w:t>The Development and Contemporary Role of the London Ambulance Service</w:t>
      </w:r>
    </w:p>
    <w:p w:rsidR="63D6FE18" w:rsidP="63D6FE18" w:rsidRDefault="63D6FE18" w14:paraId="780C1EB8" w14:textId="11F00407">
      <w:pPr>
        <w:pStyle w:val="Normal"/>
        <w:jc w:val="both"/>
        <w:rPr>
          <w:rFonts w:ascii="Aptos" w:hAnsi="Aptos" w:eastAsia="Aptos" w:cs="Aptos"/>
          <w:b w:val="1"/>
          <w:bCs w:val="1"/>
          <w:color w:val="000000" w:themeColor="text1" w:themeTint="FF" w:themeShade="FF"/>
          <w:sz w:val="28"/>
          <w:szCs w:val="28"/>
        </w:rPr>
      </w:pPr>
    </w:p>
    <w:p w:rsidR="287D6E70" w:rsidP="63D6FE18" w:rsidRDefault="287D6E70" w14:paraId="6C82950C" w14:textId="090DBC82">
      <w:pPr>
        <w:pStyle w:val="Normal"/>
        <w:jc w:val="both"/>
        <w:rPr>
          <w:rFonts w:ascii="Aptos" w:hAnsi="Aptos" w:eastAsia="Aptos" w:cs="Aptos"/>
          <w:b w:val="0"/>
          <w:bCs w:val="0"/>
          <w:color w:val="000000" w:themeColor="text1" w:themeTint="FF" w:themeShade="FF"/>
          <w:sz w:val="24"/>
          <w:szCs w:val="24"/>
        </w:rPr>
      </w:pPr>
      <w:r w:rsidRPr="63D6FE18" w:rsidR="287D6E70">
        <w:rPr>
          <w:rFonts w:ascii="Aptos" w:hAnsi="Aptos" w:eastAsia="Aptos" w:cs="Aptos"/>
          <w:b w:val="0"/>
          <w:bCs w:val="0"/>
          <w:color w:val="000000" w:themeColor="text1" w:themeTint="FF" w:themeShade="FF"/>
          <w:sz w:val="24"/>
          <w:szCs w:val="24"/>
        </w:rPr>
        <w:t xml:space="preserve">Ambulance services are </w:t>
      </w:r>
      <w:r w:rsidRPr="63D6FE18" w:rsidR="287D6E70">
        <w:rPr>
          <w:rFonts w:ascii="Aptos" w:hAnsi="Aptos" w:eastAsia="Aptos" w:cs="Aptos"/>
          <w:b w:val="0"/>
          <w:bCs w:val="0"/>
          <w:color w:val="000000" w:themeColor="text1" w:themeTint="FF" w:themeShade="FF"/>
          <w:sz w:val="24"/>
          <w:szCs w:val="24"/>
        </w:rPr>
        <w:t>a central component</w:t>
      </w:r>
      <w:r w:rsidRPr="63D6FE18" w:rsidR="287D6E70">
        <w:rPr>
          <w:rFonts w:ascii="Aptos" w:hAnsi="Aptos" w:eastAsia="Aptos" w:cs="Aptos"/>
          <w:b w:val="0"/>
          <w:bCs w:val="0"/>
          <w:color w:val="000000" w:themeColor="text1" w:themeTint="FF" w:themeShade="FF"/>
          <w:sz w:val="24"/>
          <w:szCs w:val="24"/>
        </w:rPr>
        <w:t xml:space="preserve"> of the United Kingdom’s healthcare system, delivering urgent pre-hospital assessment, </w:t>
      </w:r>
      <w:r w:rsidRPr="63D6FE18" w:rsidR="287D6E70">
        <w:rPr>
          <w:rFonts w:ascii="Aptos" w:hAnsi="Aptos" w:eastAsia="Aptos" w:cs="Aptos"/>
          <w:b w:val="0"/>
          <w:bCs w:val="0"/>
          <w:color w:val="000000" w:themeColor="text1" w:themeTint="FF" w:themeShade="FF"/>
          <w:sz w:val="24"/>
          <w:szCs w:val="24"/>
        </w:rPr>
        <w:t>treatment</w:t>
      </w:r>
      <w:r w:rsidRPr="63D6FE18" w:rsidR="287D6E70">
        <w:rPr>
          <w:rFonts w:ascii="Aptos" w:hAnsi="Aptos" w:eastAsia="Aptos" w:cs="Aptos"/>
          <w:b w:val="0"/>
          <w:bCs w:val="0"/>
          <w:color w:val="000000" w:themeColor="text1" w:themeTint="FF" w:themeShade="FF"/>
          <w:sz w:val="24"/>
          <w:szCs w:val="24"/>
        </w:rPr>
        <w:t xml:space="preserve"> and transport. Among these, the London Ambulance Service (LAS) is one of the largest and busiest in the world. This essay explores the origins of the service within its historical context, critically evaluates how it functions today, and discusses its significance in enhancing the quality of life of service users.</w:t>
      </w:r>
    </w:p>
    <w:p w:rsidR="287D6E70" w:rsidP="63D6FE18" w:rsidRDefault="287D6E70" w14:paraId="3B723425" w14:textId="7D04DD02">
      <w:pPr>
        <w:pStyle w:val="Normal"/>
        <w:jc w:val="both"/>
        <w:rPr>
          <w:rFonts w:ascii="Aptos" w:hAnsi="Aptos" w:eastAsia="Aptos" w:cs="Aptos"/>
          <w:b w:val="0"/>
          <w:bCs w:val="0"/>
          <w:color w:val="000000" w:themeColor="text1" w:themeTint="FF" w:themeShade="FF"/>
          <w:sz w:val="24"/>
          <w:szCs w:val="24"/>
        </w:rPr>
      </w:pPr>
      <w:r w:rsidRPr="63D6FE18" w:rsidR="287D6E70">
        <w:rPr>
          <w:rFonts w:ascii="Aptos" w:hAnsi="Aptos" w:eastAsia="Aptos" w:cs="Aptos"/>
          <w:b w:val="0"/>
          <w:bCs w:val="0"/>
          <w:color w:val="000000" w:themeColor="text1" w:themeTint="FF" w:themeShade="FF"/>
          <w:sz w:val="24"/>
          <w:szCs w:val="24"/>
        </w:rPr>
        <w:t>The origins of organised ambulance provision in London date back to the nineteenth century, a period shaped by rapid industrialisation, overcrowding and recurring infectious disease outbreaks. Before formal ambulance systems, injured or ill individuals were transported by police or in makeshift vehicles, often without medical care. In 1879, the Metropolitan Asylums Board introduced horse-drawn ambulances to convey patients with infectious diseases to isolation hospitals (Woollard, 2009). This development occurred alongside broader public health reforms, including the Public Health Acts, which reflected a growing state responsibility for safeguarding population health (Baggott, 2011). The early ambulance service was therefore rooted in social reform and disease control rather than emergency trauma care. Following the establishment of the National Health Service in 1948, ambulance services were incorporated into a nationally funded healthcare system, formalising their role within universal healthcare provision (Department of Health and Social Care, 2018).</w:t>
      </w:r>
    </w:p>
    <w:p w:rsidR="287D6E70" w:rsidP="63D6FE18" w:rsidRDefault="287D6E70" w14:paraId="30979D79" w14:textId="70B95D1C">
      <w:pPr>
        <w:pStyle w:val="Normal"/>
        <w:jc w:val="both"/>
        <w:rPr>
          <w:rFonts w:ascii="Aptos" w:hAnsi="Aptos" w:eastAsia="Aptos" w:cs="Aptos"/>
          <w:b w:val="0"/>
          <w:bCs w:val="0"/>
          <w:color w:val="000000" w:themeColor="text1" w:themeTint="FF" w:themeShade="FF"/>
          <w:sz w:val="24"/>
          <w:szCs w:val="24"/>
        </w:rPr>
      </w:pPr>
      <w:r w:rsidRPr="63D6FE18" w:rsidR="287D6E70">
        <w:rPr>
          <w:rFonts w:ascii="Aptos" w:hAnsi="Aptos" w:eastAsia="Aptos" w:cs="Aptos"/>
          <w:b w:val="0"/>
          <w:bCs w:val="0"/>
          <w:color w:val="000000" w:themeColor="text1" w:themeTint="FF" w:themeShade="FF"/>
          <w:sz w:val="24"/>
          <w:szCs w:val="24"/>
        </w:rPr>
        <w:t xml:space="preserve">Historically, ambulance crews were primarily responsible for transportation rather than clinical intervention. However, advances in resuscitation science and emergency medicine during the late twentieth century reshaped the profession. The development of paramedic training enabled ambulance clinicians to provide advanced life support at the scene, improving outcomes in time-critical conditions such as cardiac arrest (NHS England, 2019). This shift reflected an evidence-based approach to pre-hospital care, emphasising early intervention to reduce morbidity and mortality (College of Paramedics, 2021). Consequently, the LAS evolved into a mobile healthcare provider delivering assessment, </w:t>
      </w:r>
      <w:r w:rsidRPr="63D6FE18" w:rsidR="287D6E70">
        <w:rPr>
          <w:rFonts w:ascii="Aptos" w:hAnsi="Aptos" w:eastAsia="Aptos" w:cs="Aptos"/>
          <w:b w:val="0"/>
          <w:bCs w:val="0"/>
          <w:color w:val="000000" w:themeColor="text1" w:themeTint="FF" w:themeShade="FF"/>
          <w:sz w:val="24"/>
          <w:szCs w:val="24"/>
        </w:rPr>
        <w:t>treatment</w:t>
      </w:r>
      <w:r w:rsidRPr="63D6FE18" w:rsidR="287D6E70">
        <w:rPr>
          <w:rFonts w:ascii="Aptos" w:hAnsi="Aptos" w:eastAsia="Aptos" w:cs="Aptos"/>
          <w:b w:val="0"/>
          <w:bCs w:val="0"/>
          <w:color w:val="000000" w:themeColor="text1" w:themeTint="FF" w:themeShade="FF"/>
          <w:sz w:val="24"/>
          <w:szCs w:val="24"/>
        </w:rPr>
        <w:t xml:space="preserve"> and referral in community settings.</w:t>
      </w:r>
    </w:p>
    <w:p w:rsidR="287D6E70" w:rsidP="63D6FE18" w:rsidRDefault="287D6E70" w14:paraId="10F61C13" w14:textId="3B924037">
      <w:pPr>
        <w:pStyle w:val="Normal"/>
        <w:jc w:val="both"/>
        <w:rPr>
          <w:rFonts w:ascii="Aptos" w:hAnsi="Aptos" w:eastAsia="Aptos" w:cs="Aptos"/>
          <w:b w:val="0"/>
          <w:bCs w:val="0"/>
          <w:color w:val="000000" w:themeColor="text1" w:themeTint="FF" w:themeShade="FF"/>
          <w:sz w:val="24"/>
          <w:szCs w:val="24"/>
        </w:rPr>
      </w:pPr>
      <w:r w:rsidRPr="63D6FE18" w:rsidR="287D6E70">
        <w:rPr>
          <w:rFonts w:ascii="Aptos" w:hAnsi="Aptos" w:eastAsia="Aptos" w:cs="Aptos"/>
          <w:b w:val="0"/>
          <w:bCs w:val="0"/>
          <w:color w:val="000000" w:themeColor="text1" w:themeTint="FF" w:themeShade="FF"/>
          <w:sz w:val="24"/>
          <w:szCs w:val="24"/>
        </w:rPr>
        <w:t xml:space="preserve">Today, the London Ambulance Service serves over nine million residents and responds to millions of calls annually. Calls are triaged through the 999 and NHS 111 systems using clinical decision support software to prioritise cases according to urgency. The service </w:t>
      </w:r>
      <w:r w:rsidRPr="63D6FE18" w:rsidR="287D6E70">
        <w:rPr>
          <w:rFonts w:ascii="Aptos" w:hAnsi="Aptos" w:eastAsia="Aptos" w:cs="Aptos"/>
          <w:b w:val="0"/>
          <w:bCs w:val="0"/>
          <w:color w:val="000000" w:themeColor="text1" w:themeTint="FF" w:themeShade="FF"/>
          <w:sz w:val="24"/>
          <w:szCs w:val="24"/>
        </w:rPr>
        <w:t>operates</w:t>
      </w:r>
      <w:r w:rsidRPr="63D6FE18" w:rsidR="287D6E70">
        <w:rPr>
          <w:rFonts w:ascii="Aptos" w:hAnsi="Aptos" w:eastAsia="Aptos" w:cs="Aptos"/>
          <w:b w:val="0"/>
          <w:bCs w:val="0"/>
          <w:color w:val="000000" w:themeColor="text1" w:themeTint="FF" w:themeShade="FF"/>
          <w:sz w:val="24"/>
          <w:szCs w:val="24"/>
        </w:rPr>
        <w:t xml:space="preserve"> a range of response models, including rapid response cars, advanced paramedic </w:t>
      </w:r>
      <w:r w:rsidRPr="63D6FE18" w:rsidR="287D6E70">
        <w:rPr>
          <w:rFonts w:ascii="Aptos" w:hAnsi="Aptos" w:eastAsia="Aptos" w:cs="Aptos"/>
          <w:b w:val="0"/>
          <w:bCs w:val="0"/>
          <w:color w:val="000000" w:themeColor="text1" w:themeTint="FF" w:themeShade="FF"/>
          <w:sz w:val="24"/>
          <w:szCs w:val="24"/>
        </w:rPr>
        <w:t>practitioners</w:t>
      </w:r>
      <w:r w:rsidRPr="63D6FE18" w:rsidR="287D6E70">
        <w:rPr>
          <w:rFonts w:ascii="Aptos" w:hAnsi="Aptos" w:eastAsia="Aptos" w:cs="Aptos"/>
          <w:b w:val="0"/>
          <w:bCs w:val="0"/>
          <w:color w:val="000000" w:themeColor="text1" w:themeTint="FF" w:themeShade="FF"/>
          <w:sz w:val="24"/>
          <w:szCs w:val="24"/>
        </w:rPr>
        <w:t xml:space="preserve"> and specialist teams for major incidents. Increasingly, the LAS adopts ‘see and treat’ and ‘hear and treat’ pathways, aiming to reduce unnecessary hospital conveyance and relieve pressure on emergency departments (NHS England, 2019). This integrated approach aligns with broader NHS strategies promoting community-based care and system efficiency.</w:t>
      </w:r>
    </w:p>
    <w:p w:rsidR="287D6E70" w:rsidP="63D6FE18" w:rsidRDefault="287D6E70" w14:paraId="465BB48F" w14:textId="3FB5FAC4">
      <w:pPr>
        <w:pStyle w:val="Normal"/>
        <w:jc w:val="both"/>
        <w:rPr>
          <w:rFonts w:ascii="Aptos" w:hAnsi="Aptos" w:eastAsia="Aptos" w:cs="Aptos"/>
          <w:b w:val="0"/>
          <w:bCs w:val="0"/>
          <w:color w:val="000000" w:themeColor="text1" w:themeTint="FF" w:themeShade="FF"/>
          <w:sz w:val="24"/>
          <w:szCs w:val="24"/>
        </w:rPr>
      </w:pPr>
      <w:r w:rsidRPr="63D6FE18" w:rsidR="287D6E70">
        <w:rPr>
          <w:rFonts w:ascii="Aptos" w:hAnsi="Aptos" w:eastAsia="Aptos" w:cs="Aptos"/>
          <w:b w:val="0"/>
          <w:bCs w:val="0"/>
          <w:color w:val="000000" w:themeColor="text1" w:themeTint="FF" w:themeShade="FF"/>
          <w:sz w:val="24"/>
          <w:szCs w:val="24"/>
        </w:rPr>
        <w:t xml:space="preserve">Despite these developments, significant challenges persist. Rising demand, workforce shortages and delays in hospital handovers have affected performance against national response standards (Care Quality Commission, 2023). Prolonged waiting times may negatively </w:t>
      </w:r>
      <w:r w:rsidRPr="63D6FE18" w:rsidR="287D6E70">
        <w:rPr>
          <w:rFonts w:ascii="Aptos" w:hAnsi="Aptos" w:eastAsia="Aptos" w:cs="Aptos"/>
          <w:b w:val="0"/>
          <w:bCs w:val="0"/>
          <w:color w:val="000000" w:themeColor="text1" w:themeTint="FF" w:themeShade="FF"/>
          <w:sz w:val="24"/>
          <w:szCs w:val="24"/>
        </w:rPr>
        <w:t>impact</w:t>
      </w:r>
      <w:r w:rsidRPr="63D6FE18" w:rsidR="287D6E70">
        <w:rPr>
          <w:rFonts w:ascii="Aptos" w:hAnsi="Aptos" w:eastAsia="Aptos" w:cs="Aptos"/>
          <w:b w:val="0"/>
          <w:bCs w:val="0"/>
          <w:color w:val="000000" w:themeColor="text1" w:themeTint="FF" w:themeShade="FF"/>
          <w:sz w:val="24"/>
          <w:szCs w:val="24"/>
        </w:rPr>
        <w:t xml:space="preserve"> patient safety and staff wellbeing. Furthermore, health inequalities across London mean that ambulance clinicians </w:t>
      </w:r>
      <w:r w:rsidRPr="63D6FE18" w:rsidR="287D6E70">
        <w:rPr>
          <w:rFonts w:ascii="Aptos" w:hAnsi="Aptos" w:eastAsia="Aptos" w:cs="Aptos"/>
          <w:b w:val="0"/>
          <w:bCs w:val="0"/>
          <w:color w:val="000000" w:themeColor="text1" w:themeTint="FF" w:themeShade="FF"/>
          <w:sz w:val="24"/>
          <w:szCs w:val="24"/>
        </w:rPr>
        <w:t>frequently</w:t>
      </w:r>
      <w:r w:rsidRPr="63D6FE18" w:rsidR="287D6E70">
        <w:rPr>
          <w:rFonts w:ascii="Aptos" w:hAnsi="Aptos" w:eastAsia="Aptos" w:cs="Aptos"/>
          <w:b w:val="0"/>
          <w:bCs w:val="0"/>
          <w:color w:val="000000" w:themeColor="text1" w:themeTint="FF" w:themeShade="FF"/>
          <w:sz w:val="24"/>
          <w:szCs w:val="24"/>
        </w:rPr>
        <w:t xml:space="preserve"> </w:t>
      </w:r>
      <w:r w:rsidRPr="63D6FE18" w:rsidR="287D6E70">
        <w:rPr>
          <w:rFonts w:ascii="Aptos" w:hAnsi="Aptos" w:eastAsia="Aptos" w:cs="Aptos"/>
          <w:b w:val="0"/>
          <w:bCs w:val="0"/>
          <w:color w:val="000000" w:themeColor="text1" w:themeTint="FF" w:themeShade="FF"/>
          <w:sz w:val="24"/>
          <w:szCs w:val="24"/>
        </w:rPr>
        <w:t>encounter</w:t>
      </w:r>
      <w:r w:rsidRPr="63D6FE18" w:rsidR="287D6E70">
        <w:rPr>
          <w:rFonts w:ascii="Aptos" w:hAnsi="Aptos" w:eastAsia="Aptos" w:cs="Aptos"/>
          <w:b w:val="0"/>
          <w:bCs w:val="0"/>
          <w:color w:val="000000" w:themeColor="text1" w:themeTint="FF" w:themeShade="FF"/>
          <w:sz w:val="24"/>
          <w:szCs w:val="24"/>
        </w:rPr>
        <w:t xml:space="preserve"> complex social and mental health needs. The LAS has responded through initiatives such as mental health response cars and collaboration with community services, reflecting a shift towards holistic, patient-centred care (College of Paramedics, 2021). However, critics argue that systemic pressures within the wider NHS limit the service’s capacity to consistently meet demand (The King’s Fund, 2022).</w:t>
      </w:r>
    </w:p>
    <w:p w:rsidR="287D6E70" w:rsidP="63D6FE18" w:rsidRDefault="287D6E70" w14:paraId="6CE06269" w14:textId="5548F08F">
      <w:pPr>
        <w:pStyle w:val="Normal"/>
        <w:jc w:val="both"/>
        <w:rPr>
          <w:rFonts w:ascii="Aptos" w:hAnsi="Aptos" w:eastAsia="Aptos" w:cs="Aptos"/>
          <w:b w:val="0"/>
          <w:bCs w:val="0"/>
          <w:color w:val="000000" w:themeColor="text1" w:themeTint="FF" w:themeShade="FF"/>
          <w:sz w:val="24"/>
          <w:szCs w:val="24"/>
        </w:rPr>
      </w:pPr>
      <w:r w:rsidRPr="63D6FE18" w:rsidR="287D6E70">
        <w:rPr>
          <w:rFonts w:ascii="Aptos" w:hAnsi="Aptos" w:eastAsia="Aptos" w:cs="Aptos"/>
          <w:b w:val="0"/>
          <w:bCs w:val="0"/>
          <w:color w:val="000000" w:themeColor="text1" w:themeTint="FF" w:themeShade="FF"/>
          <w:sz w:val="24"/>
          <w:szCs w:val="24"/>
        </w:rPr>
        <w:t xml:space="preserve">The significance of the London Ambulance Service in enhancing quality of life is </w:t>
      </w:r>
      <w:r w:rsidRPr="63D6FE18" w:rsidR="287D6E70">
        <w:rPr>
          <w:rFonts w:ascii="Aptos" w:hAnsi="Aptos" w:eastAsia="Aptos" w:cs="Aptos"/>
          <w:b w:val="0"/>
          <w:bCs w:val="0"/>
          <w:color w:val="000000" w:themeColor="text1" w:themeTint="FF" w:themeShade="FF"/>
          <w:sz w:val="24"/>
          <w:szCs w:val="24"/>
        </w:rPr>
        <w:t>substantial</w:t>
      </w:r>
      <w:r w:rsidRPr="63D6FE18" w:rsidR="287D6E70">
        <w:rPr>
          <w:rFonts w:ascii="Aptos" w:hAnsi="Aptos" w:eastAsia="Aptos" w:cs="Aptos"/>
          <w:b w:val="0"/>
          <w:bCs w:val="0"/>
          <w:color w:val="000000" w:themeColor="text1" w:themeTint="FF" w:themeShade="FF"/>
          <w:sz w:val="24"/>
          <w:szCs w:val="24"/>
        </w:rPr>
        <w:t xml:space="preserve">. Rapid intervention in emergencies such as stroke, sepsis and myocardial infarction can prevent long-term disability and premature death (NHS England, 2019). Beyond life-saving care, ambulance clinicians provide reassurance, safeguarding </w:t>
      </w:r>
      <w:r w:rsidRPr="63D6FE18" w:rsidR="287D6E70">
        <w:rPr>
          <w:rFonts w:ascii="Aptos" w:hAnsi="Aptos" w:eastAsia="Aptos" w:cs="Aptos"/>
          <w:b w:val="0"/>
          <w:bCs w:val="0"/>
          <w:color w:val="000000" w:themeColor="text1" w:themeTint="FF" w:themeShade="FF"/>
          <w:sz w:val="24"/>
          <w:szCs w:val="24"/>
        </w:rPr>
        <w:t>referrals</w:t>
      </w:r>
      <w:r w:rsidRPr="63D6FE18" w:rsidR="287D6E70">
        <w:rPr>
          <w:rFonts w:ascii="Aptos" w:hAnsi="Aptos" w:eastAsia="Aptos" w:cs="Aptos"/>
          <w:b w:val="0"/>
          <w:bCs w:val="0"/>
          <w:color w:val="000000" w:themeColor="text1" w:themeTint="FF" w:themeShade="FF"/>
          <w:sz w:val="24"/>
          <w:szCs w:val="24"/>
        </w:rPr>
        <w:t xml:space="preserve"> and support for vulnerable individuals, including older adults and those experiencing mental health crises. By treating patients at home where </w:t>
      </w:r>
      <w:r w:rsidRPr="63D6FE18" w:rsidR="287D6E70">
        <w:rPr>
          <w:rFonts w:ascii="Aptos" w:hAnsi="Aptos" w:eastAsia="Aptos" w:cs="Aptos"/>
          <w:b w:val="0"/>
          <w:bCs w:val="0"/>
          <w:color w:val="000000" w:themeColor="text1" w:themeTint="FF" w:themeShade="FF"/>
          <w:sz w:val="24"/>
          <w:szCs w:val="24"/>
        </w:rPr>
        <w:t>appropriate</w:t>
      </w:r>
      <w:r w:rsidRPr="63D6FE18" w:rsidR="287D6E70">
        <w:rPr>
          <w:rFonts w:ascii="Aptos" w:hAnsi="Aptos" w:eastAsia="Aptos" w:cs="Aptos"/>
          <w:b w:val="0"/>
          <w:bCs w:val="0"/>
          <w:color w:val="000000" w:themeColor="text1" w:themeTint="FF" w:themeShade="FF"/>
          <w:sz w:val="24"/>
          <w:szCs w:val="24"/>
        </w:rPr>
        <w:t xml:space="preserve">, the service promotes independence and reduces unnecessary hospital admissions, contributing to patient dignity and continuity of care (The King’s Fund, 2022). In this way, the LAS not only responds to emergencies but also supports broader public health </w:t>
      </w:r>
      <w:r w:rsidRPr="63D6FE18" w:rsidR="287D6E70">
        <w:rPr>
          <w:rFonts w:ascii="Aptos" w:hAnsi="Aptos" w:eastAsia="Aptos" w:cs="Aptos"/>
          <w:b w:val="0"/>
          <w:bCs w:val="0"/>
          <w:color w:val="000000" w:themeColor="text1" w:themeTint="FF" w:themeShade="FF"/>
          <w:sz w:val="24"/>
          <w:szCs w:val="24"/>
        </w:rPr>
        <w:t>objectives</w:t>
      </w:r>
      <w:r w:rsidRPr="63D6FE18" w:rsidR="287D6E70">
        <w:rPr>
          <w:rFonts w:ascii="Aptos" w:hAnsi="Aptos" w:eastAsia="Aptos" w:cs="Aptos"/>
          <w:b w:val="0"/>
          <w:bCs w:val="0"/>
          <w:color w:val="000000" w:themeColor="text1" w:themeTint="FF" w:themeShade="FF"/>
          <w:sz w:val="24"/>
          <w:szCs w:val="24"/>
        </w:rPr>
        <w:t>.</w:t>
      </w:r>
    </w:p>
    <w:p w:rsidR="287D6E70" w:rsidP="63D6FE18" w:rsidRDefault="287D6E70" w14:paraId="7A2392E0" w14:textId="7291A69C">
      <w:pPr>
        <w:pStyle w:val="Normal"/>
        <w:jc w:val="both"/>
        <w:rPr>
          <w:rFonts w:ascii="Aptos" w:hAnsi="Aptos" w:eastAsia="Aptos" w:cs="Aptos"/>
          <w:b w:val="0"/>
          <w:bCs w:val="0"/>
          <w:color w:val="000000" w:themeColor="text1" w:themeTint="FF" w:themeShade="FF"/>
          <w:sz w:val="24"/>
          <w:szCs w:val="24"/>
        </w:rPr>
      </w:pPr>
      <w:r w:rsidRPr="63D6FE18" w:rsidR="287D6E70">
        <w:rPr>
          <w:rFonts w:ascii="Aptos" w:hAnsi="Aptos" w:eastAsia="Aptos" w:cs="Aptos"/>
          <w:b w:val="0"/>
          <w:bCs w:val="0"/>
          <w:color w:val="000000" w:themeColor="text1" w:themeTint="FF" w:themeShade="FF"/>
          <w:sz w:val="24"/>
          <w:szCs w:val="24"/>
        </w:rPr>
        <w:t xml:space="preserve">In conclusion, the London Ambulance Service </w:t>
      </w:r>
      <w:r w:rsidRPr="63D6FE18" w:rsidR="287D6E70">
        <w:rPr>
          <w:rFonts w:ascii="Aptos" w:hAnsi="Aptos" w:eastAsia="Aptos" w:cs="Aptos"/>
          <w:b w:val="0"/>
          <w:bCs w:val="0"/>
          <w:color w:val="000000" w:themeColor="text1" w:themeTint="FF" w:themeShade="FF"/>
          <w:sz w:val="24"/>
          <w:szCs w:val="24"/>
        </w:rPr>
        <w:t>emerged</w:t>
      </w:r>
      <w:r w:rsidRPr="63D6FE18" w:rsidR="287D6E70">
        <w:rPr>
          <w:rFonts w:ascii="Aptos" w:hAnsi="Aptos" w:eastAsia="Aptos" w:cs="Aptos"/>
          <w:b w:val="0"/>
          <w:bCs w:val="0"/>
          <w:color w:val="000000" w:themeColor="text1" w:themeTint="FF" w:themeShade="FF"/>
          <w:sz w:val="24"/>
          <w:szCs w:val="24"/>
        </w:rPr>
        <w:t xml:space="preserve"> from nineteenth-century public health reforms designed to address infectious disease and urban risk. Its evolution into a clinically advanced pre-hospital provider reflects wider transformations within the NHS and evidence-based healthcare. Although contemporary pressures challenge its operational effectiveness, the service </w:t>
      </w:r>
      <w:r w:rsidRPr="63D6FE18" w:rsidR="287D6E70">
        <w:rPr>
          <w:rFonts w:ascii="Aptos" w:hAnsi="Aptos" w:eastAsia="Aptos" w:cs="Aptos"/>
          <w:b w:val="0"/>
          <w:bCs w:val="0"/>
          <w:color w:val="000000" w:themeColor="text1" w:themeTint="FF" w:themeShade="FF"/>
          <w:sz w:val="24"/>
          <w:szCs w:val="24"/>
        </w:rPr>
        <w:t>remains</w:t>
      </w:r>
      <w:r w:rsidRPr="63D6FE18" w:rsidR="287D6E70">
        <w:rPr>
          <w:rFonts w:ascii="Aptos" w:hAnsi="Aptos" w:eastAsia="Aptos" w:cs="Aptos"/>
          <w:b w:val="0"/>
          <w:bCs w:val="0"/>
          <w:color w:val="000000" w:themeColor="text1" w:themeTint="FF" w:themeShade="FF"/>
          <w:sz w:val="24"/>
          <w:szCs w:val="24"/>
        </w:rPr>
        <w:t xml:space="preserve"> integral to safeguarding life and enhancing wellbeing. Through rapid response, professional </w:t>
      </w:r>
      <w:r w:rsidRPr="63D6FE18" w:rsidR="287D6E70">
        <w:rPr>
          <w:rFonts w:ascii="Aptos" w:hAnsi="Aptos" w:eastAsia="Aptos" w:cs="Aptos"/>
          <w:b w:val="0"/>
          <w:bCs w:val="0"/>
          <w:color w:val="000000" w:themeColor="text1" w:themeTint="FF" w:themeShade="FF"/>
          <w:sz w:val="24"/>
          <w:szCs w:val="24"/>
        </w:rPr>
        <w:t>expertise</w:t>
      </w:r>
      <w:r w:rsidRPr="63D6FE18" w:rsidR="287D6E70">
        <w:rPr>
          <w:rFonts w:ascii="Aptos" w:hAnsi="Aptos" w:eastAsia="Aptos" w:cs="Aptos"/>
          <w:b w:val="0"/>
          <w:bCs w:val="0"/>
          <w:color w:val="000000" w:themeColor="text1" w:themeTint="FF" w:themeShade="FF"/>
          <w:sz w:val="24"/>
          <w:szCs w:val="24"/>
        </w:rPr>
        <w:t xml:space="preserve"> and community engagement, it continues to play a crucial role in improving the quality of life for service users across London.</w:t>
      </w:r>
    </w:p>
    <w:p w:rsidR="63D6FE18" w:rsidP="63D6FE18" w:rsidRDefault="63D6FE18" w14:paraId="3D4C483A" w14:textId="0BFC967B">
      <w:pPr>
        <w:pStyle w:val="Normal"/>
        <w:jc w:val="left"/>
        <w:rPr>
          <w:rFonts w:ascii="Aptos" w:hAnsi="Aptos" w:eastAsia="Aptos" w:cs="Aptos"/>
          <w:b w:val="1"/>
          <w:bCs w:val="1"/>
          <w:color w:val="000000" w:themeColor="text1" w:themeTint="FF" w:themeShade="FF"/>
          <w:sz w:val="24"/>
          <w:szCs w:val="24"/>
        </w:rPr>
      </w:pPr>
    </w:p>
    <w:p w:rsidR="63D6FE18" w:rsidP="63D6FE18" w:rsidRDefault="63D6FE18" w14:paraId="34885047" w14:textId="1CEF303F">
      <w:pPr>
        <w:pStyle w:val="Normal"/>
        <w:jc w:val="left"/>
        <w:rPr>
          <w:rFonts w:ascii="Arial Nova" w:hAnsi="Arial Nova" w:eastAsia="Arial Nova" w:cs="Arial Nova"/>
          <w:b w:val="1"/>
          <w:bCs w:val="1"/>
          <w:color w:val="0E2841" w:themeColor="text2" w:themeTint="FF" w:themeShade="FF"/>
          <w:sz w:val="22"/>
          <w:szCs w:val="22"/>
        </w:rPr>
      </w:pPr>
    </w:p>
    <w:p w:rsidR="63D6FE18" w:rsidP="63D6FE18" w:rsidRDefault="63D6FE18" w14:paraId="77A0E10F" w14:textId="15A337E8">
      <w:pPr>
        <w:pStyle w:val="Normal"/>
        <w:jc w:val="left"/>
        <w:rPr>
          <w:rFonts w:ascii="Arial Nova" w:hAnsi="Arial Nova" w:eastAsia="Arial Nova" w:cs="Arial Nova"/>
          <w:b w:val="1"/>
          <w:bCs w:val="1"/>
          <w:color w:val="0E2841" w:themeColor="text2" w:themeTint="FF" w:themeShade="FF"/>
          <w:sz w:val="52"/>
          <w:szCs w:val="52"/>
        </w:rPr>
      </w:pPr>
    </w:p>
    <w:p w:rsidR="63D6FE18" w:rsidP="63D6FE18" w:rsidRDefault="63D6FE18" w14:paraId="393C7D05" w14:textId="27CBECFC">
      <w:pPr>
        <w:pStyle w:val="Normal"/>
        <w:jc w:val="left"/>
        <w:rPr>
          <w:rFonts w:ascii="Arial Nova" w:hAnsi="Arial Nova" w:eastAsia="Arial Nova" w:cs="Arial Nova"/>
          <w:b w:val="1"/>
          <w:bCs w:val="1"/>
          <w:color w:val="0E2841" w:themeColor="text2" w:themeTint="FF" w:themeShade="FF"/>
          <w:sz w:val="22"/>
          <w:szCs w:val="22"/>
        </w:rPr>
      </w:pPr>
    </w:p>
    <w:p w:rsidR="63D6FE18" w:rsidP="63D6FE18" w:rsidRDefault="63D6FE18" w14:paraId="4ABA53B8" w14:textId="4DD392F2">
      <w:pPr>
        <w:pStyle w:val="Normal"/>
        <w:bidi w:val="0"/>
        <w:spacing w:before="240" w:beforeAutospacing="off" w:after="240" w:afterAutospacing="off"/>
        <w:rPr>
          <w:rFonts w:ascii="Calibri" w:hAnsi="Calibri" w:eastAsia="Calibri" w:cs="Calibri"/>
          <w:noProof w:val="0"/>
          <w:sz w:val="24"/>
          <w:szCs w:val="24"/>
          <w:lang w:val="en-GB"/>
        </w:rPr>
      </w:pPr>
    </w:p>
    <w:p w:rsidR="63D6FE18" w:rsidP="63D6FE18" w:rsidRDefault="63D6FE18" w14:paraId="25649B35" w14:textId="26A0D308">
      <w:pPr>
        <w:pStyle w:val="Normal"/>
        <w:bidi w:val="0"/>
        <w:spacing w:before="240" w:beforeAutospacing="off" w:after="240" w:afterAutospacing="off"/>
        <w:rPr>
          <w:rFonts w:ascii="Calibri" w:hAnsi="Calibri" w:eastAsia="Calibri" w:cs="Calibri"/>
          <w:noProof w:val="0"/>
          <w:sz w:val="24"/>
          <w:szCs w:val="24"/>
          <w:lang w:val="en-GB"/>
        </w:rPr>
      </w:pPr>
    </w:p>
    <w:p w:rsidR="63D6FE18" w:rsidP="63D6FE18" w:rsidRDefault="63D6FE18" w14:paraId="056D609F" w14:textId="6A6EFCDC">
      <w:pPr>
        <w:pStyle w:val="Normal"/>
        <w:bidi w:val="0"/>
        <w:spacing w:before="240" w:beforeAutospacing="off" w:after="240" w:afterAutospacing="off"/>
        <w:rPr>
          <w:rFonts w:ascii="Calibri" w:hAnsi="Calibri" w:eastAsia="Calibri" w:cs="Calibri"/>
          <w:noProof w:val="0"/>
          <w:sz w:val="24"/>
          <w:szCs w:val="24"/>
          <w:lang w:val="en-GB"/>
        </w:rPr>
      </w:pPr>
    </w:p>
    <w:p w:rsidR="63D6FE18" w:rsidP="63D6FE18" w:rsidRDefault="63D6FE18" w14:paraId="0301E270" w14:textId="4D49544E">
      <w:pPr>
        <w:pStyle w:val="Normal"/>
        <w:bidi w:val="0"/>
        <w:spacing w:before="240" w:beforeAutospacing="off" w:after="240" w:afterAutospacing="off"/>
        <w:rPr>
          <w:rFonts w:ascii="Calibri" w:hAnsi="Calibri" w:eastAsia="Calibri" w:cs="Calibri"/>
          <w:noProof w:val="0"/>
          <w:sz w:val="24"/>
          <w:szCs w:val="24"/>
          <w:lang w:val="en-GB"/>
        </w:rPr>
      </w:pPr>
    </w:p>
    <w:p w:rsidR="124C75D7" w:rsidP="63D6FE18" w:rsidRDefault="124C75D7" w14:paraId="10D71505" w14:textId="5A8B1206">
      <w:pPr>
        <w:pStyle w:val="Normal"/>
        <w:bidi w:val="0"/>
        <w:spacing w:before="240" w:beforeAutospacing="off" w:after="240" w:afterAutospacing="off"/>
        <w:rPr>
          <w:rFonts w:ascii="Aptos" w:hAnsi="Aptos" w:eastAsia="Aptos" w:cs="Aptos"/>
          <w:b w:val="1"/>
          <w:bCs w:val="1"/>
          <w:noProof w:val="0"/>
          <w:sz w:val="24"/>
          <w:szCs w:val="24"/>
          <w:lang w:val="en-GB"/>
        </w:rPr>
      </w:pPr>
      <w:r w:rsidRPr="63D6FE18" w:rsidR="124C75D7">
        <w:rPr>
          <w:rFonts w:ascii="Aptos" w:hAnsi="Aptos" w:eastAsia="Aptos" w:cs="Aptos"/>
          <w:b w:val="1"/>
          <w:bCs w:val="1"/>
          <w:noProof w:val="0"/>
          <w:sz w:val="24"/>
          <w:szCs w:val="24"/>
          <w:lang w:val="en-GB"/>
        </w:rPr>
        <w:t>Poster References</w:t>
      </w:r>
    </w:p>
    <w:p w:rsidR="15FC38D7" w:rsidP="63D6FE18" w:rsidRDefault="15FC38D7" w14:paraId="0229EFF4" w14:textId="4D7D9A20">
      <w:pPr>
        <w:pStyle w:val="Normal"/>
        <w:bidi w:val="0"/>
        <w:spacing w:before="240" w:beforeAutospacing="off" w:after="240" w:afterAutospacing="off"/>
        <w:rPr>
          <w:rFonts w:ascii="Aptos" w:hAnsi="Aptos" w:eastAsia="Aptos" w:cs="Aptos"/>
          <w:b w:val="0"/>
          <w:bCs w:val="0"/>
          <w:noProof w:val="0"/>
          <w:sz w:val="24"/>
          <w:szCs w:val="24"/>
          <w:lang w:val="en-GB"/>
        </w:rPr>
      </w:pPr>
      <w:r w:rsidRPr="63D6FE18" w:rsidR="15FC38D7">
        <w:rPr>
          <w:rFonts w:ascii="Aptos" w:hAnsi="Aptos" w:eastAsia="Aptos" w:cs="Aptos"/>
          <w:b w:val="0"/>
          <w:bCs w:val="0"/>
          <w:noProof w:val="0"/>
          <w:sz w:val="24"/>
          <w:szCs w:val="24"/>
          <w:lang w:val="en-GB"/>
        </w:rPr>
        <w:t>Bing, n.d. accessed on 18</w:t>
      </w:r>
      <w:r w:rsidRPr="63D6FE18" w:rsidR="15FC38D7">
        <w:rPr>
          <w:rFonts w:ascii="Aptos" w:hAnsi="Aptos" w:eastAsia="Aptos" w:cs="Aptos"/>
          <w:b w:val="0"/>
          <w:bCs w:val="0"/>
          <w:noProof w:val="0"/>
          <w:sz w:val="24"/>
          <w:szCs w:val="24"/>
          <w:vertAlign w:val="superscript"/>
          <w:lang w:val="en-GB"/>
        </w:rPr>
        <w:t>th</w:t>
      </w:r>
      <w:r w:rsidRPr="63D6FE18" w:rsidR="15FC38D7">
        <w:rPr>
          <w:rFonts w:ascii="Aptos" w:hAnsi="Aptos" w:eastAsia="Aptos" w:cs="Aptos"/>
          <w:b w:val="0"/>
          <w:bCs w:val="0"/>
          <w:noProof w:val="0"/>
          <w:sz w:val="24"/>
          <w:szCs w:val="24"/>
          <w:lang w:val="en-GB"/>
        </w:rPr>
        <w:t xml:space="preserve"> February 2026.</w:t>
      </w:r>
    </w:p>
    <w:p w:rsidR="1164165D" w:rsidP="63D6FE18" w:rsidRDefault="1164165D" w14:paraId="5A69A7A6" w14:textId="0EDC0E10">
      <w:pPr>
        <w:bidi w:val="0"/>
        <w:spacing w:before="240" w:beforeAutospacing="off" w:after="240" w:afterAutospacing="off"/>
        <w:rPr>
          <w:rFonts w:ascii="Aptos" w:hAnsi="Aptos" w:eastAsia="Aptos" w:cs="Aptos"/>
          <w:noProof w:val="0"/>
          <w:sz w:val="24"/>
          <w:szCs w:val="24"/>
          <w:lang w:val="en-GB"/>
        </w:rPr>
      </w:pPr>
      <w:r w:rsidRPr="63D6FE18" w:rsidR="1164165D">
        <w:rPr>
          <w:rFonts w:ascii="Aptos" w:hAnsi="Aptos" w:eastAsia="Aptos" w:cs="Aptos"/>
          <w:noProof w:val="0"/>
          <w:sz w:val="24"/>
          <w:szCs w:val="24"/>
          <w:lang w:val="en-GB"/>
        </w:rPr>
        <w:t xml:space="preserve">Care Quality Commission (CQC) (2023) </w:t>
      </w:r>
      <w:r w:rsidRPr="63D6FE18" w:rsidR="1164165D">
        <w:rPr>
          <w:rFonts w:ascii="Aptos" w:hAnsi="Aptos" w:eastAsia="Aptos" w:cs="Aptos"/>
          <w:i w:val="1"/>
          <w:iCs w:val="1"/>
          <w:noProof w:val="0"/>
          <w:sz w:val="24"/>
          <w:szCs w:val="24"/>
          <w:lang w:val="en-GB"/>
        </w:rPr>
        <w:t>About care homes</w:t>
      </w:r>
      <w:r w:rsidRPr="63D6FE18" w:rsidR="1164165D">
        <w:rPr>
          <w:rFonts w:ascii="Aptos" w:hAnsi="Aptos" w:eastAsia="Aptos" w:cs="Aptos"/>
          <w:noProof w:val="0"/>
          <w:sz w:val="24"/>
          <w:szCs w:val="24"/>
          <w:lang w:val="en-GB"/>
        </w:rPr>
        <w:t xml:space="preserve">. London: Care Quality Commission. Available at: </w:t>
      </w:r>
      <w:hyperlink r:id="R1b5766c9be574e3a">
        <w:r w:rsidRPr="63D6FE18" w:rsidR="1164165D">
          <w:rPr>
            <w:rStyle w:val="Hyperlink"/>
            <w:rFonts w:ascii="Aptos" w:hAnsi="Aptos" w:eastAsia="Aptos" w:cs="Aptos"/>
            <w:noProof w:val="0"/>
            <w:sz w:val="24"/>
            <w:szCs w:val="24"/>
            <w:lang w:val="en-GB"/>
          </w:rPr>
          <w:t>https://www.cqc.org.uk</w:t>
        </w:r>
      </w:hyperlink>
      <w:r w:rsidRPr="63D6FE18" w:rsidR="1164165D">
        <w:rPr>
          <w:rFonts w:ascii="Aptos" w:hAnsi="Aptos" w:eastAsia="Aptos" w:cs="Aptos"/>
          <w:noProof w:val="0"/>
          <w:sz w:val="24"/>
          <w:szCs w:val="24"/>
          <w:lang w:val="en-GB"/>
        </w:rPr>
        <w:t xml:space="preserve"> (Accessed: 22 February 2026).</w:t>
      </w:r>
    </w:p>
    <w:p w:rsidR="1164165D" w:rsidP="63D6FE18" w:rsidRDefault="1164165D" w14:paraId="7ABD5990" w14:textId="7F1E6A23">
      <w:pPr>
        <w:bidi w:val="0"/>
        <w:spacing w:before="240" w:beforeAutospacing="off" w:after="240" w:afterAutospacing="off"/>
        <w:rPr>
          <w:rFonts w:ascii="Aptos" w:hAnsi="Aptos" w:eastAsia="Aptos" w:cs="Aptos"/>
          <w:noProof w:val="0"/>
          <w:sz w:val="24"/>
          <w:szCs w:val="24"/>
          <w:lang w:val="en-GB"/>
        </w:rPr>
      </w:pPr>
      <w:r w:rsidRPr="63D6FE18" w:rsidR="1164165D">
        <w:rPr>
          <w:rFonts w:ascii="Aptos" w:hAnsi="Aptos" w:eastAsia="Aptos" w:cs="Aptos"/>
          <w:noProof w:val="0"/>
          <w:sz w:val="24"/>
          <w:szCs w:val="24"/>
          <w:lang w:val="en-GB"/>
        </w:rPr>
        <w:t xml:space="preserve">Care Quality Commission (CQC) (2023) </w:t>
      </w:r>
      <w:r w:rsidRPr="63D6FE18" w:rsidR="1164165D">
        <w:rPr>
          <w:rFonts w:ascii="Aptos" w:hAnsi="Aptos" w:eastAsia="Aptos" w:cs="Aptos"/>
          <w:i w:val="1"/>
          <w:iCs w:val="1"/>
          <w:noProof w:val="0"/>
          <w:sz w:val="24"/>
          <w:szCs w:val="24"/>
          <w:lang w:val="en-GB"/>
        </w:rPr>
        <w:t>The state of health care and adult social care in England 2022/23</w:t>
      </w:r>
      <w:r w:rsidRPr="63D6FE18" w:rsidR="1164165D">
        <w:rPr>
          <w:rFonts w:ascii="Aptos" w:hAnsi="Aptos" w:eastAsia="Aptos" w:cs="Aptos"/>
          <w:noProof w:val="0"/>
          <w:sz w:val="24"/>
          <w:szCs w:val="24"/>
          <w:lang w:val="en-GB"/>
        </w:rPr>
        <w:t xml:space="preserve">. London: Care Quality Commission. Available at: </w:t>
      </w:r>
      <w:hyperlink r:id="Rcb9bc80edf9f4dc3">
        <w:r w:rsidRPr="63D6FE18" w:rsidR="1164165D">
          <w:rPr>
            <w:rStyle w:val="Hyperlink"/>
            <w:rFonts w:ascii="Aptos" w:hAnsi="Aptos" w:eastAsia="Aptos" w:cs="Aptos"/>
            <w:noProof w:val="0"/>
            <w:sz w:val="24"/>
            <w:szCs w:val="24"/>
            <w:lang w:val="en-GB"/>
          </w:rPr>
          <w:t>https://www.cqc.org.uk</w:t>
        </w:r>
      </w:hyperlink>
      <w:r w:rsidRPr="63D6FE18" w:rsidR="1164165D">
        <w:rPr>
          <w:rFonts w:ascii="Aptos" w:hAnsi="Aptos" w:eastAsia="Aptos" w:cs="Aptos"/>
          <w:noProof w:val="0"/>
          <w:sz w:val="24"/>
          <w:szCs w:val="24"/>
          <w:lang w:val="en-GB"/>
        </w:rPr>
        <w:t xml:space="preserve"> (Accessed: 22 February 2026).</w:t>
      </w:r>
    </w:p>
    <w:p w:rsidR="1164165D" w:rsidP="63D6FE18" w:rsidRDefault="1164165D" w14:paraId="592E8647" w14:textId="729B43ED">
      <w:pPr>
        <w:bidi w:val="0"/>
        <w:spacing w:before="240" w:beforeAutospacing="off" w:after="240" w:afterAutospacing="off"/>
        <w:rPr>
          <w:rFonts w:ascii="Aptos" w:hAnsi="Aptos" w:eastAsia="Aptos" w:cs="Aptos"/>
          <w:noProof w:val="0"/>
          <w:sz w:val="24"/>
          <w:szCs w:val="24"/>
          <w:lang w:val="en-GB"/>
        </w:rPr>
      </w:pPr>
      <w:r w:rsidRPr="63D6FE18" w:rsidR="1164165D">
        <w:rPr>
          <w:rFonts w:ascii="Aptos" w:hAnsi="Aptos" w:eastAsia="Aptos" w:cs="Aptos"/>
          <w:noProof w:val="0"/>
          <w:sz w:val="24"/>
          <w:szCs w:val="24"/>
          <w:lang w:val="en-GB"/>
        </w:rPr>
        <w:t xml:space="preserve">Department of Health and Social Care (DHSC) (2022) </w:t>
      </w:r>
      <w:r w:rsidRPr="63D6FE18" w:rsidR="1164165D">
        <w:rPr>
          <w:rFonts w:ascii="Aptos" w:hAnsi="Aptos" w:eastAsia="Aptos" w:cs="Aptos"/>
          <w:i w:val="1"/>
          <w:iCs w:val="1"/>
          <w:noProof w:val="0"/>
          <w:sz w:val="24"/>
          <w:szCs w:val="24"/>
          <w:lang w:val="en-GB"/>
        </w:rPr>
        <w:t>People at the heart of care: adult social care reform white paper</w:t>
      </w:r>
      <w:r w:rsidRPr="63D6FE18" w:rsidR="1164165D">
        <w:rPr>
          <w:rFonts w:ascii="Aptos" w:hAnsi="Aptos" w:eastAsia="Aptos" w:cs="Aptos"/>
          <w:noProof w:val="0"/>
          <w:sz w:val="24"/>
          <w:szCs w:val="24"/>
          <w:lang w:val="en-GB"/>
        </w:rPr>
        <w:t xml:space="preserve">. London: Department of Health and Social Care. Available at: </w:t>
      </w:r>
      <w:hyperlink r:id="Rcc93c23db98c453b">
        <w:r w:rsidRPr="63D6FE18" w:rsidR="1164165D">
          <w:rPr>
            <w:rStyle w:val="Hyperlink"/>
            <w:rFonts w:ascii="Aptos" w:hAnsi="Aptos" w:eastAsia="Aptos" w:cs="Aptos"/>
            <w:noProof w:val="0"/>
            <w:sz w:val="24"/>
            <w:szCs w:val="24"/>
            <w:lang w:val="en-GB"/>
          </w:rPr>
          <w:t>https://www.gov.uk/government/publications/people-at-the-heart-of-care-adult-social-care-reform-white-paper</w:t>
        </w:r>
      </w:hyperlink>
      <w:r w:rsidRPr="63D6FE18" w:rsidR="1164165D">
        <w:rPr>
          <w:rFonts w:ascii="Aptos" w:hAnsi="Aptos" w:eastAsia="Aptos" w:cs="Aptos"/>
          <w:noProof w:val="0"/>
          <w:sz w:val="24"/>
          <w:szCs w:val="24"/>
          <w:lang w:val="en-GB"/>
        </w:rPr>
        <w:t xml:space="preserve"> (Accessed: 22 February 2026).</w:t>
      </w:r>
    </w:p>
    <w:p w:rsidR="1164165D" w:rsidP="63D6FE18" w:rsidRDefault="1164165D" w14:paraId="7133136C" w14:textId="52128B39">
      <w:pPr>
        <w:bidi w:val="0"/>
        <w:spacing w:before="240" w:beforeAutospacing="off" w:after="240" w:afterAutospacing="off"/>
        <w:rPr>
          <w:rFonts w:ascii="Aptos" w:hAnsi="Aptos" w:eastAsia="Aptos" w:cs="Aptos"/>
          <w:noProof w:val="0"/>
          <w:sz w:val="24"/>
          <w:szCs w:val="24"/>
          <w:lang w:val="en-GB"/>
        </w:rPr>
      </w:pPr>
      <w:r w:rsidRPr="63D6FE18" w:rsidR="1164165D">
        <w:rPr>
          <w:rFonts w:ascii="Aptos" w:hAnsi="Aptos" w:eastAsia="Aptos" w:cs="Aptos"/>
          <w:noProof w:val="0"/>
          <w:sz w:val="24"/>
          <w:szCs w:val="24"/>
          <w:lang w:val="en-GB"/>
        </w:rPr>
        <w:t xml:space="preserve">Means, R., Richards, </w:t>
      </w:r>
      <w:r w:rsidRPr="63D6FE18" w:rsidR="1164165D">
        <w:rPr>
          <w:rFonts w:ascii="Aptos" w:hAnsi="Aptos" w:eastAsia="Aptos" w:cs="Aptos"/>
          <w:noProof w:val="0"/>
          <w:sz w:val="24"/>
          <w:szCs w:val="24"/>
          <w:lang w:val="en-GB"/>
        </w:rPr>
        <w:t>S.</w:t>
      </w:r>
      <w:r w:rsidRPr="63D6FE18" w:rsidR="1164165D">
        <w:rPr>
          <w:rFonts w:ascii="Aptos" w:hAnsi="Aptos" w:eastAsia="Aptos" w:cs="Aptos"/>
          <w:noProof w:val="0"/>
          <w:sz w:val="24"/>
          <w:szCs w:val="24"/>
          <w:lang w:val="en-GB"/>
        </w:rPr>
        <w:t xml:space="preserve"> and Smith, R. (2008) </w:t>
      </w:r>
      <w:r w:rsidRPr="63D6FE18" w:rsidR="1164165D">
        <w:rPr>
          <w:rFonts w:ascii="Aptos" w:hAnsi="Aptos" w:eastAsia="Aptos" w:cs="Aptos"/>
          <w:i w:val="1"/>
          <w:iCs w:val="1"/>
          <w:noProof w:val="0"/>
          <w:sz w:val="24"/>
          <w:szCs w:val="24"/>
          <w:lang w:val="en-GB"/>
        </w:rPr>
        <w:t>Community care: policy and practice</w:t>
      </w:r>
      <w:r w:rsidRPr="63D6FE18" w:rsidR="1164165D">
        <w:rPr>
          <w:rFonts w:ascii="Aptos" w:hAnsi="Aptos" w:eastAsia="Aptos" w:cs="Aptos"/>
          <w:noProof w:val="0"/>
          <w:sz w:val="24"/>
          <w:szCs w:val="24"/>
          <w:lang w:val="en-GB"/>
        </w:rPr>
        <w:t xml:space="preserve">. 4th </w:t>
      </w:r>
      <w:r w:rsidRPr="63D6FE18" w:rsidR="1164165D">
        <w:rPr>
          <w:rFonts w:ascii="Aptos" w:hAnsi="Aptos" w:eastAsia="Aptos" w:cs="Aptos"/>
          <w:noProof w:val="0"/>
          <w:sz w:val="24"/>
          <w:szCs w:val="24"/>
          <w:lang w:val="en-GB"/>
        </w:rPr>
        <w:t>edn</w:t>
      </w:r>
      <w:r w:rsidRPr="63D6FE18" w:rsidR="1164165D">
        <w:rPr>
          <w:rFonts w:ascii="Aptos" w:hAnsi="Aptos" w:eastAsia="Aptos" w:cs="Aptos"/>
          <w:noProof w:val="0"/>
          <w:sz w:val="24"/>
          <w:szCs w:val="24"/>
          <w:lang w:val="en-GB"/>
        </w:rPr>
        <w:t>. Basingstoke: Palgrave Macmillan.</w:t>
      </w:r>
    </w:p>
    <w:p w:rsidR="1164165D" w:rsidP="63D6FE18" w:rsidRDefault="1164165D" w14:paraId="71505163" w14:textId="2E642EBC">
      <w:pPr>
        <w:bidi w:val="0"/>
        <w:spacing w:before="240" w:beforeAutospacing="off" w:after="240" w:afterAutospacing="off"/>
        <w:rPr>
          <w:rFonts w:ascii="Aptos" w:hAnsi="Aptos" w:eastAsia="Aptos" w:cs="Aptos"/>
          <w:noProof w:val="0"/>
          <w:sz w:val="24"/>
          <w:szCs w:val="24"/>
          <w:lang w:val="en-GB"/>
        </w:rPr>
      </w:pPr>
      <w:r w:rsidRPr="63D6FE18" w:rsidR="1164165D">
        <w:rPr>
          <w:rFonts w:ascii="Aptos" w:hAnsi="Aptos" w:eastAsia="Aptos" w:cs="Aptos"/>
          <w:noProof w:val="0"/>
          <w:sz w:val="24"/>
          <w:szCs w:val="24"/>
          <w:lang w:val="en-GB"/>
        </w:rPr>
        <w:t xml:space="preserve">National Institute for Health and Care Excellence (NICE) (2021) </w:t>
      </w:r>
      <w:r w:rsidRPr="63D6FE18" w:rsidR="1164165D">
        <w:rPr>
          <w:rFonts w:ascii="Aptos" w:hAnsi="Aptos" w:eastAsia="Aptos" w:cs="Aptos"/>
          <w:i w:val="1"/>
          <w:iCs w:val="1"/>
          <w:noProof w:val="0"/>
          <w:sz w:val="24"/>
          <w:szCs w:val="24"/>
          <w:lang w:val="en-GB"/>
        </w:rPr>
        <w:t>People’s experience in adult social care services: improving the experience of care and support for people using adult social care services (NG86)</w:t>
      </w:r>
      <w:r w:rsidRPr="63D6FE18" w:rsidR="1164165D">
        <w:rPr>
          <w:rFonts w:ascii="Aptos" w:hAnsi="Aptos" w:eastAsia="Aptos" w:cs="Aptos"/>
          <w:noProof w:val="0"/>
          <w:sz w:val="24"/>
          <w:szCs w:val="24"/>
          <w:lang w:val="en-GB"/>
        </w:rPr>
        <w:t xml:space="preserve">. London: NICE. Available at: </w:t>
      </w:r>
      <w:hyperlink r:id="R46c1aa24b3254212">
        <w:r w:rsidRPr="63D6FE18" w:rsidR="1164165D">
          <w:rPr>
            <w:rStyle w:val="Hyperlink"/>
            <w:rFonts w:ascii="Aptos" w:hAnsi="Aptos" w:eastAsia="Aptos" w:cs="Aptos"/>
            <w:noProof w:val="0"/>
            <w:sz w:val="24"/>
            <w:szCs w:val="24"/>
            <w:lang w:val="en-GB"/>
          </w:rPr>
          <w:t>https://www.nice.org.uk/guidance/ng86</w:t>
        </w:r>
      </w:hyperlink>
      <w:r w:rsidRPr="63D6FE18" w:rsidR="1164165D">
        <w:rPr>
          <w:rFonts w:ascii="Aptos" w:hAnsi="Aptos" w:eastAsia="Aptos" w:cs="Aptos"/>
          <w:noProof w:val="0"/>
          <w:sz w:val="24"/>
          <w:szCs w:val="24"/>
          <w:lang w:val="en-GB"/>
        </w:rPr>
        <w:t xml:space="preserve"> (Accessed: 22 February 2026).</w:t>
      </w:r>
    </w:p>
    <w:p w:rsidR="1164165D" w:rsidP="63D6FE18" w:rsidRDefault="1164165D" w14:paraId="3F460028" w14:textId="32AF6F60">
      <w:pPr>
        <w:bidi w:val="0"/>
        <w:spacing w:before="240" w:beforeAutospacing="off" w:after="240" w:afterAutospacing="off"/>
        <w:rPr>
          <w:rFonts w:ascii="Aptos" w:hAnsi="Aptos" w:eastAsia="Aptos" w:cs="Aptos"/>
          <w:noProof w:val="0"/>
          <w:sz w:val="24"/>
          <w:szCs w:val="24"/>
          <w:lang w:val="en-GB"/>
        </w:rPr>
      </w:pPr>
      <w:r w:rsidRPr="63D6FE18" w:rsidR="1164165D">
        <w:rPr>
          <w:rFonts w:ascii="Aptos" w:hAnsi="Aptos" w:eastAsia="Aptos" w:cs="Aptos"/>
          <w:noProof w:val="0"/>
          <w:sz w:val="24"/>
          <w:szCs w:val="24"/>
          <w:lang w:val="en-GB"/>
        </w:rPr>
        <w:t xml:space="preserve">Office for National Statistics (ONS) (2023) </w:t>
      </w:r>
      <w:r w:rsidRPr="63D6FE18" w:rsidR="1164165D">
        <w:rPr>
          <w:rFonts w:ascii="Aptos" w:hAnsi="Aptos" w:eastAsia="Aptos" w:cs="Aptos"/>
          <w:i w:val="1"/>
          <w:iCs w:val="1"/>
          <w:noProof w:val="0"/>
          <w:sz w:val="24"/>
          <w:szCs w:val="24"/>
          <w:lang w:val="en-GB"/>
        </w:rPr>
        <w:t>Overview of the UK population: August 2023</w:t>
      </w:r>
      <w:r w:rsidRPr="63D6FE18" w:rsidR="1164165D">
        <w:rPr>
          <w:rFonts w:ascii="Aptos" w:hAnsi="Aptos" w:eastAsia="Aptos" w:cs="Aptos"/>
          <w:noProof w:val="0"/>
          <w:sz w:val="24"/>
          <w:szCs w:val="24"/>
          <w:lang w:val="en-GB"/>
        </w:rPr>
        <w:t xml:space="preserve">. London: Office for National Statistics. Available at: </w:t>
      </w:r>
      <w:hyperlink r:id="R2145023798e04784">
        <w:r w:rsidRPr="63D6FE18" w:rsidR="1164165D">
          <w:rPr>
            <w:rStyle w:val="Hyperlink"/>
            <w:rFonts w:ascii="Aptos" w:hAnsi="Aptos" w:eastAsia="Aptos" w:cs="Aptos"/>
            <w:noProof w:val="0"/>
            <w:sz w:val="24"/>
            <w:szCs w:val="24"/>
            <w:lang w:val="en-GB"/>
          </w:rPr>
          <w:t>https://www.ons.gov.uk</w:t>
        </w:r>
      </w:hyperlink>
      <w:r w:rsidRPr="63D6FE18" w:rsidR="1164165D">
        <w:rPr>
          <w:rFonts w:ascii="Aptos" w:hAnsi="Aptos" w:eastAsia="Aptos" w:cs="Aptos"/>
          <w:noProof w:val="0"/>
          <w:sz w:val="24"/>
          <w:szCs w:val="24"/>
          <w:lang w:val="en-GB"/>
        </w:rPr>
        <w:t xml:space="preserve"> (Accessed: 22 February 2026).</w:t>
      </w:r>
    </w:p>
    <w:p w:rsidR="1164165D" w:rsidP="63D6FE18" w:rsidRDefault="1164165D" w14:paraId="5D8A72B5" w14:textId="4ED0D952">
      <w:pPr>
        <w:bidi w:val="0"/>
        <w:spacing w:before="240" w:beforeAutospacing="off" w:after="240" w:afterAutospacing="off"/>
        <w:rPr>
          <w:rFonts w:ascii="Aptos" w:hAnsi="Aptos" w:eastAsia="Aptos" w:cs="Aptos"/>
          <w:noProof w:val="0"/>
          <w:sz w:val="24"/>
          <w:szCs w:val="24"/>
          <w:lang w:val="en-GB"/>
        </w:rPr>
      </w:pPr>
      <w:r w:rsidRPr="63D6FE18" w:rsidR="1164165D">
        <w:rPr>
          <w:rFonts w:ascii="Aptos" w:hAnsi="Aptos" w:eastAsia="Aptos" w:cs="Aptos"/>
          <w:noProof w:val="0"/>
          <w:sz w:val="24"/>
          <w:szCs w:val="24"/>
          <w:lang w:val="en-GB"/>
        </w:rPr>
        <w:t xml:space="preserve">Seebohm, F. (1968) </w:t>
      </w:r>
      <w:r w:rsidRPr="63D6FE18" w:rsidR="1164165D">
        <w:rPr>
          <w:rFonts w:ascii="Aptos" w:hAnsi="Aptos" w:eastAsia="Aptos" w:cs="Aptos"/>
          <w:i w:val="1"/>
          <w:iCs w:val="1"/>
          <w:noProof w:val="0"/>
          <w:sz w:val="24"/>
          <w:szCs w:val="24"/>
          <w:lang w:val="en-GB"/>
        </w:rPr>
        <w:t>Report of the Committee on Local Authority and Allied Personal Social Services (The Seebohm Report)</w:t>
      </w:r>
      <w:r w:rsidRPr="63D6FE18" w:rsidR="1164165D">
        <w:rPr>
          <w:rFonts w:ascii="Aptos" w:hAnsi="Aptos" w:eastAsia="Aptos" w:cs="Aptos"/>
          <w:noProof w:val="0"/>
          <w:sz w:val="24"/>
          <w:szCs w:val="24"/>
          <w:lang w:val="en-GB"/>
        </w:rPr>
        <w:t>. London: Her Majesty’s Stationery Office (HMSO).</w:t>
      </w:r>
    </w:p>
    <w:p w:rsidR="1164165D" w:rsidP="63D6FE18" w:rsidRDefault="1164165D" w14:paraId="04B41B6D" w14:textId="71E0F2BA">
      <w:pPr>
        <w:bidi w:val="0"/>
        <w:spacing w:before="240" w:beforeAutospacing="off" w:after="240" w:afterAutospacing="off"/>
        <w:rPr>
          <w:rFonts w:ascii="Aptos" w:hAnsi="Aptos" w:eastAsia="Aptos" w:cs="Aptos"/>
          <w:noProof w:val="0"/>
          <w:sz w:val="24"/>
          <w:szCs w:val="24"/>
          <w:lang w:val="en-GB"/>
        </w:rPr>
      </w:pPr>
      <w:r w:rsidRPr="63D6FE18" w:rsidR="1164165D">
        <w:rPr>
          <w:rFonts w:ascii="Aptos" w:hAnsi="Aptos" w:eastAsia="Aptos" w:cs="Aptos"/>
          <w:noProof w:val="0"/>
          <w:sz w:val="24"/>
          <w:szCs w:val="24"/>
          <w:lang w:val="en-GB"/>
        </w:rPr>
        <w:t xml:space="preserve">Skills for Care (2023) </w:t>
      </w:r>
      <w:r w:rsidRPr="63D6FE18" w:rsidR="1164165D">
        <w:rPr>
          <w:rFonts w:ascii="Aptos" w:hAnsi="Aptos" w:eastAsia="Aptos" w:cs="Aptos"/>
          <w:i w:val="1"/>
          <w:iCs w:val="1"/>
          <w:noProof w:val="0"/>
          <w:sz w:val="24"/>
          <w:szCs w:val="24"/>
          <w:lang w:val="en-GB"/>
        </w:rPr>
        <w:t>The state of the adult social care sector and workforce in England 2023</w:t>
      </w:r>
      <w:r w:rsidRPr="63D6FE18" w:rsidR="1164165D">
        <w:rPr>
          <w:rFonts w:ascii="Aptos" w:hAnsi="Aptos" w:eastAsia="Aptos" w:cs="Aptos"/>
          <w:noProof w:val="0"/>
          <w:sz w:val="24"/>
          <w:szCs w:val="24"/>
          <w:lang w:val="en-GB"/>
        </w:rPr>
        <w:t xml:space="preserve">. Leeds: Skills for Care. Available at: </w:t>
      </w:r>
      <w:hyperlink r:id="Re8f7822d22ae4c93">
        <w:r w:rsidRPr="63D6FE18" w:rsidR="1164165D">
          <w:rPr>
            <w:rStyle w:val="Hyperlink"/>
            <w:rFonts w:ascii="Aptos" w:hAnsi="Aptos" w:eastAsia="Aptos" w:cs="Aptos"/>
            <w:noProof w:val="0"/>
            <w:sz w:val="24"/>
            <w:szCs w:val="24"/>
            <w:lang w:val="en-GB"/>
          </w:rPr>
          <w:t>https://www.skillsforcare.org.uk</w:t>
        </w:r>
      </w:hyperlink>
      <w:r w:rsidRPr="63D6FE18" w:rsidR="1164165D">
        <w:rPr>
          <w:rFonts w:ascii="Aptos" w:hAnsi="Aptos" w:eastAsia="Aptos" w:cs="Aptos"/>
          <w:noProof w:val="0"/>
          <w:sz w:val="24"/>
          <w:szCs w:val="24"/>
          <w:lang w:val="en-GB"/>
        </w:rPr>
        <w:t xml:space="preserve"> (Accessed: 22 February 2026).</w:t>
      </w:r>
    </w:p>
    <w:p w:rsidR="1164165D" w:rsidP="63D6FE18" w:rsidRDefault="1164165D" w14:paraId="5A175F69" w14:textId="60F0C3B5">
      <w:pPr>
        <w:bidi w:val="0"/>
        <w:spacing w:before="240" w:beforeAutospacing="off" w:after="240" w:afterAutospacing="off"/>
        <w:rPr>
          <w:rFonts w:ascii="Aptos" w:hAnsi="Aptos" w:eastAsia="Aptos" w:cs="Aptos"/>
          <w:noProof w:val="0"/>
          <w:sz w:val="24"/>
          <w:szCs w:val="24"/>
          <w:lang w:val="en-GB"/>
        </w:rPr>
      </w:pPr>
      <w:r w:rsidRPr="63D6FE18" w:rsidR="1164165D">
        <w:rPr>
          <w:rFonts w:ascii="Aptos" w:hAnsi="Aptos" w:eastAsia="Aptos" w:cs="Aptos"/>
          <w:noProof w:val="0"/>
          <w:sz w:val="24"/>
          <w:szCs w:val="24"/>
          <w:lang w:val="en-GB"/>
        </w:rPr>
        <w:t xml:space="preserve">The King’s Fund (2023) </w:t>
      </w:r>
      <w:r w:rsidRPr="63D6FE18" w:rsidR="1164165D">
        <w:rPr>
          <w:rFonts w:ascii="Aptos" w:hAnsi="Aptos" w:eastAsia="Aptos" w:cs="Aptos"/>
          <w:i w:val="1"/>
          <w:iCs w:val="1"/>
          <w:noProof w:val="0"/>
          <w:sz w:val="24"/>
          <w:szCs w:val="24"/>
          <w:lang w:val="en-GB"/>
        </w:rPr>
        <w:t>Social care 360</w:t>
      </w:r>
      <w:r w:rsidRPr="63D6FE18" w:rsidR="1164165D">
        <w:rPr>
          <w:rFonts w:ascii="Aptos" w:hAnsi="Aptos" w:eastAsia="Aptos" w:cs="Aptos"/>
          <w:noProof w:val="0"/>
          <w:sz w:val="24"/>
          <w:szCs w:val="24"/>
          <w:lang w:val="en-GB"/>
        </w:rPr>
        <w:t xml:space="preserve">. London: The King’s Fund. Available at: </w:t>
      </w:r>
      <w:hyperlink r:id="R2341e8f8e79a4432">
        <w:r w:rsidRPr="63D6FE18" w:rsidR="1164165D">
          <w:rPr>
            <w:rStyle w:val="Hyperlink"/>
            <w:rFonts w:ascii="Aptos" w:hAnsi="Aptos" w:eastAsia="Aptos" w:cs="Aptos"/>
            <w:noProof w:val="0"/>
            <w:sz w:val="24"/>
            <w:szCs w:val="24"/>
            <w:lang w:val="en-GB"/>
          </w:rPr>
          <w:t>https://www.kingsfund.org.uk</w:t>
        </w:r>
      </w:hyperlink>
      <w:r w:rsidRPr="63D6FE18" w:rsidR="1164165D">
        <w:rPr>
          <w:rFonts w:ascii="Aptos" w:hAnsi="Aptos" w:eastAsia="Aptos" w:cs="Aptos"/>
          <w:noProof w:val="0"/>
          <w:sz w:val="24"/>
          <w:szCs w:val="24"/>
          <w:lang w:val="en-GB"/>
        </w:rPr>
        <w:t xml:space="preserve"> (Accessed: 22 February 2026).</w:t>
      </w:r>
    </w:p>
    <w:p w:rsidR="1164165D" w:rsidP="63D6FE18" w:rsidRDefault="1164165D" w14:paraId="7E9CD2DC" w14:textId="18307695">
      <w:pPr>
        <w:bidi w:val="0"/>
        <w:spacing w:before="240" w:beforeAutospacing="off" w:after="240" w:afterAutospacing="off"/>
        <w:rPr>
          <w:rFonts w:ascii="Aptos" w:hAnsi="Aptos" w:eastAsia="Aptos" w:cs="Aptos"/>
          <w:noProof w:val="0"/>
          <w:sz w:val="24"/>
          <w:szCs w:val="24"/>
          <w:lang w:val="en-GB"/>
        </w:rPr>
      </w:pPr>
      <w:r w:rsidRPr="63D6FE18" w:rsidR="1164165D">
        <w:rPr>
          <w:rFonts w:ascii="Aptos" w:hAnsi="Aptos" w:eastAsia="Aptos" w:cs="Aptos"/>
          <w:noProof w:val="0"/>
          <w:sz w:val="24"/>
          <w:szCs w:val="24"/>
          <w:lang w:val="en-GB"/>
        </w:rPr>
        <w:t xml:space="preserve">UK Government (2001) </w:t>
      </w:r>
      <w:r w:rsidRPr="63D6FE18" w:rsidR="1164165D">
        <w:rPr>
          <w:rFonts w:ascii="Aptos" w:hAnsi="Aptos" w:eastAsia="Aptos" w:cs="Aptos"/>
          <w:i w:val="1"/>
          <w:iCs w:val="1"/>
          <w:noProof w:val="0"/>
          <w:sz w:val="24"/>
          <w:szCs w:val="24"/>
          <w:lang w:val="en-GB"/>
        </w:rPr>
        <w:t>Health and Social Care Act 2001</w:t>
      </w:r>
      <w:r w:rsidRPr="63D6FE18" w:rsidR="1164165D">
        <w:rPr>
          <w:rFonts w:ascii="Aptos" w:hAnsi="Aptos" w:eastAsia="Aptos" w:cs="Aptos"/>
          <w:noProof w:val="0"/>
          <w:sz w:val="24"/>
          <w:szCs w:val="24"/>
          <w:lang w:val="en-GB"/>
        </w:rPr>
        <w:t xml:space="preserve">. London: The Stationery Office. Available at: </w:t>
      </w:r>
      <w:hyperlink r:id="Rbf9b412d56a54563">
        <w:r w:rsidRPr="63D6FE18" w:rsidR="1164165D">
          <w:rPr>
            <w:rStyle w:val="Hyperlink"/>
            <w:rFonts w:ascii="Aptos" w:hAnsi="Aptos" w:eastAsia="Aptos" w:cs="Aptos"/>
            <w:noProof w:val="0"/>
            <w:sz w:val="24"/>
            <w:szCs w:val="24"/>
            <w:lang w:val="en-GB"/>
          </w:rPr>
          <w:t>https://www.legislation.gov.uk</w:t>
        </w:r>
      </w:hyperlink>
      <w:r w:rsidRPr="63D6FE18" w:rsidR="1164165D">
        <w:rPr>
          <w:rFonts w:ascii="Aptos" w:hAnsi="Aptos" w:eastAsia="Aptos" w:cs="Aptos"/>
          <w:noProof w:val="0"/>
          <w:sz w:val="24"/>
          <w:szCs w:val="24"/>
          <w:lang w:val="en-GB"/>
        </w:rPr>
        <w:t xml:space="preserve"> (Accessed: 22 February 2026).</w:t>
      </w:r>
    </w:p>
    <w:p w:rsidR="63D6FE18" w:rsidP="63D6FE18" w:rsidRDefault="63D6FE18" w14:paraId="7DCA36CE" w14:textId="09370DFB">
      <w:pPr>
        <w:bidi w:val="0"/>
        <w:spacing w:before="240" w:beforeAutospacing="off" w:after="240" w:afterAutospacing="off"/>
        <w:rPr>
          <w:rFonts w:ascii="Aptos" w:hAnsi="Aptos" w:eastAsia="Aptos" w:cs="Aptos"/>
          <w:b w:val="1"/>
          <w:bCs w:val="1"/>
          <w:noProof w:val="0"/>
          <w:sz w:val="24"/>
          <w:szCs w:val="24"/>
          <w:lang w:val="en-GB"/>
        </w:rPr>
      </w:pPr>
    </w:p>
    <w:p w:rsidR="63D6FE18" w:rsidP="63D6FE18" w:rsidRDefault="63D6FE18" w14:paraId="7122308B" w14:textId="24FFF761">
      <w:pPr>
        <w:bidi w:val="0"/>
        <w:spacing w:before="240" w:beforeAutospacing="off" w:after="240" w:afterAutospacing="off"/>
        <w:rPr>
          <w:rFonts w:ascii="Aptos" w:hAnsi="Aptos" w:eastAsia="Aptos" w:cs="Aptos"/>
          <w:b w:val="1"/>
          <w:bCs w:val="1"/>
          <w:noProof w:val="0"/>
          <w:sz w:val="24"/>
          <w:szCs w:val="24"/>
          <w:lang w:val="en-GB"/>
        </w:rPr>
      </w:pPr>
    </w:p>
    <w:p w:rsidR="63D6FE18" w:rsidP="63D6FE18" w:rsidRDefault="63D6FE18" w14:paraId="4B6FEE56" w14:textId="6D35150D">
      <w:pPr>
        <w:bidi w:val="0"/>
        <w:spacing w:before="240" w:beforeAutospacing="off" w:after="240" w:afterAutospacing="off"/>
        <w:rPr>
          <w:rFonts w:ascii="Aptos" w:hAnsi="Aptos" w:eastAsia="Aptos" w:cs="Aptos"/>
          <w:b w:val="1"/>
          <w:bCs w:val="1"/>
          <w:noProof w:val="0"/>
          <w:sz w:val="24"/>
          <w:szCs w:val="24"/>
          <w:lang w:val="en-GB"/>
        </w:rPr>
      </w:pPr>
    </w:p>
    <w:p w:rsidR="1C7DE73D" w:rsidP="63D6FE18" w:rsidRDefault="1C7DE73D" w14:paraId="0880DC15" w14:textId="700B643E">
      <w:pPr>
        <w:bidi w:val="0"/>
        <w:spacing w:before="240" w:beforeAutospacing="off" w:after="240" w:afterAutospacing="off"/>
        <w:rPr>
          <w:rFonts w:ascii="Aptos" w:hAnsi="Aptos" w:eastAsia="Aptos" w:cs="Aptos"/>
          <w:b w:val="1"/>
          <w:bCs w:val="1"/>
          <w:noProof w:val="0"/>
          <w:sz w:val="24"/>
          <w:szCs w:val="24"/>
          <w:lang w:val="en-GB"/>
        </w:rPr>
      </w:pPr>
      <w:r w:rsidRPr="63D6FE18" w:rsidR="1C7DE73D">
        <w:rPr>
          <w:rFonts w:ascii="Aptos" w:hAnsi="Aptos" w:eastAsia="Aptos" w:cs="Aptos"/>
          <w:b w:val="1"/>
          <w:bCs w:val="1"/>
          <w:noProof w:val="0"/>
          <w:sz w:val="24"/>
          <w:szCs w:val="24"/>
          <w:lang w:val="en-GB"/>
        </w:rPr>
        <w:t xml:space="preserve">Essay Reference List </w:t>
      </w:r>
    </w:p>
    <w:p w:rsidR="1C7DE73D" w:rsidP="63D6FE18" w:rsidRDefault="1C7DE73D" w14:paraId="021FB84E" w14:textId="3C7BBB10">
      <w:pPr>
        <w:pStyle w:val="Normal"/>
        <w:bidi w:val="0"/>
        <w:spacing w:before="240" w:beforeAutospacing="off" w:after="240" w:afterAutospacing="off"/>
        <w:rPr>
          <w:rFonts w:ascii="Aptos" w:hAnsi="Aptos" w:eastAsia="Aptos" w:cs="Aptos"/>
          <w:noProof w:val="0"/>
          <w:sz w:val="24"/>
          <w:szCs w:val="24"/>
          <w:lang w:val="en-GB"/>
        </w:rPr>
      </w:pPr>
      <w:r w:rsidRPr="63D6FE18" w:rsidR="1C7DE73D">
        <w:rPr>
          <w:rFonts w:ascii="Aptos" w:hAnsi="Aptos" w:eastAsia="Aptos" w:cs="Aptos"/>
          <w:noProof w:val="0"/>
          <w:sz w:val="24"/>
          <w:szCs w:val="24"/>
          <w:lang w:val="en-GB"/>
        </w:rPr>
        <w:t xml:space="preserve">Baggott, R. (2011) Public health: Policy and politics. 2nd </w:t>
      </w:r>
      <w:r w:rsidRPr="63D6FE18" w:rsidR="1C7DE73D">
        <w:rPr>
          <w:rFonts w:ascii="Aptos" w:hAnsi="Aptos" w:eastAsia="Aptos" w:cs="Aptos"/>
          <w:noProof w:val="0"/>
          <w:sz w:val="24"/>
          <w:szCs w:val="24"/>
          <w:lang w:val="en-GB"/>
        </w:rPr>
        <w:t>edn</w:t>
      </w:r>
      <w:r w:rsidRPr="63D6FE18" w:rsidR="1C7DE73D">
        <w:rPr>
          <w:rFonts w:ascii="Aptos" w:hAnsi="Aptos" w:eastAsia="Aptos" w:cs="Aptos"/>
          <w:noProof w:val="0"/>
          <w:sz w:val="24"/>
          <w:szCs w:val="24"/>
          <w:lang w:val="en-GB"/>
        </w:rPr>
        <w:t xml:space="preserve">. Basingstoke: Palgrave Macmillan. </w:t>
      </w:r>
    </w:p>
    <w:p w:rsidR="1C7DE73D" w:rsidP="63D6FE18" w:rsidRDefault="1C7DE73D" w14:paraId="44D879F0" w14:textId="246773BE">
      <w:pPr>
        <w:pStyle w:val="Normal"/>
        <w:bidi w:val="0"/>
        <w:spacing w:before="240" w:beforeAutospacing="off" w:after="240" w:afterAutospacing="off"/>
        <w:rPr>
          <w:rFonts w:ascii="Aptos" w:hAnsi="Aptos" w:eastAsia="Aptos" w:cs="Aptos"/>
          <w:noProof w:val="0"/>
          <w:sz w:val="24"/>
          <w:szCs w:val="24"/>
          <w:lang w:val="en-GB"/>
        </w:rPr>
      </w:pPr>
      <w:r w:rsidRPr="63D6FE18" w:rsidR="1C7DE73D">
        <w:rPr>
          <w:rFonts w:ascii="Aptos" w:hAnsi="Aptos" w:eastAsia="Aptos" w:cs="Aptos"/>
          <w:noProof w:val="0"/>
          <w:sz w:val="24"/>
          <w:szCs w:val="24"/>
          <w:lang w:val="en-GB"/>
        </w:rPr>
        <w:t xml:space="preserve">Care Quality Commission (2023) The state of health care and adult social care in England 2022/23. London: CQC. </w:t>
      </w:r>
    </w:p>
    <w:p w:rsidR="1C7DE73D" w:rsidP="63D6FE18" w:rsidRDefault="1C7DE73D" w14:paraId="0345BF24" w14:textId="3C52BDC8">
      <w:pPr>
        <w:pStyle w:val="Normal"/>
        <w:bidi w:val="0"/>
        <w:spacing w:before="240" w:beforeAutospacing="off" w:after="240" w:afterAutospacing="off"/>
        <w:rPr>
          <w:rFonts w:ascii="Aptos" w:hAnsi="Aptos" w:eastAsia="Aptos" w:cs="Aptos"/>
          <w:noProof w:val="0"/>
          <w:sz w:val="24"/>
          <w:szCs w:val="24"/>
          <w:lang w:val="en-GB"/>
        </w:rPr>
      </w:pPr>
      <w:r w:rsidRPr="63D6FE18" w:rsidR="1C7DE73D">
        <w:rPr>
          <w:rFonts w:ascii="Aptos" w:hAnsi="Aptos" w:eastAsia="Aptos" w:cs="Aptos"/>
          <w:noProof w:val="0"/>
          <w:sz w:val="24"/>
          <w:szCs w:val="24"/>
          <w:lang w:val="en-GB"/>
        </w:rPr>
        <w:t xml:space="preserve">College of Paramedics (2021) Paramedic curriculum guidance. Bridgwater: College of Paramedics. </w:t>
      </w:r>
    </w:p>
    <w:p w:rsidR="1C7DE73D" w:rsidP="63D6FE18" w:rsidRDefault="1C7DE73D" w14:paraId="1FAE6A26" w14:textId="5FAD4DF4">
      <w:pPr>
        <w:pStyle w:val="Normal"/>
        <w:bidi w:val="0"/>
        <w:spacing w:before="240" w:beforeAutospacing="off" w:after="240" w:afterAutospacing="off"/>
        <w:rPr>
          <w:rFonts w:ascii="Aptos" w:hAnsi="Aptos" w:eastAsia="Aptos" w:cs="Aptos"/>
          <w:noProof w:val="0"/>
          <w:sz w:val="24"/>
          <w:szCs w:val="24"/>
          <w:lang w:val="en-GB"/>
        </w:rPr>
      </w:pPr>
      <w:r w:rsidRPr="63D6FE18" w:rsidR="1C7DE73D">
        <w:rPr>
          <w:rFonts w:ascii="Aptos" w:hAnsi="Aptos" w:eastAsia="Aptos" w:cs="Aptos"/>
          <w:noProof w:val="0"/>
          <w:sz w:val="24"/>
          <w:szCs w:val="24"/>
          <w:lang w:val="en-GB"/>
        </w:rPr>
        <w:t xml:space="preserve">Department of Health and Social Care (2018) The NHS at 70: A celebration of 70 years of the National Health Service. London: DHSC. </w:t>
      </w:r>
    </w:p>
    <w:p w:rsidR="1C7DE73D" w:rsidP="63D6FE18" w:rsidRDefault="1C7DE73D" w14:paraId="65481186" w14:textId="7B4F9AD3">
      <w:pPr>
        <w:pStyle w:val="Normal"/>
        <w:bidi w:val="0"/>
        <w:spacing w:before="240" w:beforeAutospacing="off" w:after="240" w:afterAutospacing="off"/>
        <w:rPr>
          <w:rFonts w:ascii="Aptos" w:hAnsi="Aptos" w:eastAsia="Aptos" w:cs="Aptos"/>
          <w:noProof w:val="0"/>
          <w:sz w:val="24"/>
          <w:szCs w:val="24"/>
          <w:lang w:val="en-GB"/>
        </w:rPr>
      </w:pPr>
      <w:r w:rsidRPr="63D6FE18" w:rsidR="1C7DE73D">
        <w:rPr>
          <w:rFonts w:ascii="Aptos" w:hAnsi="Aptos" w:eastAsia="Aptos" w:cs="Aptos"/>
          <w:noProof w:val="0"/>
          <w:sz w:val="24"/>
          <w:szCs w:val="24"/>
          <w:lang w:val="en-GB"/>
        </w:rPr>
        <w:t xml:space="preserve">NHS England (2019) The NHS Long Term Plan. London: NHS England. </w:t>
      </w:r>
    </w:p>
    <w:p w:rsidR="1C7DE73D" w:rsidP="63D6FE18" w:rsidRDefault="1C7DE73D" w14:paraId="1696E7A7" w14:textId="28360BCD">
      <w:pPr>
        <w:pStyle w:val="Normal"/>
        <w:bidi w:val="0"/>
        <w:spacing w:before="240" w:beforeAutospacing="off" w:after="240" w:afterAutospacing="off"/>
        <w:rPr>
          <w:rFonts w:ascii="Aptos" w:hAnsi="Aptos" w:eastAsia="Aptos" w:cs="Aptos"/>
          <w:noProof w:val="0"/>
          <w:sz w:val="24"/>
          <w:szCs w:val="24"/>
          <w:lang w:val="en-GB"/>
        </w:rPr>
      </w:pPr>
      <w:r w:rsidRPr="63D6FE18" w:rsidR="1C7DE73D">
        <w:rPr>
          <w:rFonts w:ascii="Aptos" w:hAnsi="Aptos" w:eastAsia="Aptos" w:cs="Aptos"/>
          <w:noProof w:val="0"/>
          <w:sz w:val="24"/>
          <w:szCs w:val="24"/>
          <w:lang w:val="en-GB"/>
        </w:rPr>
        <w:t xml:space="preserve">The King’s Fund (2022) Ambulance services and the growing demand for urgent and emergency care. London: The King’s Fund. </w:t>
      </w:r>
    </w:p>
    <w:p w:rsidR="1C7DE73D" w:rsidP="63D6FE18" w:rsidRDefault="1C7DE73D" w14:paraId="68B7CC32" w14:textId="23C3440B">
      <w:pPr>
        <w:pStyle w:val="Normal"/>
        <w:bidi w:val="0"/>
        <w:spacing w:before="240" w:beforeAutospacing="off" w:after="240" w:afterAutospacing="off"/>
        <w:rPr>
          <w:rFonts w:ascii="Aptos" w:hAnsi="Aptos" w:eastAsia="Aptos" w:cs="Aptos"/>
          <w:noProof w:val="0"/>
          <w:sz w:val="24"/>
          <w:szCs w:val="24"/>
          <w:lang w:val="en-GB"/>
        </w:rPr>
      </w:pPr>
      <w:r w:rsidRPr="63D6FE18" w:rsidR="1C7DE73D">
        <w:rPr>
          <w:rFonts w:ascii="Aptos" w:hAnsi="Aptos" w:eastAsia="Aptos" w:cs="Aptos"/>
          <w:noProof w:val="0"/>
          <w:sz w:val="24"/>
          <w:szCs w:val="24"/>
          <w:lang w:val="en-GB"/>
        </w:rPr>
        <w:t>Woollard, M. (2009) ‘The role of the paramedic practitioner in the UK’, Journal of Paramedic Practice, 1(1), pp. 12–18.</w:t>
      </w:r>
    </w:p>
    <w:p w:rsidR="63D6FE18" w:rsidP="63D6FE18" w:rsidRDefault="63D6FE18" w14:paraId="00A55989" w14:textId="4182AAC3">
      <w:pPr>
        <w:pStyle w:val="Normal"/>
        <w:bidi w:val="0"/>
        <w:spacing w:before="240" w:beforeAutospacing="off" w:after="240" w:afterAutospacing="off"/>
        <w:rPr>
          <w:rFonts w:ascii="Aptos" w:hAnsi="Aptos" w:eastAsia="Aptos" w:cs="Aptos"/>
          <w:noProof w:val="0"/>
          <w:sz w:val="24"/>
          <w:szCs w:val="24"/>
          <w:lang w:val="en-GB"/>
        </w:rPr>
      </w:pPr>
    </w:p>
    <w:p w:rsidR="63D6FE18" w:rsidP="63D6FE18" w:rsidRDefault="63D6FE18" w14:paraId="4DD16636" w14:textId="21E0330A">
      <w:pPr>
        <w:pStyle w:val="Normal"/>
        <w:rPr>
          <w:rFonts w:ascii="Aptos" w:hAnsi="Aptos" w:eastAsia="Aptos" w:cs="Aptos"/>
        </w:rPr>
      </w:pPr>
    </w:p>
    <w:p w:rsidR="63D6FE18" w:rsidP="63D6FE18" w:rsidRDefault="63D6FE18" w14:paraId="66C44C85" w14:textId="591D85A8">
      <w:pPr>
        <w:pStyle w:val="Normal"/>
        <w:rPr>
          <w:rFonts w:ascii="Aptos" w:hAnsi="Aptos" w:eastAsia="Aptos" w:cs="Aptos"/>
        </w:rPr>
      </w:pPr>
    </w:p>
    <w:p w:rsidR="63D6FE18" w:rsidP="63D6FE18" w:rsidRDefault="63D6FE18" w14:paraId="5183F815" w14:textId="5C9E59E1">
      <w:pPr>
        <w:pStyle w:val="Normal"/>
        <w:rPr>
          <w:rFonts w:ascii="Aptos" w:hAnsi="Aptos" w:eastAsia="Aptos" w:cs="Aptos"/>
        </w:rPr>
      </w:pPr>
    </w:p>
    <w:p w:rsidR="63D6FE18" w:rsidP="63D6FE18" w:rsidRDefault="63D6FE18" w14:paraId="5A46BBF6" w14:textId="738606E3">
      <w:pPr>
        <w:pStyle w:val="Normal"/>
        <w:rPr>
          <w:rFonts w:ascii="Aptos" w:hAnsi="Aptos" w:eastAsia="Aptos" w:cs="Aptos"/>
        </w:rPr>
      </w:pPr>
    </w:p>
    <w:p w:rsidR="63D6FE18" w:rsidP="63D6FE18" w:rsidRDefault="63D6FE18" w14:paraId="04DC702D" w14:textId="1F902896">
      <w:pPr>
        <w:pStyle w:val="Normal"/>
        <w:rPr>
          <w:rFonts w:ascii="Aptos" w:hAnsi="Aptos" w:eastAsia="Aptos" w:cs="Aptos"/>
        </w:rPr>
      </w:pPr>
    </w:p>
    <w:p w:rsidR="63D6FE18" w:rsidP="63D6FE18" w:rsidRDefault="63D6FE18" w14:paraId="2B606517" w14:textId="04750C18">
      <w:pPr>
        <w:pStyle w:val="Normal"/>
        <w:rPr>
          <w:rFonts w:ascii="Aptos" w:hAnsi="Aptos" w:eastAsia="Aptos" w:cs="Aptos"/>
        </w:rPr>
      </w:pPr>
    </w:p>
    <w:p w:rsidR="63D6FE18" w:rsidP="63D6FE18" w:rsidRDefault="63D6FE18" w14:paraId="137C4FAA" w14:textId="5AA3814A">
      <w:pPr>
        <w:pStyle w:val="Normal"/>
        <w:rPr>
          <w:rFonts w:ascii="Aptos" w:hAnsi="Aptos" w:eastAsia="Aptos" w:cs="Aptos"/>
        </w:rPr>
      </w:pPr>
    </w:p>
    <w:p w:rsidR="63D6FE18" w:rsidP="63D6FE18" w:rsidRDefault="63D6FE18" w14:paraId="4FD1224A" w14:textId="5F71FC1E">
      <w:pPr>
        <w:pStyle w:val="Normal"/>
        <w:rPr>
          <w:rFonts w:ascii="Aptos" w:hAnsi="Aptos" w:eastAsia="Aptos" w:cs="Aptos"/>
        </w:rPr>
      </w:pPr>
    </w:p>
    <w:p w:rsidR="63D6FE18" w:rsidP="63D6FE18" w:rsidRDefault="63D6FE18" w14:paraId="7F97FE01" w14:textId="33635638">
      <w:pPr>
        <w:pStyle w:val="Normal"/>
        <w:rPr>
          <w:rFonts w:ascii="Aptos" w:hAnsi="Aptos" w:eastAsia="Aptos" w:cs="Aptos"/>
        </w:rPr>
      </w:pPr>
    </w:p>
    <w:p w:rsidR="63D6FE18" w:rsidP="63D6FE18" w:rsidRDefault="63D6FE18" w14:paraId="04C34357" w14:textId="5D706E8F">
      <w:pPr>
        <w:pStyle w:val="Normal"/>
        <w:rPr>
          <w:rFonts w:ascii="Aptos" w:hAnsi="Aptos" w:eastAsia="Aptos" w:cs="Aptos"/>
        </w:rPr>
      </w:pPr>
    </w:p>
    <w:p w:rsidR="63D6FE18" w:rsidP="63D6FE18" w:rsidRDefault="63D6FE18" w14:paraId="6B7223E7" w14:textId="1870305A">
      <w:pPr>
        <w:pStyle w:val="Normal"/>
        <w:rPr>
          <w:rFonts w:ascii="Aptos" w:hAnsi="Aptos" w:eastAsia="Aptos" w:cs="Aptos"/>
        </w:rPr>
      </w:pPr>
    </w:p>
    <w:p w:rsidR="63D6FE18" w:rsidP="63D6FE18" w:rsidRDefault="63D6FE18" w14:paraId="281C97F1" w14:textId="321D496D">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0">
    <w:nsid w:val="75ff05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253c9d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675c69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626bb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713073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1f5852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7360054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5371fa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b02cd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23472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6a144c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50e70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31912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81cb9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e1e5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4f876a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c8c875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ca16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1df5f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02a22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374C8A"/>
    <w:rsid w:val="01409CE3"/>
    <w:rsid w:val="0150F027"/>
    <w:rsid w:val="0345C946"/>
    <w:rsid w:val="046DC8CF"/>
    <w:rsid w:val="05FBE8AD"/>
    <w:rsid w:val="07B2D730"/>
    <w:rsid w:val="08EF96F0"/>
    <w:rsid w:val="0B9BC07D"/>
    <w:rsid w:val="0DE6E6DE"/>
    <w:rsid w:val="0E392A62"/>
    <w:rsid w:val="0F60BC18"/>
    <w:rsid w:val="10DB91DA"/>
    <w:rsid w:val="1164165D"/>
    <w:rsid w:val="124C75D7"/>
    <w:rsid w:val="13374C8A"/>
    <w:rsid w:val="13AC18D6"/>
    <w:rsid w:val="155DABC9"/>
    <w:rsid w:val="15FC38D7"/>
    <w:rsid w:val="179163F3"/>
    <w:rsid w:val="18A3C40C"/>
    <w:rsid w:val="1A0A53B7"/>
    <w:rsid w:val="1B130CC2"/>
    <w:rsid w:val="1B1FB71B"/>
    <w:rsid w:val="1B2402A8"/>
    <w:rsid w:val="1C7DE73D"/>
    <w:rsid w:val="1E29AD51"/>
    <w:rsid w:val="20A78E01"/>
    <w:rsid w:val="244AEDA9"/>
    <w:rsid w:val="248FC8F2"/>
    <w:rsid w:val="24A8CCA8"/>
    <w:rsid w:val="2583BA1A"/>
    <w:rsid w:val="287D6E70"/>
    <w:rsid w:val="2A2C7084"/>
    <w:rsid w:val="2F4001B2"/>
    <w:rsid w:val="34EC413E"/>
    <w:rsid w:val="34FCE4B7"/>
    <w:rsid w:val="37875D9B"/>
    <w:rsid w:val="38614DFB"/>
    <w:rsid w:val="3A31F3E8"/>
    <w:rsid w:val="3B268DA1"/>
    <w:rsid w:val="3B620928"/>
    <w:rsid w:val="3F4EF303"/>
    <w:rsid w:val="416BC4B8"/>
    <w:rsid w:val="42D6B5A1"/>
    <w:rsid w:val="44098257"/>
    <w:rsid w:val="4443C96D"/>
    <w:rsid w:val="4740F4B9"/>
    <w:rsid w:val="47E8160E"/>
    <w:rsid w:val="48DA2694"/>
    <w:rsid w:val="48EE0CB1"/>
    <w:rsid w:val="49A69B4F"/>
    <w:rsid w:val="4ACFBA82"/>
    <w:rsid w:val="4B7E45D8"/>
    <w:rsid w:val="521B619F"/>
    <w:rsid w:val="53A9BA00"/>
    <w:rsid w:val="552A4DFF"/>
    <w:rsid w:val="55A558C7"/>
    <w:rsid w:val="563F18DA"/>
    <w:rsid w:val="58515D47"/>
    <w:rsid w:val="58EB8D11"/>
    <w:rsid w:val="593F05A8"/>
    <w:rsid w:val="59CA994B"/>
    <w:rsid w:val="5AC45A1F"/>
    <w:rsid w:val="5CE83B2D"/>
    <w:rsid w:val="5CE8C351"/>
    <w:rsid w:val="5DA61073"/>
    <w:rsid w:val="613EEDFE"/>
    <w:rsid w:val="6180B903"/>
    <w:rsid w:val="618AB794"/>
    <w:rsid w:val="61D9A23E"/>
    <w:rsid w:val="61F194BF"/>
    <w:rsid w:val="63D6FE18"/>
    <w:rsid w:val="64AE86A8"/>
    <w:rsid w:val="65078296"/>
    <w:rsid w:val="653CCE76"/>
    <w:rsid w:val="67D06DB8"/>
    <w:rsid w:val="693FCA91"/>
    <w:rsid w:val="69949208"/>
    <w:rsid w:val="6B8CC70D"/>
    <w:rsid w:val="6C2EA467"/>
    <w:rsid w:val="6D18D74D"/>
    <w:rsid w:val="6EA5D338"/>
    <w:rsid w:val="752910C9"/>
    <w:rsid w:val="75AC6E06"/>
    <w:rsid w:val="7779E16D"/>
    <w:rsid w:val="7802C50B"/>
    <w:rsid w:val="7A1FD5B6"/>
    <w:rsid w:val="7CB94D52"/>
    <w:rsid w:val="7CEF245F"/>
    <w:rsid w:val="7F0BC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668376"/>
  <w15:chartTrackingRefBased/>
  <w15:docId w15:val="{A73DCE13-A2AB-4167-8C80-9364D0A0F99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63D6FE18"/>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63D6FE18"/>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63D6FE18"/>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63D6FE18"/>
    <w:pPr>
      <w:spacing/>
      <w:ind w:left="720"/>
      <w:contextualSpacing/>
    </w:pPr>
  </w:style>
  <w:style w:type="character" w:styleId="Hyperlink">
    <w:uiPriority w:val="99"/>
    <w:name w:val="Hyperlink"/>
    <w:basedOn w:val="DefaultParagraphFont"/>
    <w:unhideWhenUsed/>
    <w:rsid w:val="63D6FE18"/>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Id2085038778" /><Relationship Type="http://schemas.openxmlformats.org/officeDocument/2006/relationships/hyperlink" Target="https://www.cqc.org.uk/" TargetMode="External" Id="R1b5766c9be574e3a" /><Relationship Type="http://schemas.openxmlformats.org/officeDocument/2006/relationships/hyperlink" Target="https://www.cqc.org.uk/" TargetMode="External" Id="Rcb9bc80edf9f4dc3" /><Relationship Type="http://schemas.openxmlformats.org/officeDocument/2006/relationships/hyperlink" Target="https://www.gov.uk/government/publications/people-at-the-heart-of-care-adult-social-care-reform-white-paper" TargetMode="External" Id="Rcc93c23db98c453b" /><Relationship Type="http://schemas.openxmlformats.org/officeDocument/2006/relationships/hyperlink" Target="https://www.nice.org.uk/guidance/ng86" TargetMode="External" Id="R46c1aa24b3254212" /><Relationship Type="http://schemas.openxmlformats.org/officeDocument/2006/relationships/hyperlink" Target="https://www.ons.gov.uk/" TargetMode="External" Id="R2145023798e04784" /><Relationship Type="http://schemas.openxmlformats.org/officeDocument/2006/relationships/hyperlink" Target="https://www.skillsforcare.org.uk/" TargetMode="External" Id="Re8f7822d22ae4c93" /><Relationship Type="http://schemas.openxmlformats.org/officeDocument/2006/relationships/hyperlink" Target="https://www.kingsfund.org.uk/" TargetMode="External" Id="R2341e8f8e79a4432" /><Relationship Type="http://schemas.openxmlformats.org/officeDocument/2006/relationships/hyperlink" Target="https://www.legislation.gov.uk/" TargetMode="External" Id="Rbf9b412d56a54563" /><Relationship Type="http://schemas.openxmlformats.org/officeDocument/2006/relationships/numbering" Target="/word/numbering.xml" Id="R31c6c05a45834e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Louise Diane Hathaway (2509405)</dc:creator>
  <keywords/>
  <dc:description/>
  <lastModifiedBy>Rachel Louise Diane Hathaway (2509405)</lastModifiedBy>
  <revision>2</revision>
  <dcterms:created xsi:type="dcterms:W3CDTF">2026-02-22T17:37:05.2435841Z</dcterms:created>
  <dcterms:modified xsi:type="dcterms:W3CDTF">2026-02-22T23:11:19.1647469Z</dcterms:modified>
</coreProperties>
</file>