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07906" w14:textId="3F9BE1F5" w:rsidR="00AC19D7" w:rsidRPr="00AC19D7" w:rsidRDefault="00AC19D7" w:rsidP="00AC19D7">
      <w:pPr>
        <w:jc w:val="center"/>
        <w:rPr>
          <w:rFonts w:ascii="Arial" w:hAnsi="Arial" w:cs="Arial"/>
          <w:sz w:val="28"/>
          <w:szCs w:val="28"/>
        </w:rPr>
      </w:pPr>
      <w:r w:rsidRPr="00AC19D7">
        <w:rPr>
          <w:rFonts w:ascii="Arial" w:hAnsi="Arial" w:cs="Arial"/>
          <w:b/>
          <w:bCs/>
          <w:sz w:val="28"/>
          <w:szCs w:val="28"/>
          <w:lang w:val="en-US"/>
        </w:rPr>
        <w:t>Effective Communication, Administrative Skills and Collaborative Working in Health and Social Care</w:t>
      </w:r>
      <w:r w:rsidRPr="00AC19D7">
        <w:rPr>
          <w:rFonts w:ascii="Arial" w:hAnsi="Arial" w:cs="Arial"/>
          <w:sz w:val="28"/>
          <w:szCs w:val="28"/>
        </w:rPr>
        <w:t> </w:t>
      </w:r>
      <w:r w:rsidRPr="00AC19D7">
        <w:rPr>
          <w:rFonts w:ascii="Arial" w:hAnsi="Arial" w:cs="Arial"/>
          <w:sz w:val="28"/>
          <w:szCs w:val="28"/>
        </w:rPr>
        <w:br/>
      </w:r>
      <w:proofErr w:type="spellStart"/>
      <w:r w:rsidRPr="00AC19D7">
        <w:rPr>
          <w:rFonts w:ascii="Arial" w:hAnsi="Arial" w:cs="Arial"/>
          <w:b/>
          <w:bCs/>
          <w:sz w:val="28"/>
          <w:szCs w:val="28"/>
          <w:lang w:val="en-US"/>
        </w:rPr>
        <w:t>Mrs</w:t>
      </w:r>
      <w:proofErr w:type="spellEnd"/>
      <w:r w:rsidRPr="00AC19D7">
        <w:rPr>
          <w:rFonts w:ascii="Arial" w:hAnsi="Arial" w:cs="Arial"/>
          <w:b/>
          <w:bCs/>
          <w:sz w:val="28"/>
          <w:szCs w:val="28"/>
          <w:lang w:val="en-US"/>
        </w:rPr>
        <w:t xml:space="preserve"> Thompson Case Study</w:t>
      </w:r>
    </w:p>
    <w:p w14:paraId="6FCFB444" w14:textId="2F70098C" w:rsidR="00AC19D7" w:rsidRPr="00AC19D7" w:rsidRDefault="00AC19D7" w:rsidP="00AC19D7">
      <w:pPr>
        <w:jc w:val="center"/>
        <w:rPr>
          <w:rFonts w:ascii="Arial" w:hAnsi="Arial" w:cs="Arial"/>
        </w:rPr>
      </w:pPr>
      <w:r w:rsidRPr="00AC19D7">
        <w:rPr>
          <w:rFonts w:ascii="Arial" w:hAnsi="Arial" w:cs="Arial"/>
          <w:lang w:val="en-US"/>
        </w:rPr>
        <w:t>Name: Bosede Funmilayo Olumuyiwa</w:t>
      </w:r>
    </w:p>
    <w:p w14:paraId="0E4393C9" w14:textId="782AFEB9" w:rsidR="00AC19D7" w:rsidRPr="00AC19D7" w:rsidRDefault="00AC19D7" w:rsidP="00AC19D7">
      <w:pPr>
        <w:jc w:val="center"/>
        <w:rPr>
          <w:rFonts w:ascii="Arial" w:hAnsi="Arial" w:cs="Arial"/>
        </w:rPr>
      </w:pPr>
      <w:r w:rsidRPr="00AC19D7">
        <w:rPr>
          <w:rFonts w:ascii="Arial" w:hAnsi="Arial" w:cs="Arial"/>
          <w:lang w:val="en-US"/>
        </w:rPr>
        <w:t>Student Number: 2532179</w:t>
      </w:r>
    </w:p>
    <w:p w14:paraId="51893BE4" w14:textId="247AE842" w:rsidR="00AC19D7" w:rsidRPr="00AC19D7" w:rsidRDefault="00AC19D7" w:rsidP="00AC19D7">
      <w:pPr>
        <w:jc w:val="center"/>
        <w:rPr>
          <w:rFonts w:ascii="Arial" w:hAnsi="Arial" w:cs="Arial"/>
        </w:rPr>
      </w:pPr>
      <w:r w:rsidRPr="00AC19D7">
        <w:rPr>
          <w:rFonts w:ascii="Arial" w:hAnsi="Arial" w:cs="Arial"/>
          <w:lang w:val="en-US"/>
        </w:rPr>
        <w:t>Module Code: LCHS4003</w:t>
      </w:r>
    </w:p>
    <w:p w14:paraId="18CB8AAC" w14:textId="1A2CF8EE" w:rsidR="00AC19D7" w:rsidRPr="00AC19D7" w:rsidRDefault="00AC19D7" w:rsidP="00AC19D7">
      <w:pPr>
        <w:jc w:val="center"/>
        <w:rPr>
          <w:rFonts w:ascii="Arial" w:hAnsi="Arial" w:cs="Arial"/>
        </w:rPr>
      </w:pPr>
      <w:r w:rsidRPr="00AC19D7">
        <w:rPr>
          <w:rFonts w:ascii="Arial" w:hAnsi="Arial" w:cs="Arial"/>
          <w:lang w:val="en-US"/>
        </w:rPr>
        <w:t>Lecturer: Dr Ping Wu</w:t>
      </w:r>
    </w:p>
    <w:p w14:paraId="5393B117" w14:textId="77777777" w:rsidR="00AC19D7" w:rsidRPr="00AC19D7" w:rsidRDefault="00AC19D7" w:rsidP="00AC19D7">
      <w:pPr>
        <w:jc w:val="center"/>
        <w:rPr>
          <w:rFonts w:ascii="Arial" w:hAnsi="Arial" w:cs="Arial"/>
        </w:rPr>
      </w:pPr>
      <w:r w:rsidRPr="00AC19D7">
        <w:rPr>
          <w:rFonts w:ascii="Arial" w:hAnsi="Arial" w:cs="Arial"/>
          <w:lang w:val="en-US"/>
        </w:rPr>
        <w:t xml:space="preserve">Assignment Title: </w:t>
      </w:r>
      <w:proofErr w:type="spellStart"/>
      <w:r w:rsidRPr="00AC19D7">
        <w:rPr>
          <w:rFonts w:ascii="Arial" w:hAnsi="Arial" w:cs="Arial"/>
          <w:lang w:val="en-US"/>
        </w:rPr>
        <w:t>Mrs</w:t>
      </w:r>
      <w:proofErr w:type="spellEnd"/>
      <w:r w:rsidRPr="00AC19D7">
        <w:rPr>
          <w:rFonts w:ascii="Arial" w:hAnsi="Arial" w:cs="Arial"/>
          <w:lang w:val="en-US"/>
        </w:rPr>
        <w:t xml:space="preserve"> Thompson Case Study Report</w:t>
      </w:r>
    </w:p>
    <w:p w14:paraId="657327C9" w14:textId="3B827AFD" w:rsidR="00AB2CC4" w:rsidRPr="00AC19D7" w:rsidRDefault="00AB2CC4">
      <w:pPr>
        <w:rPr>
          <w:rFonts w:ascii="Arial" w:hAnsi="Arial" w:cs="Arial"/>
          <w:b/>
          <w:bCs/>
          <w:sz w:val="22"/>
          <w:szCs w:val="22"/>
        </w:rPr>
      </w:pPr>
      <w:r w:rsidRPr="00AC19D7">
        <w:rPr>
          <w:rFonts w:ascii="Arial" w:hAnsi="Arial" w:cs="Arial"/>
          <w:b/>
          <w:bCs/>
          <w:sz w:val="22"/>
          <w:szCs w:val="22"/>
        </w:rPr>
        <w:t>Introduction</w:t>
      </w:r>
    </w:p>
    <w:p w14:paraId="151D7176" w14:textId="77777777" w:rsidR="00C24B17" w:rsidRPr="005B6F20" w:rsidRDefault="00000000" w:rsidP="00A51FF0">
      <w:pPr>
        <w:rPr>
          <w:rFonts w:ascii="Arial" w:hAnsi="Arial" w:cs="Arial"/>
          <w:sz w:val="22"/>
          <w:szCs w:val="22"/>
        </w:rPr>
      </w:pPr>
      <w:r w:rsidRPr="00AC19D7">
        <w:rPr>
          <w:rFonts w:ascii="Arial" w:hAnsi="Arial" w:cs="Arial"/>
          <w:sz w:val="22"/>
          <w:szCs w:val="22"/>
          <w:lang w:val="en-US"/>
        </w:rPr>
        <w:t xml:space="preserve">This report examines the case of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an 84-year-old woman who has recently been discharged from hospital following pneumonia.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lives alone in sheltered housing and receives twice-daily domiciliary care. She has mild dementia and sometimes forgets to take her prescribed medication, which has recently contributed to increased confusion. </w:t>
      </w:r>
      <w:r w:rsidRPr="00AC19D7">
        <w:rPr>
          <w:rFonts w:ascii="Arial" w:hAnsi="Arial" w:cs="Arial"/>
          <w:sz w:val="22"/>
          <w:szCs w:val="22"/>
          <w:lang w:val="en-US"/>
        </w:rPr>
        <w:t>Further</w:t>
      </w:r>
      <w:r w:rsidRPr="00AC19D7">
        <w:rPr>
          <w:rFonts w:ascii="Arial" w:hAnsi="Arial" w:cs="Arial"/>
          <w:sz w:val="22"/>
          <w:szCs w:val="22"/>
          <w:lang w:val="en-US"/>
        </w:rPr>
        <w:t xml:space="preserve"> concern was raised when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was found outside without appropriate clothing in cold weather</w:t>
      </w:r>
      <w:r w:rsidRPr="00AC19D7">
        <w:rPr>
          <w:rFonts w:ascii="Arial" w:hAnsi="Arial" w:cs="Arial"/>
          <w:sz w:val="22"/>
          <w:szCs w:val="22"/>
          <w:lang w:val="en-US"/>
        </w:rPr>
        <w:t xml:space="preserve">, leading to </w:t>
      </w:r>
      <w:r w:rsidR="00AA5262" w:rsidRPr="00AA5262">
        <w:rPr>
          <w:rFonts w:ascii="Arial" w:hAnsi="Arial" w:cs="Arial"/>
          <w:sz w:val="22"/>
          <w:szCs w:val="22"/>
          <w:lang w:val="en-US"/>
        </w:rPr>
        <w:t xml:space="preserve">a </w:t>
      </w:r>
      <w:r w:rsidRPr="00AC19D7">
        <w:rPr>
          <w:rFonts w:ascii="Arial" w:hAnsi="Arial" w:cs="Arial"/>
          <w:sz w:val="22"/>
          <w:szCs w:val="22"/>
          <w:lang w:val="en-US"/>
        </w:rPr>
        <w:t xml:space="preserve">review by the local council. The case therefore raises important issues about communication, record keeping and multi-agency working in health and social care. This report discusses how professionals should communicate with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w:t>
      </w:r>
      <w:r w:rsidRPr="00AC19D7">
        <w:rPr>
          <w:rFonts w:ascii="Arial" w:hAnsi="Arial" w:cs="Arial"/>
          <w:sz w:val="22"/>
          <w:szCs w:val="22"/>
          <w:lang w:val="en-US"/>
        </w:rPr>
        <w:t>Thompson and, where appropriate, her family; how accurate administrative practice protects her safety, dignity and confidentiality; and how collaboration between the GP, community nurse, pharmacist, social worker and domiciliary care workers can reduce risk and promote person-</w:t>
      </w:r>
      <w:proofErr w:type="spellStart"/>
      <w:r w:rsidRPr="00AC19D7">
        <w:rPr>
          <w:rFonts w:ascii="Arial" w:hAnsi="Arial" w:cs="Arial"/>
          <w:sz w:val="22"/>
          <w:szCs w:val="22"/>
          <w:lang w:val="en-US"/>
        </w:rPr>
        <w:t>centred</w:t>
      </w:r>
      <w:proofErr w:type="spellEnd"/>
      <w:r w:rsidRPr="00AC19D7">
        <w:rPr>
          <w:rFonts w:ascii="Arial" w:hAnsi="Arial" w:cs="Arial"/>
          <w:sz w:val="22"/>
          <w:szCs w:val="22"/>
          <w:lang w:val="en-US"/>
        </w:rPr>
        <w:t xml:space="preserve"> care</w:t>
      </w:r>
      <w:r w:rsidRPr="00AA5262">
        <w:rPr>
          <w:rFonts w:ascii="Arial" w:hAnsi="Arial" w:cs="Arial"/>
          <w:sz w:val="22"/>
          <w:szCs w:val="22"/>
          <w:lang w:val="en-US"/>
        </w:rPr>
        <w:t xml:space="preserve"> </w:t>
      </w:r>
      <w:r w:rsidRPr="00AA5262">
        <w:rPr>
          <w:rFonts w:ascii="Arial" w:hAnsi="Arial" w:cs="Arial"/>
          <w:sz w:val="22"/>
          <w:szCs w:val="22"/>
          <w:lang w:val="en-US"/>
        </w:rPr>
        <w:t>(Trevithick,</w:t>
      </w:r>
      <w:r w:rsidR="00AA5262" w:rsidRPr="00AA5262">
        <w:rPr>
          <w:rFonts w:ascii="Arial" w:hAnsi="Arial" w:cs="Arial"/>
          <w:sz w:val="22"/>
          <w:szCs w:val="22"/>
          <w:lang w:val="en-US"/>
        </w:rPr>
        <w:t xml:space="preserve"> </w:t>
      </w:r>
      <w:r w:rsidRPr="00AA5262">
        <w:rPr>
          <w:rFonts w:ascii="Arial" w:hAnsi="Arial" w:cs="Arial"/>
          <w:sz w:val="22"/>
          <w:szCs w:val="22"/>
          <w:lang w:val="en-US"/>
        </w:rPr>
        <w:t xml:space="preserve">2012; Health and </w:t>
      </w:r>
      <w:r w:rsidR="00AA5262" w:rsidRPr="00AA5262">
        <w:rPr>
          <w:rFonts w:ascii="Arial" w:hAnsi="Arial" w:cs="Arial"/>
          <w:sz w:val="22"/>
          <w:szCs w:val="22"/>
          <w:lang w:val="en-US"/>
        </w:rPr>
        <w:t xml:space="preserve">Care Professions Council, </w:t>
      </w:r>
      <w:r w:rsidRPr="00AA5262">
        <w:rPr>
          <w:rFonts w:ascii="Arial" w:hAnsi="Arial" w:cs="Arial"/>
          <w:sz w:val="22"/>
          <w:szCs w:val="22"/>
          <w:lang w:val="en-US"/>
        </w:rPr>
        <w:t>2024</w:t>
      </w:r>
      <w:r w:rsidR="00AA5262" w:rsidRPr="00AA5262">
        <w:rPr>
          <w:rFonts w:ascii="Arial" w:hAnsi="Arial" w:cs="Arial"/>
          <w:sz w:val="22"/>
          <w:szCs w:val="22"/>
          <w:lang w:val="en-US"/>
        </w:rPr>
        <w:t>).</w:t>
      </w:r>
    </w:p>
    <w:p w14:paraId="43FE503A" w14:textId="02EDCF53" w:rsidR="00C24B17" w:rsidRPr="00AC19D7" w:rsidRDefault="00AC19D7">
      <w:pPr>
        <w:rPr>
          <w:rFonts w:ascii="Arial" w:hAnsi="Arial" w:cs="Arial"/>
          <w:b/>
          <w:bCs/>
          <w:sz w:val="22"/>
          <w:szCs w:val="22"/>
        </w:rPr>
      </w:pPr>
      <w:r>
        <w:rPr>
          <w:rFonts w:ascii="Arial" w:hAnsi="Arial" w:cs="Arial"/>
          <w:b/>
          <w:bCs/>
          <w:sz w:val="22"/>
          <w:szCs w:val="22"/>
        </w:rPr>
        <w:t>The I</w:t>
      </w:r>
      <w:r w:rsidR="00C24B17" w:rsidRPr="00AC19D7">
        <w:rPr>
          <w:rFonts w:ascii="Arial" w:hAnsi="Arial" w:cs="Arial"/>
          <w:b/>
          <w:bCs/>
          <w:sz w:val="22"/>
          <w:szCs w:val="22"/>
        </w:rPr>
        <w:t>mportance of Effective Communication in Mrs Thompson</w:t>
      </w:r>
      <w:r>
        <w:rPr>
          <w:rFonts w:ascii="Arial" w:hAnsi="Arial" w:cs="Arial"/>
          <w:b/>
          <w:bCs/>
          <w:sz w:val="22"/>
          <w:szCs w:val="22"/>
        </w:rPr>
        <w:t>’</w:t>
      </w:r>
      <w:r w:rsidR="00C24B17" w:rsidRPr="00AC19D7">
        <w:rPr>
          <w:rFonts w:ascii="Arial" w:hAnsi="Arial" w:cs="Arial"/>
          <w:b/>
          <w:bCs/>
          <w:sz w:val="22"/>
          <w:szCs w:val="22"/>
        </w:rPr>
        <w:t>s Care</w:t>
      </w:r>
    </w:p>
    <w:p w14:paraId="6C4A8EE9" w14:textId="77777777" w:rsidR="00C24B17" w:rsidRPr="005B6F20" w:rsidRDefault="00000000" w:rsidP="009F7171">
      <w:pPr>
        <w:rPr>
          <w:rFonts w:ascii="Arial" w:hAnsi="Arial" w:cs="Arial"/>
          <w:sz w:val="22"/>
          <w:szCs w:val="22"/>
        </w:rPr>
      </w:pPr>
      <w:r w:rsidRPr="00AC19D7">
        <w:rPr>
          <w:rFonts w:ascii="Arial" w:hAnsi="Arial" w:cs="Arial"/>
          <w:sz w:val="22"/>
          <w:szCs w:val="22"/>
          <w:lang w:val="en-US"/>
        </w:rPr>
        <w:t>Effective communication is central to safe and person-</w:t>
      </w:r>
      <w:proofErr w:type="spellStart"/>
      <w:r w:rsidR="00AF6CE9" w:rsidRPr="00AF6CE9">
        <w:rPr>
          <w:rFonts w:ascii="Arial" w:hAnsi="Arial" w:cs="Arial"/>
          <w:sz w:val="22"/>
          <w:szCs w:val="22"/>
          <w:lang w:val="en-US"/>
        </w:rPr>
        <w:t>centred</w:t>
      </w:r>
      <w:proofErr w:type="spellEnd"/>
      <w:r w:rsidRPr="00AC19D7">
        <w:rPr>
          <w:rFonts w:ascii="Arial" w:hAnsi="Arial" w:cs="Arial"/>
          <w:sz w:val="22"/>
          <w:szCs w:val="22"/>
          <w:lang w:val="en-US"/>
        </w:rPr>
        <w:t xml:space="preserve"> care because it helps professionals understand a service user’s needs, choices and risks. In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case, communication is particularly important because mild dementia may affect memory, concentration and understanding. Professionals should therefore use clear, respectful and patient communication, </w:t>
      </w:r>
      <w:proofErr w:type="gramStart"/>
      <w:r w:rsidRPr="00AC19D7">
        <w:rPr>
          <w:rFonts w:ascii="Arial" w:hAnsi="Arial" w:cs="Arial"/>
          <w:sz w:val="22"/>
          <w:szCs w:val="22"/>
          <w:lang w:val="en-US"/>
        </w:rPr>
        <w:t>avoiding</w:t>
      </w:r>
      <w:proofErr w:type="gramEnd"/>
      <w:r w:rsidRPr="00AC19D7">
        <w:rPr>
          <w:rFonts w:ascii="Arial" w:hAnsi="Arial" w:cs="Arial"/>
          <w:sz w:val="22"/>
          <w:szCs w:val="22"/>
          <w:lang w:val="en-US"/>
        </w:rPr>
        <w:t xml:space="preserve"> jargon and checking that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has understood key information about medication, appointments </w:t>
      </w:r>
      <w:r w:rsidRPr="00AC19D7">
        <w:rPr>
          <w:rFonts w:ascii="Arial" w:hAnsi="Arial" w:cs="Arial"/>
          <w:sz w:val="22"/>
          <w:szCs w:val="22"/>
          <w:lang w:val="en-US"/>
        </w:rPr>
        <w:t xml:space="preserve">and safety. Communication should not be rushed, as this could increase confusion or reduce her ability to participate in decisions about her care. Good communication also promotes dignity by treating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as an individual rather than focusing only on her age, dementia or risks.</w:t>
      </w:r>
      <w:r w:rsidR="00AF6CE9" w:rsidRPr="00AF6CE9">
        <w:rPr>
          <w:rFonts w:ascii="Arial" w:hAnsi="Arial" w:cs="Arial"/>
          <w:sz w:val="22"/>
          <w:szCs w:val="22"/>
          <w:lang w:val="en-US"/>
        </w:rPr>
        <w:t xml:space="preserve"> </w:t>
      </w:r>
      <w:r w:rsidRPr="00AF6CE9">
        <w:rPr>
          <w:rFonts w:ascii="Arial" w:hAnsi="Arial" w:cs="Arial"/>
          <w:sz w:val="22"/>
          <w:szCs w:val="22"/>
          <w:lang w:val="en-US"/>
        </w:rPr>
        <w:t>Written reminders, medication charts</w:t>
      </w:r>
      <w:r w:rsidRPr="00AF6CE9">
        <w:rPr>
          <w:rFonts w:ascii="Arial" w:hAnsi="Arial" w:cs="Arial"/>
          <w:sz w:val="22"/>
          <w:szCs w:val="22"/>
          <w:lang w:val="en-US"/>
        </w:rPr>
        <w:t xml:space="preserve"> and visual prompts may also support </w:t>
      </w:r>
      <w:proofErr w:type="spellStart"/>
      <w:r w:rsidRPr="00AF6CE9">
        <w:rPr>
          <w:rFonts w:ascii="Arial" w:hAnsi="Arial" w:cs="Arial"/>
          <w:sz w:val="22"/>
          <w:szCs w:val="22"/>
          <w:lang w:val="en-US"/>
        </w:rPr>
        <w:t>Mrs</w:t>
      </w:r>
      <w:proofErr w:type="spellEnd"/>
      <w:r w:rsidRPr="00AF6CE9">
        <w:rPr>
          <w:rFonts w:ascii="Arial" w:hAnsi="Arial" w:cs="Arial"/>
          <w:sz w:val="22"/>
          <w:szCs w:val="22"/>
          <w:lang w:val="en-US"/>
        </w:rPr>
        <w:t xml:space="preserve"> </w:t>
      </w:r>
      <w:r w:rsidR="00AF6CE9" w:rsidRPr="00AF6CE9">
        <w:rPr>
          <w:rFonts w:ascii="Arial" w:hAnsi="Arial" w:cs="Arial"/>
          <w:sz w:val="22"/>
          <w:szCs w:val="22"/>
          <w:lang w:val="en-US"/>
        </w:rPr>
        <w:t>Thompson’s</w:t>
      </w:r>
      <w:r w:rsidRPr="00AF6CE9">
        <w:rPr>
          <w:rFonts w:ascii="Arial" w:hAnsi="Arial" w:cs="Arial"/>
          <w:sz w:val="22"/>
          <w:szCs w:val="22"/>
          <w:lang w:val="en-US"/>
        </w:rPr>
        <w:t xml:space="preserve"> memory. Such approaches can reduce medication errors and promote </w:t>
      </w:r>
      <w:r w:rsidRPr="00AF6CE9">
        <w:rPr>
          <w:rFonts w:ascii="Arial" w:hAnsi="Arial" w:cs="Arial"/>
          <w:sz w:val="22"/>
          <w:szCs w:val="22"/>
          <w:lang w:val="en-US"/>
        </w:rPr>
        <w:t>independence</w:t>
      </w:r>
      <w:r w:rsidRPr="00AF6CE9">
        <w:rPr>
          <w:rFonts w:ascii="Arial" w:hAnsi="Arial" w:cs="Arial"/>
          <w:sz w:val="22"/>
          <w:szCs w:val="22"/>
          <w:lang w:val="en-US"/>
        </w:rPr>
        <w:t xml:space="preserve"> (</w:t>
      </w:r>
      <w:proofErr w:type="spellStart"/>
      <w:r w:rsidRPr="00AF6CE9">
        <w:rPr>
          <w:rFonts w:ascii="Arial" w:hAnsi="Arial" w:cs="Arial"/>
          <w:sz w:val="22"/>
          <w:szCs w:val="22"/>
          <w:lang w:val="en-US"/>
        </w:rPr>
        <w:t>Kitwood</w:t>
      </w:r>
      <w:proofErr w:type="spellEnd"/>
      <w:r w:rsidRPr="00AF6CE9">
        <w:rPr>
          <w:rFonts w:ascii="Arial" w:hAnsi="Arial" w:cs="Arial"/>
          <w:sz w:val="22"/>
          <w:szCs w:val="22"/>
          <w:lang w:val="en-US"/>
        </w:rPr>
        <w:t>,</w:t>
      </w:r>
      <w:r w:rsidR="00AF6CE9" w:rsidRPr="00AF6CE9">
        <w:rPr>
          <w:rFonts w:ascii="Arial" w:hAnsi="Arial" w:cs="Arial"/>
          <w:sz w:val="22"/>
          <w:szCs w:val="22"/>
          <w:lang w:val="en-US"/>
        </w:rPr>
        <w:t xml:space="preserve"> </w:t>
      </w:r>
      <w:r w:rsidRPr="00AF6CE9">
        <w:rPr>
          <w:rFonts w:ascii="Arial" w:hAnsi="Arial" w:cs="Arial"/>
          <w:sz w:val="22"/>
          <w:szCs w:val="22"/>
          <w:lang w:val="en-US"/>
        </w:rPr>
        <w:t>2019).</w:t>
      </w:r>
    </w:p>
    <w:p w14:paraId="042679C1" w14:textId="77777777" w:rsidR="00C24B17" w:rsidRPr="005B6F20" w:rsidRDefault="00000000" w:rsidP="003335B6">
      <w:pPr>
        <w:rPr>
          <w:rFonts w:ascii="Arial" w:hAnsi="Arial" w:cs="Arial"/>
          <w:sz w:val="22"/>
          <w:szCs w:val="22"/>
        </w:rPr>
      </w:pPr>
      <w:r w:rsidRPr="00AC19D7">
        <w:rPr>
          <w:rFonts w:ascii="Arial" w:hAnsi="Arial" w:cs="Arial"/>
          <w:sz w:val="22"/>
          <w:szCs w:val="22"/>
          <w:lang w:val="en-US"/>
        </w:rPr>
        <w:t xml:space="preserve">The Equality Act 2010 is relevant because public services must avoid discrimination and make reasonable adjustments where a disabled person may otherwise experience substantial disadvantage. For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reasonable adjustments may include using simple written information, repeating key points, allowing extra time, using reminders</w:t>
      </w:r>
      <w:r w:rsidRPr="00AC19D7">
        <w:rPr>
          <w:rFonts w:ascii="Arial" w:hAnsi="Arial" w:cs="Arial"/>
          <w:sz w:val="22"/>
          <w:szCs w:val="22"/>
          <w:lang w:val="en-US"/>
        </w:rPr>
        <w:t xml:space="preserve"> and ensuring conversations take place in a quiet environment. These approaches help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w:t>
      </w:r>
      <w:r w:rsidRPr="00AC19D7">
        <w:rPr>
          <w:rFonts w:ascii="Arial" w:hAnsi="Arial" w:cs="Arial"/>
          <w:sz w:val="22"/>
          <w:szCs w:val="22"/>
          <w:lang w:val="en-US"/>
        </w:rPr>
        <w:t xml:space="preserve">Thompson access information more fairly and participate in decisions about her care. The principles of equality also mean professionals should not assume that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lacks </w:t>
      </w:r>
      <w:r w:rsidRPr="00AC19D7">
        <w:rPr>
          <w:rFonts w:ascii="Arial" w:hAnsi="Arial" w:cs="Arial"/>
          <w:sz w:val="22"/>
          <w:szCs w:val="22"/>
          <w:lang w:val="en-US"/>
        </w:rPr>
        <w:lastRenderedPageBreak/>
        <w:t>capacity simply because she has dementia. Her views, preferences and consent should be sought wherever possible, and any involvement of family members should respect confidentiality and relevant consent requirements.</w:t>
      </w:r>
    </w:p>
    <w:p w14:paraId="2316FC18" w14:textId="1C4A6039" w:rsidR="00AC19D7" w:rsidRDefault="00AC19D7">
      <w:pPr>
        <w:rPr>
          <w:rFonts w:ascii="Arial" w:hAnsi="Arial" w:cs="Arial"/>
          <w:sz w:val="22"/>
          <w:szCs w:val="22"/>
        </w:rPr>
      </w:pPr>
      <w:r w:rsidRPr="00AC19D7">
        <w:rPr>
          <w:rFonts w:ascii="Arial" w:hAnsi="Arial" w:cs="Arial"/>
          <w:sz w:val="22"/>
          <w:szCs w:val="22"/>
        </w:rPr>
        <w:t>Argyle’s communication cycle is a useful model for understanding this case. The model explains communication as a two-way process involving an idea, message, encoding, receiving, decoding and feedback. For example, a domiciliary care worker may explain to Mrs Thompson that it is time to take her medication. The message may be sent verbally, but Mrs Thompson may misinterpret it because of memory difficulties, environmental distractions or unclear language. Feedback is therefore essential. The worker can ask Mrs Thompson to repeat the instruction in her own words or show understanding through action. If misunderstanding is identified, the worker can rephrase the message, use written prompts or involve another professional.</w:t>
      </w:r>
    </w:p>
    <w:p w14:paraId="68E91396" w14:textId="458AAC4E" w:rsidR="00AC19D7" w:rsidRDefault="00AC19D7">
      <w:pPr>
        <w:rPr>
          <w:rFonts w:ascii="Arial" w:hAnsi="Arial" w:cs="Arial"/>
          <w:sz w:val="22"/>
          <w:szCs w:val="22"/>
        </w:rPr>
      </w:pPr>
      <w:r w:rsidRPr="00AC19D7">
        <w:rPr>
          <w:rFonts w:ascii="Arial" w:hAnsi="Arial" w:cs="Arial"/>
          <w:sz w:val="22"/>
          <w:szCs w:val="22"/>
          <w:lang w:val="en-US"/>
        </w:rPr>
        <w:t xml:space="preserve">Family members may also contribute to communication by sharing information about changes in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w:t>
      </w:r>
      <w:proofErr w:type="spellStart"/>
      <w:r w:rsidRPr="00AC19D7">
        <w:rPr>
          <w:rFonts w:ascii="Arial" w:hAnsi="Arial" w:cs="Arial"/>
          <w:sz w:val="22"/>
          <w:szCs w:val="22"/>
          <w:lang w:val="en-US"/>
        </w:rPr>
        <w:t>behaviour</w:t>
      </w:r>
      <w:proofErr w:type="spellEnd"/>
      <w:r w:rsidRPr="00AC19D7">
        <w:rPr>
          <w:rFonts w:ascii="Arial" w:hAnsi="Arial" w:cs="Arial"/>
          <w:sz w:val="22"/>
          <w:szCs w:val="22"/>
          <w:lang w:val="en-US"/>
        </w:rPr>
        <w:t xml:space="preserve">, routines or risks. However, professionals must balance family involvement with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privacy and consent. Communication should also be recorded and shared appropriately with relevant professionals, especially if missed medication or wandering is repeated. In this way, effective communication supports safeguarding, reduces medication errors and promotes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independence.</w:t>
      </w:r>
      <w:r w:rsidRPr="00AC19D7">
        <w:rPr>
          <w:rFonts w:ascii="Arial" w:hAnsi="Arial" w:cs="Arial"/>
          <w:sz w:val="22"/>
          <w:szCs w:val="22"/>
        </w:rPr>
        <w:t> </w:t>
      </w:r>
    </w:p>
    <w:p w14:paraId="0CF89AB5" w14:textId="77777777" w:rsidR="00C24B17" w:rsidRPr="005B6F20" w:rsidRDefault="00000000" w:rsidP="001B0529">
      <w:pPr>
        <w:rPr>
          <w:rFonts w:ascii="Arial" w:hAnsi="Arial" w:cs="Arial"/>
          <w:sz w:val="22"/>
          <w:szCs w:val="22"/>
        </w:rPr>
      </w:pPr>
      <w:r>
        <w:rPr>
          <w:rFonts w:ascii="Arial" w:hAnsi="Arial" w:cs="Arial"/>
          <w:sz w:val="22"/>
          <w:szCs w:val="22"/>
        </w:rPr>
        <w:t xml:space="preserve">Effective communication should also be documented and shared with relevant professionals. For example, if Mrs Thompson repeatedly forgets her medication, the care worker should record this and </w:t>
      </w:r>
      <w:r>
        <w:rPr>
          <w:rFonts w:ascii="Arial" w:hAnsi="Arial" w:cs="Arial"/>
          <w:sz w:val="22"/>
          <w:szCs w:val="22"/>
        </w:rPr>
        <w:t>promptly communicate the concern to the appropriate professional. Clear communication can prevent errors, support continuity and help identify changes in health. Good communication can therefore protect Mrs Thompson while promoting dignity, choice, equality and person-centred care.</w:t>
      </w:r>
    </w:p>
    <w:p w14:paraId="731A57C2" w14:textId="77777777" w:rsidR="00C24B17" w:rsidRPr="005B6F20" w:rsidRDefault="00000000" w:rsidP="008B1C50">
      <w:pPr>
        <w:rPr>
          <w:rFonts w:ascii="Arial" w:hAnsi="Arial" w:cs="Arial"/>
          <w:sz w:val="22"/>
          <w:szCs w:val="22"/>
        </w:rPr>
      </w:pPr>
      <w:r>
        <w:rPr>
          <w:rFonts w:ascii="Arial" w:hAnsi="Arial" w:cs="Arial"/>
          <w:b/>
          <w:bCs/>
          <w:sz w:val="22"/>
          <w:szCs w:val="22"/>
        </w:rPr>
        <w:t xml:space="preserve">The </w:t>
      </w:r>
      <w:r w:rsidRPr="00AC19D7">
        <w:rPr>
          <w:rFonts w:ascii="Arial" w:hAnsi="Arial" w:cs="Arial"/>
          <w:b/>
          <w:bCs/>
          <w:sz w:val="22"/>
          <w:szCs w:val="22"/>
        </w:rPr>
        <w:t xml:space="preserve">Importance of Good Administrative Skills </w:t>
      </w:r>
      <w:r w:rsidRPr="00AC19D7">
        <w:rPr>
          <w:rFonts w:ascii="Arial" w:hAnsi="Arial" w:cs="Arial"/>
          <w:b/>
          <w:bCs/>
          <w:sz w:val="22"/>
          <w:szCs w:val="22"/>
        </w:rPr>
        <w:t xml:space="preserve">and Data </w:t>
      </w:r>
      <w:r w:rsidR="009A2D68" w:rsidRPr="009A2D68">
        <w:rPr>
          <w:rFonts w:ascii="Arial" w:hAnsi="Arial" w:cs="Arial"/>
          <w:b/>
          <w:bCs/>
          <w:sz w:val="22"/>
          <w:szCs w:val="22"/>
        </w:rPr>
        <w:t>Protection</w:t>
      </w:r>
    </w:p>
    <w:p w14:paraId="731AAA95" w14:textId="3822760D" w:rsidR="00AC19D7" w:rsidRDefault="00AC19D7">
      <w:pPr>
        <w:rPr>
          <w:rFonts w:ascii="Arial" w:hAnsi="Arial" w:cs="Arial"/>
          <w:sz w:val="22"/>
          <w:szCs w:val="22"/>
        </w:rPr>
      </w:pPr>
      <w:r w:rsidRPr="00AC19D7">
        <w:rPr>
          <w:rFonts w:ascii="Arial" w:hAnsi="Arial" w:cs="Arial"/>
          <w:sz w:val="22"/>
          <w:szCs w:val="22"/>
          <w:lang w:val="en-US"/>
        </w:rPr>
        <w:t xml:space="preserve">Good administrative skills are essential in professional practice because they provide evidence of care, support continuity and help professionals identify risk. In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case, accurate record keeping is particularly important because she has missed medication, become increasingly confused and been found outside without suitable clothing. These events should be recorded clearly, factually and promptly so that professionals can understand what happened, what action was taken and what follow-up is required. For example, a care worker should record the exact dates and times when medication was missed, whether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gave a reason, whether advice was sought and who was informed. This is safer than writing vague or </w:t>
      </w:r>
      <w:proofErr w:type="spellStart"/>
      <w:r w:rsidRPr="00AC19D7">
        <w:rPr>
          <w:rFonts w:ascii="Arial" w:hAnsi="Arial" w:cs="Arial"/>
          <w:sz w:val="22"/>
          <w:szCs w:val="22"/>
          <w:lang w:val="en-US"/>
        </w:rPr>
        <w:t>judgemental</w:t>
      </w:r>
      <w:proofErr w:type="spellEnd"/>
      <w:r w:rsidRPr="00AC19D7">
        <w:rPr>
          <w:rFonts w:ascii="Arial" w:hAnsi="Arial" w:cs="Arial"/>
          <w:sz w:val="22"/>
          <w:szCs w:val="22"/>
          <w:lang w:val="en-US"/>
        </w:rPr>
        <w:t xml:space="preserve"> comments such as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is difficult” or making assumptions without evidence.</w:t>
      </w:r>
      <w:r w:rsidRPr="00AC19D7">
        <w:rPr>
          <w:rFonts w:ascii="Arial" w:hAnsi="Arial" w:cs="Arial"/>
          <w:sz w:val="22"/>
          <w:szCs w:val="22"/>
        </w:rPr>
        <w:t> </w:t>
      </w:r>
    </w:p>
    <w:p w14:paraId="18D8E3A6" w14:textId="59BC3053" w:rsidR="00AC19D7" w:rsidRDefault="00AC19D7">
      <w:pPr>
        <w:rPr>
          <w:rFonts w:ascii="Arial" w:hAnsi="Arial" w:cs="Arial"/>
          <w:sz w:val="22"/>
          <w:szCs w:val="22"/>
        </w:rPr>
      </w:pPr>
      <w:r w:rsidRPr="00AC19D7">
        <w:rPr>
          <w:rFonts w:ascii="Arial" w:hAnsi="Arial" w:cs="Arial"/>
          <w:sz w:val="22"/>
          <w:szCs w:val="22"/>
          <w:lang w:val="en-US"/>
        </w:rPr>
        <w:t xml:space="preserve">Professional standards also support effective record keeping. The Nursing and Midwifery Council Code states that nurses, midwives and nursing associates must keep clear and accurate records relevant to their practice. Although domiciliary care workers may follow different </w:t>
      </w:r>
      <w:proofErr w:type="spellStart"/>
      <w:r w:rsidRPr="00AC19D7">
        <w:rPr>
          <w:rFonts w:ascii="Arial" w:hAnsi="Arial" w:cs="Arial"/>
          <w:sz w:val="22"/>
          <w:szCs w:val="22"/>
          <w:lang w:val="en-US"/>
        </w:rPr>
        <w:t>organisational</w:t>
      </w:r>
      <w:proofErr w:type="spellEnd"/>
      <w:r w:rsidRPr="00AC19D7">
        <w:rPr>
          <w:rFonts w:ascii="Arial" w:hAnsi="Arial" w:cs="Arial"/>
          <w:sz w:val="22"/>
          <w:szCs w:val="22"/>
          <w:lang w:val="en-US"/>
        </w:rPr>
        <w:t xml:space="preserve"> policies, the same principle applies across health and social care: records should be factual, legible, up to date and completed without unnecessary delay. Accurate records support handovers between professionals and reduce the risk that important information will be missed. In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case, poor documentation could lead to repeated medication omissions, delayed review or failure to </w:t>
      </w:r>
      <w:proofErr w:type="spellStart"/>
      <w:r w:rsidRPr="00AC19D7">
        <w:rPr>
          <w:rFonts w:ascii="Arial" w:hAnsi="Arial" w:cs="Arial"/>
          <w:sz w:val="22"/>
          <w:szCs w:val="22"/>
          <w:lang w:val="en-US"/>
        </w:rPr>
        <w:t>recognise</w:t>
      </w:r>
      <w:proofErr w:type="spellEnd"/>
      <w:r w:rsidRPr="00AC19D7">
        <w:rPr>
          <w:rFonts w:ascii="Arial" w:hAnsi="Arial" w:cs="Arial"/>
          <w:sz w:val="22"/>
          <w:szCs w:val="22"/>
          <w:lang w:val="en-US"/>
        </w:rPr>
        <w:t xml:space="preserve"> safeguarding concerns.</w:t>
      </w:r>
      <w:r w:rsidRPr="00AC19D7">
        <w:rPr>
          <w:rFonts w:ascii="Arial" w:hAnsi="Arial" w:cs="Arial"/>
          <w:sz w:val="22"/>
          <w:szCs w:val="22"/>
        </w:rPr>
        <w:t> </w:t>
      </w:r>
    </w:p>
    <w:p w14:paraId="4822D71C" w14:textId="262EBF09" w:rsidR="00AC19D7" w:rsidRDefault="00AC19D7">
      <w:pPr>
        <w:rPr>
          <w:rFonts w:ascii="Arial" w:hAnsi="Arial" w:cs="Arial"/>
          <w:sz w:val="22"/>
          <w:szCs w:val="22"/>
        </w:rPr>
      </w:pPr>
      <w:r w:rsidRPr="00AC19D7">
        <w:rPr>
          <w:rFonts w:ascii="Arial" w:hAnsi="Arial" w:cs="Arial"/>
          <w:sz w:val="22"/>
          <w:szCs w:val="22"/>
          <w:lang w:val="en-US"/>
        </w:rPr>
        <w:lastRenderedPageBreak/>
        <w:t xml:space="preserve">The Data Protection Act 2018 and UK GDPR are also important because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health and care information is personal and sensitive. Professionals should process information lawfully, fairly and transparently, collect only necessary information, keep records accurate, store information securely and share it only on a need-to-know basis. This means that details about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dementia, medication, incidents and safeguarding concerns should not be discussed casually or shared with people who are not involved in her care. Where information does need to be shared, for example with the GP, pharmacist, community nurse or local authority, the reason for sharing should be linked to her care, safety or legal safeguarding duties.</w:t>
      </w:r>
      <w:r w:rsidRPr="00AC19D7">
        <w:rPr>
          <w:rFonts w:ascii="Arial" w:hAnsi="Arial" w:cs="Arial"/>
          <w:sz w:val="22"/>
          <w:szCs w:val="22"/>
        </w:rPr>
        <w:t> </w:t>
      </w:r>
    </w:p>
    <w:p w14:paraId="3BCEFEC4" w14:textId="49AF2DB5" w:rsidR="00AC19D7" w:rsidRDefault="00AC19D7">
      <w:pPr>
        <w:rPr>
          <w:rFonts w:ascii="Arial" w:hAnsi="Arial" w:cs="Arial"/>
          <w:sz w:val="22"/>
          <w:szCs w:val="22"/>
        </w:rPr>
      </w:pPr>
      <w:r w:rsidRPr="00AC19D7">
        <w:rPr>
          <w:rFonts w:ascii="Arial" w:hAnsi="Arial" w:cs="Arial"/>
          <w:sz w:val="22"/>
          <w:szCs w:val="22"/>
          <w:lang w:val="en-US"/>
        </w:rPr>
        <w:t>Relevant policy frameworks also apply. The Care Act 2014 places importance on wellbeing, prevention and safeguarding adults who may have care and support needs. Accurate records help local authorities and care providers assess risks and respond proportionately. The Health and Social Care Act 2008 (Regulated Activities) Regulations 2014 also requires providers to maintain accurate, complete and secure records. Therefore, administrative practice is not just paperwork; it is part of safe care, accountability and lawful professional practice.</w:t>
      </w:r>
      <w:r w:rsidRPr="00AC19D7">
        <w:rPr>
          <w:rFonts w:ascii="Arial" w:hAnsi="Arial" w:cs="Arial"/>
          <w:sz w:val="22"/>
          <w:szCs w:val="22"/>
        </w:rPr>
        <w:t> </w:t>
      </w:r>
    </w:p>
    <w:p w14:paraId="359E2454" w14:textId="77777777" w:rsidR="00FD19B1" w:rsidRDefault="00FD19B1">
      <w:pPr>
        <w:rPr>
          <w:lang w:eastAsia="en-GB"/>
        </w:rPr>
      </w:pPr>
      <w:r>
        <w:rPr>
          <w:rFonts w:ascii="Arial" w:hAnsi="Arial" w:cs="Arial"/>
          <w:sz w:val="22"/>
          <w:szCs w:val="22"/>
          <w:lang w:val="en-US"/>
        </w:rPr>
        <w:t xml:space="preserve">The Mental Capacity Act 2005 is also relevant in this case because dementia can affect decision-making, but it does not automatically mean that </w:t>
      </w:r>
      <w:proofErr w:type="spellStart"/>
      <w:r>
        <w:rPr>
          <w:rFonts w:ascii="Arial" w:hAnsi="Arial" w:cs="Arial"/>
          <w:sz w:val="22"/>
          <w:szCs w:val="22"/>
          <w:lang w:val="en-US"/>
        </w:rPr>
        <w:t>Mrs</w:t>
      </w:r>
      <w:proofErr w:type="spellEnd"/>
      <w:r>
        <w:rPr>
          <w:rFonts w:ascii="Arial" w:hAnsi="Arial" w:cs="Arial"/>
          <w:sz w:val="22"/>
          <w:szCs w:val="22"/>
          <w:lang w:val="en-US"/>
        </w:rPr>
        <w:t xml:space="preserve"> Thompson lacks capacity. Professionals should assume capacity unless there is evidence otherwise, support </w:t>
      </w:r>
      <w:proofErr w:type="spellStart"/>
      <w:r>
        <w:rPr>
          <w:rFonts w:ascii="Arial" w:hAnsi="Arial" w:cs="Arial"/>
          <w:sz w:val="22"/>
          <w:szCs w:val="22"/>
          <w:lang w:val="en-US"/>
        </w:rPr>
        <w:t>Mrs</w:t>
      </w:r>
      <w:proofErr w:type="spellEnd"/>
      <w:r>
        <w:rPr>
          <w:rFonts w:ascii="Arial" w:hAnsi="Arial" w:cs="Arial"/>
          <w:sz w:val="22"/>
          <w:szCs w:val="22"/>
          <w:lang w:val="en-US"/>
        </w:rPr>
        <w:t xml:space="preserve"> Thompson to make her own decisions where possible, and ensure any decision made on her behalf is in her best interests and uses the least restrictive option.</w:t>
      </w:r>
    </w:p>
    <w:p w14:paraId="710F910B" w14:textId="77777777" w:rsidR="00C24B17" w:rsidRPr="005B6F20" w:rsidRDefault="00000000" w:rsidP="00980D1D">
      <w:pPr>
        <w:rPr>
          <w:rFonts w:ascii="Arial" w:hAnsi="Arial" w:cs="Arial"/>
          <w:sz w:val="22"/>
          <w:szCs w:val="22"/>
        </w:rPr>
      </w:pPr>
      <w:r w:rsidRPr="00AC19D7">
        <w:rPr>
          <w:rFonts w:ascii="Arial" w:hAnsi="Arial" w:cs="Arial"/>
          <w:b/>
          <w:bCs/>
          <w:sz w:val="22"/>
          <w:szCs w:val="22"/>
        </w:rPr>
        <w:t xml:space="preserve">Collaborative Working in Mrs </w:t>
      </w:r>
      <w:r w:rsidR="00861EA7" w:rsidRPr="00861EA7">
        <w:rPr>
          <w:rFonts w:ascii="Arial" w:hAnsi="Arial" w:cs="Arial"/>
          <w:b/>
          <w:bCs/>
          <w:sz w:val="22"/>
          <w:szCs w:val="22"/>
        </w:rPr>
        <w:t>Thompson’s Care</w:t>
      </w:r>
    </w:p>
    <w:p w14:paraId="560C11EF" w14:textId="77777777" w:rsidR="00AC19D7" w:rsidRDefault="00AC19D7">
      <w:pPr>
        <w:rPr>
          <w:rFonts w:ascii="Arial" w:hAnsi="Arial" w:cs="Arial"/>
          <w:sz w:val="22"/>
          <w:szCs w:val="22"/>
        </w:rPr>
      </w:pPr>
      <w:r w:rsidRPr="00AC19D7">
        <w:rPr>
          <w:rFonts w:ascii="Arial" w:hAnsi="Arial" w:cs="Arial"/>
          <w:sz w:val="22"/>
          <w:szCs w:val="22"/>
          <w:lang w:val="en-US"/>
        </w:rPr>
        <w:t xml:space="preserve">Collaborative </w:t>
      </w:r>
      <w:proofErr w:type="gramStart"/>
      <w:r w:rsidRPr="00AC19D7">
        <w:rPr>
          <w:rFonts w:ascii="Arial" w:hAnsi="Arial" w:cs="Arial"/>
          <w:sz w:val="22"/>
          <w:szCs w:val="22"/>
          <w:lang w:val="en-US"/>
        </w:rPr>
        <w:t>working</w:t>
      </w:r>
      <w:proofErr w:type="gramEnd"/>
      <w:r w:rsidRPr="00AC19D7">
        <w:rPr>
          <w:rFonts w:ascii="Arial" w:hAnsi="Arial" w:cs="Arial"/>
          <w:sz w:val="22"/>
          <w:szCs w:val="22"/>
          <w:lang w:val="en-US"/>
        </w:rPr>
        <w:t xml:space="preserve"> is essential because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needs cannot be managed safely by one professional or agency alone. Her GP may review her health following pneumonia and assess whether confusion is linked to infection, medication or dementia. A pharmacist may support the medication review and consider practical aids such as a monitored dosage system. Community nurses may monitor physical health, while domiciliary care workers observe daily changes and support medication routines. The local authority and social </w:t>
      </w:r>
      <w:proofErr w:type="gramStart"/>
      <w:r w:rsidRPr="00AC19D7">
        <w:rPr>
          <w:rFonts w:ascii="Arial" w:hAnsi="Arial" w:cs="Arial"/>
          <w:sz w:val="22"/>
          <w:szCs w:val="22"/>
          <w:lang w:val="en-US"/>
        </w:rPr>
        <w:t>worker</w:t>
      </w:r>
      <w:proofErr w:type="gramEnd"/>
      <w:r w:rsidRPr="00AC19D7">
        <w:rPr>
          <w:rFonts w:ascii="Arial" w:hAnsi="Arial" w:cs="Arial"/>
          <w:sz w:val="22"/>
          <w:szCs w:val="22"/>
          <w:lang w:val="en-US"/>
        </w:rPr>
        <w:t xml:space="preserve"> may assess safeguarding risks, including the incident where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was found outside in cold weather.</w:t>
      </w:r>
      <w:r w:rsidRPr="00AC19D7">
        <w:rPr>
          <w:rFonts w:ascii="Arial" w:hAnsi="Arial" w:cs="Arial"/>
          <w:sz w:val="22"/>
          <w:szCs w:val="22"/>
        </w:rPr>
        <w:t> </w:t>
      </w:r>
    </w:p>
    <w:p w14:paraId="769DED78" w14:textId="77777777" w:rsidR="00C24B17" w:rsidRPr="005B6F20" w:rsidRDefault="00000000" w:rsidP="00B1087F">
      <w:pPr>
        <w:rPr>
          <w:rFonts w:ascii="Arial" w:hAnsi="Arial" w:cs="Arial"/>
          <w:sz w:val="22"/>
          <w:szCs w:val="22"/>
        </w:rPr>
      </w:pPr>
      <w:r w:rsidRPr="00AC19D7">
        <w:rPr>
          <w:rFonts w:ascii="Arial" w:hAnsi="Arial" w:cs="Arial"/>
          <w:sz w:val="22"/>
          <w:szCs w:val="22"/>
          <w:lang w:val="en-US"/>
        </w:rPr>
        <w:t xml:space="preserve">Effective collaboration requires shared goals, clear roles and timely communication. Approaches that can foster good multi-agency working include multidisciplinary meetings, shared care plans, agreed escalation routes, accurate records and regular reviews. These approaches would help professionals agree who is responsible for monitoring medication, who should contact the GP if confusion increases and what action should be taken if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leaves home unsafely. Collaboration should also involve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as much as possible so that care remains person-</w:t>
      </w:r>
      <w:proofErr w:type="spellStart"/>
      <w:r w:rsidR="00FD19B1" w:rsidRPr="00FD19B1">
        <w:rPr>
          <w:rFonts w:ascii="Arial" w:hAnsi="Arial" w:cs="Arial"/>
          <w:sz w:val="22"/>
          <w:szCs w:val="22"/>
          <w:lang w:val="en-US"/>
        </w:rPr>
        <w:t>centred</w:t>
      </w:r>
      <w:proofErr w:type="spellEnd"/>
      <w:r w:rsidRPr="00AC19D7">
        <w:rPr>
          <w:rFonts w:ascii="Arial" w:hAnsi="Arial" w:cs="Arial"/>
          <w:sz w:val="22"/>
          <w:szCs w:val="22"/>
          <w:lang w:val="en-US"/>
        </w:rPr>
        <w:t xml:space="preserve"> rather than professionally led only.</w:t>
      </w:r>
    </w:p>
    <w:p w14:paraId="75E83D23" w14:textId="73C02E78" w:rsidR="00AC19D7" w:rsidRDefault="00AC19D7">
      <w:pPr>
        <w:rPr>
          <w:rFonts w:ascii="Arial" w:hAnsi="Arial" w:cs="Arial"/>
          <w:sz w:val="22"/>
          <w:szCs w:val="22"/>
        </w:rPr>
      </w:pPr>
      <w:r w:rsidRPr="00AC19D7">
        <w:rPr>
          <w:rFonts w:ascii="Arial" w:hAnsi="Arial" w:cs="Arial"/>
          <w:sz w:val="22"/>
          <w:szCs w:val="22"/>
          <w:lang w:val="en-US"/>
        </w:rPr>
        <w:t xml:space="preserve">Common challenges include delayed information sharing, confidentiality concerns, different </w:t>
      </w:r>
      <w:proofErr w:type="spellStart"/>
      <w:r w:rsidRPr="00AC19D7">
        <w:rPr>
          <w:rFonts w:ascii="Arial" w:hAnsi="Arial" w:cs="Arial"/>
          <w:sz w:val="22"/>
          <w:szCs w:val="22"/>
          <w:lang w:val="en-US"/>
        </w:rPr>
        <w:t>organisational</w:t>
      </w:r>
      <w:proofErr w:type="spellEnd"/>
      <w:r w:rsidRPr="00AC19D7">
        <w:rPr>
          <w:rFonts w:ascii="Arial" w:hAnsi="Arial" w:cs="Arial"/>
          <w:sz w:val="22"/>
          <w:szCs w:val="22"/>
          <w:lang w:val="en-US"/>
        </w:rPr>
        <w:t xml:space="preserve"> priorities and uncertainty about professional responsibilities. For example, a domiciliary care worker may notice missed medication, but if this is not escalated promptly the GP or pharmacist may not be aware of the risk. These challenges can be reduced by using clear protocols, documenting concerns, obtaining consent where possible and sharing relevant information when it is necessary for safety or safeguarding. Good collaboration </w:t>
      </w:r>
      <w:r w:rsidRPr="00AC19D7">
        <w:rPr>
          <w:rFonts w:ascii="Arial" w:hAnsi="Arial" w:cs="Arial"/>
          <w:sz w:val="22"/>
          <w:szCs w:val="22"/>
          <w:lang w:val="en-US"/>
        </w:rPr>
        <w:lastRenderedPageBreak/>
        <w:t xml:space="preserve">therefore supports prevention, reduces duplication and helps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remain as independent and safe as possible.</w:t>
      </w:r>
      <w:r w:rsidRPr="00AC19D7">
        <w:rPr>
          <w:rFonts w:ascii="Arial" w:hAnsi="Arial" w:cs="Arial"/>
          <w:sz w:val="22"/>
          <w:szCs w:val="22"/>
        </w:rPr>
        <w:t> </w:t>
      </w:r>
    </w:p>
    <w:p w14:paraId="075E1E70" w14:textId="3B40B9D1" w:rsidR="00AC19D7" w:rsidRDefault="00AC19D7">
      <w:pPr>
        <w:rPr>
          <w:rFonts w:ascii="Arial" w:hAnsi="Arial" w:cs="Arial"/>
          <w:sz w:val="22"/>
          <w:szCs w:val="22"/>
        </w:rPr>
      </w:pPr>
      <w:r w:rsidRPr="00AC19D7">
        <w:rPr>
          <w:rFonts w:ascii="Arial" w:hAnsi="Arial" w:cs="Arial"/>
          <w:sz w:val="22"/>
          <w:szCs w:val="22"/>
          <w:lang w:val="en-US"/>
        </w:rPr>
        <w:t xml:space="preserve">A further way to strengthen collaboration is to agree a clear contingency plan. For example, where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w:t>
      </w:r>
      <w:proofErr w:type="gramStart"/>
      <w:r w:rsidRPr="00AC19D7">
        <w:rPr>
          <w:rFonts w:ascii="Arial" w:hAnsi="Arial" w:cs="Arial"/>
          <w:sz w:val="22"/>
          <w:szCs w:val="22"/>
          <w:lang w:val="en-US"/>
        </w:rPr>
        <w:t>misses</w:t>
      </w:r>
      <w:proofErr w:type="gramEnd"/>
      <w:r w:rsidRPr="00AC19D7">
        <w:rPr>
          <w:rFonts w:ascii="Arial" w:hAnsi="Arial" w:cs="Arial"/>
          <w:sz w:val="22"/>
          <w:szCs w:val="22"/>
          <w:lang w:val="en-US"/>
        </w:rPr>
        <w:t xml:space="preserve"> medication, appears more confused, or is found outside unsafely, staff should know who must be contacted, how quickly concerns should be escalated and what information must be recorded. This prevents repeated concerns being treated as separate minor incidents and supports earlier intervention.</w:t>
      </w:r>
      <w:r w:rsidRPr="00AC19D7">
        <w:rPr>
          <w:rFonts w:ascii="Arial" w:hAnsi="Arial" w:cs="Arial"/>
          <w:sz w:val="22"/>
          <w:szCs w:val="22"/>
        </w:rPr>
        <w:t> </w:t>
      </w:r>
    </w:p>
    <w:p w14:paraId="66A9F85C" w14:textId="77777777" w:rsidR="00625ED1" w:rsidRPr="00AC19D7" w:rsidRDefault="00625ED1">
      <w:pPr>
        <w:rPr>
          <w:rFonts w:ascii="Arial" w:hAnsi="Arial" w:cs="Arial"/>
          <w:b/>
          <w:bCs/>
          <w:sz w:val="22"/>
          <w:szCs w:val="22"/>
        </w:rPr>
      </w:pPr>
      <w:r w:rsidRPr="00AC19D7">
        <w:rPr>
          <w:rFonts w:ascii="Arial" w:hAnsi="Arial" w:cs="Arial"/>
          <w:b/>
          <w:bCs/>
          <w:sz w:val="22"/>
          <w:szCs w:val="22"/>
        </w:rPr>
        <w:t xml:space="preserve">Conclusion </w:t>
      </w:r>
    </w:p>
    <w:p w14:paraId="261DDEFD" w14:textId="77777777" w:rsidR="00AC19D7" w:rsidRDefault="00AC19D7">
      <w:pPr>
        <w:rPr>
          <w:rFonts w:ascii="Arial" w:hAnsi="Arial" w:cs="Arial"/>
          <w:sz w:val="22"/>
          <w:szCs w:val="22"/>
        </w:rPr>
      </w:pP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Thompson’s case demonstrates how communication, administration and collaboration are closely connected in health and social care practice. Effective communication enables professionals to explain information clearly, make reasonable adjustments under the Equality Act 2010 and involve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in decisions about her care. Good administrative skills ensure that missed medication, confusion and safeguarding concerns are recorded accurately, shared appropriately and managed in line with the Data Protection Act 2018. Collaborative </w:t>
      </w:r>
      <w:proofErr w:type="gramStart"/>
      <w:r w:rsidRPr="00AC19D7">
        <w:rPr>
          <w:rFonts w:ascii="Arial" w:hAnsi="Arial" w:cs="Arial"/>
          <w:sz w:val="22"/>
          <w:szCs w:val="22"/>
          <w:lang w:val="en-US"/>
        </w:rPr>
        <w:t>working</w:t>
      </w:r>
      <w:proofErr w:type="gramEnd"/>
      <w:r w:rsidRPr="00AC19D7">
        <w:rPr>
          <w:rFonts w:ascii="Arial" w:hAnsi="Arial" w:cs="Arial"/>
          <w:sz w:val="22"/>
          <w:szCs w:val="22"/>
          <w:lang w:val="en-US"/>
        </w:rPr>
        <w:t xml:space="preserve"> brings together the GP, pharmacist, community nurse, social worker and domiciliary care workers so that risks are not managed in isolation. Without these three elements, </w:t>
      </w:r>
      <w:proofErr w:type="spellStart"/>
      <w:r w:rsidRPr="00AC19D7">
        <w:rPr>
          <w:rFonts w:ascii="Arial" w:hAnsi="Arial" w:cs="Arial"/>
          <w:sz w:val="22"/>
          <w:szCs w:val="22"/>
          <w:lang w:val="en-US"/>
        </w:rPr>
        <w:t>Mrs</w:t>
      </w:r>
      <w:proofErr w:type="spellEnd"/>
      <w:r w:rsidRPr="00AC19D7">
        <w:rPr>
          <w:rFonts w:ascii="Arial" w:hAnsi="Arial" w:cs="Arial"/>
          <w:sz w:val="22"/>
          <w:szCs w:val="22"/>
          <w:lang w:val="en-US"/>
        </w:rPr>
        <w:t xml:space="preserve"> Thompson may experience avoidable harm, poor continuity and reduced independence. However, when professionals communicate well, keep accurate records and work together, care can be safer, more person-</w:t>
      </w:r>
      <w:proofErr w:type="spellStart"/>
      <w:r w:rsidRPr="00AC19D7">
        <w:rPr>
          <w:rFonts w:ascii="Arial" w:hAnsi="Arial" w:cs="Arial"/>
          <w:sz w:val="22"/>
          <w:szCs w:val="22"/>
          <w:lang w:val="en-US"/>
        </w:rPr>
        <w:t>centred</w:t>
      </w:r>
      <w:proofErr w:type="spellEnd"/>
      <w:r w:rsidRPr="00AC19D7">
        <w:rPr>
          <w:rFonts w:ascii="Arial" w:hAnsi="Arial" w:cs="Arial"/>
          <w:sz w:val="22"/>
          <w:szCs w:val="22"/>
          <w:lang w:val="en-US"/>
        </w:rPr>
        <w:t xml:space="preserve"> and more responsive to her changing needs.</w:t>
      </w:r>
      <w:r w:rsidRPr="00AC19D7">
        <w:rPr>
          <w:rFonts w:ascii="Arial" w:hAnsi="Arial" w:cs="Arial"/>
          <w:sz w:val="22"/>
          <w:szCs w:val="22"/>
        </w:rPr>
        <w:t> </w:t>
      </w:r>
    </w:p>
    <w:p w14:paraId="3E7BC026" w14:textId="0ACF9A8B" w:rsidR="007800A3" w:rsidRPr="00AC19D7" w:rsidRDefault="007800A3">
      <w:pPr>
        <w:rPr>
          <w:rFonts w:ascii="Arial" w:hAnsi="Arial" w:cs="Arial"/>
          <w:b/>
          <w:bCs/>
          <w:sz w:val="22"/>
          <w:szCs w:val="22"/>
        </w:rPr>
      </w:pPr>
      <w:r w:rsidRPr="00AC19D7">
        <w:rPr>
          <w:rFonts w:ascii="Arial" w:hAnsi="Arial" w:cs="Arial"/>
          <w:b/>
          <w:bCs/>
          <w:sz w:val="22"/>
          <w:szCs w:val="22"/>
        </w:rPr>
        <w:t xml:space="preserve">Reference List </w:t>
      </w:r>
    </w:p>
    <w:p w14:paraId="435B25FF"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Argyle, M. (1972) The Social Psychology of Work. London: Penguin.</w:t>
      </w:r>
      <w:r w:rsidRPr="00AC19D7">
        <w:rPr>
          <w:rFonts w:ascii="Arial" w:hAnsi="Arial" w:cs="Arial"/>
          <w:sz w:val="22"/>
          <w:szCs w:val="22"/>
        </w:rPr>
        <w:t> </w:t>
      </w:r>
    </w:p>
    <w:p w14:paraId="1ACD9110"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Care Act 2014. London: HMSO.</w:t>
      </w:r>
      <w:r w:rsidRPr="00AC19D7">
        <w:rPr>
          <w:rFonts w:ascii="Arial" w:hAnsi="Arial" w:cs="Arial"/>
          <w:sz w:val="22"/>
          <w:szCs w:val="22"/>
        </w:rPr>
        <w:t> </w:t>
      </w:r>
    </w:p>
    <w:p w14:paraId="5B42DC17"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Data Protection Act 2018. London: HMSO.</w:t>
      </w:r>
      <w:r w:rsidRPr="00AC19D7">
        <w:rPr>
          <w:rFonts w:ascii="Arial" w:hAnsi="Arial" w:cs="Arial"/>
          <w:sz w:val="22"/>
          <w:szCs w:val="22"/>
        </w:rPr>
        <w:t> </w:t>
      </w:r>
    </w:p>
    <w:p w14:paraId="2F0250EC"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Equality Act 2010. London: HMSO.</w:t>
      </w:r>
      <w:r w:rsidRPr="00AC19D7">
        <w:rPr>
          <w:rFonts w:ascii="Arial" w:hAnsi="Arial" w:cs="Arial"/>
          <w:sz w:val="22"/>
          <w:szCs w:val="22"/>
        </w:rPr>
        <w:t> </w:t>
      </w:r>
    </w:p>
    <w:p w14:paraId="06E73D2A"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Health and Care Professions Council (HCPC) (2024) Standards of conduct, performance and ethics. London: HCPC.</w:t>
      </w:r>
      <w:r w:rsidRPr="00AC19D7">
        <w:rPr>
          <w:rFonts w:ascii="Arial" w:hAnsi="Arial" w:cs="Arial"/>
          <w:sz w:val="22"/>
          <w:szCs w:val="22"/>
        </w:rPr>
        <w:t> </w:t>
      </w:r>
    </w:p>
    <w:p w14:paraId="7022160C"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Information Commissioner’s Office (ICO) (2024) Guide to the UK GDPR. Available at: https://ico.org.uk (Accessed: 19 August 2026).</w:t>
      </w:r>
      <w:r w:rsidRPr="00AC19D7">
        <w:rPr>
          <w:rFonts w:ascii="Arial" w:hAnsi="Arial" w:cs="Arial"/>
          <w:sz w:val="22"/>
          <w:szCs w:val="22"/>
        </w:rPr>
        <w:t> </w:t>
      </w:r>
    </w:p>
    <w:p w14:paraId="66B4C77D" w14:textId="77777777" w:rsidR="00AC19D7" w:rsidRPr="00AC19D7" w:rsidRDefault="00AC19D7" w:rsidP="00AC19D7">
      <w:pPr>
        <w:rPr>
          <w:rFonts w:ascii="Arial" w:hAnsi="Arial" w:cs="Arial"/>
          <w:sz w:val="22"/>
          <w:szCs w:val="22"/>
        </w:rPr>
      </w:pPr>
      <w:proofErr w:type="spellStart"/>
      <w:r w:rsidRPr="00AC19D7">
        <w:rPr>
          <w:rFonts w:ascii="Arial" w:hAnsi="Arial" w:cs="Arial"/>
          <w:sz w:val="22"/>
          <w:szCs w:val="22"/>
          <w:lang w:val="en-US"/>
        </w:rPr>
        <w:t>Kitwood</w:t>
      </w:r>
      <w:proofErr w:type="spellEnd"/>
      <w:r w:rsidRPr="00AC19D7">
        <w:rPr>
          <w:rFonts w:ascii="Arial" w:hAnsi="Arial" w:cs="Arial"/>
          <w:sz w:val="22"/>
          <w:szCs w:val="22"/>
          <w:lang w:val="en-US"/>
        </w:rPr>
        <w:t xml:space="preserve">, T. (2019) Dementia Reconsidered: The Person Comes First. 2nd </w:t>
      </w:r>
      <w:proofErr w:type="spellStart"/>
      <w:r w:rsidRPr="00AC19D7">
        <w:rPr>
          <w:rFonts w:ascii="Arial" w:hAnsi="Arial" w:cs="Arial"/>
          <w:sz w:val="22"/>
          <w:szCs w:val="22"/>
          <w:lang w:val="en-US"/>
        </w:rPr>
        <w:t>edn</w:t>
      </w:r>
      <w:proofErr w:type="spellEnd"/>
      <w:r w:rsidRPr="00AC19D7">
        <w:rPr>
          <w:rFonts w:ascii="Arial" w:hAnsi="Arial" w:cs="Arial"/>
          <w:sz w:val="22"/>
          <w:szCs w:val="22"/>
          <w:lang w:val="en-US"/>
        </w:rPr>
        <w:t>. Maidenhead: Open University Press.</w:t>
      </w:r>
      <w:r w:rsidRPr="00AC19D7">
        <w:rPr>
          <w:rFonts w:ascii="Arial" w:hAnsi="Arial" w:cs="Arial"/>
          <w:sz w:val="22"/>
          <w:szCs w:val="22"/>
        </w:rPr>
        <w:t> </w:t>
      </w:r>
    </w:p>
    <w:p w14:paraId="4055ED70"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 xml:space="preserve">Nursing and Midwifery Council (NMC) (2018) The Code: Professional standards of practice and </w:t>
      </w:r>
      <w:proofErr w:type="spellStart"/>
      <w:r w:rsidRPr="00AC19D7">
        <w:rPr>
          <w:rFonts w:ascii="Arial" w:hAnsi="Arial" w:cs="Arial"/>
          <w:sz w:val="22"/>
          <w:szCs w:val="22"/>
          <w:lang w:val="en-US"/>
        </w:rPr>
        <w:t>behaviour</w:t>
      </w:r>
      <w:proofErr w:type="spellEnd"/>
      <w:r w:rsidRPr="00AC19D7">
        <w:rPr>
          <w:rFonts w:ascii="Arial" w:hAnsi="Arial" w:cs="Arial"/>
          <w:sz w:val="22"/>
          <w:szCs w:val="22"/>
          <w:lang w:val="en-US"/>
        </w:rPr>
        <w:t xml:space="preserve"> for nurses, midwives and nursing associates. London: NMC.</w:t>
      </w:r>
      <w:r w:rsidRPr="00AC19D7">
        <w:rPr>
          <w:rFonts w:ascii="Arial" w:hAnsi="Arial" w:cs="Arial"/>
          <w:sz w:val="22"/>
          <w:szCs w:val="22"/>
        </w:rPr>
        <w:t> </w:t>
      </w:r>
    </w:p>
    <w:p w14:paraId="3B82B229"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 xml:space="preserve">Social Care Institute for Excellence (SCIE) (2023) </w:t>
      </w:r>
      <w:proofErr w:type="gramStart"/>
      <w:r w:rsidRPr="00AC19D7">
        <w:rPr>
          <w:rFonts w:ascii="Arial" w:hAnsi="Arial" w:cs="Arial"/>
          <w:sz w:val="22"/>
          <w:szCs w:val="22"/>
          <w:lang w:val="en-US"/>
        </w:rPr>
        <w:t>Multi-agency</w:t>
      </w:r>
      <w:proofErr w:type="gramEnd"/>
      <w:r w:rsidRPr="00AC19D7">
        <w:rPr>
          <w:rFonts w:ascii="Arial" w:hAnsi="Arial" w:cs="Arial"/>
          <w:sz w:val="22"/>
          <w:szCs w:val="22"/>
          <w:lang w:val="en-US"/>
        </w:rPr>
        <w:t xml:space="preserve"> working and adult safeguarding. Available at: https://www.scie.org.uk (Accessed: 19 August 2026).</w:t>
      </w:r>
      <w:r w:rsidRPr="00AC19D7">
        <w:rPr>
          <w:rFonts w:ascii="Arial" w:hAnsi="Arial" w:cs="Arial"/>
          <w:sz w:val="22"/>
          <w:szCs w:val="22"/>
        </w:rPr>
        <w:t> </w:t>
      </w:r>
    </w:p>
    <w:p w14:paraId="1FF9ABE2" w14:textId="77777777" w:rsidR="00AC19D7" w:rsidRPr="00AC19D7" w:rsidRDefault="00AC19D7" w:rsidP="00AC19D7">
      <w:pPr>
        <w:rPr>
          <w:rFonts w:ascii="Arial" w:hAnsi="Arial" w:cs="Arial"/>
          <w:sz w:val="22"/>
          <w:szCs w:val="22"/>
        </w:rPr>
      </w:pPr>
      <w:r w:rsidRPr="00AC19D7">
        <w:rPr>
          <w:rFonts w:ascii="Arial" w:hAnsi="Arial" w:cs="Arial"/>
          <w:sz w:val="22"/>
          <w:szCs w:val="22"/>
          <w:lang w:val="en-US"/>
        </w:rPr>
        <w:t xml:space="preserve">Trevithick, P. (2012) Social Work Skills and Knowledge: A Practice Handbook. 3rd </w:t>
      </w:r>
      <w:proofErr w:type="spellStart"/>
      <w:r w:rsidRPr="00AC19D7">
        <w:rPr>
          <w:rFonts w:ascii="Arial" w:hAnsi="Arial" w:cs="Arial"/>
          <w:sz w:val="22"/>
          <w:szCs w:val="22"/>
          <w:lang w:val="en-US"/>
        </w:rPr>
        <w:t>edn</w:t>
      </w:r>
      <w:proofErr w:type="spellEnd"/>
      <w:r w:rsidRPr="00AC19D7">
        <w:rPr>
          <w:rFonts w:ascii="Arial" w:hAnsi="Arial" w:cs="Arial"/>
          <w:sz w:val="22"/>
          <w:szCs w:val="22"/>
          <w:lang w:val="en-US"/>
        </w:rPr>
        <w:t>. Maidenhead: Open University Press.</w:t>
      </w:r>
    </w:p>
    <w:sectPr w:rsidR="00AC19D7" w:rsidRPr="00AC19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04939" w14:textId="77777777" w:rsidR="00C948A2" w:rsidRDefault="00C948A2" w:rsidP="00AC19D7">
      <w:pPr>
        <w:spacing w:after="0" w:line="240" w:lineRule="auto"/>
      </w:pPr>
      <w:r>
        <w:separator/>
      </w:r>
    </w:p>
  </w:endnote>
  <w:endnote w:type="continuationSeparator" w:id="0">
    <w:p w14:paraId="0F5160DE" w14:textId="77777777" w:rsidR="00C948A2" w:rsidRDefault="00C948A2" w:rsidP="00AC1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5AD72" w14:textId="77777777" w:rsidR="00C948A2" w:rsidRDefault="00C948A2" w:rsidP="00AC19D7">
      <w:pPr>
        <w:spacing w:after="0" w:line="240" w:lineRule="auto"/>
      </w:pPr>
      <w:r>
        <w:separator/>
      </w:r>
    </w:p>
  </w:footnote>
  <w:footnote w:type="continuationSeparator" w:id="0">
    <w:p w14:paraId="38DA799D" w14:textId="77777777" w:rsidR="00C948A2" w:rsidRDefault="00C948A2" w:rsidP="00AC19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F20"/>
    <w:rsid w:val="0004343C"/>
    <w:rsid w:val="000915A1"/>
    <w:rsid w:val="00092D30"/>
    <w:rsid w:val="000A1DF4"/>
    <w:rsid w:val="000E2002"/>
    <w:rsid w:val="0013768F"/>
    <w:rsid w:val="00160AAB"/>
    <w:rsid w:val="001E4AB8"/>
    <w:rsid w:val="0024292D"/>
    <w:rsid w:val="0026088A"/>
    <w:rsid w:val="00260CD2"/>
    <w:rsid w:val="002908BC"/>
    <w:rsid w:val="002F7CB1"/>
    <w:rsid w:val="003119B9"/>
    <w:rsid w:val="00324919"/>
    <w:rsid w:val="0036035E"/>
    <w:rsid w:val="0036472F"/>
    <w:rsid w:val="00383F6D"/>
    <w:rsid w:val="003B3087"/>
    <w:rsid w:val="003D2B71"/>
    <w:rsid w:val="00427AFA"/>
    <w:rsid w:val="00474231"/>
    <w:rsid w:val="00486367"/>
    <w:rsid w:val="004A6F37"/>
    <w:rsid w:val="005A7B5B"/>
    <w:rsid w:val="005B6F20"/>
    <w:rsid w:val="005E2387"/>
    <w:rsid w:val="00625ED1"/>
    <w:rsid w:val="0066308A"/>
    <w:rsid w:val="00671FE3"/>
    <w:rsid w:val="006E2A57"/>
    <w:rsid w:val="00704F77"/>
    <w:rsid w:val="00713FCC"/>
    <w:rsid w:val="007800A3"/>
    <w:rsid w:val="007B799C"/>
    <w:rsid w:val="007F11FF"/>
    <w:rsid w:val="00861EA7"/>
    <w:rsid w:val="008C4984"/>
    <w:rsid w:val="008D5045"/>
    <w:rsid w:val="00900AC1"/>
    <w:rsid w:val="009145E9"/>
    <w:rsid w:val="00916A38"/>
    <w:rsid w:val="009A2D68"/>
    <w:rsid w:val="00A303E6"/>
    <w:rsid w:val="00A716DB"/>
    <w:rsid w:val="00A7533B"/>
    <w:rsid w:val="00AA5262"/>
    <w:rsid w:val="00AB2CC4"/>
    <w:rsid w:val="00AC19D7"/>
    <w:rsid w:val="00AC677F"/>
    <w:rsid w:val="00AF6CE9"/>
    <w:rsid w:val="00B17A0F"/>
    <w:rsid w:val="00B36904"/>
    <w:rsid w:val="00B736C0"/>
    <w:rsid w:val="00BC5193"/>
    <w:rsid w:val="00BE4414"/>
    <w:rsid w:val="00C24B17"/>
    <w:rsid w:val="00C948A2"/>
    <w:rsid w:val="00CA5B62"/>
    <w:rsid w:val="00CB69AE"/>
    <w:rsid w:val="00D35C8E"/>
    <w:rsid w:val="00D915D2"/>
    <w:rsid w:val="00E235B9"/>
    <w:rsid w:val="00F80EEE"/>
    <w:rsid w:val="00FD1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540ED"/>
  <w15:chartTrackingRefBased/>
  <w15:docId w15:val="{4792D400-13A9-4DF7-ABAD-D15935B09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F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F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F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F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F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F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F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F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F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F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F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F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F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F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F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F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F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F20"/>
    <w:rPr>
      <w:rFonts w:eastAsiaTheme="majorEastAsia" w:cstheme="majorBidi"/>
      <w:color w:val="272727" w:themeColor="text1" w:themeTint="D8"/>
    </w:rPr>
  </w:style>
  <w:style w:type="paragraph" w:styleId="Title">
    <w:name w:val="Title"/>
    <w:basedOn w:val="Normal"/>
    <w:next w:val="Normal"/>
    <w:link w:val="TitleChar"/>
    <w:uiPriority w:val="10"/>
    <w:qFormat/>
    <w:rsid w:val="005B6F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F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F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F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F20"/>
    <w:pPr>
      <w:spacing w:before="160"/>
      <w:jc w:val="center"/>
    </w:pPr>
    <w:rPr>
      <w:i/>
      <w:iCs/>
      <w:color w:val="404040" w:themeColor="text1" w:themeTint="BF"/>
    </w:rPr>
  </w:style>
  <w:style w:type="character" w:customStyle="1" w:styleId="QuoteChar">
    <w:name w:val="Quote Char"/>
    <w:basedOn w:val="DefaultParagraphFont"/>
    <w:link w:val="Quote"/>
    <w:uiPriority w:val="29"/>
    <w:rsid w:val="005B6F20"/>
    <w:rPr>
      <w:i/>
      <w:iCs/>
      <w:color w:val="404040" w:themeColor="text1" w:themeTint="BF"/>
    </w:rPr>
  </w:style>
  <w:style w:type="paragraph" w:styleId="ListParagraph">
    <w:name w:val="List Paragraph"/>
    <w:basedOn w:val="Normal"/>
    <w:uiPriority w:val="34"/>
    <w:qFormat/>
    <w:rsid w:val="005B6F20"/>
    <w:pPr>
      <w:ind w:left="720"/>
      <w:contextualSpacing/>
    </w:pPr>
  </w:style>
  <w:style w:type="character" w:styleId="IntenseEmphasis">
    <w:name w:val="Intense Emphasis"/>
    <w:basedOn w:val="DefaultParagraphFont"/>
    <w:uiPriority w:val="21"/>
    <w:qFormat/>
    <w:rsid w:val="005B6F20"/>
    <w:rPr>
      <w:i/>
      <w:iCs/>
      <w:color w:val="0F4761" w:themeColor="accent1" w:themeShade="BF"/>
    </w:rPr>
  </w:style>
  <w:style w:type="paragraph" w:styleId="IntenseQuote">
    <w:name w:val="Intense Quote"/>
    <w:basedOn w:val="Normal"/>
    <w:next w:val="Normal"/>
    <w:link w:val="IntenseQuoteChar"/>
    <w:uiPriority w:val="30"/>
    <w:qFormat/>
    <w:rsid w:val="005B6F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F20"/>
    <w:rPr>
      <w:i/>
      <w:iCs/>
      <w:color w:val="0F4761" w:themeColor="accent1" w:themeShade="BF"/>
    </w:rPr>
  </w:style>
  <w:style w:type="character" w:styleId="IntenseReference">
    <w:name w:val="Intense Reference"/>
    <w:basedOn w:val="DefaultParagraphFont"/>
    <w:uiPriority w:val="32"/>
    <w:qFormat/>
    <w:rsid w:val="005B6F20"/>
    <w:rPr>
      <w:b/>
      <w:bCs/>
      <w:smallCaps/>
      <w:color w:val="0F4761" w:themeColor="accent1" w:themeShade="BF"/>
      <w:spacing w:val="5"/>
    </w:rPr>
  </w:style>
  <w:style w:type="paragraph" w:styleId="Header">
    <w:name w:val="header"/>
    <w:basedOn w:val="Normal"/>
    <w:link w:val="HeaderChar"/>
    <w:uiPriority w:val="99"/>
    <w:unhideWhenUsed/>
    <w:rsid w:val="00AC1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9D7"/>
  </w:style>
  <w:style w:type="paragraph" w:styleId="Footer">
    <w:name w:val="footer"/>
    <w:basedOn w:val="Normal"/>
    <w:link w:val="FooterChar"/>
    <w:uiPriority w:val="99"/>
    <w:unhideWhenUsed/>
    <w:rsid w:val="00AC1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1742</Words>
  <Characters>10820</Characters>
  <Application>Microsoft Office Word</Application>
  <DocSecurity>0</DocSecurity>
  <Lines>251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Bosede Funmilayo Olumuyiwa (2532179)</dc:creator>
  <cp:keywords/>
  <dc:description/>
  <cp:lastModifiedBy>SMITH, Dockas (CENTRAL AND NORTH WEST LONDON NHS FOUNDATION TRUST)</cp:lastModifiedBy>
  <cp:revision>4</cp:revision>
  <dcterms:created xsi:type="dcterms:W3CDTF">2026-08-19T18:29:00Z</dcterms:created>
  <dcterms:modified xsi:type="dcterms:W3CDTF">2026-08-19T20:03:00Z</dcterms:modified>
</cp:coreProperties>
</file>