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55756" w14:textId="78CCE32E" w:rsidR="00F66C73" w:rsidRPr="00BF70AE" w:rsidRDefault="00F940FB">
      <w:pPr>
        <w:rPr>
          <w:b/>
          <w:bCs/>
          <w:u w:val="single"/>
        </w:rPr>
      </w:pPr>
      <w:r w:rsidRPr="00BF70AE">
        <w:rPr>
          <w:b/>
          <w:bCs/>
          <w:noProof/>
          <w:u w:val="single"/>
        </w:rPr>
        <w:drawing>
          <wp:anchor distT="0" distB="0" distL="114300" distR="114300" simplePos="0" relativeHeight="251659264" behindDoc="1" locked="0" layoutInCell="1" allowOverlap="1" wp14:anchorId="5469CEC2" wp14:editId="25F9BCCE">
            <wp:simplePos x="0" y="0"/>
            <wp:positionH relativeFrom="column">
              <wp:posOffset>1028700</wp:posOffset>
            </wp:positionH>
            <wp:positionV relativeFrom="paragraph">
              <wp:posOffset>450850</wp:posOffset>
            </wp:positionV>
            <wp:extent cx="706120" cy="1866900"/>
            <wp:effectExtent l="0" t="0" r="0" b="0"/>
            <wp:wrapTight wrapText="bothSides">
              <wp:wrapPolygon edited="0">
                <wp:start x="0" y="0"/>
                <wp:lineTo x="0" y="21380"/>
                <wp:lineTo x="20978" y="21380"/>
                <wp:lineTo x="209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6120" cy="1866900"/>
                    </a:xfrm>
                    <a:prstGeom prst="rect">
                      <a:avLst/>
                    </a:prstGeom>
                  </pic:spPr>
                </pic:pic>
              </a:graphicData>
            </a:graphic>
            <wp14:sizeRelH relativeFrom="margin">
              <wp14:pctWidth>0</wp14:pctWidth>
            </wp14:sizeRelH>
            <wp14:sizeRelV relativeFrom="margin">
              <wp14:pctHeight>0</wp14:pctHeight>
            </wp14:sizeRelV>
          </wp:anchor>
        </w:drawing>
      </w:r>
      <w:r w:rsidRPr="00BF70AE">
        <w:rPr>
          <w:b/>
          <w:bCs/>
          <w:noProof/>
          <w:u w:val="single"/>
        </w:rPr>
        <w:drawing>
          <wp:anchor distT="0" distB="0" distL="114300" distR="114300" simplePos="0" relativeHeight="251658240" behindDoc="1" locked="0" layoutInCell="1" allowOverlap="1" wp14:anchorId="674F692F" wp14:editId="53A77213">
            <wp:simplePos x="0" y="0"/>
            <wp:positionH relativeFrom="margin">
              <wp:posOffset>-101600</wp:posOffset>
            </wp:positionH>
            <wp:positionV relativeFrom="paragraph">
              <wp:posOffset>457200</wp:posOffset>
            </wp:positionV>
            <wp:extent cx="1140460" cy="1861185"/>
            <wp:effectExtent l="0" t="0" r="2540" b="5715"/>
            <wp:wrapTight wrapText="bothSides">
              <wp:wrapPolygon edited="0">
                <wp:start x="0" y="0"/>
                <wp:lineTo x="0" y="21445"/>
                <wp:lineTo x="21287" y="21445"/>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0460" cy="1861185"/>
                    </a:xfrm>
                    <a:prstGeom prst="rect">
                      <a:avLst/>
                    </a:prstGeom>
                  </pic:spPr>
                </pic:pic>
              </a:graphicData>
            </a:graphic>
            <wp14:sizeRelH relativeFrom="page">
              <wp14:pctWidth>0</wp14:pctWidth>
            </wp14:sizeRelH>
            <wp14:sizeRelV relativeFrom="page">
              <wp14:pctHeight>0</wp14:pctHeight>
            </wp14:sizeRelV>
          </wp:anchor>
        </w:drawing>
      </w:r>
      <w:r w:rsidRPr="00BF70AE">
        <w:rPr>
          <w:b/>
          <w:bCs/>
          <w:u w:val="single"/>
        </w:rPr>
        <w:t>Use the following two images to distinguish different art styles we find during the Amarna Period. Explain the distinctiveness of both styles and date them.</w:t>
      </w:r>
    </w:p>
    <w:p w14:paraId="465651CF" w14:textId="5508AA4A" w:rsidR="00AD0C15" w:rsidRDefault="00BF70AE">
      <w:r>
        <w:t xml:space="preserve">The Amarna Period was one phase of Ancient Egyptian history easily identified by its supposedly radically different art styles. However, before we can go about examining that, we must first lay the groundwork by looking at </w:t>
      </w:r>
      <w:r w:rsidR="00005ED8">
        <w:t>Ancient</w:t>
      </w:r>
      <w:r>
        <w:t xml:space="preserve"> Egyptian Art traditions and what came before Amarna. </w:t>
      </w:r>
      <w:r w:rsidR="00EA0038">
        <w:t xml:space="preserve">The </w:t>
      </w:r>
      <w:r>
        <w:t>Ancient</w:t>
      </w:r>
      <w:r w:rsidR="00EA0038">
        <w:t xml:space="preserve"> </w:t>
      </w:r>
      <w:r>
        <w:t>Egyptians</w:t>
      </w:r>
      <w:r w:rsidR="00EA0038">
        <w:t xml:space="preserve"> had no singular word for ‘art’, </w:t>
      </w:r>
      <w:r w:rsidR="00117AEC">
        <w:t xml:space="preserve">at least </w:t>
      </w:r>
      <w:r w:rsidR="00EA0038">
        <w:t xml:space="preserve">not in the </w:t>
      </w:r>
      <w:r>
        <w:t>aesthetic</w:t>
      </w:r>
      <w:r w:rsidR="00EA0038">
        <w:t xml:space="preserve"> way we mean it</w:t>
      </w:r>
      <w:r w:rsidR="00117AEC">
        <w:t xml:space="preserve"> </w:t>
      </w:r>
      <w:r w:rsidR="00EA0038">
        <w:t xml:space="preserve"> </w:t>
      </w:r>
      <w:r w:rsidR="00117AEC">
        <w:t>(</w:t>
      </w:r>
      <w:r w:rsidR="00EA0038">
        <w:t xml:space="preserve">they did have different </w:t>
      </w:r>
      <w:r w:rsidR="00117AEC">
        <w:t>words for types of art like statues and stela).</w:t>
      </w:r>
      <w:r w:rsidR="00117AEC">
        <w:rPr>
          <w:rStyle w:val="FootnoteReference"/>
        </w:rPr>
        <w:footnoteReference w:id="1"/>
      </w:r>
      <w:r>
        <w:t xml:space="preserve"> </w:t>
      </w:r>
      <w:r w:rsidR="00E56D1A">
        <w:t xml:space="preserve">Artwork </w:t>
      </w:r>
      <w:r w:rsidR="00053F54">
        <w:t>was so</w:t>
      </w:r>
      <w:r w:rsidR="00E56D1A">
        <w:t xml:space="preserve"> ingrained in their everyday life,</w:t>
      </w:r>
      <w:r w:rsidR="005D4DB2">
        <w:t xml:space="preserve"> from their towering statues to  their writing</w:t>
      </w:r>
      <w:r w:rsidR="00426D0C">
        <w:t>,</w:t>
      </w:r>
      <w:r w:rsidR="005D4DB2">
        <w:t xml:space="preserve"> that they didn’t need </w:t>
      </w:r>
      <w:r w:rsidR="003C2A19">
        <w:t xml:space="preserve">to express it as a separate concept. </w:t>
      </w:r>
      <w:r w:rsidR="00E178D1">
        <w:t xml:space="preserve"> In the old kingdom, the pharaohs were usually drawn as ‘remote</w:t>
      </w:r>
      <w:r w:rsidR="002534D7">
        <w:t>, god-like creatures’ whereas, in the middle kingdom they maintain healthy, athletic bodies yet their faces show signs of wear and their ears were emphasised – possibly to emphasize their godly connection (as the only ones who could hear the gods) or possibly a genetic trait.</w:t>
      </w:r>
      <w:r w:rsidR="002534D7">
        <w:rPr>
          <w:rStyle w:val="FootnoteReference"/>
        </w:rPr>
        <w:footnoteReference w:id="2"/>
      </w:r>
      <w:r w:rsidR="002534D7">
        <w:t xml:space="preserve"> However, this has died out by the early 18</w:t>
      </w:r>
      <w:r w:rsidR="002534D7" w:rsidRPr="002534D7">
        <w:rPr>
          <w:vertAlign w:val="superscript"/>
        </w:rPr>
        <w:t>th</w:t>
      </w:r>
      <w:r w:rsidR="002534D7">
        <w:t xml:space="preserve"> century, as they show more ‘warrior king’ traits with their muscular yet elegant form, at least until Amenhotep IV decides its time for a change</w:t>
      </w:r>
      <w:r w:rsidR="00AD0C15">
        <w:t xml:space="preserve">, not just in art, but in the way they practiced religion too. </w:t>
      </w:r>
    </w:p>
    <w:p w14:paraId="4879ACA7" w14:textId="1596CFE2" w:rsidR="004A379A" w:rsidRDefault="004A379A">
      <w:r>
        <w:t xml:space="preserve">The Amarna period was called such after the new capitol city that Akhenaten </w:t>
      </w:r>
      <w:r w:rsidR="00D47D50">
        <w:t xml:space="preserve">erected, Tell-el-Amarna and is </w:t>
      </w:r>
      <w:r w:rsidR="001D468A">
        <w:t>particularly</w:t>
      </w:r>
      <w:r w:rsidR="00D47D50">
        <w:t xml:space="preserve"> famous for turning away from the traditional Egyptian polytheism to what some Historians count as a monotheism but in reality is probably more of a monolateralism. He rejected all other gods to worship the Aten disk, a previously unknown designation of the </w:t>
      </w:r>
      <w:r w:rsidR="008674FB">
        <w:t>s</w:t>
      </w:r>
      <w:r w:rsidR="00D47D50">
        <w:t xml:space="preserve">un god existing in the form as the sun disk. </w:t>
      </w:r>
      <w:r w:rsidR="008A1AFF">
        <w:t>However, it didn’t start in</w:t>
      </w:r>
      <w:r w:rsidR="003F3565">
        <w:t xml:space="preserve"> Amarna, the first references to the Amarna period are found in a sun temple at Karnak built by the then Amenhotep IV and the tomb of Ramose. </w:t>
      </w:r>
    </w:p>
    <w:p w14:paraId="568C2CEF" w14:textId="54F78EDE" w:rsidR="00AD0C15" w:rsidRDefault="00AD0C15">
      <w:r>
        <w:t xml:space="preserve">In order to symbolise his dramatic turning away from tradition regarding the gods, he first dramatically turned away from traditional art styles – noticeably in </w:t>
      </w:r>
      <w:r w:rsidR="000142F2">
        <w:t xml:space="preserve">Karnak. At first, it was thought that the more traditional looking styles of art belonged to the early period when Akhenaten was still going under Amenhotep IV and </w:t>
      </w:r>
      <w:r w:rsidR="00D24428">
        <w:t xml:space="preserve">working closely with his mother Queen Tiye. However, the talatat found in Karnak as well as the tomb of Ramose state otherwise. </w:t>
      </w:r>
      <w:r w:rsidR="00C572FF">
        <w:rPr>
          <w:rStyle w:val="FootnoteReference"/>
        </w:rPr>
        <w:footnoteReference w:id="3"/>
      </w:r>
      <w:r w:rsidR="00031323">
        <w:t xml:space="preserve"> From there, we can establish two main phases of Amarna art- early and late, though middle Amarna is often added for some- in order to explain these two styles properly we will look at these two images of Queen Nefertiti (wife of Akhenaten) in order to see the distinction between these two styles. </w:t>
      </w:r>
    </w:p>
    <w:p w14:paraId="3830B131" w14:textId="5B0D5CCD" w:rsidR="005859B2" w:rsidRDefault="005859B2">
      <w:r>
        <w:t xml:space="preserve">The first image is a limestone fragment containing an image of a woman thought to be Queen Nefertiti. </w:t>
      </w:r>
      <w:r w:rsidR="00703B1E">
        <w:t xml:space="preserve">The first thing to notice is the wig worn, unlike </w:t>
      </w:r>
      <w:r w:rsidR="00940D8F">
        <w:t xml:space="preserve">most Amarna royals who preferred the Nubian wig (noticeably queen Kiya and princess Meritaten), Nefertiti is pictured here wearing a long lappet wig. Lappet wigs are usually shorter and have been associated with royals thanks to </w:t>
      </w:r>
      <w:r w:rsidR="000C4B1D">
        <w:t xml:space="preserve">scenes from the </w:t>
      </w:r>
      <w:r w:rsidR="00A62D88">
        <w:t>Medinet Habu in which the wig appears in 73 of the 765 scenes</w:t>
      </w:r>
      <w:r w:rsidR="00CE6870">
        <w:t xml:space="preserve">. </w:t>
      </w:r>
      <w:r w:rsidR="00CE6870">
        <w:rPr>
          <w:rStyle w:val="FootnoteReference"/>
        </w:rPr>
        <w:footnoteReference w:id="4"/>
      </w:r>
      <w:r w:rsidR="00CE6870">
        <w:t xml:space="preserve"> </w:t>
      </w:r>
      <w:r w:rsidR="00413B38">
        <w:t xml:space="preserve">Interestingly, 39 of those scenes are offering scenes, could this </w:t>
      </w:r>
      <w:r w:rsidR="00C3587C">
        <w:t xml:space="preserve">image too have been part of an offering scene? Or is it a nod to </w:t>
      </w:r>
      <w:r w:rsidR="00E24AB3">
        <w:t xml:space="preserve">Nefertiti’s religious importance as part of the divine trio? The wig contains a uraeus which tells us </w:t>
      </w:r>
      <w:r w:rsidR="00E24AB3">
        <w:lastRenderedPageBreak/>
        <w:t>that she is a royal or a goddess</w:t>
      </w:r>
      <w:r w:rsidR="00487349">
        <w:t xml:space="preserve">, and she is wearing a headdress containing the Aten disk, horns </w:t>
      </w:r>
      <w:r w:rsidR="00DD74A4">
        <w:t>and feathers. This is interesting symbolically due to the gods associated with horns (Hathor the cow goddess, often associated with feminity) and feathers (often associated with the Falcon gods</w:t>
      </w:r>
      <w:r w:rsidR="003E347D">
        <w:t xml:space="preserve">, such as Horus and his alternate incarnations as Ra or Re-Horahkty) </w:t>
      </w:r>
      <w:r w:rsidR="0094091B">
        <w:t xml:space="preserve">being </w:t>
      </w:r>
      <w:r w:rsidR="0028269F">
        <w:t>acknowledged</w:t>
      </w:r>
      <w:r w:rsidR="0094091B">
        <w:t xml:space="preserve"> in association with the Aten</w:t>
      </w:r>
      <w:r w:rsidR="000A595A">
        <w:t xml:space="preserve">. </w:t>
      </w:r>
      <w:r w:rsidR="00DD74A4">
        <w:t xml:space="preserve"> </w:t>
      </w:r>
      <w:r w:rsidR="00BE040F">
        <w:t xml:space="preserve">This leads me to believe that this could be from the early Amarna period due to the association </w:t>
      </w:r>
      <w:r w:rsidR="00CB288F">
        <w:t xml:space="preserve">with the other gods. </w:t>
      </w:r>
    </w:p>
    <w:p w14:paraId="2AAE0415" w14:textId="30D9C346" w:rsidR="00CB288F" w:rsidRDefault="00CB288F">
      <w:r>
        <w:t xml:space="preserve">Other reasons I believe that this is from the Early Amarna period is the style of the features. The ears particulary resemble those of the colossi at Karnak. The drop down circular </w:t>
      </w:r>
      <w:r w:rsidR="005A1FC2">
        <w:t>shaped ears are mostly seen towards the start of Akhenatens reign</w:t>
      </w:r>
      <w:r w:rsidR="006D776B">
        <w:t>, especially paired with the large, clearly emphasized ears</w:t>
      </w:r>
      <w:r w:rsidR="005A1FC2">
        <w:t xml:space="preserve">. </w:t>
      </w:r>
      <w:r w:rsidR="004D75DC">
        <w:t>The pointed chin and slightly elongated face also points towards this period</w:t>
      </w:r>
      <w:r w:rsidR="006D776B">
        <w:t xml:space="preserve">. Another key feature of early Amarna art is the </w:t>
      </w:r>
      <w:r w:rsidR="00C13322">
        <w:t xml:space="preserve">impressionistic uncut eye seen in this image of Nefertiti. </w:t>
      </w:r>
      <w:r w:rsidR="00474342">
        <w:t xml:space="preserve">Although there is not much of her body shown, it is also very obvious that she is clothed, unlike in the other piece of artwork being analysed- the standing statue.  </w:t>
      </w:r>
    </w:p>
    <w:p w14:paraId="6311F12A" w14:textId="441132B9" w:rsidR="00474342" w:rsidRDefault="00474342">
      <w:r>
        <w:t>The statue in contrast appears first to the naked eye to not be clothed. However, our main clue to the contrary is that in the remains of right arm we can make out a sleeve</w:t>
      </w:r>
      <w:r w:rsidR="00E529FF">
        <w:t xml:space="preserve">, there is also very faded </w:t>
      </w:r>
      <w:r w:rsidR="00861ABA">
        <w:t>vertical lines</w:t>
      </w:r>
      <w:r w:rsidR="00B651BE">
        <w:t xml:space="preserve"> that would have shown the linen. </w:t>
      </w:r>
      <w:r w:rsidR="005C313E">
        <w:t xml:space="preserve">Unlike the first image, this one doesn’t seem to be wearing a wig, just a </w:t>
      </w:r>
      <w:r w:rsidR="00427A9C">
        <w:t>crown. The angle of the crown doesn’t allow for us to see what it is properly</w:t>
      </w:r>
      <w:r w:rsidR="00BF395C">
        <w:t xml:space="preserve">, the image leads us to believe that it is quite a rounded crown rather than the flat topped </w:t>
      </w:r>
      <w:r w:rsidR="00A90015">
        <w:t xml:space="preserve">crown she is traditionally depicted wearing. </w:t>
      </w:r>
      <w:r w:rsidR="00DA3A45">
        <w:t>There is a very prominent hole where the uraeus would have possibly have been</w:t>
      </w:r>
      <w:r w:rsidR="001955B1">
        <w:t xml:space="preserve">, however we can see from the eyes that </w:t>
      </w:r>
      <w:r w:rsidR="00163B64">
        <w:t xml:space="preserve">this piece was either unfinished accidently or was never intended to </w:t>
      </w:r>
      <w:r w:rsidR="00B76361">
        <w:t>be viewed</w:t>
      </w:r>
      <w:r w:rsidR="00DD171E">
        <w:t xml:space="preserve"> therefore, there might not have been a ureaus ever there. </w:t>
      </w:r>
    </w:p>
    <w:p w14:paraId="62D3C3F1" w14:textId="2CC94019" w:rsidR="00A50274" w:rsidRPr="00426E64" w:rsidRDefault="00A50274">
      <w:r>
        <w:t xml:space="preserve">This statue also shows the rounded lobes and the prominent ears associated with early Amarna art. </w:t>
      </w:r>
      <w:r w:rsidR="00556754">
        <w:t xml:space="preserve">Also the full thick lips. Because this is a full body </w:t>
      </w:r>
      <w:r w:rsidR="00F30D8F">
        <w:t>figure,</w:t>
      </w:r>
      <w:r w:rsidR="00556754">
        <w:t xml:space="preserve"> we can also see that she has the prominent belly </w:t>
      </w:r>
      <w:r w:rsidR="004D7DAE">
        <w:t xml:space="preserve">showing she has had children by this point, </w:t>
      </w:r>
      <w:r w:rsidR="0017297A">
        <w:t xml:space="preserve">a more naturalistic style </w:t>
      </w:r>
      <w:r w:rsidR="00804AE2">
        <w:t xml:space="preserve">than those before which showed the royals as </w:t>
      </w:r>
      <w:r w:rsidR="00C55358">
        <w:t xml:space="preserve">permanently </w:t>
      </w:r>
      <w:r w:rsidR="00804AE2">
        <w:t>very fit and sporty</w:t>
      </w:r>
      <w:r w:rsidR="008C4CD3">
        <w:t xml:space="preserve">. </w:t>
      </w:r>
      <w:r w:rsidR="00004712">
        <w:t xml:space="preserve">Her breasts, hips and thighs portray her more as a mother figure. </w:t>
      </w:r>
      <w:r w:rsidR="00804AE2">
        <w:t xml:space="preserve"> </w:t>
      </w:r>
      <w:r w:rsidR="00CE0F7C">
        <w:t>This is a common feature of Amarna art,</w:t>
      </w:r>
      <w:r w:rsidR="0069104F">
        <w:t xml:space="preserve"> the prominent belly and highly </w:t>
      </w:r>
      <w:r w:rsidR="00004712">
        <w:t>naturalistic</w:t>
      </w:r>
      <w:r w:rsidR="0069104F">
        <w:t xml:space="preserve"> knees. She is also </w:t>
      </w:r>
      <w:r w:rsidR="00F962DB">
        <w:t xml:space="preserve">shown standing in quite an unusual position for a woman in Egyptian art, who are usually </w:t>
      </w:r>
      <w:r w:rsidR="00A42ACD">
        <w:t>depicted</w:t>
      </w:r>
      <w:r w:rsidR="00D67EEE">
        <w:t xml:space="preserve"> standing passively w</w:t>
      </w:r>
      <w:r w:rsidR="000F6BC5">
        <w:t xml:space="preserve">ith their feet together. Nefertiti in this image is shown with one foot forward as if walking. It is still not as wide a stride as we’d expect from </w:t>
      </w:r>
      <w:r w:rsidR="00E65655">
        <w:t xml:space="preserve">a man </w:t>
      </w:r>
      <w:r w:rsidR="00E65655" w:rsidRPr="00426E64">
        <w:t xml:space="preserve">but is still </w:t>
      </w:r>
      <w:r w:rsidR="000B61A6" w:rsidRPr="00426E64">
        <w:t xml:space="preserve">unusual, perhaps linking with Nefertiti’s highly important role in the state religion </w:t>
      </w:r>
      <w:r w:rsidR="002979F3" w:rsidRPr="00426E64">
        <w:t xml:space="preserve">and the emphasized </w:t>
      </w:r>
      <w:r w:rsidR="004969A7" w:rsidRPr="00426E64">
        <w:t xml:space="preserve">the more prominent status of the </w:t>
      </w:r>
      <w:r w:rsidR="002979F3" w:rsidRPr="00426E64">
        <w:t xml:space="preserve">role of </w:t>
      </w:r>
      <w:r w:rsidR="004969A7" w:rsidRPr="00426E64">
        <w:t xml:space="preserve">royal </w:t>
      </w:r>
      <w:r w:rsidR="002979F3" w:rsidRPr="00426E64">
        <w:t>women</w:t>
      </w:r>
      <w:r w:rsidR="004969A7" w:rsidRPr="00426E64">
        <w:t xml:space="preserve">, the queens and princesses we see in the </w:t>
      </w:r>
      <w:r w:rsidR="00F03D12" w:rsidRPr="00426E64">
        <w:t xml:space="preserve">Amarna period. </w:t>
      </w:r>
      <w:r w:rsidR="00B13824" w:rsidRPr="00426E64">
        <w:t xml:space="preserve"> Although her </w:t>
      </w:r>
      <w:r w:rsidR="00CD68E3" w:rsidRPr="00426E64">
        <w:t>facial features seem very early period, I would be tempted to date this later due to her features not being as extrem</w:t>
      </w:r>
      <w:r w:rsidR="005E1264" w:rsidRPr="00426E64">
        <w:t>e</w:t>
      </w:r>
      <w:r w:rsidR="00CD68E3" w:rsidRPr="00426E64">
        <w:t xml:space="preserve"> as we see on other monuments from around this time. </w:t>
      </w:r>
    </w:p>
    <w:p w14:paraId="7D535356" w14:textId="1A2EE4CD" w:rsidR="00CD68E3" w:rsidRPr="00426E64" w:rsidRDefault="005E1264">
      <w:r w:rsidRPr="00426E64">
        <w:t xml:space="preserve">In conclusion, Amarna art is hard to define as it is </w:t>
      </w:r>
      <w:r w:rsidR="003E0935" w:rsidRPr="00426E64">
        <w:t xml:space="preserve">both very different from and very similar to </w:t>
      </w:r>
      <w:r w:rsidR="00765F86">
        <w:t>that of the earlier and later Egyptian styles</w:t>
      </w:r>
      <w:r w:rsidR="00C747DB">
        <w:t xml:space="preserve">. Some Amarna art is very extreme, especially the early </w:t>
      </w:r>
      <w:r w:rsidR="00FD6031">
        <w:t xml:space="preserve">style because </w:t>
      </w:r>
      <w:r w:rsidR="009032E2">
        <w:t>Akhenaten needed to symbolise his dramatic</w:t>
      </w:r>
      <w:r w:rsidR="004C4BE5">
        <w:t xml:space="preserve"> turn away from traditional religion to Atenism, however it does calm down and turn </w:t>
      </w:r>
      <w:r w:rsidR="00D27761">
        <w:t xml:space="preserve">a lot more naturalistic </w:t>
      </w:r>
      <w:bookmarkStart w:id="0" w:name="_GoBack"/>
      <w:bookmarkEnd w:id="0"/>
      <w:r w:rsidR="004C4BE5">
        <w:t>as the period progresses. The most common features include elongated faces and bodies</w:t>
      </w:r>
      <w:r w:rsidR="009305F2">
        <w:t xml:space="preserve">, which some Egyptologists believe being naturalistic to an Akhenaten that suffered from Marfan Syndrome, though most believe it to simply be symbolic. </w:t>
      </w:r>
    </w:p>
    <w:p w14:paraId="6A8BD0BA" w14:textId="10D36523" w:rsidR="00AD0C15" w:rsidRDefault="00AD0C15"/>
    <w:p w14:paraId="7D7F60BF" w14:textId="77777777" w:rsidR="00AD0C15" w:rsidRDefault="00AD0C15"/>
    <w:p w14:paraId="38641C86" w14:textId="0FF40BD1" w:rsidR="00F940FB" w:rsidRPr="00BF70AE" w:rsidRDefault="00BF70AE">
      <w:pPr>
        <w:rPr>
          <w:b/>
          <w:bCs/>
          <w:u w:val="single"/>
        </w:rPr>
      </w:pPr>
      <w:r w:rsidRPr="00BF70AE">
        <w:rPr>
          <w:b/>
          <w:bCs/>
          <w:u w:val="single"/>
        </w:rPr>
        <w:lastRenderedPageBreak/>
        <w:t>Bibliography</w:t>
      </w:r>
    </w:p>
    <w:p w14:paraId="70E18935" w14:textId="77777777" w:rsidR="00292F89" w:rsidRPr="00292F89" w:rsidRDefault="00BF70AE" w:rsidP="00292F89">
      <w:pPr>
        <w:pStyle w:val="ListParagraph"/>
        <w:numPr>
          <w:ilvl w:val="0"/>
          <w:numId w:val="1"/>
        </w:numPr>
        <w:rPr>
          <w:i/>
          <w:iCs/>
        </w:rPr>
      </w:pPr>
      <w:r>
        <w:t xml:space="preserve">Robins, G. (2000) </w:t>
      </w:r>
      <w:r w:rsidRPr="00BF70AE">
        <w:rPr>
          <w:i/>
          <w:iCs/>
        </w:rPr>
        <w:t xml:space="preserve">The Art of Ancient Egypt </w:t>
      </w:r>
      <w:r>
        <w:t xml:space="preserve">Harvard University Press. </w:t>
      </w:r>
    </w:p>
    <w:p w14:paraId="2341BA1B" w14:textId="7648167E" w:rsidR="001D468A" w:rsidRPr="00292F89" w:rsidRDefault="00292F89" w:rsidP="00292F89">
      <w:pPr>
        <w:pStyle w:val="ListParagraph"/>
        <w:numPr>
          <w:ilvl w:val="0"/>
          <w:numId w:val="1"/>
        </w:numPr>
        <w:rPr>
          <w:i/>
          <w:iCs/>
        </w:rPr>
      </w:pPr>
      <w:r w:rsidRPr="00292F89">
        <w:t>Tyldesley (2018)</w:t>
      </w:r>
      <w:r>
        <w:t xml:space="preserve"> </w:t>
      </w:r>
      <w:r w:rsidRPr="00292F89">
        <w:rPr>
          <w:i/>
          <w:iCs/>
        </w:rPr>
        <w:t>Nefertiti's Face: The Creation of an Icon</w:t>
      </w:r>
      <w:r>
        <w:rPr>
          <w:i/>
          <w:iCs/>
        </w:rPr>
        <w:t xml:space="preserve">. </w:t>
      </w:r>
      <w:r>
        <w:t>Harvard University Press</w:t>
      </w:r>
    </w:p>
    <w:p w14:paraId="4693E90B" w14:textId="40425487" w:rsidR="00292F89" w:rsidRPr="00AE43D3" w:rsidRDefault="00292F89" w:rsidP="00292F89">
      <w:pPr>
        <w:pStyle w:val="ListParagraph"/>
        <w:numPr>
          <w:ilvl w:val="0"/>
          <w:numId w:val="1"/>
        </w:numPr>
        <w:spacing w:before="240"/>
        <w:rPr>
          <w:i/>
          <w:iCs/>
        </w:rPr>
      </w:pPr>
      <w:r>
        <w:t xml:space="preserve">Aldred (1972) </w:t>
      </w:r>
      <w:r>
        <w:rPr>
          <w:i/>
          <w:iCs/>
        </w:rPr>
        <w:t xml:space="preserve">Akhenaten and Nefertiti. </w:t>
      </w:r>
      <w:r>
        <w:t xml:space="preserve">The Brooklyn Museum, New York </w:t>
      </w:r>
    </w:p>
    <w:p w14:paraId="4BB186AD" w14:textId="24E1B69F" w:rsidR="00AE43D3" w:rsidRPr="00292F89" w:rsidRDefault="00AE43D3" w:rsidP="00292F89">
      <w:pPr>
        <w:pStyle w:val="ListParagraph"/>
        <w:numPr>
          <w:ilvl w:val="0"/>
          <w:numId w:val="1"/>
        </w:numPr>
        <w:spacing w:before="240"/>
        <w:rPr>
          <w:i/>
          <w:iCs/>
        </w:rPr>
      </w:pPr>
      <w:r>
        <w:t xml:space="preserve">Art of Counting (2011) </w:t>
      </w:r>
      <w:r>
        <w:rPr>
          <w:i/>
          <w:iCs/>
        </w:rPr>
        <w:t xml:space="preserve">Investigation of the Lappet Wig as Royal Headgear </w:t>
      </w:r>
      <w:r>
        <w:t xml:space="preserve">[retrieved from </w:t>
      </w:r>
      <w:hyperlink r:id="rId10" w:history="1">
        <w:r w:rsidRPr="006A3B85">
          <w:rPr>
            <w:rStyle w:val="Hyperlink"/>
          </w:rPr>
          <w:t>http://www.artofcounting.com/2010/10/15/investigation-of-the-lappet-wig-as-royal-headgear-in-ancient-egypt-part-1/</w:t>
        </w:r>
      </w:hyperlink>
      <w:r>
        <w:t xml:space="preserve">] </w:t>
      </w:r>
    </w:p>
    <w:sectPr w:rsidR="00AE43D3" w:rsidRPr="00292F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8C62F" w14:textId="77777777" w:rsidR="00AC7A29" w:rsidRDefault="00AC7A29" w:rsidP="00117AEC">
      <w:pPr>
        <w:spacing w:after="0" w:line="240" w:lineRule="auto"/>
      </w:pPr>
      <w:r>
        <w:separator/>
      </w:r>
    </w:p>
  </w:endnote>
  <w:endnote w:type="continuationSeparator" w:id="0">
    <w:p w14:paraId="26100032" w14:textId="77777777" w:rsidR="00AC7A29" w:rsidRDefault="00AC7A29" w:rsidP="00117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9081F" w14:textId="77777777" w:rsidR="00AC7A29" w:rsidRDefault="00AC7A29" w:rsidP="00117AEC">
      <w:pPr>
        <w:spacing w:after="0" w:line="240" w:lineRule="auto"/>
      </w:pPr>
      <w:r>
        <w:separator/>
      </w:r>
    </w:p>
  </w:footnote>
  <w:footnote w:type="continuationSeparator" w:id="0">
    <w:p w14:paraId="1876A7CF" w14:textId="77777777" w:rsidR="00AC7A29" w:rsidRDefault="00AC7A29" w:rsidP="00117AEC">
      <w:pPr>
        <w:spacing w:after="0" w:line="240" w:lineRule="auto"/>
      </w:pPr>
      <w:r>
        <w:continuationSeparator/>
      </w:r>
    </w:p>
  </w:footnote>
  <w:footnote w:id="1">
    <w:p w14:paraId="566C5449" w14:textId="64EF3F96" w:rsidR="00F66C73" w:rsidRPr="00117AEC" w:rsidRDefault="00F66C73">
      <w:pPr>
        <w:pStyle w:val="FootnoteText"/>
        <w:rPr>
          <w:sz w:val="18"/>
          <w:szCs w:val="18"/>
        </w:rPr>
      </w:pPr>
      <w:r w:rsidRPr="00117AEC">
        <w:rPr>
          <w:rStyle w:val="FootnoteReference"/>
          <w:sz w:val="18"/>
          <w:szCs w:val="18"/>
        </w:rPr>
        <w:footnoteRef/>
      </w:r>
      <w:r w:rsidRPr="00117AEC">
        <w:rPr>
          <w:sz w:val="18"/>
          <w:szCs w:val="18"/>
        </w:rPr>
        <w:t xml:space="preserve"> Robins (1997) p12</w:t>
      </w:r>
    </w:p>
  </w:footnote>
  <w:footnote w:id="2">
    <w:p w14:paraId="792F087F" w14:textId="0A2AACFB" w:rsidR="00F66C73" w:rsidRDefault="00F66C73">
      <w:pPr>
        <w:pStyle w:val="FootnoteText"/>
      </w:pPr>
      <w:r w:rsidRPr="002534D7">
        <w:rPr>
          <w:rStyle w:val="FootnoteReference"/>
          <w:sz w:val="18"/>
          <w:szCs w:val="18"/>
        </w:rPr>
        <w:footnoteRef/>
      </w:r>
      <w:r w:rsidRPr="002534D7">
        <w:rPr>
          <w:sz w:val="18"/>
          <w:szCs w:val="18"/>
        </w:rPr>
        <w:t xml:space="preserve"> Tyldesley (2018) p67</w:t>
      </w:r>
    </w:p>
  </w:footnote>
  <w:footnote w:id="3">
    <w:p w14:paraId="69722D46" w14:textId="7B633CBD" w:rsidR="00F66C73" w:rsidRDefault="00F66C73">
      <w:pPr>
        <w:pStyle w:val="FootnoteText"/>
      </w:pPr>
      <w:r>
        <w:rPr>
          <w:rStyle w:val="FootnoteReference"/>
        </w:rPr>
        <w:footnoteRef/>
      </w:r>
      <w:r>
        <w:t xml:space="preserve"> Aldred p48 </w:t>
      </w:r>
    </w:p>
  </w:footnote>
  <w:footnote w:id="4">
    <w:p w14:paraId="0B27DC12" w14:textId="20204AFB" w:rsidR="00CE6870" w:rsidRDefault="00CE6870">
      <w:pPr>
        <w:pStyle w:val="FootnoteText"/>
      </w:pPr>
      <w:r>
        <w:rPr>
          <w:rStyle w:val="FootnoteReference"/>
        </w:rPr>
        <w:footnoteRef/>
      </w:r>
      <w:r>
        <w:t xml:space="preserve"> </w:t>
      </w:r>
      <w:hyperlink r:id="rId1" w:history="1">
        <w:r w:rsidRPr="006A3B85">
          <w:rPr>
            <w:rStyle w:val="Hyperlink"/>
          </w:rPr>
          <w:t>http://www.artofcounting.com/2010/10/15/investiga</w:t>
        </w:r>
        <w:r w:rsidRPr="006A3B85">
          <w:rPr>
            <w:rStyle w:val="Hyperlink"/>
          </w:rPr>
          <w:t>t</w:t>
        </w:r>
        <w:r w:rsidRPr="006A3B85">
          <w:rPr>
            <w:rStyle w:val="Hyperlink"/>
          </w:rPr>
          <w:t>ion-of-the-lappet-wig-as-royal-headgear-in-ancient-egypt-part-1/</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6405B7"/>
    <w:multiLevelType w:val="hybridMultilevel"/>
    <w:tmpl w:val="EEEEC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FB"/>
    <w:rsid w:val="00004712"/>
    <w:rsid w:val="00005ED8"/>
    <w:rsid w:val="000142F2"/>
    <w:rsid w:val="00031323"/>
    <w:rsid w:val="00053F54"/>
    <w:rsid w:val="00070CDD"/>
    <w:rsid w:val="000733A3"/>
    <w:rsid w:val="000A595A"/>
    <w:rsid w:val="000B61A6"/>
    <w:rsid w:val="000C10C0"/>
    <w:rsid w:val="000C4B1D"/>
    <w:rsid w:val="000F6BC5"/>
    <w:rsid w:val="00117AEC"/>
    <w:rsid w:val="00122791"/>
    <w:rsid w:val="001242AF"/>
    <w:rsid w:val="0012758E"/>
    <w:rsid w:val="00163B64"/>
    <w:rsid w:val="0017297A"/>
    <w:rsid w:val="001955B1"/>
    <w:rsid w:val="001B59FD"/>
    <w:rsid w:val="001D079E"/>
    <w:rsid w:val="001D468A"/>
    <w:rsid w:val="00237810"/>
    <w:rsid w:val="002534D7"/>
    <w:rsid w:val="002732B3"/>
    <w:rsid w:val="0028269F"/>
    <w:rsid w:val="00292F89"/>
    <w:rsid w:val="002979F3"/>
    <w:rsid w:val="002C2995"/>
    <w:rsid w:val="002C5A52"/>
    <w:rsid w:val="003C2A19"/>
    <w:rsid w:val="003E0935"/>
    <w:rsid w:val="003E347D"/>
    <w:rsid w:val="003F3565"/>
    <w:rsid w:val="0041180E"/>
    <w:rsid w:val="00413B38"/>
    <w:rsid w:val="00426D0C"/>
    <w:rsid w:val="00426E64"/>
    <w:rsid w:val="00427A9C"/>
    <w:rsid w:val="00474342"/>
    <w:rsid w:val="00487349"/>
    <w:rsid w:val="004969A7"/>
    <w:rsid w:val="004A379A"/>
    <w:rsid w:val="004C4BE5"/>
    <w:rsid w:val="004D75DC"/>
    <w:rsid w:val="004D7DAE"/>
    <w:rsid w:val="00516768"/>
    <w:rsid w:val="0053384F"/>
    <w:rsid w:val="00543CF5"/>
    <w:rsid w:val="00556754"/>
    <w:rsid w:val="005859B2"/>
    <w:rsid w:val="005A1FC2"/>
    <w:rsid w:val="005C313E"/>
    <w:rsid w:val="005D4DB2"/>
    <w:rsid w:val="005E1264"/>
    <w:rsid w:val="00621E46"/>
    <w:rsid w:val="0069104F"/>
    <w:rsid w:val="00695F7D"/>
    <w:rsid w:val="006D776B"/>
    <w:rsid w:val="00703B1E"/>
    <w:rsid w:val="00712C0D"/>
    <w:rsid w:val="00723204"/>
    <w:rsid w:val="00765F86"/>
    <w:rsid w:val="007913AD"/>
    <w:rsid w:val="007F2373"/>
    <w:rsid w:val="008007B2"/>
    <w:rsid w:val="00804AE2"/>
    <w:rsid w:val="00861ABA"/>
    <w:rsid w:val="008674FB"/>
    <w:rsid w:val="008A1AFF"/>
    <w:rsid w:val="008C4CD3"/>
    <w:rsid w:val="009032E2"/>
    <w:rsid w:val="009305F2"/>
    <w:rsid w:val="0094091B"/>
    <w:rsid w:val="00940D8F"/>
    <w:rsid w:val="009837E3"/>
    <w:rsid w:val="009D280F"/>
    <w:rsid w:val="00A42ACD"/>
    <w:rsid w:val="00A50274"/>
    <w:rsid w:val="00A62D88"/>
    <w:rsid w:val="00A90015"/>
    <w:rsid w:val="00AB1C2B"/>
    <w:rsid w:val="00AC7A29"/>
    <w:rsid w:val="00AD0C15"/>
    <w:rsid w:val="00AE43D3"/>
    <w:rsid w:val="00B13824"/>
    <w:rsid w:val="00B651BE"/>
    <w:rsid w:val="00B76361"/>
    <w:rsid w:val="00BE040F"/>
    <w:rsid w:val="00BF395C"/>
    <w:rsid w:val="00BF70AE"/>
    <w:rsid w:val="00C048C3"/>
    <w:rsid w:val="00C117E5"/>
    <w:rsid w:val="00C13322"/>
    <w:rsid w:val="00C3587C"/>
    <w:rsid w:val="00C55358"/>
    <w:rsid w:val="00C572FF"/>
    <w:rsid w:val="00C73572"/>
    <w:rsid w:val="00C747DB"/>
    <w:rsid w:val="00CB288F"/>
    <w:rsid w:val="00CD68E3"/>
    <w:rsid w:val="00CE0F7C"/>
    <w:rsid w:val="00CE6870"/>
    <w:rsid w:val="00D039D3"/>
    <w:rsid w:val="00D24428"/>
    <w:rsid w:val="00D27761"/>
    <w:rsid w:val="00D33420"/>
    <w:rsid w:val="00D47D50"/>
    <w:rsid w:val="00D67EEE"/>
    <w:rsid w:val="00DA3A45"/>
    <w:rsid w:val="00DA6A17"/>
    <w:rsid w:val="00DD171E"/>
    <w:rsid w:val="00DD74A4"/>
    <w:rsid w:val="00E178D1"/>
    <w:rsid w:val="00E24AB3"/>
    <w:rsid w:val="00E529FF"/>
    <w:rsid w:val="00E56D1A"/>
    <w:rsid w:val="00E65655"/>
    <w:rsid w:val="00E71B73"/>
    <w:rsid w:val="00E91945"/>
    <w:rsid w:val="00EA0038"/>
    <w:rsid w:val="00F00668"/>
    <w:rsid w:val="00F03D12"/>
    <w:rsid w:val="00F30D8F"/>
    <w:rsid w:val="00F57D27"/>
    <w:rsid w:val="00F66C73"/>
    <w:rsid w:val="00F940FB"/>
    <w:rsid w:val="00F962DB"/>
    <w:rsid w:val="00FD6031"/>
    <w:rsid w:val="00FE2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DF37F"/>
  <w15:chartTrackingRefBased/>
  <w15:docId w15:val="{F607A059-12CE-41C3-8345-0F1A2929F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17A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7AEC"/>
    <w:rPr>
      <w:sz w:val="20"/>
      <w:szCs w:val="20"/>
    </w:rPr>
  </w:style>
  <w:style w:type="character" w:styleId="FootnoteReference">
    <w:name w:val="footnote reference"/>
    <w:basedOn w:val="DefaultParagraphFont"/>
    <w:uiPriority w:val="99"/>
    <w:semiHidden/>
    <w:unhideWhenUsed/>
    <w:rsid w:val="00117AEC"/>
    <w:rPr>
      <w:vertAlign w:val="superscript"/>
    </w:rPr>
  </w:style>
  <w:style w:type="paragraph" w:styleId="ListParagraph">
    <w:name w:val="List Paragraph"/>
    <w:basedOn w:val="Normal"/>
    <w:uiPriority w:val="34"/>
    <w:qFormat/>
    <w:rsid w:val="00BF70AE"/>
    <w:pPr>
      <w:ind w:left="720"/>
      <w:contextualSpacing/>
    </w:pPr>
  </w:style>
  <w:style w:type="character" w:styleId="Hyperlink">
    <w:name w:val="Hyperlink"/>
    <w:basedOn w:val="DefaultParagraphFont"/>
    <w:uiPriority w:val="99"/>
    <w:unhideWhenUsed/>
    <w:rsid w:val="00CE6870"/>
    <w:rPr>
      <w:color w:val="0563C1" w:themeColor="hyperlink"/>
      <w:u w:val="single"/>
    </w:rPr>
  </w:style>
  <w:style w:type="character" w:styleId="UnresolvedMention">
    <w:name w:val="Unresolved Mention"/>
    <w:basedOn w:val="DefaultParagraphFont"/>
    <w:uiPriority w:val="99"/>
    <w:semiHidden/>
    <w:unhideWhenUsed/>
    <w:rsid w:val="00CE6870"/>
    <w:rPr>
      <w:color w:val="605E5C"/>
      <w:shd w:val="clear" w:color="auto" w:fill="E1DFDD"/>
    </w:rPr>
  </w:style>
  <w:style w:type="character" w:styleId="FollowedHyperlink">
    <w:name w:val="FollowedHyperlink"/>
    <w:basedOn w:val="DefaultParagraphFont"/>
    <w:uiPriority w:val="99"/>
    <w:semiHidden/>
    <w:unhideWhenUsed/>
    <w:rsid w:val="00AE43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rtofcounting.com/2010/10/15/investigation-of-the-lappet-wig-as-royal-headgear-in-ancient-egypt-part-1/" TargetMode="Externa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www.artofcounting.com/2010/10/15/investigation-of-the-lappet-wig-as-royal-headgear-in-ancient-egypt-par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FBB8A-FF7F-416D-9E29-BA35A6C1B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3</Pages>
  <Words>1160</Words>
  <Characters>6614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Plunkett</dc:creator>
  <cp:keywords/>
  <dc:description/>
  <cp:lastModifiedBy>Jess Plunkett</cp:lastModifiedBy>
  <cp:revision>267</cp:revision>
  <dcterms:created xsi:type="dcterms:W3CDTF">2019-06-04T20:18:00Z</dcterms:created>
  <dcterms:modified xsi:type="dcterms:W3CDTF">2019-06-07T22:27:00Z</dcterms:modified>
</cp:coreProperties>
</file>