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793394D">
      <w:pPr>
        <w:jc w:val="center"/>
        <w:rPr>
          <w:rFonts w:hint="default" w:eastAsia="Heiti SC Light" w:cs="Times New Roman Regular" w:asciiTheme="minorAscii" w:hAnsiTheme="minorAscii"/>
          <w:b w:val="0"/>
          <w:bCs/>
          <w:sz w:val="22"/>
          <w:szCs w:val="22"/>
          <w:lang w:val="en-US" w:eastAsia="zh-CN"/>
        </w:rPr>
      </w:pPr>
      <w:r>
        <w:rPr>
          <w:rFonts w:hint="default" w:eastAsia="Heiti SC Light" w:cs="Times New Roman Regular" w:asciiTheme="minorAscii" w:hAnsiTheme="minorAscii"/>
          <w:b w:val="0"/>
          <w:bCs/>
          <w:sz w:val="22"/>
          <w:szCs w:val="22"/>
          <w:lang w:val="en-US" w:eastAsia="zh-CN"/>
        </w:rPr>
        <w:t>Exploring Community Cafeteria Service Design under the Community-Based Elderly Care Model in China</w:t>
      </w:r>
    </w:p>
    <w:p w14:paraId="06632E36">
      <w:pPr>
        <w:rPr>
          <w:rFonts w:hint="default" w:eastAsia="Heiti SC Light" w:cs="Times New Roman Regular" w:asciiTheme="minorAscii" w:hAnsiTheme="minorAscii"/>
          <w:b w:val="0"/>
          <w:bCs/>
          <w:sz w:val="18"/>
          <w:szCs w:val="18"/>
        </w:rPr>
      </w:pPr>
      <w:r>
        <w:rPr>
          <w:rFonts w:hint="default" w:eastAsia="Heiti SC Light" w:cs="Times New Roman Regular" w:asciiTheme="minorAscii" w:hAnsiTheme="minorAscii"/>
          <w:b w:val="0"/>
          <w:bCs/>
          <w:sz w:val="18"/>
          <w:szCs w:val="18"/>
          <w:lang w:val="en-US"/>
        </w:rPr>
        <w:t>A</w:t>
      </w:r>
      <w:r>
        <w:rPr>
          <w:rFonts w:hint="default" w:eastAsia="Heiti SC Light" w:cs="Times New Roman Regular" w:asciiTheme="minorAscii" w:hAnsiTheme="minorAscii"/>
          <w:b w:val="0"/>
          <w:bCs/>
          <w:sz w:val="18"/>
          <w:szCs w:val="18"/>
          <w:lang w:val="en-US" w:eastAsia="zh-CN"/>
        </w:rPr>
        <w:t>bstract：</w:t>
      </w:r>
      <w:r>
        <w:rPr>
          <w:rFonts w:hint="default" w:eastAsia="Heiti SC Light" w:cs="Times New Roman Regular" w:asciiTheme="minorAscii" w:hAnsiTheme="minorAscii"/>
          <w:b w:val="0"/>
          <w:bCs/>
          <w:sz w:val="18"/>
          <w:szCs w:val="18"/>
        </w:rPr>
        <w:t>This paper aims to develop an innovative cafeteria service framework tailored to the diverse needs of China's modern community-based elderly care model, ensuring the sustainable development of community cafeterias while enhancing service quality and residents' dining experiences. Initially, a literature review was conducted to analyze the current state of community cafeterias in China. Using service design methodologies, including user interviews and stakeholder analysis, the paper systematically identifies the issues and challenges faced by community cafeterias. The needs and expectations of community residents regarding cafeteria services were thoroughly understood, and detailed user journey maps were created. A community cafeteria service blueprint was developed, designing the cafeteria's operational model, spatial layout, and online-offline interaction processes. The newly designed cafeteria service system ensures sustainable operation and development, providing community residents with convenient, diverse dining options and an enjoyable dining experience</w:t>
      </w:r>
    </w:p>
    <w:p w14:paraId="72DAE3F3">
      <w:pPr>
        <w:rPr>
          <w:rFonts w:hint="default" w:eastAsia="Heiti SC Light" w:cs="Times New Roman Regular" w:asciiTheme="minorAscii" w:hAnsiTheme="minorAscii"/>
          <w:b w:val="0"/>
          <w:bCs/>
          <w:sz w:val="18"/>
          <w:szCs w:val="18"/>
          <w:lang w:val="en-US" w:eastAsia="zh-Hans"/>
        </w:rPr>
      </w:pPr>
      <w:r>
        <w:rPr>
          <w:rFonts w:hint="default" w:eastAsia="Heiti SC Light" w:cs="Times New Roman Regular" w:asciiTheme="minorAscii" w:hAnsiTheme="minorAscii"/>
          <w:b w:val="0"/>
          <w:bCs/>
          <w:sz w:val="18"/>
          <w:szCs w:val="18"/>
          <w:lang w:val="en-US" w:eastAsia="zh-Hans"/>
        </w:rPr>
        <w:t>Keywords: Home-based Elderly Care, Community Cafeterias, Service Design</w:t>
      </w:r>
    </w:p>
    <w:p w14:paraId="6BA8F1A0">
      <w:pPr>
        <w:keepNext w:val="0"/>
        <w:keepLines w:val="0"/>
        <w:widowControl/>
        <w:suppressLineNumbers w:val="0"/>
        <w:jc w:val="left"/>
        <w:rPr>
          <w:rFonts w:hint="eastAsia" w:asciiTheme="minorAscii" w:hAnsiTheme="minorAscii" w:eastAsiaTheme="minorEastAsia"/>
          <w:b w:val="0"/>
          <w:bCs/>
          <w:sz w:val="18"/>
          <w:szCs w:val="18"/>
          <w:lang w:val="en-US" w:eastAsia="zh-CN"/>
        </w:rPr>
      </w:pPr>
      <w:r>
        <w:rPr>
          <w:rFonts w:hint="eastAsia" w:asciiTheme="minorAscii" w:hAnsiTheme="minorAscii"/>
          <w:b w:val="0"/>
          <w:bCs/>
          <w:sz w:val="18"/>
          <w:szCs w:val="18"/>
          <w:lang w:val="en-US" w:eastAsia="zh-CN"/>
        </w:rPr>
        <w:t>1.</w:t>
      </w:r>
      <w:r>
        <w:rPr>
          <w:rFonts w:hint="default" w:asciiTheme="minorAscii" w:hAnsiTheme="minorAscii"/>
          <w:b w:val="0"/>
          <w:bCs/>
          <w:sz w:val="18"/>
          <w:szCs w:val="18"/>
          <w:lang w:val="en-US"/>
        </w:rPr>
        <w:t>B</w:t>
      </w:r>
      <w:r>
        <w:rPr>
          <w:rFonts w:hint="eastAsia" w:asciiTheme="minorAscii" w:hAnsiTheme="minorAscii"/>
          <w:b w:val="0"/>
          <w:bCs/>
          <w:sz w:val="18"/>
          <w:szCs w:val="18"/>
          <w:lang w:val="en-US" w:eastAsia="zh-CN"/>
        </w:rPr>
        <w:t>ackground</w:t>
      </w:r>
    </w:p>
    <w:p w14:paraId="206CB418">
      <w:pPr>
        <w:keepNext w:val="0"/>
        <w:keepLines w:val="0"/>
        <w:widowControl/>
        <w:suppressLineNumbers w:val="0"/>
        <w:ind w:left="0" w:leftChars="0" w:firstLine="419" w:firstLineChars="233"/>
        <w:jc w:val="left"/>
        <w:rPr>
          <w:rFonts w:hint="default" w:asciiTheme="minorAscii" w:hAnsiTheme="minorAscii"/>
          <w:b w:val="0"/>
          <w:bCs/>
          <w:sz w:val="18"/>
          <w:szCs w:val="18"/>
        </w:rPr>
      </w:pPr>
      <w:r>
        <w:rPr>
          <w:rFonts w:hint="default" w:asciiTheme="minorAscii" w:hAnsiTheme="minorAscii"/>
          <w:b w:val="0"/>
          <w:bCs/>
          <w:sz w:val="18"/>
          <w:szCs w:val="18"/>
        </w:rPr>
        <w:t>China is rapidly transitioning into an aging society, with the proportion of elderly</w:t>
      </w:r>
      <w:r>
        <w:rPr>
          <w:rFonts w:hint="default" w:asciiTheme="minorAscii" w:hAnsiTheme="minorAscii"/>
          <w:b w:val="0"/>
          <w:bCs/>
          <w:sz w:val="18"/>
          <w:szCs w:val="18"/>
          <w:lang w:val="en-US" w:eastAsia="zh-CN"/>
        </w:rPr>
        <w:t xml:space="preserve"> </w:t>
      </w:r>
      <w:r>
        <w:rPr>
          <w:rFonts w:hint="default" w:asciiTheme="minorAscii" w:hAnsiTheme="minorAscii"/>
          <w:b w:val="0"/>
          <w:bCs/>
          <w:sz w:val="18"/>
          <w:szCs w:val="18"/>
        </w:rPr>
        <w:t>individuals continually rising. Consequently, elderly care issues are increasingly becoming a focal point of societal concern. Unlike developed countries that have experienced decades or even over a century of aging processes, China faces the challenge of rapid aging in the context of a society that has not yet reached significant wealth levels</w:t>
      </w:r>
      <w:r>
        <w:rPr>
          <w:rFonts w:hint="default" w:eastAsia="宋体" w:cs="宋体" w:asciiTheme="minorAscii" w:hAnsiTheme="minorAscii"/>
          <w:b w:val="0"/>
          <w:bCs/>
          <w:kern w:val="0"/>
          <w:sz w:val="18"/>
          <w:szCs w:val="18"/>
          <w:vertAlign w:val="superscript"/>
          <w:lang w:val="en-US" w:eastAsia="zh-CN" w:bidi="ar"/>
        </w:rPr>
        <w:t>[1]</w:t>
      </w:r>
      <w:r>
        <w:rPr>
          <w:rFonts w:hint="default" w:asciiTheme="minorAscii" w:hAnsiTheme="minorAscii"/>
          <w:b w:val="0"/>
          <w:bCs/>
          <w:sz w:val="18"/>
          <w:szCs w:val="18"/>
        </w:rPr>
        <w:t>. Given the current situation in China, community-based home care services align with the elderly's preferences and are also a key area for the future development of urban socialized elderly care systems. This model will play a crucial role in meeting the service needs of the majority of urban elderly individuals</w:t>
      </w:r>
      <w:r>
        <w:rPr>
          <w:rFonts w:hint="default" w:eastAsia="宋体" w:cs="宋体" w:asciiTheme="minorAscii" w:hAnsiTheme="minorAscii"/>
          <w:b w:val="0"/>
          <w:bCs/>
          <w:kern w:val="0"/>
          <w:sz w:val="18"/>
          <w:szCs w:val="18"/>
          <w:vertAlign w:val="superscript"/>
          <w:lang w:val="en-US" w:eastAsia="zh-CN" w:bidi="ar"/>
        </w:rPr>
        <w:t>[2]</w:t>
      </w:r>
      <w:r>
        <w:rPr>
          <w:rFonts w:hint="default" w:asciiTheme="minorAscii" w:hAnsiTheme="minorAscii"/>
          <w:b w:val="0"/>
          <w:bCs/>
          <w:sz w:val="18"/>
          <w:szCs w:val="18"/>
        </w:rPr>
        <w:t>.Community-based home care primarily refers to providing necessary services such as daily living support, rehabilitation, and emotional comfort through community resources in the elderly’s familiar home environment</w:t>
      </w:r>
      <w:r>
        <w:rPr>
          <w:rFonts w:hint="default" w:eastAsia="宋体" w:cs="宋体" w:asciiTheme="minorAscii" w:hAnsiTheme="minorAscii"/>
          <w:b w:val="0"/>
          <w:bCs/>
          <w:kern w:val="0"/>
          <w:sz w:val="18"/>
          <w:szCs w:val="18"/>
          <w:vertAlign w:val="superscript"/>
          <w:lang w:val="en-US" w:eastAsia="zh-CN" w:bidi="ar"/>
        </w:rPr>
        <w:t>[3]</w:t>
      </w:r>
      <w:r>
        <w:rPr>
          <w:rFonts w:hint="default" w:asciiTheme="minorAscii" w:hAnsiTheme="minorAscii"/>
          <w:b w:val="0"/>
          <w:bCs/>
          <w:sz w:val="18"/>
          <w:szCs w:val="18"/>
        </w:rPr>
        <w:t>. As aging progresses, the pressure on the community-based home care model to meet service demands will increasingly rise.Particularly, there are notable challenges in the daily dietary needs of the elderly. According to a survey conducted by China's Ministry of Civil Affairs, in 2000, 3.4% of elderly individuals had difficulties with eating, 9.6% were unable to feed themselves, 8.4% had difficulties with cooking, and 19.9% were unable to cook for themselves</w:t>
      </w:r>
      <w:r>
        <w:rPr>
          <w:rFonts w:hint="default" w:eastAsia="宋体" w:cs="宋体" w:asciiTheme="minorAscii" w:hAnsiTheme="minorAscii"/>
          <w:b w:val="0"/>
          <w:bCs/>
          <w:kern w:val="0"/>
          <w:sz w:val="18"/>
          <w:szCs w:val="18"/>
          <w:vertAlign w:val="superscript"/>
          <w:lang w:val="en-US" w:eastAsia="zh-CN" w:bidi="ar"/>
        </w:rPr>
        <w:t>[4]</w:t>
      </w:r>
      <w:r>
        <w:rPr>
          <w:rFonts w:hint="default" w:asciiTheme="minorAscii" w:hAnsiTheme="minorAscii"/>
          <w:b w:val="0"/>
          <w:bCs/>
          <w:sz w:val="18"/>
          <w:szCs w:val="18"/>
        </w:rPr>
        <w:t>.</w:t>
      </w:r>
    </w:p>
    <w:p w14:paraId="29AB1EA7">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Indeed, the development of community-based home care services faces significant challenges, particularly concerning the daily dietary needs of the elderly. According to a 2014 survey by the China Aging Committee and Aging Research Center, 42.2% of elderly respondents expressed a strong need for improved meal services, with the highest demand among the elderly who are advanced in age, living alone, or disabled</w:t>
      </w:r>
      <w:r>
        <w:rPr>
          <w:rFonts w:hint="default" w:eastAsia="宋体" w:cs="宋体" w:asciiTheme="minorAscii" w:hAnsiTheme="minorAscii"/>
          <w:b w:val="0"/>
          <w:bCs/>
          <w:kern w:val="0"/>
          <w:sz w:val="18"/>
          <w:szCs w:val="18"/>
          <w:vertAlign w:val="superscript"/>
          <w:lang w:val="en-US" w:eastAsia="zh-CN" w:bidi="ar"/>
        </w:rPr>
        <w:t>[5]</w:t>
      </w:r>
      <w:r>
        <w:rPr>
          <w:rFonts w:hint="default" w:eastAsia="宋体" w:cs="宋体" w:asciiTheme="minorAscii" w:hAnsiTheme="minorAscii"/>
          <w:b w:val="0"/>
          <w:bCs/>
          <w:kern w:val="0"/>
          <w:sz w:val="18"/>
          <w:szCs w:val="18"/>
          <w:highlight w:val="none"/>
          <w:lang w:val="en-US" w:eastAsia="zh-CN" w:bidi="ar"/>
        </w:rPr>
        <w:t>.</w:t>
      </w:r>
      <w:r>
        <w:rPr>
          <w:rFonts w:hint="default" w:eastAsia="Heiti SC Light" w:cs="Times New Roman Light" w:asciiTheme="minorAscii" w:hAnsiTheme="minorAscii"/>
          <w:b w:val="0"/>
          <w:bCs/>
          <w:sz w:val="18"/>
          <w:szCs w:val="18"/>
          <w:highlight w:val="none"/>
          <w:lang w:val="en-US" w:eastAsia="zh-Hans"/>
        </w:rPr>
        <w:t>In the realm of elderly care, daily meal needs are indeed a top priority. To address this issue, the Ministry of Housing and Urban-Rural Development and the Ministry of Civil Affairs jointly issued a notice to promote the establishment of community canteens. This initiative has led to widespread policy support across the country, including subsidies for restaurant operations. The popularity of community canteens has surged due to their affordability and positive public reception. The concept of community canteens, originating from elder dining halls, has been implemented nationwide for years, with the first community elderly canteen established in 2003 in Hangzhou's Cuiyuan District</w:t>
      </w:r>
      <w:r>
        <w:rPr>
          <w:rFonts w:hint="default" w:eastAsia="宋体" w:cs="宋体" w:asciiTheme="minorAscii" w:hAnsiTheme="minorAscii"/>
          <w:b w:val="0"/>
          <w:bCs/>
          <w:kern w:val="0"/>
          <w:sz w:val="18"/>
          <w:szCs w:val="18"/>
          <w:vertAlign w:val="superscript"/>
          <w:lang w:val="en-US" w:eastAsia="zh-CN" w:bidi="ar"/>
        </w:rPr>
        <w:t>[6]</w:t>
      </w:r>
      <w:r>
        <w:rPr>
          <w:rFonts w:hint="default" w:eastAsia="Heiti SC Light" w:cs="Times New Roman Light" w:asciiTheme="minorAscii" w:hAnsiTheme="minorAscii"/>
          <w:b w:val="0"/>
          <w:bCs/>
          <w:sz w:val="18"/>
          <w:szCs w:val="18"/>
          <w:highlight w:val="none"/>
          <w:lang w:val="en-US" w:eastAsia="zh-Hans"/>
        </w:rPr>
        <w:t>. Traditionally, elderly canteens were government-run and provided basic food services. However, current community canteens adapt to local needs with varied construction and operation models. For instance, in Shanghai, a successful initiative started in 2007 involved collaboration between local streets and university logistics departments to open community canteens to nearby residents, demonstrating effective results</w:t>
      </w:r>
      <w:r>
        <w:rPr>
          <w:rFonts w:hint="default" w:eastAsia="宋体" w:cs="宋体" w:asciiTheme="minorAscii" w:hAnsiTheme="minorAscii"/>
          <w:b w:val="0"/>
          <w:bCs/>
          <w:kern w:val="0"/>
          <w:sz w:val="18"/>
          <w:szCs w:val="18"/>
          <w:vertAlign w:val="superscript"/>
          <w:lang w:val="en-US" w:eastAsia="zh-CN" w:bidi="ar"/>
        </w:rPr>
        <w:t>[7]</w:t>
      </w:r>
      <w:r>
        <w:rPr>
          <w:rFonts w:hint="default" w:eastAsia="Heiti SC Light" w:cs="Times New Roman Light" w:asciiTheme="minorAscii" w:hAnsiTheme="minorAscii"/>
          <w:b w:val="0"/>
          <w:bCs/>
          <w:sz w:val="18"/>
          <w:szCs w:val="18"/>
          <w:highlight w:val="none"/>
          <w:lang w:val="en-US" w:eastAsia="zh-Hans"/>
        </w:rPr>
        <w:t>.</w:t>
      </w:r>
      <w:r>
        <w:rPr>
          <w:rFonts w:hint="default" w:eastAsia="宋体" w:cs="宋体" w:asciiTheme="minorAscii" w:hAnsiTheme="minorAscii"/>
          <w:b w:val="0"/>
          <w:bCs/>
          <w:kern w:val="0"/>
          <w:sz w:val="18"/>
          <w:szCs w:val="18"/>
          <w:highlight w:val="none"/>
          <w:lang w:val="en-US" w:eastAsia="zh-CN" w:bidi="ar"/>
        </w:rPr>
        <w:t>In 2008, Shanghai established dedicated elderly meal service points to advance community-based home care services. By 2019, these community elderly meal service projects were again included as key livelihood projects by the Shanghai municipal government, highlighting their continued importance and support</w:t>
      </w:r>
      <w:r>
        <w:rPr>
          <w:rFonts w:hint="default" w:eastAsia="宋体" w:cs="宋体" w:asciiTheme="minorAscii" w:hAnsiTheme="minorAscii"/>
          <w:b w:val="0"/>
          <w:bCs/>
          <w:kern w:val="0"/>
          <w:sz w:val="18"/>
          <w:szCs w:val="18"/>
          <w:vertAlign w:val="superscript"/>
          <w:lang w:val="en-US" w:eastAsia="zh-CN" w:bidi="ar"/>
        </w:rPr>
        <w:t>[8]</w:t>
      </w:r>
      <w:r>
        <w:rPr>
          <w:rFonts w:hint="default" w:eastAsia="宋体" w:cs="宋体" w:asciiTheme="minorAscii" w:hAnsiTheme="minorAscii"/>
          <w:b w:val="0"/>
          <w:bCs/>
          <w:kern w:val="0"/>
          <w:sz w:val="18"/>
          <w:szCs w:val="18"/>
          <w:highlight w:val="none"/>
          <w:lang w:val="en-US" w:eastAsia="zh-CN" w:bidi="ar"/>
        </w:rPr>
        <w:t>.</w:t>
      </w:r>
      <w:r>
        <w:rPr>
          <w:rFonts w:hint="default" w:asciiTheme="minorAscii" w:hAnsiTheme="minorAscii"/>
          <w:b w:val="0"/>
          <w:bCs/>
          <w:sz w:val="18"/>
          <w:szCs w:val="18"/>
        </w:rPr>
        <w:t>Between 2010 and 2011, certain districts in Beijing collaborated with nearby government agencies to open internal canteens, activity spaces, and facilities to local residents. This initiative aimed to share resources between social units and communities, fostering greater cooperation and accessibility</w:t>
      </w:r>
      <w:r>
        <w:rPr>
          <w:rFonts w:hint="default" w:eastAsia="宋体" w:cs="宋体" w:asciiTheme="minorAscii" w:hAnsiTheme="minorAscii"/>
          <w:b w:val="0"/>
          <w:bCs/>
          <w:kern w:val="0"/>
          <w:sz w:val="18"/>
          <w:szCs w:val="18"/>
          <w:vertAlign w:val="superscript"/>
          <w:lang w:val="en-US" w:eastAsia="zh-CN" w:bidi="ar"/>
        </w:rPr>
        <w:t>[9]</w:t>
      </w:r>
      <w:r>
        <w:rPr>
          <w:rFonts w:hint="default" w:eastAsia="宋体" w:cs="宋体" w:asciiTheme="minorAscii" w:hAnsiTheme="minorAscii"/>
          <w:b w:val="0"/>
          <w:bCs/>
          <w:kern w:val="0"/>
          <w:sz w:val="18"/>
          <w:szCs w:val="18"/>
          <w:highlight w:val="none"/>
          <w:lang w:val="en-US" w:eastAsia="zh-CN" w:bidi="ar"/>
        </w:rPr>
        <w:t>.In Ningbo's Jiangbei District, Kongpu Street's Green Plum Community, with its aging facilities and predominantly elderly residents, established the Mei Man · Ji Xiang Silver Age Center. This center focuses on elderly meal assistance and provides a one-stop solution for the daily needs of senior residents</w:t>
      </w:r>
      <w:r>
        <w:rPr>
          <w:rFonts w:hint="default" w:eastAsia="宋体" w:cs="宋体" w:asciiTheme="minorAscii" w:hAnsiTheme="minorAscii"/>
          <w:b w:val="0"/>
          <w:bCs/>
          <w:kern w:val="0"/>
          <w:sz w:val="18"/>
          <w:szCs w:val="18"/>
          <w:vertAlign w:val="superscript"/>
          <w:lang w:val="en-US" w:eastAsia="zh-CN" w:bidi="ar"/>
        </w:rPr>
        <w:t>[10]</w:t>
      </w:r>
      <w:r>
        <w:rPr>
          <w:rFonts w:hint="default" w:eastAsia="宋体" w:cs="宋体" w:asciiTheme="minorAscii" w:hAnsiTheme="minorAscii"/>
          <w:b w:val="0"/>
          <w:bCs/>
          <w:kern w:val="0"/>
          <w:sz w:val="18"/>
          <w:szCs w:val="18"/>
          <w:lang w:val="en-US" w:eastAsia="zh-CN" w:bidi="ar"/>
        </w:rPr>
        <w:t>.</w:t>
      </w:r>
      <w:r>
        <w:rPr>
          <w:rFonts w:hint="default" w:eastAsia="宋体" w:cs="宋体" w:asciiTheme="minorAscii" w:hAnsiTheme="minorAscii"/>
          <w:b w:val="0"/>
          <w:bCs/>
          <w:kern w:val="0"/>
          <w:sz w:val="18"/>
          <w:szCs w:val="18"/>
          <w:highlight w:val="none"/>
          <w:lang w:val="en-US" w:eastAsia="zh-CN" w:bidi="ar"/>
        </w:rPr>
        <w:t>In Fengtai County, Anhui Province, the extension of meal service hours at elderly meal points has allowed these centers to also serve as venues for cultural and recreational activities for seniors, thereby enriching their spiritual lives. In Wuxi, Jiangsu Province, a multi-channel funding mechanism for community canteens has been established, involving contributions from the government, charitable donations, businesses, and individuals.In Taiyuan, community canteens are being built through new constructions, partnerships with enterprises, and revitalization of idle properties. After completion, various operational entities are encouraged to participate in the management of these canteens, with the government providing appropriate subsidies</w:t>
      </w:r>
      <w:r>
        <w:rPr>
          <w:rFonts w:hint="default" w:eastAsia="宋体" w:cs="宋体" w:asciiTheme="minorAscii" w:hAnsiTheme="minorAscii"/>
          <w:b w:val="0"/>
          <w:bCs/>
          <w:kern w:val="0"/>
          <w:sz w:val="18"/>
          <w:szCs w:val="18"/>
          <w:vertAlign w:val="superscript"/>
          <w:lang w:val="en-US" w:eastAsia="zh-CN" w:bidi="ar"/>
        </w:rPr>
        <w:t>[11]</w:t>
      </w:r>
      <w:r>
        <w:rPr>
          <w:rFonts w:hint="default" w:eastAsia="宋体" w:cs="宋体" w:asciiTheme="minorAscii" w:hAnsiTheme="minorAscii"/>
          <w:b w:val="0"/>
          <w:bCs/>
          <w:kern w:val="0"/>
          <w:sz w:val="18"/>
          <w:szCs w:val="18"/>
          <w:highlight w:val="none"/>
          <w:lang w:val="en-US" w:eastAsia="zh-CN" w:bidi="ar"/>
        </w:rPr>
        <w:t xml:space="preserve">. </w:t>
      </w:r>
    </w:p>
    <w:p w14:paraId="335C0059">
      <w:pPr>
        <w:keepNext w:val="0"/>
        <w:keepLines w:val="0"/>
        <w:widowControl/>
        <w:suppressLineNumbers w:val="0"/>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2.Problem</w:t>
      </w:r>
    </w:p>
    <w:p w14:paraId="76EAF12C">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Despite these efforts, community canteens across different regions face similar challenges and difficulties in their operations：</w:t>
      </w:r>
    </w:p>
    <w:p w14:paraId="1403A1AB">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1)Customer Satisfaction Issues</w:t>
      </w:r>
    </w:p>
    <w:p w14:paraId="2DDDDB8B">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 xml:space="preserve">One of the primary problems faced by community canteens is the neglect of the clientele's experience and the general poor quality of service. In </w:t>
      </w:r>
      <w:r>
        <w:rPr>
          <w:rFonts w:hint="default" w:eastAsia="宋体" w:cs="宋体" w:asciiTheme="minorAscii" w:hAnsiTheme="minorAscii"/>
          <w:b w:val="0"/>
          <w:bCs/>
          <w:kern w:val="0"/>
          <w:sz w:val="18"/>
          <w:szCs w:val="18"/>
          <w:lang w:val="en-US" w:eastAsia="zh-CN" w:bidi="ar"/>
        </w:rPr>
        <w:t>Ma</w:t>
      </w:r>
      <w:r>
        <w:rPr>
          <w:rFonts w:hint="default" w:eastAsia="宋体" w:cs="宋体" w:asciiTheme="minorAscii" w:hAnsiTheme="minorAscii"/>
          <w:b w:val="0"/>
          <w:bCs/>
          <w:kern w:val="0"/>
          <w:sz w:val="18"/>
          <w:szCs w:val="18"/>
          <w:highlight w:val="none"/>
          <w:lang w:val="en-US" w:eastAsia="zh-CN" w:bidi="ar"/>
        </w:rPr>
        <w:t>'s study, the percentage of elderly people who were satisfied with the number, distance and service of community canteens was less than 60%</w:t>
      </w:r>
      <w:r>
        <w:rPr>
          <w:rFonts w:hint="default" w:eastAsia="宋体" w:cs="宋体" w:asciiTheme="minorAscii" w:hAnsiTheme="minorAscii"/>
          <w:b w:val="0"/>
          <w:bCs/>
          <w:kern w:val="0"/>
          <w:sz w:val="18"/>
          <w:szCs w:val="18"/>
          <w:vertAlign w:val="superscript"/>
          <w:lang w:val="en-US" w:eastAsia="zh-CN" w:bidi="ar"/>
        </w:rPr>
        <w:t>[12]</w:t>
      </w:r>
      <w:r>
        <w:rPr>
          <w:rFonts w:hint="default" w:eastAsia="宋体" w:cs="宋体" w:asciiTheme="minorAscii" w:hAnsiTheme="minorAscii"/>
          <w:b w:val="0"/>
          <w:bCs/>
          <w:kern w:val="0"/>
          <w:sz w:val="18"/>
          <w:szCs w:val="18"/>
          <w:highlight w:val="none"/>
          <w:lang w:val="en-US" w:eastAsia="zh-CN" w:bidi="ar"/>
        </w:rPr>
        <w:t>. Many community cafeterias face service-related issues such as insufficient understanding of customer needs, low levels of automation, and inadequate quality of service personnel. This results in services that fail to meet customer expectations. Additionally, the food served in these cafeterias is often too bland and does not align with the taste preferences of younger customers, making it difficult to attract and retain repeat visitors. These factors collectively impact overall customer satisfaction and the long-term operational effectiveness of the cafeterias.</w:t>
      </w:r>
    </w:p>
    <w:p w14:paraId="54CBC035">
      <w:pPr>
        <w:ind w:left="0" w:leftChars="0" w:firstLine="419" w:firstLineChars="233"/>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2) Management and Efficiency Problems</w:t>
      </w:r>
    </w:p>
    <w:p w14:paraId="7B41E14E">
      <w:pPr>
        <w:ind w:left="0" w:leftChars="0" w:firstLine="419" w:firstLineChars="233"/>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There are many problems with the current management of community canteens, including the lack of clear assessment standards and inefficient operation. Due to poor management, resources are often wasted, increasing the cost burden of operation. In addition, the specialized training of canteen staff is insufficient, resulting in the inability to effectively improve the quality of service, thus affecting the overall management efficiency and operation quality of the canteens.</w:t>
      </w:r>
    </w:p>
    <w:p w14:paraId="62391D07">
      <w:pPr>
        <w:ind w:left="0" w:leftChars="0" w:firstLine="419" w:firstLineChars="233"/>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3) Economic and financial problems</w:t>
      </w:r>
    </w:p>
    <w:p w14:paraId="143A8641">
      <w:pPr>
        <w:ind w:left="0" w:leftChars="0" w:firstLine="419" w:firstLineChars="233"/>
        <w:rPr>
          <w:rFonts w:hint="default" w:eastAsia="宋体" w:cs="宋体" w:asciiTheme="minorAscii" w:hAnsiTheme="minorAscii"/>
          <w:b w:val="0"/>
          <w:bCs/>
          <w:kern w:val="0"/>
          <w:sz w:val="18"/>
          <w:szCs w:val="18"/>
          <w:highlight w:val="none"/>
          <w:lang w:val="en-US" w:eastAsia="zh-Hans" w:bidi="ar"/>
        </w:rPr>
      </w:pPr>
      <w:r>
        <w:rPr>
          <w:rFonts w:hint="default" w:eastAsia="宋体" w:cs="宋体" w:asciiTheme="minorAscii" w:hAnsiTheme="minorAscii"/>
          <w:b w:val="0"/>
          <w:bCs/>
          <w:kern w:val="0"/>
          <w:sz w:val="18"/>
          <w:szCs w:val="18"/>
          <w:highlight w:val="none"/>
          <w:lang w:val="en-US" w:eastAsia="zh-CN" w:bidi="ar"/>
        </w:rPr>
        <w:t>The economic problems faced by community canteens are mainly manifested in the imbalance between high capital investment and long-term return cycle. Many private enterprises are reluctant to participate in community canteens, partly because the high capital investment and long return cycle make it difficult to meet their business profit expectations. In addition, over-reliance on government subsidies also makes the economic operation of canteens insufficiently self-sufficient and lacks a basis for sustainable development</w:t>
      </w:r>
      <w:r>
        <w:rPr>
          <w:rFonts w:hint="default" w:eastAsia="宋体" w:cs="宋体" w:asciiTheme="minorAscii" w:hAnsiTheme="minorAscii"/>
          <w:b w:val="0"/>
          <w:bCs/>
          <w:kern w:val="0"/>
          <w:sz w:val="18"/>
          <w:szCs w:val="18"/>
          <w:vertAlign w:val="superscript"/>
          <w:lang w:val="en-US" w:eastAsia="zh-CN" w:bidi="ar"/>
        </w:rPr>
        <w:t>[13]</w:t>
      </w:r>
      <w:r>
        <w:rPr>
          <w:rFonts w:hint="default" w:eastAsia="宋体" w:cs="宋体" w:asciiTheme="minorAscii" w:hAnsiTheme="minorAscii"/>
          <w:b w:val="0"/>
          <w:bCs/>
          <w:kern w:val="0"/>
          <w:sz w:val="18"/>
          <w:szCs w:val="18"/>
          <w:highlight w:val="none"/>
          <w:lang w:val="en-US" w:eastAsia="zh-CN" w:bidi="ar"/>
        </w:rPr>
        <w:t>.</w:t>
      </w:r>
    </w:p>
    <w:p w14:paraId="363F4EA7">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4)Insufficient Policies and Support</w:t>
      </w:r>
    </w:p>
    <w:p w14:paraId="1D4C5739">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Currently, community cafeterias face a lack of adequate policy support and incentive measures. The absence of substantial support policies and guiding principles has made it difficult for these cafeterias to stand out in the market competition and has not effectively improved their service quality and operational efficiency. Additionally, the shortcomings in government evaluation and regulatory mechanisms have led to inadequate assurance of food safety and hygiene in some cafeterias, further impacting public trust and willingness to choose these establishments</w:t>
      </w:r>
      <w:r>
        <w:rPr>
          <w:rFonts w:hint="default" w:eastAsia="宋体" w:cs="宋体" w:asciiTheme="minorAscii" w:hAnsiTheme="minorAscii"/>
          <w:b w:val="0"/>
          <w:bCs/>
          <w:kern w:val="0"/>
          <w:sz w:val="18"/>
          <w:szCs w:val="18"/>
          <w:vertAlign w:val="superscript"/>
          <w:lang w:val="en-US" w:eastAsia="zh-CN" w:bidi="ar"/>
        </w:rPr>
        <w:t>[14]</w:t>
      </w:r>
      <w:r>
        <w:rPr>
          <w:rFonts w:hint="default" w:eastAsia="宋体" w:cs="宋体" w:asciiTheme="minorAscii" w:hAnsiTheme="minorAscii"/>
          <w:b w:val="0"/>
          <w:bCs/>
          <w:kern w:val="0"/>
          <w:sz w:val="18"/>
          <w:szCs w:val="18"/>
          <w:highlight w:val="none"/>
          <w:lang w:val="en-US" w:eastAsia="zh-CN" w:bidi="ar"/>
        </w:rPr>
        <w:t>.</w:t>
      </w:r>
    </w:p>
    <w:p w14:paraId="0B291F8E">
      <w:pPr>
        <w:keepNext w:val="0"/>
        <w:keepLines w:val="0"/>
        <w:widowControl/>
        <w:suppressLineNumbers w:val="0"/>
        <w:ind w:left="0" w:leftChars="0" w:firstLine="419" w:firstLineChars="233"/>
        <w:jc w:val="left"/>
        <w:rPr>
          <w:rFonts w:hint="default" w:asciiTheme="minorAscii" w:hAnsiTheme="minorAscii"/>
          <w:b w:val="0"/>
          <w:bCs/>
          <w:sz w:val="18"/>
          <w:szCs w:val="18"/>
          <w:lang w:val="en-US" w:eastAsia="zh-CN"/>
        </w:rPr>
      </w:pPr>
      <w:r>
        <w:rPr>
          <w:rFonts w:hint="default" w:asciiTheme="minorAscii" w:hAnsiTheme="minorAscii"/>
          <w:b w:val="0"/>
          <w:bCs/>
          <w:sz w:val="18"/>
          <w:szCs w:val="18"/>
          <w:lang w:val="en-US" w:eastAsia="zh-CN"/>
        </w:rPr>
        <w:t>5) Cafeteria Data Problems</w:t>
      </w:r>
    </w:p>
    <w:p w14:paraId="36014890">
      <w:pPr>
        <w:keepNext w:val="0"/>
        <w:keepLines w:val="0"/>
        <w:widowControl/>
        <w:suppressLineNumbers w:val="0"/>
        <w:ind w:left="0" w:leftChars="0" w:firstLine="419" w:firstLineChars="233"/>
        <w:jc w:val="left"/>
        <w:rPr>
          <w:rFonts w:hint="default" w:asciiTheme="minorAscii" w:hAnsiTheme="minorAscii"/>
          <w:b w:val="0"/>
          <w:bCs/>
          <w:sz w:val="18"/>
          <w:szCs w:val="18"/>
        </w:rPr>
      </w:pPr>
      <w:r>
        <w:rPr>
          <w:rFonts w:hint="default" w:asciiTheme="minorAscii" w:hAnsiTheme="minorAscii"/>
          <w:b w:val="0"/>
          <w:bCs/>
          <w:sz w:val="18"/>
          <w:szCs w:val="18"/>
          <w:lang w:val="en-US" w:eastAsia="zh-CN"/>
        </w:rPr>
        <w:t>The current community canteens lack of data collection and statistics on their own business conditions and nutritional intake of food for the elderly, the relevant data collection it can enhance the accuracy of big data and social resources interoperability, thus enhancing the tracking records of the health status of the elderly, and the establishment of health records for the elderly can also provide the corresponding risk assessment of health hazards.</w:t>
      </w:r>
    </w:p>
    <w:p w14:paraId="13519299">
      <w:pPr>
        <w:keepNext w:val="0"/>
        <w:keepLines w:val="0"/>
        <w:widowControl/>
        <w:suppressLineNumbers w:val="0"/>
        <w:ind w:left="0" w:leftChars="0" w:firstLine="419" w:firstLineChars="233"/>
        <w:jc w:val="left"/>
        <w:rPr>
          <w:rFonts w:hint="default" w:asciiTheme="minorAscii" w:hAnsiTheme="minorAscii"/>
          <w:b w:val="0"/>
          <w:bCs/>
          <w:sz w:val="18"/>
          <w:szCs w:val="18"/>
          <w:lang w:val="en-US" w:eastAsia="zh-CN"/>
        </w:rPr>
      </w:pPr>
      <w:r>
        <w:rPr>
          <w:rFonts w:hint="default" w:asciiTheme="minorAscii" w:hAnsiTheme="minorAscii"/>
          <w:b w:val="0"/>
          <w:bCs/>
          <w:sz w:val="18"/>
          <w:szCs w:val="18"/>
          <w:lang w:val="en-US" w:eastAsia="zh-CN"/>
        </w:rPr>
        <w:t>6) Lack of Professionals</w:t>
      </w:r>
    </w:p>
    <w:p w14:paraId="0B6EA00D">
      <w:pPr>
        <w:keepNext w:val="0"/>
        <w:keepLines w:val="0"/>
        <w:widowControl/>
        <w:suppressLineNumbers w:val="0"/>
        <w:ind w:left="0" w:leftChars="0" w:firstLine="419" w:firstLineChars="233"/>
        <w:jc w:val="left"/>
        <w:rPr>
          <w:rFonts w:hint="default" w:asciiTheme="minorAscii" w:hAnsiTheme="minorAscii" w:eastAsiaTheme="minorEastAsia"/>
          <w:b w:val="0"/>
          <w:bCs/>
          <w:sz w:val="18"/>
          <w:szCs w:val="18"/>
          <w:lang w:val="en-US" w:eastAsia="zh-CN"/>
        </w:rPr>
      </w:pPr>
      <w:r>
        <w:rPr>
          <w:rFonts w:hint="default" w:asciiTheme="minorAscii" w:hAnsiTheme="minorAscii"/>
          <w:b w:val="0"/>
          <w:bCs/>
          <w:sz w:val="18"/>
          <w:szCs w:val="18"/>
          <w:lang w:val="en-US" w:eastAsia="zh-CN"/>
        </w:rPr>
        <w:t>Community canteen staff generally lack of specialized experience and skills, which directly affects the quality of canteen services and management efficiency, it is difficult to update the elderly dining feedback to improve meal assistance services, as well as according to the physical condition of the elderly and the seasonal characteristics of the development of appropriate recipes, the lack of professional support, so that the canteen in the face of the complexity of the operating environment and the demand for services appear to be incompetent</w:t>
      </w:r>
      <w:r>
        <w:rPr>
          <w:rFonts w:hint="default" w:eastAsia="宋体" w:cs="宋体" w:asciiTheme="minorAscii" w:hAnsiTheme="minorAscii"/>
          <w:b w:val="0"/>
          <w:bCs/>
          <w:kern w:val="0"/>
          <w:sz w:val="18"/>
          <w:szCs w:val="18"/>
          <w:vertAlign w:val="superscript"/>
          <w:lang w:val="en-US" w:eastAsia="zh-CN" w:bidi="ar"/>
        </w:rPr>
        <w:t>[15]</w:t>
      </w:r>
      <w:r>
        <w:rPr>
          <w:rFonts w:hint="default" w:asciiTheme="minorAscii" w:hAnsiTheme="minorAscii"/>
          <w:b w:val="0"/>
          <w:bCs/>
          <w:sz w:val="18"/>
          <w:szCs w:val="18"/>
          <w:lang w:val="en-US" w:eastAsia="zh-CN"/>
        </w:rPr>
        <w:t>.</w:t>
      </w:r>
    </w:p>
    <w:p w14:paraId="7BEB8EDF">
      <w:pPr>
        <w:ind w:left="0" w:leftChars="0" w:firstLine="419" w:firstLineChars="233"/>
        <w:rPr>
          <w:rFonts w:hint="default" w:asciiTheme="minorAscii" w:hAnsiTheme="minorAscii"/>
          <w:b w:val="0"/>
          <w:bCs/>
          <w:sz w:val="18"/>
          <w:szCs w:val="18"/>
        </w:rPr>
      </w:pPr>
      <w:r>
        <w:rPr>
          <w:rFonts w:hint="default" w:asciiTheme="minorAscii" w:hAnsiTheme="minorAscii"/>
          <w:b w:val="0"/>
          <w:bCs/>
          <w:sz w:val="18"/>
          <w:szCs w:val="18"/>
        </w:rPr>
        <w:t>Therefore, how to effectively improve and enhance the operation and service levels of community canteens to ensure they can consistently and reliably provide high-quality, safe, and dependable dining services for the elderly is a pressing issue that needs to be addressed.</w:t>
      </w:r>
    </w:p>
    <w:p w14:paraId="47C146A8">
      <w:pPr>
        <w:rPr>
          <w:rFonts w:hint="default" w:asciiTheme="minorAscii" w:hAnsiTheme="minorAscii"/>
          <w:b w:val="0"/>
          <w:bCs/>
          <w:sz w:val="18"/>
          <w:szCs w:val="18"/>
          <w:lang w:val="en-US"/>
        </w:rPr>
      </w:pPr>
      <w:r>
        <w:rPr>
          <w:rFonts w:hint="default" w:asciiTheme="minorAscii" w:hAnsiTheme="minorAscii"/>
          <w:b w:val="0"/>
          <w:bCs/>
          <w:sz w:val="18"/>
          <w:szCs w:val="18"/>
          <w:lang w:val="en-US"/>
        </w:rPr>
        <w:t>3.Foreign studies</w:t>
      </w:r>
    </w:p>
    <w:p w14:paraId="5352983E">
      <w:pPr>
        <w:ind w:left="0" w:leftChars="0" w:firstLine="419" w:firstLineChars="233"/>
        <w:rPr>
          <w:rFonts w:hint="default" w:asciiTheme="minorAscii" w:hAnsiTheme="minorAscii"/>
          <w:b w:val="0"/>
          <w:bCs/>
          <w:sz w:val="18"/>
          <w:szCs w:val="18"/>
        </w:rPr>
      </w:pPr>
      <w:r>
        <w:rPr>
          <w:rFonts w:hint="default" w:asciiTheme="minorAscii" w:hAnsiTheme="minorAscii"/>
          <w:b w:val="0"/>
          <w:bCs/>
          <w:sz w:val="18"/>
          <w:szCs w:val="18"/>
        </w:rPr>
        <w:t>Globally, the problem of ageing is becoming more and more serious, and developed countries have developed a relatively comprehensive system of elderly services and social welfare due to their higher level of economic development. Take the United Kingdom, Sweden and the United States as examples.</w:t>
      </w:r>
    </w:p>
    <w:p w14:paraId="64D97740">
      <w:pPr>
        <w:ind w:left="0" w:leftChars="0" w:firstLine="419" w:firstLineChars="233"/>
        <w:rPr>
          <w:rFonts w:hint="default" w:asciiTheme="minorAscii" w:hAnsiTheme="minorAscii"/>
          <w:b w:val="0"/>
          <w:bCs/>
          <w:sz w:val="18"/>
          <w:szCs w:val="18"/>
        </w:rPr>
      </w:pPr>
      <w:r>
        <w:rPr>
          <w:rFonts w:hint="default" w:asciiTheme="minorAscii" w:hAnsiTheme="minorAscii"/>
          <w:b w:val="0"/>
          <w:bCs/>
          <w:sz w:val="18"/>
          <w:szCs w:val="18"/>
        </w:rPr>
        <w:t>Community Care Model in the United Kingdom</w:t>
      </w:r>
    </w:p>
    <w:p w14:paraId="1C66F4F1">
      <w:pPr>
        <w:ind w:left="0" w:leftChars="0" w:firstLine="419" w:firstLineChars="233"/>
        <w:rPr>
          <w:rFonts w:hint="default" w:asciiTheme="minorAscii" w:hAnsiTheme="minorAscii"/>
          <w:b w:val="0"/>
          <w:bCs/>
          <w:sz w:val="18"/>
          <w:szCs w:val="18"/>
        </w:rPr>
      </w:pPr>
      <w:r>
        <w:rPr>
          <w:rFonts w:hint="default" w:asciiTheme="minorAscii" w:hAnsiTheme="minorAscii"/>
          <w:b w:val="0"/>
          <w:bCs/>
          <w:sz w:val="18"/>
          <w:szCs w:val="18"/>
        </w:rPr>
        <w:t>In the 1950s, the health department of the United Kingdom put forward the concept of “the best place to take care of the elderly is their own home”, which laid the foundation for the subsequent model of elderly services. After years of practice, the “community care” model has been fully implemented in the UK. Under this model, meal assistance service has become an important part of elderly care. Home care workers come to the homes of the elderly to assist them in meal preparation and feeding, and they are also responsible for purchasing and stocking food. Although the service time is limited, studies have shown that extending the service time, strengthening the training of care workers and helping older people to choose their preferred food can significantly improve their sense of fulfillment and reduce loneliness and social isolation. This model, which focuses on respecting the individual needs of the elderly and strives to improve service quality and professionalism, is a major highlight of elderly care services in the United Kingdom.</w:t>
      </w:r>
    </w:p>
    <w:p w14:paraId="7F810892">
      <w:pPr>
        <w:ind w:left="0" w:leftChars="0" w:firstLine="419" w:firstLineChars="233"/>
        <w:rPr>
          <w:rFonts w:hint="default" w:asciiTheme="minorAscii" w:hAnsiTheme="minorAscii"/>
          <w:b w:val="0"/>
          <w:bCs/>
          <w:sz w:val="18"/>
          <w:szCs w:val="18"/>
        </w:rPr>
      </w:pPr>
      <w:r>
        <w:rPr>
          <w:rFonts w:hint="default" w:asciiTheme="minorAscii" w:hAnsiTheme="minorAscii"/>
          <w:b w:val="0"/>
          <w:bCs/>
          <w:sz w:val="18"/>
          <w:szCs w:val="18"/>
        </w:rPr>
        <w:t>Flexible Meal Assistance Service in Sweden</w:t>
      </w:r>
    </w:p>
    <w:p w14:paraId="797D3C21">
      <w:pPr>
        <w:ind w:left="0" w:leftChars="0" w:firstLine="419" w:firstLineChars="233"/>
        <w:rPr>
          <w:rFonts w:hint="default" w:asciiTheme="minorAscii" w:hAnsiTheme="minorAscii"/>
          <w:b w:val="0"/>
          <w:bCs/>
          <w:sz w:val="18"/>
          <w:szCs w:val="18"/>
        </w:rPr>
      </w:pPr>
      <w:r>
        <w:rPr>
          <w:rFonts w:hint="default" w:asciiTheme="minorAscii" w:hAnsiTheme="minorAscii"/>
          <w:b w:val="0"/>
          <w:bCs/>
          <w:sz w:val="18"/>
          <w:szCs w:val="18"/>
        </w:rPr>
        <w:t>As one of the earliest countries in the world to establish a universal old age security system, Sweden's elderly care service system also plays an important role as a model. The Swedish government advocates that the elderly choose their own home care service providers according to their personal needs and service quality. This service-demand-centered model reflects respect for the right of older persons to make their own choices. A survey in a community in southern Sweden showed that two kitchens specializing in providing food and meals for the elderly were set up in the area, with one type of service consisting of home-care workers delivering meals to the home, and the other transporting the elderly to the kitchens for meals. The latter not only provides nutritious food, but also creates more opportunities for older persons to socialize. In addition, Sweden also utilizes school canteens to provide assisted meals for the elderly, with meals costing only half the market price. This practice not only solves the problem of meals for the elderly, but also effectively utilizes school resources, reflecting the concept of resource sharing and social support</w:t>
      </w:r>
      <w:r>
        <w:rPr>
          <w:rFonts w:hint="default" w:eastAsia="宋体" w:cs="宋体" w:asciiTheme="minorAscii" w:hAnsiTheme="minorAscii"/>
          <w:b w:val="0"/>
          <w:bCs/>
          <w:kern w:val="0"/>
          <w:sz w:val="18"/>
          <w:szCs w:val="18"/>
          <w:vertAlign w:val="superscript"/>
          <w:lang w:val="en-US" w:eastAsia="zh-CN" w:bidi="ar"/>
        </w:rPr>
        <w:t>[16]</w:t>
      </w:r>
      <w:r>
        <w:rPr>
          <w:rFonts w:hint="default" w:asciiTheme="minorAscii" w:hAnsiTheme="minorAscii"/>
          <w:b w:val="0"/>
          <w:bCs/>
          <w:sz w:val="18"/>
          <w:szCs w:val="18"/>
        </w:rPr>
        <w:t>.</w:t>
      </w:r>
    </w:p>
    <w:p w14:paraId="6FE7DA83">
      <w:pPr>
        <w:ind w:left="0" w:leftChars="0" w:firstLine="419" w:firstLineChars="233"/>
        <w:rPr>
          <w:rFonts w:hint="default" w:asciiTheme="minorAscii" w:hAnsiTheme="minorAscii"/>
          <w:b w:val="0"/>
          <w:bCs/>
          <w:sz w:val="18"/>
          <w:szCs w:val="18"/>
        </w:rPr>
      </w:pPr>
      <w:r>
        <w:rPr>
          <w:rFonts w:hint="default" w:asciiTheme="minorAscii" w:hAnsiTheme="minorAscii"/>
          <w:b w:val="0"/>
          <w:bCs/>
          <w:sz w:val="18"/>
          <w:szCs w:val="18"/>
        </w:rPr>
        <w:t>Comprehensive Service System in the United States</w:t>
      </w:r>
    </w:p>
    <w:p w14:paraId="2BC1BC37">
      <w:pPr>
        <w:ind w:left="0" w:leftChars="0" w:firstLine="419" w:firstLineChars="233"/>
        <w:rPr>
          <w:rFonts w:hint="default" w:asciiTheme="minorAscii" w:hAnsiTheme="minorAscii"/>
          <w:b w:val="0"/>
          <w:bCs/>
          <w:sz w:val="18"/>
          <w:szCs w:val="18"/>
        </w:rPr>
      </w:pPr>
      <w:r>
        <w:rPr>
          <w:rFonts w:hint="default" w:asciiTheme="minorAscii" w:hAnsiTheme="minorAscii"/>
          <w:b w:val="0"/>
          <w:bCs/>
          <w:sz w:val="18"/>
          <w:szCs w:val="18"/>
        </w:rPr>
        <w:t>The United States has a mature and diversified elderly service system. In addition to traditional nursing homes, day-care centers and other service centers, the U.S. has also set up meal service centers such as Citizens' Nutrition Centers and food service centers, and provides shelters for the homeless elderly. The Home Delivered Meals Program in the United States closely integrates meal delivery services with medical services, providing two forms of services: meal sharing and home delivery. The programme not only focuses on the nutritional needs of the elderly, but also includes nutritional screening, counselling, social support services and health care services. This comprehensive service model not only promotes the health of the elderly, but also enhances their social interaction and quality of life.</w:t>
      </w:r>
    </w:p>
    <w:p w14:paraId="5FEBF065">
      <w:pPr>
        <w:ind w:left="0" w:leftChars="0" w:firstLine="419" w:firstLineChars="233"/>
        <w:rPr>
          <w:rFonts w:hint="default" w:asciiTheme="minorAscii" w:hAnsiTheme="minorAscii"/>
          <w:b w:val="0"/>
          <w:bCs/>
          <w:sz w:val="18"/>
          <w:szCs w:val="18"/>
        </w:rPr>
      </w:pPr>
      <w:r>
        <w:rPr>
          <w:rFonts w:hint="default" w:asciiTheme="minorAscii" w:hAnsiTheme="minorAscii"/>
          <w:b w:val="0"/>
          <w:bCs/>
          <w:sz w:val="18"/>
          <w:szCs w:val="18"/>
        </w:rPr>
        <w:t>In particular, during the epidemic, some states in the United States introduced new meal delivery services, such as Oakland's Meals on Wheels program, which provides two lunches and two dinners per week for homebound seniors and additional food distribution points near public libraries. San Francisco has partnered with local restaurants to provide safe and nutritious meals to the vulnerable elderly population. These contingency measures not only effectively coped with the difficulties during the epidemic, but also provide reference for coping with similar situations in the future. These experiences show that a sound elderly service system needs to focus not only on the basic needs of the elderly, but also comprehensively consider their social and psychological needs. These, can provide valuable experience for China. Examples include meeting residents' needs through personalized services, combining meals with social activities to enhance quality of life, using shared resources and collaboration to reduce operating costs, introducing mobile services to increase flexibility, and combining meals with other in-home elderly care services.</w:t>
      </w:r>
    </w:p>
    <w:p w14:paraId="2161A6FD">
      <w:pPr>
        <w:rPr>
          <w:rFonts w:hint="default" w:asciiTheme="minorAscii" w:hAnsiTheme="minorAscii"/>
          <w:b w:val="0"/>
          <w:bCs/>
          <w:sz w:val="18"/>
          <w:szCs w:val="18"/>
        </w:rPr>
      </w:pPr>
      <w:r>
        <w:rPr>
          <w:rFonts w:hint="eastAsia" w:asciiTheme="minorAscii" w:hAnsiTheme="minorAscii"/>
          <w:b w:val="0"/>
          <w:bCs/>
          <w:sz w:val="18"/>
          <w:szCs w:val="18"/>
          <w:lang w:val="en-US" w:eastAsia="zh-CN"/>
        </w:rPr>
        <w:t>4</w:t>
      </w:r>
      <w:r>
        <w:rPr>
          <w:rFonts w:hint="default" w:asciiTheme="minorAscii" w:hAnsiTheme="minorAscii"/>
          <w:b w:val="0"/>
          <w:bCs/>
          <w:sz w:val="18"/>
          <w:szCs w:val="18"/>
        </w:rPr>
        <w:t>. Community Canteens from a Service Design Perspective</w:t>
      </w:r>
    </w:p>
    <w:p w14:paraId="117F4C6F">
      <w:pPr>
        <w:keepNext w:val="0"/>
        <w:keepLines w:val="0"/>
        <w:widowControl/>
        <w:suppressLineNumbers w:val="0"/>
        <w:ind w:left="0" w:leftChars="0" w:firstLine="419" w:firstLineChars="233"/>
        <w:jc w:val="left"/>
        <w:rPr>
          <w:rFonts w:hint="default" w:asciiTheme="minorAscii" w:hAnsiTheme="minorAscii"/>
          <w:b w:val="0"/>
          <w:bCs/>
          <w:sz w:val="18"/>
          <w:szCs w:val="18"/>
        </w:rPr>
      </w:pPr>
      <w:r>
        <w:rPr>
          <w:rFonts w:hint="default" w:asciiTheme="minorAscii" w:hAnsiTheme="minorAscii"/>
          <w:b w:val="0"/>
          <w:bCs/>
          <w:sz w:val="18"/>
          <w:szCs w:val="18"/>
        </w:rPr>
        <w:t>Service design, as a field that employs design methodologies to develop services, can integrate and develop both tangible and intangible elements that constitute a service. It aims to enhance user experience and create service value, offering a systematic solution to problems. This includes integrated design solutions for service models, business models, product platforms, and interaction interfaces</w:t>
      </w:r>
      <w:r>
        <w:rPr>
          <w:rFonts w:hint="default" w:eastAsia="宋体" w:cs="宋体" w:asciiTheme="minorAscii" w:hAnsiTheme="minorAscii"/>
          <w:b w:val="0"/>
          <w:bCs/>
          <w:kern w:val="0"/>
          <w:sz w:val="18"/>
          <w:szCs w:val="18"/>
          <w:vertAlign w:val="superscript"/>
          <w:lang w:val="en-US" w:eastAsia="zh-CN" w:bidi="ar"/>
        </w:rPr>
        <w:t>[17]</w:t>
      </w:r>
      <w:r>
        <w:rPr>
          <w:rFonts w:hint="default" w:asciiTheme="minorAscii" w:hAnsiTheme="minorAscii"/>
          <w:b w:val="0"/>
          <w:bCs/>
          <w:sz w:val="18"/>
          <w:szCs w:val="18"/>
        </w:rPr>
        <w:t>.</w:t>
      </w:r>
      <w:r>
        <w:rPr>
          <w:rFonts w:hint="default" w:asciiTheme="minorAscii" w:hAnsiTheme="minorAscii"/>
          <w:b w:val="0"/>
          <w:bCs/>
          <w:sz w:val="18"/>
          <w:szCs w:val="18"/>
          <w:highlight w:val="none"/>
          <w:lang w:val="en-US" w:eastAsia="zh-CN"/>
        </w:rPr>
        <w:t>Service design is user-centered, focusing on user experience, expecting to provide high-quality services for target users, and constantly injecting fresh blood into today's fast-developing society as well as the innovation of the new era. While the service system is the provider of services, the service system construction is an important part of service design and consists of service beneficiaries, service workers, service programs, basic equipment, etc., while the service system is composed of the following links: explicit services, implicit services, support facilities, and auxiliary objects, etc</w:t>
      </w:r>
      <w:r>
        <w:rPr>
          <w:rFonts w:hint="default" w:eastAsia="宋体" w:cs="宋体" w:asciiTheme="minorAscii" w:hAnsiTheme="minorAscii"/>
          <w:b w:val="0"/>
          <w:bCs/>
          <w:kern w:val="0"/>
          <w:sz w:val="18"/>
          <w:szCs w:val="18"/>
          <w:vertAlign w:val="superscript"/>
          <w:lang w:val="en-US" w:eastAsia="zh-CN" w:bidi="ar"/>
        </w:rPr>
        <w:t>[18]</w:t>
      </w:r>
      <w:r>
        <w:rPr>
          <w:rFonts w:hint="default" w:asciiTheme="minorAscii" w:hAnsiTheme="minorAscii"/>
          <w:b w:val="0"/>
          <w:bCs/>
          <w:sz w:val="18"/>
          <w:szCs w:val="18"/>
          <w:highlight w:val="none"/>
          <w:lang w:val="en-US" w:eastAsia="zh-CN"/>
        </w:rPr>
        <w:t>.</w:t>
      </w:r>
    </w:p>
    <w:p w14:paraId="6EE2DAE0">
      <w:pPr>
        <w:ind w:left="0" w:leftChars="0" w:firstLine="419" w:firstLineChars="233"/>
        <w:rPr>
          <w:rFonts w:hint="default" w:asciiTheme="minorAscii" w:hAnsiTheme="minorAscii"/>
          <w:b w:val="0"/>
          <w:bCs/>
          <w:sz w:val="18"/>
          <w:szCs w:val="18"/>
          <w:highlight w:val="none"/>
          <w:lang w:val="en-US" w:eastAsia="zh-CN"/>
        </w:rPr>
      </w:pPr>
      <w:r>
        <w:rPr>
          <w:rFonts w:hint="default" w:asciiTheme="minorAscii" w:hAnsiTheme="minorAscii"/>
          <w:b w:val="0"/>
          <w:bCs/>
          <w:sz w:val="18"/>
          <w:szCs w:val="18"/>
          <w:highlight w:val="none"/>
          <w:lang w:val="en-US" w:eastAsia="zh-CN"/>
        </w:rPr>
        <w:t>The integration of service design thinking into the study of community canteen operation system can provide a deeper understanding of user needs through user research, user journey mapping, optimization of service processes and other service design methods, while the construction of the service system can optimize and use all aspects of high-quality resources, to explore a diverse range of thinking modes and design modes used in the construction of community canteens, to provide users with more perfect service quality.</w:t>
      </w:r>
    </w:p>
    <w:p w14:paraId="0F82F49F">
      <w:pPr>
        <w:ind w:left="0" w:leftChars="0" w:firstLine="419" w:firstLineChars="233"/>
        <w:rPr>
          <w:rFonts w:hint="default" w:eastAsia="宋体" w:cs="宋体" w:asciiTheme="minorAscii" w:hAnsiTheme="minorAscii"/>
          <w:b w:val="0"/>
          <w:bCs/>
          <w:kern w:val="0"/>
          <w:sz w:val="18"/>
          <w:szCs w:val="18"/>
          <w:highlight w:val="none"/>
          <w:lang w:val="en-US" w:eastAsia="zh-CN" w:bidi="ar"/>
        </w:rPr>
      </w:pPr>
      <w:r>
        <w:rPr>
          <w:rFonts w:hint="default" w:asciiTheme="minorAscii" w:hAnsiTheme="minorAscii"/>
          <w:b w:val="0"/>
          <w:bCs/>
          <w:sz w:val="18"/>
          <w:szCs w:val="18"/>
          <w:highlight w:val="none"/>
          <w:lang w:val="en-US" w:eastAsia="zh-CN"/>
        </w:rPr>
        <w:t>Therefore, applying service design to the design of community canteens helps to examine the deficiencies in aspects such as business models, service processes, and user experience from a more comprehensive perspective. This approach can increase the survival rate of community canteens while enhancing the dining experience and overall well-being of users.By focusing on the needs and characteristics of the elderly community residents, and creating a canteen and community environment that closely aligns with their daily lives, it is possible to more effectively boost community vitality and achieve the transformation of elderly care from mere support to a more enjoyable and fulfilling phase of life</w:t>
      </w:r>
      <w:r>
        <w:rPr>
          <w:rFonts w:hint="default" w:eastAsia="宋体" w:cs="宋体" w:asciiTheme="minorAscii" w:hAnsiTheme="minorAscii"/>
          <w:b w:val="0"/>
          <w:bCs/>
          <w:kern w:val="0"/>
          <w:sz w:val="18"/>
          <w:szCs w:val="18"/>
          <w:vertAlign w:val="superscript"/>
          <w:lang w:val="en-US" w:eastAsia="zh-CN" w:bidi="ar"/>
        </w:rPr>
        <w:t>[19]</w:t>
      </w:r>
      <w:r>
        <w:rPr>
          <w:rFonts w:hint="default" w:asciiTheme="minorAscii" w:hAnsiTheme="minorAscii"/>
          <w:b w:val="0"/>
          <w:bCs/>
          <w:sz w:val="18"/>
          <w:szCs w:val="18"/>
          <w:highlight w:val="none"/>
          <w:lang w:val="en-US" w:eastAsia="zh-CN"/>
        </w:rPr>
        <w:t>.</w:t>
      </w:r>
      <w:r>
        <w:rPr>
          <w:rFonts w:hint="default" w:eastAsia="宋体" w:cs="宋体" w:asciiTheme="minorAscii" w:hAnsiTheme="minorAscii"/>
          <w:b w:val="0"/>
          <w:bCs/>
          <w:kern w:val="0"/>
          <w:sz w:val="18"/>
          <w:szCs w:val="18"/>
          <w:highlight w:val="none"/>
          <w:lang w:val="en-US" w:eastAsia="zh-CN" w:bidi="ar"/>
        </w:rPr>
        <w:t>Therefore, we conducted in-depth user interviews on the daily lives of elderly residents in the community, and selected five elderly people over the age of 60 who have had the experience of dining in community canteens to be interviewed. The interviews asked questions from the three aspects of the community canteen experience, needs and suggestions, community support and future outlook, which included the basic use of the community canteens, the overall experience of dining, the quality of the food and its taste, the needs of the daily diet, the expectations for improvement, health and nutritional needs, the community positioning of the community canteens, and the future expectations of the community canteens. improvement expectations, health and nutritional needs, community orientation of the community canteen, and future expectations of the community canteen.A user journey maps were created based on the interview results. These maps simulate the entire process of dining at the community canteen, clearly showing resident behaviors before, during, and after meals, as well as service touchpoints, emotional curves, and user pain points. This helps to identify additional design opportunities. The creation of these journey maps referenced the SERVQUAL model proposed by Parasuraman, Zeithaml, and Berry in 1988.When evaluating the overall user experience, five key dimensions from the model are considered: Reliability: The service provider's ability to consistently and accurately fulfill promises. Responsiveness: The service provider's willingness and ability to provide prompt assistance when needed.Assurance: The provider's knowledge, courtesy, and competence that instill trust in customers.Empathy: The provider's care and individualized attention to customers. Tangibles: The appearance and cleanliness of the service environment and facilities</w:t>
      </w:r>
      <w:r>
        <w:rPr>
          <w:rFonts w:hint="default" w:eastAsia="宋体" w:cs="宋体" w:asciiTheme="minorAscii" w:hAnsiTheme="minorAscii"/>
          <w:b w:val="0"/>
          <w:bCs/>
          <w:kern w:val="0"/>
          <w:sz w:val="18"/>
          <w:szCs w:val="18"/>
          <w:vertAlign w:val="superscript"/>
          <w:lang w:val="en-US" w:eastAsia="zh-CN" w:bidi="ar"/>
        </w:rPr>
        <w:t>[20]</w:t>
      </w:r>
      <w:r>
        <w:rPr>
          <w:rFonts w:hint="default" w:eastAsia="宋体" w:cs="宋体" w:asciiTheme="minorAscii" w:hAnsiTheme="minorAscii"/>
          <w:b w:val="0"/>
          <w:bCs/>
          <w:kern w:val="0"/>
          <w:sz w:val="18"/>
          <w:szCs w:val="18"/>
          <w:highlight w:val="none"/>
          <w:lang w:val="en-US" w:eastAsia="zh-CN" w:bidi="ar"/>
        </w:rPr>
        <w:t>.</w:t>
      </w:r>
    </w:p>
    <w:p w14:paraId="0CC8E8D4">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 xml:space="preserve">Ultimately, we identified the following opportunities: </w:t>
      </w:r>
    </w:p>
    <w:p w14:paraId="37898D8A">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Pre-dining</w:t>
      </w:r>
    </w:p>
    <w:p w14:paraId="211C91C9">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1</w:t>
      </w:r>
      <w:r>
        <w:rPr>
          <w:rFonts w:hint="eastAsia"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Enhance publicity</w:t>
      </w:r>
    </w:p>
    <w:p w14:paraId="68CF5214">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Enhance exposure: Increase the visibility of the canteen through community bulletin boards, social media, flyers and community events.</w:t>
      </w:r>
    </w:p>
    <w:p w14:paraId="3E9D10AB">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Organize promotional activities: Regularly organize tasting activities or discount offers to attract more residents to come and experience.</w:t>
      </w:r>
    </w:p>
    <w:p w14:paraId="53A532FC">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2</w:t>
      </w:r>
      <w:r>
        <w:rPr>
          <w:rFonts w:hint="eastAsia"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Enhance logo guidance and brand recognition</w:t>
      </w:r>
    </w:p>
    <w:p w14:paraId="1A29FB52">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Clear signage: Design clear and attractive cafeteria logos and signage to help residents easily locate the cafeteria.Brand consistency: Ensure that all promotional materials and signs maintain a consistent brand image to increase recognition.</w:t>
      </w:r>
    </w:p>
    <w:p w14:paraId="7C51C77D">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3</w:t>
      </w:r>
      <w:r>
        <w:rPr>
          <w:rFonts w:hint="eastAsia"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Display of calorie and nutritional content of dishes</w:t>
      </w:r>
    </w:p>
    <w:p w14:paraId="75A7D97F">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Transparent information: Clearly label the calories and key nutrients of each dish on menus and promotional materials to help users make healthy choices.</w:t>
      </w:r>
    </w:p>
    <w:p w14:paraId="622049F9">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Nutritional counseling: Provide online or on-site nutritional counseling services to help users understand how to choose a healthier diet.</w:t>
      </w:r>
    </w:p>
    <w:p w14:paraId="36BFEC69">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4</w:t>
      </w:r>
      <w:r>
        <w:rPr>
          <w:rFonts w:hint="eastAsia"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Provide diversified menu options</w:t>
      </w:r>
    </w:p>
    <w:p w14:paraId="68FB5FC0">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Diverse choices: Provide a wide range of dishes, including choices for different tastes, dietary habits and special needs (e.g. vegetarian, allergen-free options) to meet the needs of different users.</w:t>
      </w:r>
    </w:p>
    <w:p w14:paraId="01C245AE">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Regular update: Regularly update the dishes according to the season and user feedback to keep them fresh and attractive.</w:t>
      </w:r>
    </w:p>
    <w:p w14:paraId="40990001">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During Dining</w:t>
      </w:r>
    </w:p>
    <w:p w14:paraId="55D8BA9E">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1</w:t>
      </w:r>
      <w:r>
        <w:rPr>
          <w:rFonts w:hint="eastAsia"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Provide convenient services</w:t>
      </w:r>
    </w:p>
    <w:p w14:paraId="65A19062">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Meal delivery service: Provide meal delivery service for residents with mobility problems to ensure they can enjoy their meals conveniently.</w:t>
      </w:r>
    </w:p>
    <w:p w14:paraId="293BD46A">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Optimize layout design: Design barrier-free access and seating areas, especially for the elderly and disabled, to provide a comfortable dining environment.</w:t>
      </w:r>
    </w:p>
    <w:p w14:paraId="73A96ADE">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2</w:t>
      </w:r>
      <w:r>
        <w:rPr>
          <w:rFonts w:hint="eastAsia"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Ensure a clean and welcoming environment in the cafeteria</w:t>
      </w:r>
    </w:p>
    <w:p w14:paraId="7A65DD46">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Environmental management: Regularly clean and maintain the cafeteria environment to ensure that the dining area is clean and comfortable.</w:t>
      </w:r>
    </w:p>
    <w:p w14:paraId="37C10C4E">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Comfortable atmosphere: Use soft lighting, comfortable seats and appropriate music to create a cozy dining atmosphere.</w:t>
      </w:r>
    </w:p>
    <w:p w14:paraId="2D21DB68">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3</w:t>
      </w:r>
      <w:r>
        <w:rPr>
          <w:rFonts w:hint="eastAsia"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Enhance user experience</w:t>
      </w:r>
    </w:p>
    <w:p w14:paraId="738CED23">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Friendly service: Train staff to provide warm, professional service and respond to user needs and problems in a timely manner.</w:t>
      </w:r>
    </w:p>
    <w:p w14:paraId="04422D74">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After the meal</w:t>
      </w:r>
    </w:p>
    <w:p w14:paraId="2A3752F2">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1</w:t>
      </w:r>
      <w:r>
        <w:rPr>
          <w:rFonts w:hint="eastAsia"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Meal collection service</w:t>
      </w:r>
    </w:p>
    <w:p w14:paraId="3387B2AE">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Cleaning up tableware: Provide a convenient collection point or service for tableware, clean up tables in a timely manner, and keep the dining area tidy.</w:t>
      </w:r>
    </w:p>
    <w:p w14:paraId="2EADF343">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Environment Maintenance: Ensure that the post-dinner environment is kept clean and comfortable to enhance the overall user experience.</w:t>
      </w:r>
    </w:p>
    <w:p w14:paraId="77BD96AC">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2</w:t>
      </w:r>
      <w:r>
        <w:rPr>
          <w:rFonts w:hint="eastAsia"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Provide a feedback platform</w:t>
      </w:r>
    </w:p>
    <w:p w14:paraId="6ED9CB4C">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Collect opinions: Set up convenient feedback channels, such as suggestion boxes, online surveys or electronic feedback forms, to encourage users to provide valuable opinions and suggestions.</w:t>
      </w:r>
    </w:p>
    <w:p w14:paraId="650B7B65">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Feedback processing: analyze user feedback regularly, take measures to improve the service, and inform users of the improvements.</w:t>
      </w:r>
    </w:p>
    <w:p w14:paraId="5693146A">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3</w:t>
      </w:r>
      <w:r>
        <w:rPr>
          <w:rFonts w:hint="eastAsia"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Determine prices based on actual consumption</w:t>
      </w:r>
    </w:p>
    <w:p w14:paraId="217D67FF">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Waste Reduction: Charge users based on actual consumption rather than a fixed price, encouraging rational meal taking and waste reduction.</w:t>
      </w:r>
    </w:p>
    <w:p w14:paraId="53E462BA">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Transparent Pricing: Clearly indicate consumption details at checkout so that users know what they are spending.</w:t>
      </w:r>
    </w:p>
    <w:p w14:paraId="1B272A4B">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Optimize queuing system: Set up efficient ordering and pick-up processes to reduce waiting time and improve dining efficiency.The service blueprint can visualize the key elements of service design, making it a crucial output</w:t>
      </w:r>
      <w:r>
        <w:rPr>
          <w:rFonts w:hint="default" w:eastAsia="宋体" w:cs="宋体" w:asciiTheme="minorAscii" w:hAnsiTheme="minorAscii"/>
          <w:b w:val="0"/>
          <w:bCs/>
          <w:kern w:val="0"/>
          <w:sz w:val="18"/>
          <w:szCs w:val="18"/>
          <w:vertAlign w:val="superscript"/>
          <w:lang w:val="en-US" w:eastAsia="zh-CN" w:bidi="ar"/>
        </w:rPr>
        <w:t>[21]</w:t>
      </w:r>
      <w:r>
        <w:rPr>
          <w:rFonts w:hint="default" w:eastAsia="宋体" w:cs="宋体" w:asciiTheme="minorAscii" w:hAnsiTheme="minorAscii"/>
          <w:b w:val="0"/>
          <w:bCs/>
          <w:kern w:val="0"/>
          <w:sz w:val="18"/>
          <w:szCs w:val="18"/>
          <w:highlight w:val="none"/>
          <w:lang w:val="en-US" w:eastAsia="zh-CN" w:bidi="ar"/>
        </w:rPr>
        <w:t xml:space="preserve"> .Based on the desktop and user analysis results, it outlines touchpoints, front-end interactions, back-end operations, and supporting systems to refine the community canteen’s service process. Before dining, users can order via an app, manage or top-up a membership card, or visit the nearest community canteen. During dining, users choose their meals, while vulnerable groups can wait for meal delivery in a designated area. After dining, users can review their dietary information and provide feedback through the app. The business model includes private capital market operations, community self-construction, a volunteer team, and government subsidies</w:t>
      </w:r>
      <w:r>
        <w:rPr>
          <w:rFonts w:hint="default" w:eastAsia="宋体" w:cs="宋体" w:asciiTheme="minorAscii" w:hAnsiTheme="minorAscii"/>
          <w:b w:val="0"/>
          <w:bCs/>
          <w:kern w:val="0"/>
          <w:sz w:val="18"/>
          <w:szCs w:val="18"/>
          <w:vertAlign w:val="superscript"/>
          <w:lang w:val="en-US" w:eastAsia="zh-CN" w:bidi="ar"/>
        </w:rPr>
        <w:t>[22]</w:t>
      </w:r>
      <w:r>
        <w:rPr>
          <w:rFonts w:hint="default" w:eastAsia="宋体" w:cs="宋体" w:asciiTheme="minorAscii" w:hAnsiTheme="minorAscii"/>
          <w:b w:val="0"/>
          <w:bCs/>
          <w:kern w:val="0"/>
          <w:sz w:val="18"/>
          <w:szCs w:val="18"/>
          <w:highlight w:val="none"/>
          <w:lang w:val="en-US" w:eastAsia="zh-CN" w:bidi="ar"/>
        </w:rPr>
        <w:t>.Adopting a centralized kitchen combined with a distributed dining model improves efficiency and reduces costs</w:t>
      </w:r>
      <w:r>
        <w:rPr>
          <w:rFonts w:hint="default" w:eastAsia="宋体" w:cs="宋体" w:asciiTheme="minorAscii" w:hAnsiTheme="minorAscii"/>
          <w:b w:val="0"/>
          <w:bCs/>
          <w:kern w:val="0"/>
          <w:sz w:val="18"/>
          <w:szCs w:val="18"/>
          <w:vertAlign w:val="superscript"/>
          <w:lang w:val="en-US" w:eastAsia="zh-CN" w:bidi="ar"/>
        </w:rPr>
        <w:t>[23]</w:t>
      </w:r>
      <w:r>
        <w:rPr>
          <w:rFonts w:hint="default" w:eastAsia="宋体" w:cs="宋体" w:asciiTheme="minorAscii" w:hAnsiTheme="minorAscii"/>
          <w:b w:val="0"/>
          <w:bCs/>
          <w:kern w:val="0"/>
          <w:sz w:val="18"/>
          <w:szCs w:val="18"/>
          <w:highlight w:val="none"/>
          <w:lang w:val="en-US" w:eastAsia="zh-CN" w:bidi="ar"/>
        </w:rPr>
        <w:t>. A centralized kitchen can unify the procurement of raw materials, obtaining better prices and discounts, which lowers overall material costs. Centralized production enhances efficiency by reducing redundant labor and equipment investments, thus improving overall operational efficiency. It also decreases the need for kitchen equipment and staff at individual small dining outlets, thereby reducing operational costs. The centralized kitchen can establish standardized food preparation protocols and processes, ensuring consistent quality and adherence to hygiene and safety standards for all meals delivered to the small dining outlets. Additionally, centralized production allows for rapid adjustments to production plans in response to demand changes, providing a flexible approach to market fluctuations and offering a wider variety of dishes to distributed dining outlets. By extending dining services to broader areas through distributed outlets, community accessibility and convenience are enhanced. Residents can enjoy meals at nearby small dining outlets, improving dining convenience and experience. Collaborative efforts with local restaurants for limited-time partnerships can also be beneficial, where restaurants prepare a portion of the meals and sell them at lower prices in community dining outlets. This arrangement allows residents to enjoy restaurant-quality food at lower prices, enriches the variety of dishes offered, and boosts the visibility and customer flow for both the restaurants and the dining outlets.</w:t>
      </w:r>
    </w:p>
    <w:p w14:paraId="3E53941D">
      <w:pPr>
        <w:keepNext w:val="0"/>
        <w:keepLines w:val="0"/>
        <w:widowControl/>
        <w:suppressLineNumbers w:val="0"/>
        <w:jc w:val="left"/>
        <w:rPr>
          <w:rFonts w:hint="default" w:eastAsia="宋体" w:cs="宋体" w:asciiTheme="minorAscii" w:hAnsiTheme="minorAscii"/>
          <w:b w:val="0"/>
          <w:bCs/>
          <w:kern w:val="0"/>
          <w:sz w:val="18"/>
          <w:szCs w:val="18"/>
          <w:highlight w:val="none"/>
          <w:lang w:val="en-US" w:eastAsia="zh-CN" w:bidi="ar"/>
        </w:rPr>
      </w:pPr>
      <w:r>
        <w:rPr>
          <w:rFonts w:hint="eastAsia" w:eastAsia="宋体" w:cs="宋体" w:asciiTheme="minorAscii" w:hAnsiTheme="minorAscii"/>
          <w:b w:val="0"/>
          <w:bCs/>
          <w:kern w:val="0"/>
          <w:sz w:val="18"/>
          <w:szCs w:val="18"/>
          <w:highlight w:val="none"/>
          <w:lang w:val="en-US" w:eastAsia="zh-CN" w:bidi="ar"/>
        </w:rPr>
        <w:t>5.</w:t>
      </w:r>
      <w:r>
        <w:rPr>
          <w:rFonts w:hint="default" w:eastAsia="宋体" w:cs="宋体" w:asciiTheme="minorAscii" w:hAnsiTheme="minorAscii"/>
          <w:b w:val="0"/>
          <w:bCs/>
          <w:kern w:val="0"/>
          <w:sz w:val="18"/>
          <w:szCs w:val="18"/>
          <w:highlight w:val="none"/>
          <w:lang w:val="en-US" w:eastAsia="zh-CN" w:bidi="ar"/>
        </w:rPr>
        <w:t>Practice</w:t>
      </w:r>
    </w:p>
    <w:p w14:paraId="7E537AEC">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In architectural design, emphasizing environmental awareness and human needs, particularly by incorporating user-centric design principles, is crucial for enhancing spatial experience</w:t>
      </w:r>
      <w:r>
        <w:rPr>
          <w:rFonts w:hint="default" w:eastAsia="宋体" w:cs="宋体" w:asciiTheme="minorAscii" w:hAnsiTheme="minorAscii"/>
          <w:b w:val="0"/>
          <w:bCs/>
          <w:kern w:val="0"/>
          <w:sz w:val="18"/>
          <w:szCs w:val="18"/>
          <w:vertAlign w:val="superscript"/>
          <w:lang w:val="en-US" w:eastAsia="zh-CN" w:bidi="ar"/>
        </w:rPr>
        <w:t>[24]</w:t>
      </w:r>
      <w:r>
        <w:rPr>
          <w:rFonts w:hint="default" w:eastAsia="宋体" w:cs="宋体" w:asciiTheme="minorAscii" w:hAnsiTheme="minorAscii"/>
          <w:b w:val="0"/>
          <w:bCs/>
          <w:kern w:val="0"/>
          <w:sz w:val="18"/>
          <w:szCs w:val="18"/>
          <w:highlight w:val="none"/>
          <w:lang w:val="en-US" w:eastAsia="zh-CN" w:bidi="ar"/>
        </w:rPr>
        <w:t>. This approach goes beyond merely meeting functional requirements; it focuses on addressing psychological impacts and respecting behavioral habits and psychological needs.Wood grain textures in design convey a sense of simplicity and closeness to nature. Materials mimicking wood grain carry traditional charm and create a tidy, warm atmosphere. These materials can effectively complement the primary style of a dining area, fostering a harmonious environment.</w:t>
      </w:r>
    </w:p>
    <w:p w14:paraId="1DCE3CB7">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During the design process, the selection of furnishings should harmonize with interior walls, countertops, and other elements. This involves not only considering the textures and qualities of materials but also ensuring their integration within the overall environment. Coordinating with the room's colors and shapes enhances the overall aesthetic of the space while fulfilling users' comfort and aesthetic needs.</w:t>
      </w:r>
      <w:r>
        <w:rPr>
          <w:rFonts w:hint="default" w:eastAsia="宋体" w:cs="宋体" w:asciiTheme="minorAscii" w:hAnsiTheme="minorAscii"/>
          <w:b w:val="0"/>
          <w:bCs/>
          <w:kern w:val="0"/>
          <w:sz w:val="18"/>
          <w:szCs w:val="18"/>
          <w:lang w:val="en-US" w:eastAsia="zh-CN" w:bidi="ar"/>
        </w:rPr>
        <w:t xml:space="preserve"> </w:t>
      </w:r>
      <w:r>
        <w:rPr>
          <w:rFonts w:hint="default" w:eastAsia="宋体" w:cs="宋体" w:asciiTheme="minorAscii" w:hAnsiTheme="minorAscii"/>
          <w:b w:val="0"/>
          <w:bCs/>
          <w:kern w:val="0"/>
          <w:sz w:val="18"/>
          <w:szCs w:val="18"/>
          <w:highlight w:val="none"/>
          <w:lang w:val="en-US" w:eastAsia="zh-CN" w:bidi="ar"/>
        </w:rPr>
        <w:t>A successful venue should offer a safe, clean environment, diverse sensory experiences, human-centered design, and varied options</w:t>
      </w:r>
      <w:r>
        <w:rPr>
          <w:rFonts w:hint="default" w:eastAsia="宋体" w:cs="宋体" w:asciiTheme="minorAscii" w:hAnsiTheme="minorAscii"/>
          <w:b w:val="0"/>
          <w:bCs/>
          <w:kern w:val="0"/>
          <w:sz w:val="18"/>
          <w:szCs w:val="18"/>
          <w:vertAlign w:val="superscript"/>
          <w:lang w:val="en-US" w:eastAsia="zh-CN" w:bidi="ar"/>
        </w:rPr>
        <w:t>[25]</w:t>
      </w:r>
      <w:r>
        <w:rPr>
          <w:rFonts w:hint="default" w:eastAsia="宋体" w:cs="宋体" w:asciiTheme="minorAscii" w:hAnsiTheme="minorAscii"/>
          <w:b w:val="0"/>
          <w:bCs/>
          <w:kern w:val="0"/>
          <w:sz w:val="18"/>
          <w:szCs w:val="18"/>
          <w:highlight w:val="none"/>
          <w:lang w:val="en-US" w:eastAsia="zh-CN" w:bidi="ar"/>
        </w:rPr>
        <w:t>.Jacobs posits that diversity stems from mixed functions</w:t>
      </w:r>
      <w:r>
        <w:rPr>
          <w:rFonts w:hint="default" w:eastAsia="宋体" w:cs="宋体" w:asciiTheme="minorAscii" w:hAnsiTheme="minorAscii"/>
          <w:b w:val="0"/>
          <w:bCs/>
          <w:kern w:val="0"/>
          <w:sz w:val="18"/>
          <w:szCs w:val="18"/>
          <w:vertAlign w:val="superscript"/>
          <w:lang w:val="en-US" w:eastAsia="zh-CN" w:bidi="ar"/>
        </w:rPr>
        <w:t>[26]</w:t>
      </w:r>
      <w:r>
        <w:rPr>
          <w:rFonts w:hint="default" w:eastAsia="宋体" w:cs="宋体" w:asciiTheme="minorAscii" w:hAnsiTheme="minorAscii"/>
          <w:b w:val="0"/>
          <w:bCs/>
          <w:kern w:val="0"/>
          <w:sz w:val="18"/>
          <w:szCs w:val="18"/>
          <w:highlight w:val="none"/>
          <w:lang w:val="en-US" w:eastAsia="zh-CN" w:bidi="ar"/>
        </w:rPr>
        <w:t>, which aren't merely arbitrary combinations but should be integrated to align with residents' daily needs, fostering organic, socially engaging spaces. For a community senior dining hall, this means not just fulfilling dietary needs but creating multi-dimensional connections, enhancing identity and belonging. Features like reading corners and flexible furniture, along with activities such as group events or workshops, ensure the space remains vibrant and supportive, addressing both recreational needs and emotional well-being</w:t>
      </w:r>
      <w:r>
        <w:rPr>
          <w:rFonts w:hint="default" w:eastAsia="宋体" w:cs="宋体" w:asciiTheme="minorAscii" w:hAnsiTheme="minorAscii"/>
          <w:b w:val="0"/>
          <w:bCs/>
          <w:kern w:val="0"/>
          <w:sz w:val="18"/>
          <w:szCs w:val="18"/>
          <w:vertAlign w:val="superscript"/>
          <w:lang w:val="en-US" w:eastAsia="zh-CN" w:bidi="ar"/>
        </w:rPr>
        <w:t>[27]</w:t>
      </w:r>
      <w:r>
        <w:rPr>
          <w:rFonts w:hint="default"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highlight w:val="none"/>
          <w:lang w:val="en-US" w:eastAsia="zh-CN" w:bidi="ar"/>
        </w:rPr>
        <w:t>From the perspective of visual effectiveness, a higher consistency in color tone across different levels of brightness results in greater stimulation to the eyes. Therefore, using fresh, eye-friendly colors such as green and blue can better alleviate eye fatigue. Additionally, color is a key stimulus for defining the overall style of an app in terms of visual effectiveness. Appropriate color choices ensure that the app’s visual design aligns with the fundamental style while also highlighting its unique character</w:t>
      </w:r>
      <w:r>
        <w:rPr>
          <w:rFonts w:hint="default" w:eastAsia="宋体" w:cs="宋体" w:asciiTheme="minorAscii" w:hAnsiTheme="minorAscii"/>
          <w:b w:val="0"/>
          <w:bCs/>
          <w:kern w:val="0"/>
          <w:sz w:val="18"/>
          <w:szCs w:val="18"/>
          <w:vertAlign w:val="superscript"/>
          <w:lang w:val="en-US" w:eastAsia="zh-CN" w:bidi="ar"/>
        </w:rPr>
        <w:t>[28]</w:t>
      </w:r>
      <w:r>
        <w:rPr>
          <w:rFonts w:hint="default" w:eastAsia="宋体" w:cs="宋体" w:asciiTheme="minorAscii" w:hAnsiTheme="minorAscii"/>
          <w:b w:val="0"/>
          <w:bCs/>
          <w:kern w:val="0"/>
          <w:sz w:val="18"/>
          <w:szCs w:val="18"/>
          <w:highlight w:val="none"/>
          <w:vertAlign w:val="superscript"/>
          <w:lang w:val="en-US" w:eastAsia="zh-CN" w:bidi="ar"/>
        </w:rPr>
        <w:t>.</w:t>
      </w:r>
      <w:r>
        <w:rPr>
          <w:rFonts w:hint="default" w:eastAsia="宋体" w:cs="宋体" w:asciiTheme="minorAscii" w:hAnsiTheme="minorAscii"/>
          <w:b w:val="0"/>
          <w:bCs/>
          <w:kern w:val="0"/>
          <w:sz w:val="18"/>
          <w:szCs w:val="18"/>
          <w:highlight w:val="none"/>
          <w:lang w:val="en-US" w:eastAsia="zh-CN" w:bidi="ar"/>
        </w:rPr>
        <w:t>The community cafeteria app uses blue and green as its main color scheme. Blue is generally considered a calm and soothing color, capable of providing a sense of relaxation and tranquility. In the food industry, especially in applications, this effect can make users feel comfortable and trustful, particularly in the context of ordering and payment. Green, associated with nature and health, symbolizes freshness and nutrition, helping to convey the fresh and healthy attributes of the food. It is also linked to sustainability and environmental values, making it particularly suitable for a health-focused food application.</w:t>
      </w:r>
    </w:p>
    <w:p w14:paraId="7D883286">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highlight w:val="none"/>
          <w:lang w:val="en-US" w:eastAsia="zh-CN" w:bidi="ar"/>
        </w:rPr>
      </w:pPr>
      <w:r>
        <w:rPr>
          <w:rFonts w:hint="default" w:eastAsia="宋体" w:cs="宋体" w:asciiTheme="minorAscii" w:hAnsiTheme="minorAscii"/>
          <w:b w:val="0"/>
          <w:bCs/>
          <w:kern w:val="0"/>
          <w:sz w:val="18"/>
          <w:szCs w:val="18"/>
          <w:highlight w:val="none"/>
          <w:lang w:val="en-US" w:eastAsia="zh-CN" w:bidi="ar"/>
        </w:rPr>
        <w:t>The app's main functionalities are divided into five modules. The ordering module, which carries the app's primary functions, allows users to browse the community cafeteria's menu and view various available meal sets, dishes, and their details, including images, descriptions, and prices. A search function is provided to help users quickly find specific dishes or categories. Users can select dishes and add them to their cart, choose delivery times and locations, and view previous order records, including order details, payment status, and delivery progress. The app also offers order cancellation and modification features to ensure user flexibility and convenience.</w:t>
      </w:r>
    </w:p>
    <w:p w14:paraId="765B2C1A">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lang w:val="en-US" w:eastAsia="zh-Hans" w:bidi="ar"/>
        </w:rPr>
      </w:pPr>
      <w:r>
        <w:rPr>
          <w:rFonts w:hint="default" w:eastAsia="宋体" w:cs="宋体" w:asciiTheme="minorAscii" w:hAnsiTheme="minorAscii"/>
          <w:b w:val="0"/>
          <w:bCs/>
          <w:kern w:val="0"/>
          <w:sz w:val="18"/>
          <w:szCs w:val="18"/>
          <w:highlight w:val="none"/>
          <w:lang w:val="en-US" w:eastAsia="zh-CN" w:bidi="ar"/>
        </w:rPr>
        <w:t>The membership center module allows users to apply for and view their membership card information, including card balance and membership level. Members can access exclusive offers and discounts, and users can accumulate points by completing related tasks to advance their membership levels, thereby enjoying better level privileges such as exclusive vouchers and discounts. Additionally, it supports membership card management, including viewing, recharging, and using the card. By establishing a rewards system, providing personalized services, and enhancing user participation and loyalty, the app aims to increase user retention while improving engagement</w:t>
      </w:r>
      <w:r>
        <w:rPr>
          <w:rFonts w:hint="default" w:eastAsia="宋体" w:cs="宋体" w:asciiTheme="minorAscii" w:hAnsiTheme="minorAscii"/>
          <w:b w:val="0"/>
          <w:bCs/>
          <w:kern w:val="0"/>
          <w:sz w:val="18"/>
          <w:szCs w:val="18"/>
          <w:vertAlign w:val="superscript"/>
          <w:lang w:val="en-US" w:eastAsia="zh-CN" w:bidi="ar"/>
        </w:rPr>
        <w:t>[29]</w:t>
      </w:r>
      <w:r>
        <w:rPr>
          <w:rFonts w:hint="default" w:eastAsia="宋体" w:cs="宋体" w:asciiTheme="minorAscii" w:hAnsiTheme="minorAscii"/>
          <w:b w:val="0"/>
          <w:bCs/>
          <w:kern w:val="0"/>
          <w:sz w:val="18"/>
          <w:szCs w:val="18"/>
          <w:highlight w:val="none"/>
          <w:lang w:val="en-US" w:eastAsia="zh-CN" w:bidi="ar"/>
        </w:rPr>
        <w:t>.The meal customization module allows users to create weekly or monthly meal plans based on their needs, with meals delivered at specified times, simplifying the process and catering to vulnerable groups. The community dynamics module keeps users informed about events, promotions, and new releases at the cafeteria, fostering community engagement and providing a platform for feedback. The dietary report module, through data visualization, presents users and their families with insights into daily nutrient and calorie intake, while also allowing manual entry of additional dietary information. This helps generate personalized health reports and nutritional advice. For elderly users, factors like age, health, education, and economic status, along with system support, product usefulness, and ease of use, impact their interaction with mobile apps</w:t>
      </w:r>
      <w:r>
        <w:rPr>
          <w:rFonts w:hint="default" w:eastAsia="宋体" w:cs="宋体" w:asciiTheme="minorAscii" w:hAnsiTheme="minorAscii"/>
          <w:b w:val="0"/>
          <w:bCs/>
          <w:kern w:val="0"/>
          <w:sz w:val="18"/>
          <w:szCs w:val="18"/>
          <w:vertAlign w:val="superscript"/>
          <w:lang w:val="en-US" w:eastAsia="zh-CN" w:bidi="ar"/>
        </w:rPr>
        <w:t>[30]</w:t>
      </w:r>
      <w:r>
        <w:rPr>
          <w:rFonts w:hint="default" w:eastAsia="宋体" w:cs="宋体" w:asciiTheme="minorAscii" w:hAnsiTheme="minorAscii"/>
          <w:b w:val="0"/>
          <w:bCs/>
          <w:kern w:val="0"/>
          <w:sz w:val="18"/>
          <w:szCs w:val="18"/>
          <w:highlight w:val="none"/>
          <w:lang w:val="en-US" w:eastAsia="zh-CN" w:bidi="ar"/>
        </w:rPr>
        <w:t>.</w:t>
      </w:r>
      <w:r>
        <w:rPr>
          <w:rFonts w:hint="default" w:eastAsia="宋体" w:cs="宋体" w:asciiTheme="minorAscii" w:hAnsiTheme="minorAscii"/>
          <w:b w:val="0"/>
          <w:bCs/>
          <w:kern w:val="0"/>
          <w:sz w:val="18"/>
          <w:szCs w:val="18"/>
          <w:lang w:val="en-US" w:eastAsia="zh-Hans" w:bidi="ar"/>
        </w:rPr>
        <w:t>Therefore, the app has specifically designed a "Senior Care" version of the interface for elderly users. Users can switch to this UI version either during registration or from the "My" page. The information structure is simplified and streamlined by removing complex layers, using large fonts and clear icons for better recognition. The design language is kept straightforward to avoid complicated animations, interactions, and flashy styles. Emphasis is placed on voice interactions and live customer support, as voice interaction is more natural and convenient for elderly users compared to text input. This approach reduces learning costs and operational difficulties. Additionally, being able to immediately communicate with a real customer service representative to resolve technical issues or operational difficulties is crucial for elderly users.</w:t>
      </w:r>
    </w:p>
    <w:p w14:paraId="1835619F">
      <w:pPr>
        <w:keepNext w:val="0"/>
        <w:keepLines w:val="0"/>
        <w:widowControl/>
        <w:suppressLineNumbers w:val="0"/>
        <w:jc w:val="left"/>
        <w:rPr>
          <w:rFonts w:hint="default" w:eastAsia="宋体" w:cs="宋体" w:asciiTheme="minorAscii" w:hAnsiTheme="minorAscii"/>
          <w:b w:val="0"/>
          <w:bCs/>
          <w:kern w:val="0"/>
          <w:sz w:val="18"/>
          <w:szCs w:val="18"/>
          <w:lang w:val="en-US" w:eastAsia="zh-Hans" w:bidi="ar"/>
        </w:rPr>
      </w:pPr>
      <w:r>
        <w:rPr>
          <w:rFonts w:hint="eastAsia" w:eastAsia="宋体" w:cs="宋体" w:asciiTheme="minorAscii" w:hAnsiTheme="minorAscii"/>
          <w:b w:val="0"/>
          <w:bCs/>
          <w:kern w:val="0"/>
          <w:sz w:val="18"/>
          <w:szCs w:val="18"/>
          <w:lang w:val="en-US" w:eastAsia="zh-CN" w:bidi="ar"/>
        </w:rPr>
        <w:t>6.</w:t>
      </w:r>
      <w:r>
        <w:rPr>
          <w:rFonts w:hint="default" w:eastAsia="宋体" w:cs="宋体" w:asciiTheme="minorAscii" w:hAnsiTheme="minorAscii"/>
          <w:b w:val="0"/>
          <w:bCs/>
          <w:kern w:val="0"/>
          <w:sz w:val="18"/>
          <w:szCs w:val="18"/>
          <w:lang w:val="en-US" w:eastAsia="zh-Hans" w:bidi="ar"/>
        </w:rPr>
        <w:t>Conclusion</w:t>
      </w:r>
    </w:p>
    <w:p w14:paraId="5FA57523">
      <w:pPr>
        <w:keepNext w:val="0"/>
        <w:keepLines w:val="0"/>
        <w:widowControl/>
        <w:suppressLineNumbers w:val="0"/>
        <w:ind w:left="0" w:leftChars="0" w:firstLine="419" w:firstLineChars="233"/>
        <w:jc w:val="left"/>
        <w:rPr>
          <w:rFonts w:hint="default" w:eastAsia="宋体" w:cs="宋体" w:asciiTheme="minorAscii" w:hAnsiTheme="minorAscii"/>
          <w:b w:val="0"/>
          <w:bCs/>
          <w:kern w:val="0"/>
          <w:sz w:val="18"/>
          <w:szCs w:val="18"/>
          <w:lang w:val="en-US" w:eastAsia="zh-Hans" w:bidi="ar"/>
        </w:rPr>
      </w:pPr>
      <w:r>
        <w:rPr>
          <w:rFonts w:hint="default" w:eastAsia="宋体" w:cs="宋体" w:asciiTheme="minorAscii" w:hAnsiTheme="minorAscii"/>
          <w:b w:val="0"/>
          <w:bCs/>
          <w:kern w:val="0"/>
          <w:sz w:val="18"/>
          <w:szCs w:val="18"/>
          <w:lang w:val="en-US" w:eastAsia="zh-Hans" w:bidi="ar"/>
        </w:rPr>
        <w:t>This paper reconstructs the overall service of community canteens in China through service design. By optimizing the dining process, providing convenient meal delivery services, displaying nutritional information, and reducing food waste, it better meets the needs of various groups, especially vulnerable populations. This enhances the functionality and convenience of canteens while promoting community cohesion and effective resource utilization. However, in the context of home-based elderly care, exploring the design of community canteen services aims not only to improve user experience but also to achieve comprehensive optimization of social, environmental, and economic benefits. As a vital link in residents' daily lives, the sustainable development of community canteens relies on reasonable service design and operational management, as well as broad social support and participation. In the future, we should continue to focus on the sustainable development of community canteens, continuously exploring innovative service designs and operational models to address changing needs and challenges. Only through the joint efforts of all sectors of society can we truly achieve a comprehensive enhancement of community canteen services, create a better home-based elderly care experience for community residents, and promote social harmony and progress.</w:t>
      </w:r>
    </w:p>
    <w:p w14:paraId="334F7E9E">
      <w:pPr>
        <w:keepNext w:val="0"/>
        <w:keepLines w:val="0"/>
        <w:widowControl/>
        <w:suppressLineNumbers w:val="0"/>
        <w:jc w:val="left"/>
        <w:rPr>
          <w:rFonts w:hint="default" w:eastAsia="宋体" w:cs="宋体" w:asciiTheme="minorAscii" w:hAnsiTheme="minorAscii"/>
          <w:b w:val="0"/>
          <w:bCs/>
          <w:kern w:val="0"/>
          <w:sz w:val="18"/>
          <w:szCs w:val="18"/>
          <w:lang w:val="en-US" w:eastAsia="zh-Hans" w:bidi="ar"/>
        </w:rPr>
      </w:pPr>
      <w:r>
        <w:rPr>
          <w:rFonts w:hint="default" w:eastAsia="宋体" w:cs="宋体" w:asciiTheme="minorAscii" w:hAnsiTheme="minorAscii"/>
          <w:b w:val="0"/>
          <w:bCs/>
          <w:kern w:val="0"/>
          <w:sz w:val="18"/>
          <w:szCs w:val="18"/>
          <w:lang w:val="en-US" w:eastAsia="zh-Hans" w:bidi="ar"/>
        </w:rPr>
        <w:t xml:space="preserve">Reference </w:t>
      </w:r>
      <w:bookmarkStart w:id="0" w:name="_GoBack"/>
      <w:bookmarkEnd w:id="0"/>
    </w:p>
    <w:p w14:paraId="7B058ABD">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[1]Tu Aixian, Study on the Government's Responsibility for Long-Term Care for the Disabled Elderly under the Perspective of Supply and Demand Imbalance. Journal of Jiangxi University of Finance and Economics, (02), p.394.</w:t>
      </w:r>
    </w:p>
    <w:p w14:paraId="44367634">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[2]Hou, Bing, 2019. A study on the level of demand for community-based home care services for the elderly and their fulfillment strategies. Social Security Review, 3(3), pp.147-159.</w:t>
      </w:r>
    </w:p>
    <w:p w14:paraId="0197A85F">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[3]Luo Q, Wang AQ, Fan RD, Chen H and Yu H, 2019. A study on the current status of development of home-based elderly care services in China. Health Soft Science, 33(11), pp.34-38.</w:t>
      </w:r>
    </w:p>
    <w:p w14:paraId="6B2F67C0">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[4]Ministry of Civil Affairs (MCA) of the PRC,2014.Quarterly report on social services statistics.</w:t>
      </w:r>
    </w:p>
    <w:p w14:paraId="7717E1DD">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[5] Zhang Ximin,2014.China releases results of survey of 10,000 elderly people in ten cities on the status of aging at home. China News. http://www.chinanews.com/sh/2014/02-27/5892322.shtml</w:t>
      </w:r>
    </w:p>
    <w:p w14:paraId="6E5739FB">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[6]Shao, J., 2014. “Small government, big society” perspective of government function change in the establishment of community canteens for the elderly in Hangzhou. SAR Economy, (8), pp.69-70.</w:t>
      </w:r>
    </w:p>
    <w:p w14:paraId="3BB8B7DB">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[7]Miao Xun, 2007. Guangzhong Road and universities jointly organize community canteens for the benefit of the public. Community, (04S), pp.35-35.</w:t>
      </w:r>
    </w:p>
    <w:p w14:paraId="6F13D8C6">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[8]Liu, H.H., 2020. Balancing Public Good and Private Interest: The Governance Structure of Community Canteens and Their Development (Master's thesis, East China University of Political Science and Law).</w:t>
      </w:r>
    </w:p>
    <w:p w14:paraId="02B090F2">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[9]Wang Hui, 2011. Some central ministries open their canteens to the community. Communist Party, (3), pp.52-52.</w:t>
      </w:r>
    </w:p>
    <w:p w14:paraId="351B4B8A">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[10]Zhou, F., Li, Baoqin, Wang, D., 2024.The community radiant power exerted by senior canteens under the regional development model. China Social Work,(09), pp.39-40.</w:t>
      </w:r>
    </w:p>
    <w:p w14:paraId="28BF35C7">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[11]Xinying Shi,Zhi zhongWang,2024.Problemsand countermeasures for the development of community canteens in the context of aging--taking community canteens in Taiyuan as an example. Western Journal,(05), pp.94-97.</w:t>
      </w:r>
    </w:p>
    <w:p w14:paraId="2393358E">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[12]Ma, Gui-Man and Yu, Jing-Yu, 2021. An Empirical Study on Aging in Urban Communities from the Perspective of Satisfaction and Demand Interaction--The Case of Hefei City. Research on Aging Science.</w:t>
      </w:r>
    </w:p>
    <w:p w14:paraId="0753BD1C">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[13]Qin Dan, 2015. Empirical Analysis of the Utilization of Elderly Table Service in Beijing (Master's thesis, Capital University of Economics and Business).</w:t>
      </w:r>
    </w:p>
    <w:p w14:paraId="76659AD4">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[14]Pei Yan, 2016. SWOT-PEST Situation Analysis of China's Government's Purchase of Elderly Assisted Meal Services (Master's thesis, Wuhan University of Science and Technology).</w:t>
      </w:r>
    </w:p>
    <w:p w14:paraId="72E96E15">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[15]An, N. and Xu, H., 2020. A Study on the Development of Community Canteens in the Context of Aging--The Case of Sanxiaokou, Hefei City. Journal of Xinyu College.</w:t>
      </w:r>
    </w:p>
    <w:p w14:paraId="70D77486">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[16]Luo Shijian and Hu Yi, 2015. service design-driven model innovation. Packaging Engineering Art Edition, 36(12), pp.1-4.</w:t>
      </w:r>
    </w:p>
    <w:p w14:paraId="2C85CF7A">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[17]Qin, Junchang, Zhang, Jinliang and Wang, Zhanliang, 2010. Service design research. Research on Science and Technology Management, (4), pp.151-153.</w:t>
      </w:r>
    </w:p>
    <w:p w14:paraId="48FD6BA1">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[18]Yu Shuangwen,2022.Research on service enhancement and planning of community senior canteen in Changsha City under the perspective of urban catalyst(Master's thesis, Hunan University)</w:t>
      </w:r>
    </w:p>
    <w:p w14:paraId="51EB1156">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[19]Parasuraman, A., Zeithaml, V.A. and Berry, L.L., 1988. Servqual: A multiple-item scale for measuring consumer perc. Journal of retailing, 64(1), p.12.</w:t>
      </w:r>
    </w:p>
    <w:p w14:paraId="72A69B80">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[20]Wei, Jiaxing and Guo, Xuanwen, 2023. A study on the service design of red countryside tourism based on Kano model. Packaging Engineering Art Edition, 44(4), pp.379-389.</w:t>
      </w:r>
    </w:p>
    <w:p w14:paraId="16129422">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[21]Zhao, Yulin, Wu, Shijie, Tang, Jing and Zhang, Qingxue, 2021. Study on the Spatial Status of Community Elderly Canteens and Operation and Management Problems: A Case Study of Wuhan's Main Urban Area. Spatial Governance for High Quality Development - Proceedings of the Annual Conference on Urban Planning in China, 2021 (19 Housing and Community Planning).</w:t>
      </w:r>
    </w:p>
    <w:p w14:paraId="6AE88A46">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[22]Li Li, 2018. Research on the type system and spatial strategy of community elderly canteens under the home care model--Taking Guangzhou City as an example. Art &amp; Design (Theory).</w:t>
      </w:r>
    </w:p>
    <w:p w14:paraId="5F97B89D">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[23]Li, Chuan-Cheng, 2007. Design and after-use evaluation of student cafeterias in new university districts: a study of building design and use based on behavioral theory. Journal of Architecture, (2), pp.88-91.</w:t>
      </w:r>
    </w:p>
    <w:p w14:paraId="58DA6050">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[24]Fei, S. J., 2015. Research on functional diversification design of indoor space in high school cafeteria. Citation version: engineering technology, (011), pp.25-25.</w:t>
      </w:r>
    </w:p>
    <w:p w14:paraId="7BAE6FB0">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[25]Harrison, S. and Dourish, P., 1996, November. Re-place-ing space: the roles of place and space in collaborative systems. In Proceedings of the 1996 ACM conference on Computer supported cooperative work (pp. 67-76).</w:t>
      </w:r>
    </w:p>
    <w:p w14:paraId="3D55F727">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[26]Fang Ke, 2009. Jane Jacobs's Thoughts on Urban Diversity and its Implications for Old City Renewal - After reading Jane Jacobs's The Life and Death of Great American Cities. International Urban Planning, (S1), pp.177-179.</w:t>
      </w:r>
    </w:p>
    <w:p w14:paraId="6E4D7A43">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[27]Song Yali, 2024. Research on the visual effectiveness of color in human-computer interaction homework task interface[J]. Information Record Material，(01),pp.115-117.</w:t>
      </w:r>
    </w:p>
    <w:p w14:paraId="2949D132">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 xml:space="preserve">[28]Zhu Yaru, Cha Jianjian and Yan Yalan, 2020. A Study on the Factors Influencing the Willingness to Continue Using Mobile Reading Apps from the Perspectives of User Experience and Status Quo Bias. National Library Journal, 29(6), pp.41-53. </w:t>
      </w:r>
    </w:p>
    <w:p w14:paraId="28B1CBE2">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[29]Yang Meibei, 2015. A study on the influencing factors of mobile takeout APP users' continuous use intention (Doctoral dissertation, Guangzhou: Guangdong University of Foreign Studies).</w:t>
      </w:r>
    </w:p>
    <w:p w14:paraId="5B5017FC">
      <w:pPr>
        <w:keepNext w:val="0"/>
        <w:keepLines w:val="0"/>
        <w:widowControl/>
        <w:suppressLineNumbers w:val="0"/>
        <w:jc w:val="left"/>
        <w:rPr>
          <w:rFonts w:hint="default" w:eastAsia="宋体" w:cs="宋体" w:asciiTheme="minorAscii" w:hAnsiTheme="minorAscii"/>
          <w:b w:val="0"/>
          <w:bCs/>
          <w:kern w:val="0"/>
          <w:sz w:val="18"/>
          <w:szCs w:val="18"/>
          <w:lang w:val="en-US" w:eastAsia="zh-CN" w:bidi="ar"/>
        </w:rPr>
      </w:pPr>
      <w:r>
        <w:rPr>
          <w:rFonts w:hint="default" w:eastAsia="宋体" w:cs="宋体" w:asciiTheme="minorAscii" w:hAnsiTheme="minorAscii"/>
          <w:b w:val="0"/>
          <w:bCs/>
          <w:kern w:val="0"/>
          <w:sz w:val="18"/>
          <w:szCs w:val="18"/>
          <w:lang w:val="en-US" w:eastAsia="zh-CN" w:bidi="ar"/>
        </w:rPr>
        <w:t>[30]ZHANG Xiaoyu, XUE Xiang, ZHU Qinghua and ZHAO Yuxiang, 2023. Construction of Evaluation Indicator System and Empirical Research on Aging Adaptive Design of Mobile Government Service App. Intelligence Information Work, 44(2), pp.22-30.</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imes New Roman Light">
    <w:altName w:val="Times New Roman"/>
    <w:panose1 w:val="00000000000000000000"/>
    <w:charset w:val="00"/>
    <w:family w:val="auto"/>
    <w:pitch w:val="default"/>
    <w:sig w:usb0="00000000" w:usb1="00000000" w:usb2="00000000" w:usb3="00000000" w:csb0="00000000" w:csb1="00000000"/>
  </w:font>
  <w:font w:name="Heiti SC Light">
    <w:panose1 w:val="02000000000000000000"/>
    <w:charset w:val="86"/>
    <w:family w:val="auto"/>
    <w:pitch w:val="default"/>
    <w:sig w:usb0="8000002F" w:usb1="0800004A" w:usb2="00000000" w:usb3="00000000" w:csb0="203E0000"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503050405090304"/>
    <w:charset w:val="00"/>
    <w:family w:val="auto"/>
    <w:pitch w:val="default"/>
    <w:sig w:usb0="E0000AFF" w:usb1="00007843" w:usb2="00000001" w:usb3="00000000" w:csb0="400001BF" w:csb1="DFF70000"/>
  </w:font>
  <w:font w:name="Calibri Light">
    <w:altName w:val="Helvetica Neue"/>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FFF99AB"/>
    <w:rsid w:val="DAE24C2A"/>
    <w:rsid w:val="EFFF99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 w:type="character" w:styleId="6">
    <w:name w:val="Hyperlink"/>
    <w:basedOn w:val="4"/>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0</Words>
  <Characters>0</Characters>
  <Lines>0</Lines>
  <Paragraphs>0</Paragraphs>
  <TotalTime>60</TotalTime>
  <ScaleCrop>false</ScaleCrop>
  <LinksUpToDate>false</LinksUpToDate>
  <CharactersWithSpaces>0</CharactersWithSpaces>
  <Application>WPS Office_6.8.2.8850_F1E327BC-269C-435d-A152-05C5408002CA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2024-09-06T06:07:00Z</dcterms:created>
  <dc:creator>不高兴</dc:creator>
  <cp:lastModifiedBy>不高兴</cp:lastModifiedBy>
  <dcterms:modified xsi:type="dcterms:W3CDTF">2024-09-06T17:38:48Z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2052-6.8.2.8850</vt:lpwstr>
  </property>
  <property fmtid="{D5CDD505-2E9C-101B-9397-08002B2CF9AE}" pid="3" name="ICV">
    <vt:lpwstr>3018F426ADDCCA1B25BBD96630E7DA84_41</vt:lpwstr>
  </property>
</Properties>
</file>