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9A1636" w14:textId="77777777" w:rsidR="005B42B0" w:rsidRDefault="00754ABB" w:rsidP="00754ABB">
      <w:pPr>
        <w:spacing w:line="360" w:lineRule="auto"/>
        <w:jc w:val="center"/>
      </w:pPr>
      <w:r>
        <w:rPr>
          <w:noProof/>
        </w:rPr>
        <w:drawing>
          <wp:inline distT="0" distB="0" distL="0" distR="0" wp14:anchorId="325D23CF" wp14:editId="3A337944">
            <wp:extent cx="2686050" cy="1492250"/>
            <wp:effectExtent l="0" t="0" r="0" b="0"/>
            <wp:docPr id="2" name="Picture 2" descr="University of Wales Trinity Saint David Logo Vector - (.SV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ogo Vector - (.SVG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98895" cy="1499386"/>
                    </a:xfrm>
                    <a:prstGeom prst="rect">
                      <a:avLst/>
                    </a:prstGeom>
                    <a:noFill/>
                    <a:ln>
                      <a:noFill/>
                    </a:ln>
                  </pic:spPr>
                </pic:pic>
              </a:graphicData>
            </a:graphic>
          </wp:inline>
        </w:drawing>
      </w:r>
    </w:p>
    <w:p w14:paraId="1552DCF4" w14:textId="77777777" w:rsidR="00754ABB" w:rsidRPr="00EE01D0" w:rsidRDefault="00754ABB" w:rsidP="00754ABB">
      <w:pPr>
        <w:pStyle w:val="Title"/>
        <w:spacing w:line="360" w:lineRule="auto"/>
        <w:jc w:val="center"/>
        <w:rPr>
          <w:rFonts w:ascii="Arial" w:hAnsi="Arial" w:cs="Arial"/>
          <w:bCs/>
          <w:lang w:val="en-GB"/>
        </w:rPr>
      </w:pPr>
      <w:r w:rsidRPr="00EE01D0">
        <w:rPr>
          <w:rFonts w:ascii="Arial" w:hAnsi="Arial" w:cs="Arial"/>
          <w:bCs/>
          <w:lang w:val="en-GB"/>
        </w:rPr>
        <w:t>Preparing for Professional Police Practice</w:t>
      </w:r>
    </w:p>
    <w:p w14:paraId="26F32D1F" w14:textId="0F0A9989" w:rsidR="00754ABB" w:rsidRPr="00EE01D0" w:rsidRDefault="00754ABB" w:rsidP="00754ABB">
      <w:pPr>
        <w:spacing w:line="360" w:lineRule="auto"/>
        <w:jc w:val="center"/>
        <w:rPr>
          <w:rFonts w:ascii="Arial" w:hAnsi="Arial" w:cs="Arial"/>
        </w:rPr>
      </w:pPr>
      <w:r w:rsidRPr="00EE01D0">
        <w:rPr>
          <w:rFonts w:ascii="Arial" w:hAnsi="Arial" w:cs="Arial"/>
        </w:rPr>
        <w:t>Student Name</w:t>
      </w:r>
      <w:r w:rsidR="00EE01D0">
        <w:rPr>
          <w:rFonts w:ascii="Arial" w:hAnsi="Arial" w:cs="Arial"/>
        </w:rPr>
        <w:t>:</w:t>
      </w:r>
      <w:r w:rsidR="00214A26">
        <w:rPr>
          <w:rFonts w:ascii="Arial" w:hAnsi="Arial" w:cs="Arial"/>
        </w:rPr>
        <w:t xml:space="preserve"> Cristina Rusu</w:t>
      </w:r>
    </w:p>
    <w:p w14:paraId="5A16C5BE" w14:textId="2FC744CF" w:rsidR="00754ABB" w:rsidRPr="00EE01D0" w:rsidRDefault="00754ABB" w:rsidP="00754ABB">
      <w:pPr>
        <w:spacing w:line="360" w:lineRule="auto"/>
        <w:jc w:val="center"/>
        <w:rPr>
          <w:rFonts w:ascii="Arial" w:hAnsi="Arial" w:cs="Arial"/>
        </w:rPr>
      </w:pPr>
      <w:r w:rsidRPr="00EE01D0">
        <w:rPr>
          <w:rFonts w:ascii="Arial" w:hAnsi="Arial" w:cs="Arial"/>
        </w:rPr>
        <w:t>Student ID</w:t>
      </w:r>
      <w:r w:rsidR="00EE01D0">
        <w:rPr>
          <w:rFonts w:ascii="Arial" w:hAnsi="Arial" w:cs="Arial"/>
        </w:rPr>
        <w:t>:</w:t>
      </w:r>
      <w:r w:rsidR="00214A26">
        <w:rPr>
          <w:rFonts w:ascii="Arial" w:hAnsi="Arial" w:cs="Arial"/>
        </w:rPr>
        <w:t xml:space="preserve"> 2132015</w:t>
      </w:r>
    </w:p>
    <w:p w14:paraId="36ACEECE" w14:textId="77777777" w:rsidR="00754ABB" w:rsidRPr="00EE01D0" w:rsidRDefault="00754ABB" w:rsidP="00754ABB">
      <w:pPr>
        <w:spacing w:line="360" w:lineRule="auto"/>
        <w:jc w:val="left"/>
        <w:rPr>
          <w:rFonts w:ascii="Arial" w:hAnsi="Arial" w:cs="Arial"/>
        </w:rPr>
      </w:pPr>
    </w:p>
    <w:p w14:paraId="23521414" w14:textId="77777777" w:rsidR="00754ABB" w:rsidRPr="00EE01D0" w:rsidRDefault="00754ABB">
      <w:pPr>
        <w:jc w:val="left"/>
        <w:rPr>
          <w:rFonts w:ascii="Arial" w:hAnsi="Arial" w:cs="Arial"/>
        </w:rPr>
      </w:pPr>
      <w:r w:rsidRPr="00EE01D0">
        <w:rPr>
          <w:rFonts w:ascii="Arial" w:hAnsi="Arial" w:cs="Arial"/>
        </w:rPr>
        <w:br w:type="page"/>
      </w:r>
    </w:p>
    <w:p w14:paraId="1ED9026F" w14:textId="77777777" w:rsidR="00EE01D0" w:rsidRDefault="00EE01D0" w:rsidP="00C3611A">
      <w:pPr>
        <w:pStyle w:val="Heading1"/>
        <w:spacing w:line="360" w:lineRule="auto"/>
        <w:rPr>
          <w:rFonts w:ascii="Arial" w:hAnsi="Arial" w:cs="Arial"/>
          <w:lang w:val="en-GB"/>
        </w:rPr>
      </w:pPr>
    </w:p>
    <w:sdt>
      <w:sdtPr>
        <w:rPr>
          <w:rFonts w:ascii="Times New Roman" w:eastAsiaTheme="minorHAnsi" w:hAnsi="Times New Roman" w:cstheme="minorBidi"/>
          <w:color w:val="auto"/>
          <w:sz w:val="24"/>
          <w:szCs w:val="22"/>
        </w:rPr>
        <w:id w:val="-1980218957"/>
        <w:docPartObj>
          <w:docPartGallery w:val="Table of Contents"/>
          <w:docPartUnique/>
        </w:docPartObj>
      </w:sdtPr>
      <w:sdtEndPr>
        <w:rPr>
          <w:rFonts w:ascii="Arial" w:hAnsi="Arial" w:cs="Arial"/>
          <w:b/>
          <w:bCs/>
          <w:noProof/>
        </w:rPr>
      </w:sdtEndPr>
      <w:sdtContent>
        <w:p w14:paraId="063F1486" w14:textId="77777777" w:rsidR="00EE01D0" w:rsidRPr="00EE01D0" w:rsidRDefault="00EE01D0" w:rsidP="00EE01D0">
          <w:pPr>
            <w:pStyle w:val="TOCHeading"/>
            <w:jc w:val="center"/>
            <w:rPr>
              <w:rFonts w:ascii="Arial" w:hAnsi="Arial" w:cs="Arial"/>
              <w:b/>
              <w:color w:val="auto"/>
              <w:sz w:val="36"/>
              <w:szCs w:val="36"/>
            </w:rPr>
          </w:pPr>
          <w:r w:rsidRPr="00EE01D0">
            <w:rPr>
              <w:rFonts w:ascii="Arial" w:hAnsi="Arial" w:cs="Arial"/>
              <w:b/>
              <w:color w:val="auto"/>
              <w:sz w:val="36"/>
              <w:szCs w:val="36"/>
            </w:rPr>
            <w:t>Table of Contents</w:t>
          </w:r>
        </w:p>
        <w:p w14:paraId="3D0314FF" w14:textId="77777777" w:rsidR="00EE01D0" w:rsidRDefault="00EE01D0">
          <w:pPr>
            <w:pStyle w:val="TOC1"/>
            <w:tabs>
              <w:tab w:val="right" w:leader="dot" w:pos="9350"/>
            </w:tabs>
            <w:rPr>
              <w:rFonts w:asciiTheme="minorHAnsi" w:eastAsiaTheme="minorEastAsia" w:hAnsiTheme="minorHAnsi"/>
              <w:noProof/>
              <w:sz w:val="22"/>
            </w:rPr>
          </w:pPr>
          <w:r w:rsidRPr="00EE01D0">
            <w:rPr>
              <w:rFonts w:ascii="Arial" w:hAnsi="Arial" w:cs="Arial"/>
            </w:rPr>
            <w:fldChar w:fldCharType="begin"/>
          </w:r>
          <w:r w:rsidRPr="00EE01D0">
            <w:rPr>
              <w:rFonts w:ascii="Arial" w:hAnsi="Arial" w:cs="Arial"/>
            </w:rPr>
            <w:instrText xml:space="preserve"> TOC \o "1-3" \h \z \u </w:instrText>
          </w:r>
          <w:r w:rsidRPr="00EE01D0">
            <w:rPr>
              <w:rFonts w:ascii="Arial" w:hAnsi="Arial" w:cs="Arial"/>
            </w:rPr>
            <w:fldChar w:fldCharType="separate"/>
          </w:r>
          <w:hyperlink w:anchor="_Toc118739187" w:history="1">
            <w:r w:rsidRPr="008020E9">
              <w:rPr>
                <w:rStyle w:val="Hyperlink"/>
                <w:rFonts w:ascii="Arial" w:hAnsi="Arial" w:cs="Arial"/>
                <w:noProof/>
                <w:lang w:val="en-GB"/>
              </w:rPr>
              <w:t>Introduction</w:t>
            </w:r>
            <w:r>
              <w:rPr>
                <w:noProof/>
                <w:webHidden/>
              </w:rPr>
              <w:tab/>
            </w:r>
            <w:r>
              <w:rPr>
                <w:noProof/>
                <w:webHidden/>
              </w:rPr>
              <w:fldChar w:fldCharType="begin"/>
            </w:r>
            <w:r>
              <w:rPr>
                <w:noProof/>
                <w:webHidden/>
              </w:rPr>
              <w:instrText xml:space="preserve"> PAGEREF _Toc118739187 \h </w:instrText>
            </w:r>
            <w:r>
              <w:rPr>
                <w:noProof/>
                <w:webHidden/>
              </w:rPr>
            </w:r>
            <w:r>
              <w:rPr>
                <w:noProof/>
                <w:webHidden/>
              </w:rPr>
              <w:fldChar w:fldCharType="separate"/>
            </w:r>
            <w:r>
              <w:rPr>
                <w:noProof/>
                <w:webHidden/>
              </w:rPr>
              <w:t>3</w:t>
            </w:r>
            <w:r>
              <w:rPr>
                <w:noProof/>
                <w:webHidden/>
              </w:rPr>
              <w:fldChar w:fldCharType="end"/>
            </w:r>
          </w:hyperlink>
        </w:p>
        <w:p w14:paraId="3A495CF1" w14:textId="77777777" w:rsidR="00EE01D0" w:rsidRDefault="00000000">
          <w:pPr>
            <w:pStyle w:val="TOC1"/>
            <w:tabs>
              <w:tab w:val="right" w:leader="dot" w:pos="9350"/>
            </w:tabs>
            <w:rPr>
              <w:rFonts w:asciiTheme="minorHAnsi" w:eastAsiaTheme="minorEastAsia" w:hAnsiTheme="minorHAnsi"/>
              <w:noProof/>
              <w:sz w:val="22"/>
            </w:rPr>
          </w:pPr>
          <w:hyperlink w:anchor="_Toc118739188" w:history="1">
            <w:r w:rsidR="00EE01D0" w:rsidRPr="008020E9">
              <w:rPr>
                <w:rStyle w:val="Hyperlink"/>
                <w:noProof/>
                <w:lang w:val="en-GB"/>
              </w:rPr>
              <w:t>Main body</w:t>
            </w:r>
            <w:r w:rsidR="00EE01D0">
              <w:rPr>
                <w:noProof/>
                <w:webHidden/>
              </w:rPr>
              <w:tab/>
            </w:r>
            <w:r w:rsidR="00EE01D0">
              <w:rPr>
                <w:noProof/>
                <w:webHidden/>
              </w:rPr>
              <w:fldChar w:fldCharType="begin"/>
            </w:r>
            <w:r w:rsidR="00EE01D0">
              <w:rPr>
                <w:noProof/>
                <w:webHidden/>
              </w:rPr>
              <w:instrText xml:space="preserve"> PAGEREF _Toc118739188 \h </w:instrText>
            </w:r>
            <w:r w:rsidR="00EE01D0">
              <w:rPr>
                <w:noProof/>
                <w:webHidden/>
              </w:rPr>
            </w:r>
            <w:r w:rsidR="00EE01D0">
              <w:rPr>
                <w:noProof/>
                <w:webHidden/>
              </w:rPr>
              <w:fldChar w:fldCharType="separate"/>
            </w:r>
            <w:r w:rsidR="00EE01D0">
              <w:rPr>
                <w:noProof/>
                <w:webHidden/>
              </w:rPr>
              <w:t>4</w:t>
            </w:r>
            <w:r w:rsidR="00EE01D0">
              <w:rPr>
                <w:noProof/>
                <w:webHidden/>
              </w:rPr>
              <w:fldChar w:fldCharType="end"/>
            </w:r>
          </w:hyperlink>
        </w:p>
        <w:p w14:paraId="2B7F6F61" w14:textId="77777777" w:rsidR="00EE01D0" w:rsidRDefault="00000000">
          <w:pPr>
            <w:pStyle w:val="TOC1"/>
            <w:tabs>
              <w:tab w:val="right" w:leader="dot" w:pos="9350"/>
            </w:tabs>
            <w:rPr>
              <w:rFonts w:asciiTheme="minorHAnsi" w:eastAsiaTheme="minorEastAsia" w:hAnsiTheme="minorHAnsi"/>
              <w:noProof/>
              <w:sz w:val="22"/>
            </w:rPr>
          </w:pPr>
          <w:hyperlink w:anchor="_Toc118739189" w:history="1">
            <w:r w:rsidR="00EE01D0" w:rsidRPr="008020E9">
              <w:rPr>
                <w:rStyle w:val="Hyperlink"/>
                <w:rFonts w:ascii="Arial" w:hAnsi="Arial" w:cs="Arial"/>
                <w:noProof/>
                <w:lang w:val="en-GB"/>
              </w:rPr>
              <w:t>Conclusion</w:t>
            </w:r>
            <w:r w:rsidR="00EE01D0">
              <w:rPr>
                <w:noProof/>
                <w:webHidden/>
              </w:rPr>
              <w:tab/>
            </w:r>
            <w:r w:rsidR="00EE01D0">
              <w:rPr>
                <w:noProof/>
                <w:webHidden/>
              </w:rPr>
              <w:fldChar w:fldCharType="begin"/>
            </w:r>
            <w:r w:rsidR="00EE01D0">
              <w:rPr>
                <w:noProof/>
                <w:webHidden/>
              </w:rPr>
              <w:instrText xml:space="preserve"> PAGEREF _Toc118739189 \h </w:instrText>
            </w:r>
            <w:r w:rsidR="00EE01D0">
              <w:rPr>
                <w:noProof/>
                <w:webHidden/>
              </w:rPr>
            </w:r>
            <w:r w:rsidR="00EE01D0">
              <w:rPr>
                <w:noProof/>
                <w:webHidden/>
              </w:rPr>
              <w:fldChar w:fldCharType="separate"/>
            </w:r>
            <w:r w:rsidR="00EE01D0">
              <w:rPr>
                <w:noProof/>
                <w:webHidden/>
              </w:rPr>
              <w:t>9</w:t>
            </w:r>
            <w:r w:rsidR="00EE01D0">
              <w:rPr>
                <w:noProof/>
                <w:webHidden/>
              </w:rPr>
              <w:fldChar w:fldCharType="end"/>
            </w:r>
          </w:hyperlink>
        </w:p>
        <w:p w14:paraId="52E0B04F" w14:textId="77777777" w:rsidR="00EE01D0" w:rsidRDefault="00000000">
          <w:pPr>
            <w:pStyle w:val="TOC1"/>
            <w:tabs>
              <w:tab w:val="right" w:leader="dot" w:pos="9350"/>
            </w:tabs>
            <w:rPr>
              <w:rFonts w:asciiTheme="minorHAnsi" w:eastAsiaTheme="minorEastAsia" w:hAnsiTheme="minorHAnsi"/>
              <w:noProof/>
              <w:sz w:val="22"/>
            </w:rPr>
          </w:pPr>
          <w:hyperlink w:anchor="_Toc118739190" w:history="1">
            <w:r w:rsidR="00EE01D0" w:rsidRPr="008020E9">
              <w:rPr>
                <w:rStyle w:val="Hyperlink"/>
                <w:rFonts w:ascii="Arial" w:hAnsi="Arial" w:cs="Arial"/>
                <w:noProof/>
              </w:rPr>
              <w:t>References</w:t>
            </w:r>
            <w:r w:rsidR="00EE01D0">
              <w:rPr>
                <w:noProof/>
                <w:webHidden/>
              </w:rPr>
              <w:tab/>
            </w:r>
            <w:r w:rsidR="00EE01D0">
              <w:rPr>
                <w:noProof/>
                <w:webHidden/>
              </w:rPr>
              <w:fldChar w:fldCharType="begin"/>
            </w:r>
            <w:r w:rsidR="00EE01D0">
              <w:rPr>
                <w:noProof/>
                <w:webHidden/>
              </w:rPr>
              <w:instrText xml:space="preserve"> PAGEREF _Toc118739190 \h </w:instrText>
            </w:r>
            <w:r w:rsidR="00EE01D0">
              <w:rPr>
                <w:noProof/>
                <w:webHidden/>
              </w:rPr>
            </w:r>
            <w:r w:rsidR="00EE01D0">
              <w:rPr>
                <w:noProof/>
                <w:webHidden/>
              </w:rPr>
              <w:fldChar w:fldCharType="separate"/>
            </w:r>
            <w:r w:rsidR="00EE01D0">
              <w:rPr>
                <w:noProof/>
                <w:webHidden/>
              </w:rPr>
              <w:t>10</w:t>
            </w:r>
            <w:r w:rsidR="00EE01D0">
              <w:rPr>
                <w:noProof/>
                <w:webHidden/>
              </w:rPr>
              <w:fldChar w:fldCharType="end"/>
            </w:r>
          </w:hyperlink>
        </w:p>
        <w:p w14:paraId="10D898E6" w14:textId="77777777" w:rsidR="00EE01D0" w:rsidRPr="00EE01D0" w:rsidRDefault="00EE01D0">
          <w:pPr>
            <w:rPr>
              <w:rFonts w:ascii="Arial" w:hAnsi="Arial" w:cs="Arial"/>
            </w:rPr>
          </w:pPr>
          <w:r w:rsidRPr="00EE01D0">
            <w:rPr>
              <w:rFonts w:ascii="Arial" w:hAnsi="Arial" w:cs="Arial"/>
              <w:b/>
              <w:bCs/>
              <w:noProof/>
            </w:rPr>
            <w:fldChar w:fldCharType="end"/>
          </w:r>
        </w:p>
      </w:sdtContent>
    </w:sdt>
    <w:p w14:paraId="606E6CFF" w14:textId="77777777" w:rsidR="00EE01D0" w:rsidRDefault="00EE01D0" w:rsidP="00C3611A">
      <w:pPr>
        <w:pStyle w:val="Heading1"/>
        <w:spacing w:line="360" w:lineRule="auto"/>
        <w:rPr>
          <w:rFonts w:ascii="Arial" w:hAnsi="Arial" w:cs="Arial"/>
          <w:lang w:val="en-GB"/>
        </w:rPr>
      </w:pPr>
    </w:p>
    <w:p w14:paraId="07584A62" w14:textId="77777777" w:rsidR="00EE01D0" w:rsidRDefault="00EE01D0" w:rsidP="00C3611A">
      <w:pPr>
        <w:pStyle w:val="Heading1"/>
        <w:spacing w:line="360" w:lineRule="auto"/>
        <w:rPr>
          <w:rFonts w:ascii="Arial" w:hAnsi="Arial" w:cs="Arial"/>
          <w:lang w:val="en-GB"/>
        </w:rPr>
      </w:pPr>
    </w:p>
    <w:p w14:paraId="612A399D" w14:textId="77777777" w:rsidR="00EE01D0" w:rsidRDefault="00EE01D0" w:rsidP="00C3611A">
      <w:pPr>
        <w:pStyle w:val="Heading1"/>
        <w:spacing w:line="360" w:lineRule="auto"/>
        <w:rPr>
          <w:rFonts w:ascii="Arial" w:hAnsi="Arial" w:cs="Arial"/>
          <w:lang w:val="en-GB"/>
        </w:rPr>
      </w:pPr>
    </w:p>
    <w:p w14:paraId="2BF115BA" w14:textId="77777777" w:rsidR="00EE01D0" w:rsidRDefault="00EE01D0" w:rsidP="00C3611A">
      <w:pPr>
        <w:pStyle w:val="Heading1"/>
        <w:spacing w:line="360" w:lineRule="auto"/>
        <w:rPr>
          <w:rFonts w:ascii="Arial" w:hAnsi="Arial" w:cs="Arial"/>
          <w:lang w:val="en-GB"/>
        </w:rPr>
      </w:pPr>
    </w:p>
    <w:p w14:paraId="5ADB444E" w14:textId="77777777" w:rsidR="00EE01D0" w:rsidRDefault="00EE01D0" w:rsidP="00C3611A">
      <w:pPr>
        <w:pStyle w:val="Heading1"/>
        <w:spacing w:line="360" w:lineRule="auto"/>
        <w:rPr>
          <w:rFonts w:ascii="Arial" w:hAnsi="Arial" w:cs="Arial"/>
          <w:lang w:val="en-GB"/>
        </w:rPr>
      </w:pPr>
    </w:p>
    <w:p w14:paraId="28D845F8" w14:textId="77777777" w:rsidR="00EE01D0" w:rsidRDefault="00EE01D0" w:rsidP="00C3611A">
      <w:pPr>
        <w:pStyle w:val="Heading1"/>
        <w:spacing w:line="360" w:lineRule="auto"/>
        <w:rPr>
          <w:rFonts w:ascii="Arial" w:hAnsi="Arial" w:cs="Arial"/>
          <w:lang w:val="en-GB"/>
        </w:rPr>
      </w:pPr>
    </w:p>
    <w:p w14:paraId="0C010893" w14:textId="77777777" w:rsidR="00EE01D0" w:rsidRDefault="00EE01D0" w:rsidP="00C3611A">
      <w:pPr>
        <w:pStyle w:val="Heading1"/>
        <w:spacing w:line="360" w:lineRule="auto"/>
        <w:rPr>
          <w:rFonts w:ascii="Arial" w:hAnsi="Arial" w:cs="Arial"/>
          <w:lang w:val="en-GB"/>
        </w:rPr>
      </w:pPr>
    </w:p>
    <w:p w14:paraId="1EB29BD6" w14:textId="77777777" w:rsidR="00EE01D0" w:rsidRDefault="00EE01D0" w:rsidP="00C3611A">
      <w:pPr>
        <w:pStyle w:val="Heading1"/>
        <w:spacing w:line="360" w:lineRule="auto"/>
        <w:rPr>
          <w:rFonts w:ascii="Arial" w:hAnsi="Arial" w:cs="Arial"/>
          <w:lang w:val="en-GB"/>
        </w:rPr>
      </w:pPr>
    </w:p>
    <w:p w14:paraId="45112F91" w14:textId="77777777" w:rsidR="00EE01D0" w:rsidRDefault="00EE01D0" w:rsidP="00C3611A">
      <w:pPr>
        <w:pStyle w:val="Heading1"/>
        <w:spacing w:line="360" w:lineRule="auto"/>
        <w:rPr>
          <w:rFonts w:ascii="Arial" w:hAnsi="Arial" w:cs="Arial"/>
          <w:lang w:val="en-GB"/>
        </w:rPr>
      </w:pPr>
    </w:p>
    <w:p w14:paraId="3F5AAAD0" w14:textId="77777777" w:rsidR="00EE01D0" w:rsidRDefault="00EE01D0" w:rsidP="00EE01D0">
      <w:pPr>
        <w:rPr>
          <w:lang w:val="en-GB"/>
        </w:rPr>
      </w:pPr>
    </w:p>
    <w:p w14:paraId="1457BEF0" w14:textId="77777777" w:rsidR="00EE01D0" w:rsidRPr="00EE01D0" w:rsidRDefault="00EE01D0" w:rsidP="00EE01D0">
      <w:pPr>
        <w:rPr>
          <w:lang w:val="en-GB"/>
        </w:rPr>
      </w:pPr>
    </w:p>
    <w:p w14:paraId="0544BAB5" w14:textId="77777777" w:rsidR="00754ABB" w:rsidRPr="00EE01D0" w:rsidRDefault="00754ABB" w:rsidP="00C3611A">
      <w:pPr>
        <w:pStyle w:val="Heading1"/>
        <w:spacing w:line="360" w:lineRule="auto"/>
        <w:rPr>
          <w:rFonts w:ascii="Arial" w:hAnsi="Arial" w:cs="Arial"/>
          <w:lang w:val="en-GB"/>
        </w:rPr>
      </w:pPr>
      <w:bookmarkStart w:id="0" w:name="_Toc118739187"/>
      <w:r w:rsidRPr="00EE01D0">
        <w:rPr>
          <w:rFonts w:ascii="Arial" w:hAnsi="Arial" w:cs="Arial"/>
          <w:lang w:val="en-GB"/>
        </w:rPr>
        <w:lastRenderedPageBreak/>
        <w:t>Introduction</w:t>
      </w:r>
      <w:bookmarkEnd w:id="0"/>
      <w:r w:rsidRPr="00EE01D0">
        <w:rPr>
          <w:rFonts w:ascii="Arial" w:hAnsi="Arial" w:cs="Arial"/>
          <w:lang w:val="en-GB"/>
        </w:rPr>
        <w:t xml:space="preserve"> </w:t>
      </w:r>
    </w:p>
    <w:p w14:paraId="38BB6A1A" w14:textId="77777777" w:rsidR="008F1EFE" w:rsidRPr="00EE01D0" w:rsidRDefault="008F1EFE" w:rsidP="00EE01D0">
      <w:pPr>
        <w:spacing w:line="480" w:lineRule="auto"/>
        <w:rPr>
          <w:rFonts w:ascii="Arial" w:hAnsi="Arial" w:cs="Arial"/>
          <w:lang w:val="en-GB"/>
        </w:rPr>
      </w:pPr>
      <w:r w:rsidRPr="00EE01D0">
        <w:rPr>
          <w:rFonts w:ascii="Arial" w:hAnsi="Arial" w:cs="Arial"/>
          <w:lang w:val="en-GB"/>
        </w:rPr>
        <w:t xml:space="preserve">In this essay, we are trying to explain </w:t>
      </w:r>
      <w:r w:rsidR="00C3611A" w:rsidRPr="00EE01D0">
        <w:rPr>
          <w:rFonts w:ascii="Arial" w:hAnsi="Arial" w:cs="Arial"/>
          <w:lang w:val="en-GB"/>
        </w:rPr>
        <w:t>that</w:t>
      </w:r>
      <w:r w:rsidRPr="00EE01D0">
        <w:rPr>
          <w:rFonts w:ascii="Arial" w:hAnsi="Arial" w:cs="Arial"/>
          <w:lang w:val="en-GB"/>
        </w:rPr>
        <w:t xml:space="preserve"> policing by consent the main organising principle for policing in Britain has been monitoring by consent. This means that rather than enforcing order only via the use of force, the police depend on their credibility on possessing the public's trust. However, it might be difficult for those who are accustomed to experiencing police brutality and having police authority used to harm them to understand why their permission is important.</w:t>
      </w:r>
    </w:p>
    <w:p w14:paraId="08E231B4" w14:textId="77777777" w:rsidR="00754ABB" w:rsidRPr="00EE01D0" w:rsidRDefault="00754ABB" w:rsidP="00754ABB">
      <w:pPr>
        <w:rPr>
          <w:rFonts w:ascii="Arial" w:hAnsi="Arial" w:cs="Arial"/>
          <w:lang w:val="en-GB"/>
        </w:rPr>
      </w:pPr>
    </w:p>
    <w:p w14:paraId="68997A17" w14:textId="77777777" w:rsidR="00754ABB" w:rsidRPr="00EE01D0" w:rsidRDefault="00754ABB">
      <w:pPr>
        <w:jc w:val="left"/>
        <w:rPr>
          <w:rFonts w:ascii="Arial" w:hAnsi="Arial" w:cs="Arial"/>
          <w:lang w:val="en-GB"/>
        </w:rPr>
      </w:pPr>
      <w:r w:rsidRPr="00EE01D0">
        <w:rPr>
          <w:rFonts w:ascii="Arial" w:hAnsi="Arial" w:cs="Arial"/>
          <w:lang w:val="en-GB"/>
        </w:rPr>
        <w:br w:type="page"/>
      </w:r>
    </w:p>
    <w:p w14:paraId="62EDAAEE" w14:textId="77777777" w:rsidR="00EE01D0" w:rsidRDefault="00EE01D0" w:rsidP="00EE01D0">
      <w:pPr>
        <w:pStyle w:val="Heading1"/>
        <w:spacing w:line="480" w:lineRule="auto"/>
        <w:rPr>
          <w:lang w:val="en-GB"/>
        </w:rPr>
      </w:pPr>
      <w:bookmarkStart w:id="1" w:name="_Toc118739188"/>
      <w:r>
        <w:rPr>
          <w:lang w:val="en-GB"/>
        </w:rPr>
        <w:lastRenderedPageBreak/>
        <w:t>Main body</w:t>
      </w:r>
      <w:bookmarkEnd w:id="1"/>
    </w:p>
    <w:p w14:paraId="52C35FDA" w14:textId="77777777" w:rsidR="00754ABB" w:rsidRPr="00EE01D0" w:rsidRDefault="00754ABB" w:rsidP="00EE01D0">
      <w:pPr>
        <w:spacing w:line="480" w:lineRule="auto"/>
        <w:rPr>
          <w:rFonts w:ascii="Arial" w:hAnsi="Arial" w:cs="Arial"/>
          <w:b/>
          <w:lang w:val="en-GB"/>
        </w:rPr>
      </w:pPr>
      <w:r w:rsidRPr="00EE01D0">
        <w:rPr>
          <w:rFonts w:ascii="Arial" w:hAnsi="Arial" w:cs="Arial"/>
          <w:b/>
          <w:lang w:val="en-GB"/>
        </w:rPr>
        <w:t xml:space="preserve">Examine the importance of </w:t>
      </w:r>
      <w:r w:rsidRPr="00EE01D0">
        <w:rPr>
          <w:rFonts w:ascii="Arial" w:hAnsi="Arial" w:cs="Arial"/>
          <w:b/>
          <w:i/>
          <w:iCs/>
          <w:lang w:val="en-GB"/>
        </w:rPr>
        <w:t xml:space="preserve">policing by </w:t>
      </w:r>
      <w:r w:rsidR="00C513BE" w:rsidRPr="00EE01D0">
        <w:rPr>
          <w:rFonts w:ascii="Arial" w:hAnsi="Arial" w:cs="Arial"/>
          <w:b/>
          <w:i/>
          <w:iCs/>
          <w:lang w:val="en-GB"/>
        </w:rPr>
        <w:t xml:space="preserve">consent </w:t>
      </w:r>
      <w:r w:rsidRPr="00EE01D0">
        <w:rPr>
          <w:rFonts w:ascii="Arial" w:hAnsi="Arial" w:cs="Arial"/>
          <w:b/>
          <w:lang w:val="en-GB"/>
        </w:rPr>
        <w:t>and the impact it has upon a modern-day police service</w:t>
      </w:r>
    </w:p>
    <w:p w14:paraId="2C40FD8C" w14:textId="77777777" w:rsidR="00754ABB" w:rsidRPr="00EE01D0" w:rsidRDefault="00754ABB" w:rsidP="00EE01D0">
      <w:pPr>
        <w:spacing w:line="480" w:lineRule="auto"/>
        <w:rPr>
          <w:rFonts w:ascii="Arial" w:hAnsi="Arial" w:cs="Arial"/>
          <w:lang w:val="en-GB"/>
        </w:rPr>
      </w:pPr>
      <w:r w:rsidRPr="00EE01D0">
        <w:rPr>
          <w:rFonts w:ascii="Arial" w:hAnsi="Arial" w:cs="Arial"/>
          <w:lang w:val="en-GB"/>
        </w:rPr>
        <w:t>Not everyone enjoys being under surveillance. This is not something that even the government pretends to be. According to the Home Office website, "it does not indicate the permission of a person." No one has the right to decide to stop cooperating with the police or the law. It should be highlighted that it relates to the jurisdiction of the police originating from the general consent of the population, the Home Office asserts. When we discuss what "the public" wants, we treat everyone as a single, homogenised group. When all people are referred to as "the public" or "the people," differences, conflicts, and conflicting interests among them are ignored. It's vital to understand that this consent may not necessarily be the result of favourable emotions toward the police. It is frequently not even given a lot of thought; people continue to consent to it because they assume they are going to be policed. Consent may also manifest in more banal ways, such as voting for politicians that pledge to enhance enforcement or making arrests and reinforcing the assumption that we will all respect the law. Even inactivity can ass</w:t>
      </w:r>
      <w:r w:rsidR="00C3611A" w:rsidRPr="00EE01D0">
        <w:rPr>
          <w:rFonts w:ascii="Arial" w:hAnsi="Arial" w:cs="Arial"/>
          <w:lang w:val="en-GB"/>
        </w:rPr>
        <w:t>ist in this showing information (Torrible, 2022).</w:t>
      </w:r>
    </w:p>
    <w:p w14:paraId="544BA50C" w14:textId="77777777" w:rsidR="00C513BE" w:rsidRPr="00EE01D0" w:rsidRDefault="00C513BE" w:rsidP="00EE01D0">
      <w:pPr>
        <w:spacing w:line="480" w:lineRule="auto"/>
        <w:rPr>
          <w:rFonts w:ascii="Arial" w:hAnsi="Arial" w:cs="Arial"/>
          <w:lang w:val="en-GB"/>
        </w:rPr>
      </w:pPr>
      <w:r w:rsidRPr="00EE01D0">
        <w:rPr>
          <w:rFonts w:ascii="Arial" w:hAnsi="Arial" w:cs="Arial"/>
          <w:lang w:val="en-GB"/>
        </w:rPr>
        <w:t xml:space="preserve">The general populace does not support the police because they genuinely adore dictatorship or due to their utterly ignorant of what the police do. There are deeper, more basic justifications for public acceptance that come from how capitalism is structured. In a society where the property is fully owned, a secure lifestyle is not a given, much less a </w:t>
      </w:r>
      <w:r w:rsidRPr="00EE01D0">
        <w:rPr>
          <w:rFonts w:ascii="Arial" w:hAnsi="Arial" w:cs="Arial"/>
          <w:lang w:val="en-GB"/>
        </w:rPr>
        <w:lastRenderedPageBreak/>
        <w:t>pleasant or fulfilling one, and individuals can only have access to the necessities of life if they are wealthy enough. Trouble results from this among</w:t>
      </w:r>
      <w:r w:rsidR="004514F4" w:rsidRPr="00EE01D0">
        <w:rPr>
          <w:rFonts w:ascii="Arial" w:hAnsi="Arial" w:cs="Arial"/>
          <w:lang w:val="en-GB"/>
        </w:rPr>
        <w:t xml:space="preserve"> individuals (Greener, 2021).</w:t>
      </w:r>
    </w:p>
    <w:p w14:paraId="7507983F" w14:textId="77777777" w:rsidR="00C513BE" w:rsidRPr="00EE01D0" w:rsidRDefault="00261E83" w:rsidP="00EE01D0">
      <w:pPr>
        <w:spacing w:line="480" w:lineRule="auto"/>
        <w:rPr>
          <w:rFonts w:ascii="Arial" w:hAnsi="Arial" w:cs="Arial"/>
          <w:lang w:val="en-GB"/>
        </w:rPr>
      </w:pPr>
      <w:r w:rsidRPr="00EE01D0">
        <w:rPr>
          <w:rFonts w:ascii="Arial" w:hAnsi="Arial" w:cs="Arial"/>
          <w:lang w:val="en-GB"/>
        </w:rPr>
        <w:t xml:space="preserve">People essentially have no choice but to depend on the protection provided by the government when threatened with violence or losing their assets. By creating citizens who require the police, capitalism creates its subjects. The state exists to impose order and make sure that this conflict is settled on its grounds since people are made into autonomous individuals and driven into rivalry with one another (i.e. through its criminal justice system and civil courts). People are made reliant to preserve power; state control is not only enforced from above but also demanded from below. Participation in a capitalist society requires consent to be kept in check. People can only have access to the necessities of life when they possess the appropriate financial means in a society where the property is privately held, and neither a secure nor pleasurable or rewarding existence is guaranteed. People start to argue over this. People essentially have no choice but to rely upon that protection provided by the state when threatened with </w:t>
      </w:r>
      <w:r w:rsidR="00C3611A" w:rsidRPr="00EE01D0">
        <w:rPr>
          <w:rFonts w:ascii="Arial" w:hAnsi="Arial" w:cs="Arial"/>
          <w:lang w:val="en-GB"/>
        </w:rPr>
        <w:t>violence or losing their assets (Shannon, 2022).</w:t>
      </w:r>
    </w:p>
    <w:p w14:paraId="3F688F64" w14:textId="77777777" w:rsidR="00261E83" w:rsidRPr="00EE01D0" w:rsidRDefault="00261E83" w:rsidP="00EE01D0">
      <w:pPr>
        <w:spacing w:line="480" w:lineRule="auto"/>
        <w:rPr>
          <w:rFonts w:ascii="Arial" w:hAnsi="Arial" w:cs="Arial"/>
          <w:lang w:val="en-GB"/>
        </w:rPr>
      </w:pPr>
      <w:r w:rsidRPr="00EE01D0">
        <w:rPr>
          <w:rFonts w:ascii="Arial" w:hAnsi="Arial" w:cs="Arial"/>
          <w:lang w:val="en-GB"/>
        </w:rPr>
        <w:t>Restoring trust in the police</w:t>
      </w:r>
    </w:p>
    <w:p w14:paraId="2951B563" w14:textId="77777777" w:rsidR="00261E83" w:rsidRPr="00EE01D0" w:rsidRDefault="00261E83" w:rsidP="00EE01D0">
      <w:pPr>
        <w:spacing w:line="480" w:lineRule="auto"/>
        <w:rPr>
          <w:rFonts w:ascii="Arial" w:hAnsi="Arial" w:cs="Arial"/>
          <w:lang w:val="en-GB"/>
        </w:rPr>
      </w:pPr>
      <w:r w:rsidRPr="00EE01D0">
        <w:rPr>
          <w:rFonts w:ascii="Arial" w:hAnsi="Arial" w:cs="Arial"/>
          <w:lang w:val="en-GB"/>
        </w:rPr>
        <w:t xml:space="preserve">This dependence is reciprocal. The state's assertion that permission is at the core of its enforcement is an acknowledgement that its control is predicated on the consent of the population it is tasked with regulating. Despite the aforementioned dynamics, the police must constantly fight for the public's permission and cannot take it lightly. At a cost of tens of millions a year, the Metro Police Service runs a specialised public relations division called the Department of Mass Communication, which manages more than 600 Twitter Page accounts in addition to press relations. Each shocking incident of police brutality </w:t>
      </w:r>
      <w:r w:rsidRPr="00EE01D0">
        <w:rPr>
          <w:rFonts w:ascii="Arial" w:hAnsi="Arial" w:cs="Arial"/>
          <w:lang w:val="en-GB"/>
        </w:rPr>
        <w:lastRenderedPageBreak/>
        <w:t xml:space="preserve">that makes the news is preceded by a new round of pledges to "restore faith in the police" and "rebuild the connection between the law enforcement and the communities" as part of the effort to cultivate consent. </w:t>
      </w:r>
      <w:r w:rsidR="008F1EFE" w:rsidRPr="00EE01D0">
        <w:rPr>
          <w:rFonts w:ascii="Arial" w:hAnsi="Arial" w:cs="Arial"/>
          <w:lang w:val="en-GB"/>
        </w:rPr>
        <w:t>The basic dignity approach to police, however, expands beyond this triangular duty and incorporates the values of involvement, responsibility, non-discrimination, awareness of vulnerability, links to humanitarian law, accessibility to public authorities, e</w:t>
      </w:r>
      <w:r w:rsidR="00C3611A" w:rsidRPr="00EE01D0">
        <w:rPr>
          <w:rFonts w:ascii="Arial" w:hAnsi="Arial" w:cs="Arial"/>
          <w:lang w:val="en-GB"/>
        </w:rPr>
        <w:t>quality, and gender sensitivity (Dekker, 2018).</w:t>
      </w:r>
    </w:p>
    <w:p w14:paraId="3EA86A6F" w14:textId="77777777" w:rsidR="00261E83" w:rsidRPr="00EE01D0" w:rsidRDefault="00261E83" w:rsidP="00EE01D0">
      <w:pPr>
        <w:spacing w:line="480" w:lineRule="auto"/>
        <w:rPr>
          <w:rFonts w:ascii="Arial" w:hAnsi="Arial" w:cs="Arial"/>
          <w:lang w:val="en-GB"/>
        </w:rPr>
      </w:pPr>
      <w:r w:rsidRPr="00EE01D0">
        <w:rPr>
          <w:rFonts w:ascii="Arial" w:hAnsi="Arial" w:cs="Arial"/>
          <w:lang w:val="en-GB"/>
        </w:rPr>
        <w:t>The goal of conversations on police racism is to foster consent. Even if in theory police are not an invading force, there are places where this is the case. In these places, when nothing is done to portray the police as an outgrowth of the community they are policing, there are communities whose agreement is usually not sought. Being removed from the general public to whom the police appeal and instead being recast as the risk from which the general public wants to be safeguarded by the police is one manifestation that societal and political irrelevance takes. However, this exclusion may not always be the best strategy for establishing state dominance. People are coming under state control by being made available to the public and asked to give their approval to the police. When it states that police should provide "friendliness to all individuals in the community without consideration to their income or social status," Reith's list establishes a basic notion of fairness without making any explicit racial references. The police spend a lot of time and money trying to win the cooperation and affection of the same p</w:t>
      </w:r>
      <w:r w:rsidR="00C3611A" w:rsidRPr="00EE01D0">
        <w:rPr>
          <w:rFonts w:ascii="Arial" w:hAnsi="Arial" w:cs="Arial"/>
          <w:lang w:val="en-GB"/>
        </w:rPr>
        <w:t>ersons they most brutally abuse (O'Brien, and Tyler, 2019).</w:t>
      </w:r>
    </w:p>
    <w:p w14:paraId="5E080B80" w14:textId="77777777" w:rsidR="00261E83" w:rsidRPr="00EE01D0" w:rsidRDefault="00261E83" w:rsidP="00EE01D0">
      <w:pPr>
        <w:spacing w:line="480" w:lineRule="auto"/>
        <w:rPr>
          <w:rFonts w:ascii="Arial" w:hAnsi="Arial" w:cs="Arial"/>
          <w:lang w:val="en-GB"/>
        </w:rPr>
      </w:pPr>
      <w:r w:rsidRPr="00EE01D0">
        <w:rPr>
          <w:rFonts w:ascii="Arial" w:hAnsi="Arial" w:cs="Arial"/>
          <w:lang w:val="en-GB"/>
        </w:rPr>
        <w:t xml:space="preserve">When police racism threatens to lose public support, it is considered an issue. The police have just as much incentive to downplay racism as it does to combat it since public acceptance is the first goal. Not because she can demonstrate that the term "institutionally </w:t>
      </w:r>
      <w:r w:rsidRPr="00EE01D0">
        <w:rPr>
          <w:rFonts w:ascii="Arial" w:hAnsi="Arial" w:cs="Arial"/>
          <w:lang w:val="en-GB"/>
        </w:rPr>
        <w:lastRenderedPageBreak/>
        <w:t>racist" does not applicable, but because, in her words, "it prevents individuals from wanting to offer us information, evidence, come and join us, and engage with us," Commissioner Cressida Dick has advocated against it</w:t>
      </w:r>
      <w:r w:rsidR="00C3611A" w:rsidRPr="00EE01D0">
        <w:rPr>
          <w:rFonts w:ascii="Arial" w:hAnsi="Arial" w:cs="Arial"/>
          <w:lang w:val="en-GB"/>
        </w:rPr>
        <w:t>s usage to characterise the Met (McLean, 2021).</w:t>
      </w:r>
    </w:p>
    <w:p w14:paraId="75AE0BE8" w14:textId="77777777" w:rsidR="00261E83" w:rsidRPr="00EE01D0" w:rsidRDefault="00261E83" w:rsidP="00EE01D0">
      <w:pPr>
        <w:spacing w:line="480" w:lineRule="auto"/>
        <w:rPr>
          <w:rFonts w:ascii="Arial" w:hAnsi="Arial" w:cs="Arial"/>
          <w:lang w:val="en-GB"/>
        </w:rPr>
      </w:pPr>
      <w:r w:rsidRPr="00EE01D0">
        <w:rPr>
          <w:rFonts w:ascii="Arial" w:hAnsi="Arial" w:cs="Arial"/>
          <w:lang w:val="en-GB"/>
        </w:rPr>
        <w:t>Police officers have a wide variety of duties and authority, including the use of force, the arrest and custody of suspects or criminals, covert surveillance to conduct the purpose of conducting investigations, as well as entrance, search, and seizure. Police officers are granted a great deal of latitude while using such powers. Human rights may b</w:t>
      </w:r>
      <w:r w:rsidR="00EE01D0">
        <w:rPr>
          <w:rFonts w:ascii="Arial" w:hAnsi="Arial" w:cs="Arial"/>
          <w:lang w:val="en-GB"/>
        </w:rPr>
        <w:t>e seriously violated because</w:t>
      </w:r>
      <w:r w:rsidRPr="00EE01D0">
        <w:rPr>
          <w:rFonts w:ascii="Arial" w:hAnsi="Arial" w:cs="Arial"/>
          <w:lang w:val="en-GB"/>
        </w:rPr>
        <w:t xml:space="preserve"> police use their authority in a way that goes against the laws, the public's safety, and what is reasonable and necessary. Examples include the arbitrarily chosen and illegal use of force by the authorities that results in the violation of a person's to life; arbitrary detention that violates the right to be secure; an unnecessary medical examination while under detained that violates the autonomy from ill-treatment; an unnecessary implementation of </w:t>
      </w:r>
      <w:r w:rsidR="008F1EFE" w:rsidRPr="00EE01D0">
        <w:rPr>
          <w:rFonts w:ascii="Arial" w:hAnsi="Arial" w:cs="Arial"/>
          <w:lang w:val="en-GB"/>
        </w:rPr>
        <w:t>prevention</w:t>
      </w:r>
      <w:r w:rsidRPr="00EE01D0">
        <w:rPr>
          <w:rFonts w:ascii="Arial" w:hAnsi="Arial" w:cs="Arial"/>
          <w:lang w:val="en-GB"/>
        </w:rPr>
        <w:t xml:space="preserve"> procedures in religious minority societies that </w:t>
      </w:r>
      <w:r w:rsidR="008F1EFE" w:rsidRPr="00EE01D0">
        <w:rPr>
          <w:rFonts w:ascii="Arial" w:hAnsi="Arial" w:cs="Arial"/>
          <w:lang w:val="en-GB"/>
        </w:rPr>
        <w:t>violate</w:t>
      </w:r>
      <w:r w:rsidRPr="00EE01D0">
        <w:rPr>
          <w:rFonts w:ascii="Arial" w:hAnsi="Arial" w:cs="Arial"/>
          <w:lang w:val="en-GB"/>
        </w:rPr>
        <w:t xml:space="preserve"> the right to non-discrimination; and random actions in the assembling and maintenance of information. Such invasive police capabilities and their potential to result in human rights breaches are subjects of serious discussion. The preservation of individual rights, however, may be threatened by other police authorities and duties that are more procedural and often not as well investigated. For instance, police services are in charge of handling and keeping a diverse range of administrative documents, such as registrations of delivery locations or drunken driving, in addition to overseeing </w:t>
      </w:r>
      <w:r w:rsidR="00C3611A" w:rsidRPr="00EE01D0">
        <w:rPr>
          <w:rFonts w:ascii="Arial" w:hAnsi="Arial" w:cs="Arial"/>
          <w:lang w:val="en-GB"/>
        </w:rPr>
        <w:t>and preserving criminal records (</w:t>
      </w:r>
      <w:r w:rsidR="004514F4" w:rsidRPr="00EE01D0">
        <w:rPr>
          <w:rFonts w:ascii="Arial" w:hAnsi="Arial" w:cs="Arial"/>
          <w:lang w:val="en-GB"/>
        </w:rPr>
        <w:t>Torres, 2017).</w:t>
      </w:r>
    </w:p>
    <w:p w14:paraId="310BBE64" w14:textId="77777777" w:rsidR="00261E83" w:rsidRPr="00EE01D0" w:rsidRDefault="00261E83" w:rsidP="00EE01D0">
      <w:pPr>
        <w:spacing w:line="480" w:lineRule="auto"/>
        <w:rPr>
          <w:rFonts w:ascii="Arial" w:hAnsi="Arial" w:cs="Arial"/>
          <w:lang w:val="en-GB"/>
        </w:rPr>
      </w:pPr>
      <w:r w:rsidRPr="00EE01D0">
        <w:rPr>
          <w:rFonts w:ascii="Arial" w:hAnsi="Arial" w:cs="Arial"/>
          <w:lang w:val="en-GB"/>
        </w:rPr>
        <w:lastRenderedPageBreak/>
        <w:t xml:space="preserve">For instance, there would be substantial threats to the right to confidentiality and the protection of personal information if police agencies shared information on residences and the ownership of guns with the domestic and international intelligence community without the required legislative framework and justification. Therefore, it is crucial that all facets of police, from the most invasive enforcement to the most common administrative jobs, be governed by laws and honesty standards to guarantee accountability. </w:t>
      </w:r>
      <w:r w:rsidR="008F1EFE" w:rsidRPr="00EE01D0">
        <w:rPr>
          <w:rFonts w:ascii="Arial" w:hAnsi="Arial" w:cs="Arial"/>
          <w:lang w:val="en-GB"/>
        </w:rPr>
        <w:t xml:space="preserve">Democratic societies have been debating the need for a more thorough accountability system that does not only focus on the individual but also keeps an eye on the laws, police departments policies, HR management techniques, and professional and organisational culture of the police agencies that may have permitted misconduct as the doctrines of democratic policing have gained a foothold over the last two decades. Instead of only responding ex-post to an occurrence, such a strategy for accountability offers a comprehensive perspective by assessing at before, </w:t>
      </w:r>
      <w:r w:rsidR="004514F4" w:rsidRPr="00EE01D0">
        <w:rPr>
          <w:rFonts w:ascii="Arial" w:hAnsi="Arial" w:cs="Arial"/>
          <w:lang w:val="en-GB"/>
        </w:rPr>
        <w:t>during, and after a police raid (KUNJAPPAN, 2017).</w:t>
      </w:r>
    </w:p>
    <w:p w14:paraId="2A93C697" w14:textId="77777777" w:rsidR="008F1EFE" w:rsidRPr="00EE01D0" w:rsidRDefault="008F1EFE" w:rsidP="00EE01D0">
      <w:pPr>
        <w:spacing w:line="480" w:lineRule="auto"/>
        <w:rPr>
          <w:rFonts w:ascii="Arial" w:hAnsi="Arial" w:cs="Arial"/>
          <w:lang w:val="en-GB"/>
        </w:rPr>
      </w:pPr>
    </w:p>
    <w:p w14:paraId="0236548B" w14:textId="77777777" w:rsidR="00754ABB" w:rsidRPr="00EE01D0" w:rsidRDefault="00754ABB" w:rsidP="00EE01D0">
      <w:pPr>
        <w:spacing w:line="480" w:lineRule="auto"/>
        <w:jc w:val="left"/>
        <w:rPr>
          <w:rFonts w:ascii="Arial" w:hAnsi="Arial" w:cs="Arial"/>
          <w:lang w:val="en-GB"/>
        </w:rPr>
      </w:pPr>
      <w:r w:rsidRPr="00EE01D0">
        <w:rPr>
          <w:rFonts w:ascii="Arial" w:hAnsi="Arial" w:cs="Arial"/>
          <w:lang w:val="en-GB"/>
        </w:rPr>
        <w:br w:type="page"/>
      </w:r>
    </w:p>
    <w:p w14:paraId="7956091F" w14:textId="77777777" w:rsidR="00754ABB" w:rsidRPr="00EE01D0" w:rsidRDefault="00754ABB" w:rsidP="00EE01D0">
      <w:pPr>
        <w:pStyle w:val="Heading1"/>
        <w:spacing w:line="480" w:lineRule="auto"/>
        <w:rPr>
          <w:rFonts w:ascii="Arial" w:hAnsi="Arial" w:cs="Arial"/>
          <w:lang w:val="en-GB"/>
        </w:rPr>
      </w:pPr>
      <w:bookmarkStart w:id="2" w:name="_Toc118739189"/>
      <w:r w:rsidRPr="00EE01D0">
        <w:rPr>
          <w:rFonts w:ascii="Arial" w:hAnsi="Arial" w:cs="Arial"/>
          <w:lang w:val="en-GB"/>
        </w:rPr>
        <w:lastRenderedPageBreak/>
        <w:t>Conclusion</w:t>
      </w:r>
      <w:bookmarkEnd w:id="2"/>
      <w:r w:rsidRPr="00EE01D0">
        <w:rPr>
          <w:rFonts w:ascii="Arial" w:hAnsi="Arial" w:cs="Arial"/>
          <w:lang w:val="en-GB"/>
        </w:rPr>
        <w:t xml:space="preserve"> </w:t>
      </w:r>
    </w:p>
    <w:p w14:paraId="74A8E60B" w14:textId="77777777" w:rsidR="00C3611A" w:rsidRPr="00EE01D0" w:rsidRDefault="00C3611A" w:rsidP="00EE01D0">
      <w:pPr>
        <w:spacing w:line="480" w:lineRule="auto"/>
        <w:rPr>
          <w:rFonts w:ascii="Arial" w:hAnsi="Arial" w:cs="Arial"/>
          <w:lang w:val="en-GB"/>
        </w:rPr>
      </w:pPr>
      <w:r w:rsidRPr="00EE01D0">
        <w:rPr>
          <w:rFonts w:ascii="Arial" w:hAnsi="Arial" w:cs="Arial"/>
          <w:lang w:val="en-GB"/>
        </w:rPr>
        <w:t>At the end of this essay, we can say that police are subject to criticism that ignores the reality that the lack of aggression preserves police power. Popular approval is a very robust foundation for state authority. When the public approves of the police, they are more powerful because of the effective community outcry to change their behaviour. As evidence that efforts to alleviate the injustices created by the policeman are typically oriented not at decreasing but at enhancing policing, rendering it more productive and extensive, abolitionists regularly cite the reform with reform.</w:t>
      </w:r>
    </w:p>
    <w:p w14:paraId="0E8E279D" w14:textId="77777777" w:rsidR="00754ABB" w:rsidRPr="00EE01D0" w:rsidRDefault="00754ABB" w:rsidP="00EE01D0">
      <w:pPr>
        <w:spacing w:line="480" w:lineRule="auto"/>
        <w:jc w:val="left"/>
        <w:rPr>
          <w:rFonts w:ascii="Arial" w:hAnsi="Arial" w:cs="Arial"/>
        </w:rPr>
      </w:pPr>
      <w:r w:rsidRPr="00EE01D0">
        <w:rPr>
          <w:rFonts w:ascii="Arial" w:hAnsi="Arial" w:cs="Arial"/>
        </w:rPr>
        <w:br w:type="page"/>
      </w:r>
    </w:p>
    <w:p w14:paraId="7E926FFF" w14:textId="77777777" w:rsidR="00754ABB" w:rsidRPr="00EE01D0" w:rsidRDefault="00754ABB" w:rsidP="00EE01D0">
      <w:pPr>
        <w:pStyle w:val="Heading1"/>
        <w:spacing w:line="480" w:lineRule="auto"/>
        <w:rPr>
          <w:rFonts w:ascii="Arial" w:hAnsi="Arial" w:cs="Arial"/>
        </w:rPr>
      </w:pPr>
      <w:bookmarkStart w:id="3" w:name="_Toc118739190"/>
      <w:r w:rsidRPr="00EE01D0">
        <w:rPr>
          <w:rFonts w:ascii="Arial" w:hAnsi="Arial" w:cs="Arial"/>
        </w:rPr>
        <w:lastRenderedPageBreak/>
        <w:t>References</w:t>
      </w:r>
      <w:bookmarkEnd w:id="3"/>
    </w:p>
    <w:p w14:paraId="52DF9228" w14:textId="77777777" w:rsidR="004514F4" w:rsidRPr="00EE01D0" w:rsidRDefault="004514F4" w:rsidP="00EE01D0">
      <w:pPr>
        <w:pStyle w:val="ListParagraph"/>
        <w:numPr>
          <w:ilvl w:val="0"/>
          <w:numId w:val="1"/>
        </w:numPr>
        <w:spacing w:line="480" w:lineRule="auto"/>
        <w:rPr>
          <w:rFonts w:ascii="Arial" w:hAnsi="Arial" w:cs="Arial"/>
        </w:rPr>
      </w:pPr>
      <w:r w:rsidRPr="00EE01D0">
        <w:rPr>
          <w:rFonts w:ascii="Arial" w:hAnsi="Arial" w:cs="Arial"/>
        </w:rPr>
        <w:t>Dekker, S., (2018). </w:t>
      </w:r>
      <w:r w:rsidRPr="00EE01D0">
        <w:rPr>
          <w:rFonts w:ascii="Arial" w:hAnsi="Arial" w:cs="Arial"/>
          <w:i/>
          <w:iCs/>
        </w:rPr>
        <w:t>Just culture: restoring trust and accountability in your organization</w:t>
      </w:r>
      <w:r w:rsidRPr="00EE01D0">
        <w:rPr>
          <w:rFonts w:ascii="Arial" w:hAnsi="Arial" w:cs="Arial"/>
        </w:rPr>
        <w:t>. CRC press.</w:t>
      </w:r>
    </w:p>
    <w:p w14:paraId="65F6E092" w14:textId="77777777" w:rsidR="004514F4" w:rsidRPr="00EE01D0" w:rsidRDefault="004514F4" w:rsidP="00EE01D0">
      <w:pPr>
        <w:pStyle w:val="ListParagraph"/>
        <w:numPr>
          <w:ilvl w:val="0"/>
          <w:numId w:val="1"/>
        </w:numPr>
        <w:spacing w:line="480" w:lineRule="auto"/>
        <w:rPr>
          <w:rFonts w:ascii="Arial" w:hAnsi="Arial" w:cs="Arial"/>
        </w:rPr>
      </w:pPr>
      <w:r w:rsidRPr="00EE01D0">
        <w:rPr>
          <w:rFonts w:ascii="Arial" w:hAnsi="Arial" w:cs="Arial"/>
        </w:rPr>
        <w:t>Greener, B., (2021). Policing by consent is not woke-it is fundamental to a democratic society.</w:t>
      </w:r>
    </w:p>
    <w:p w14:paraId="4B122B49" w14:textId="77777777" w:rsidR="004514F4" w:rsidRPr="00EE01D0" w:rsidRDefault="004514F4" w:rsidP="00EE01D0">
      <w:pPr>
        <w:pStyle w:val="ListParagraph"/>
        <w:numPr>
          <w:ilvl w:val="0"/>
          <w:numId w:val="1"/>
        </w:numPr>
        <w:spacing w:line="480" w:lineRule="auto"/>
        <w:rPr>
          <w:rFonts w:ascii="Arial" w:hAnsi="Arial" w:cs="Arial"/>
        </w:rPr>
      </w:pPr>
      <w:r w:rsidRPr="00EE01D0">
        <w:rPr>
          <w:rFonts w:ascii="Arial" w:hAnsi="Arial" w:cs="Arial"/>
        </w:rPr>
        <w:t>KUNJAPPAN, S., (2017). Policing by Consent. </w:t>
      </w:r>
      <w:r w:rsidRPr="00EE01D0">
        <w:rPr>
          <w:rFonts w:ascii="Arial" w:hAnsi="Arial" w:cs="Arial"/>
          <w:i/>
          <w:iCs/>
        </w:rPr>
        <w:t>Global Issues in Contemporary Policing</w:t>
      </w:r>
      <w:r w:rsidRPr="00EE01D0">
        <w:rPr>
          <w:rFonts w:ascii="Arial" w:hAnsi="Arial" w:cs="Arial"/>
        </w:rPr>
        <w:t>, p.221.</w:t>
      </w:r>
    </w:p>
    <w:p w14:paraId="13137F17" w14:textId="77777777" w:rsidR="004514F4" w:rsidRPr="00EE01D0" w:rsidRDefault="004514F4" w:rsidP="00EE01D0">
      <w:pPr>
        <w:pStyle w:val="ListParagraph"/>
        <w:numPr>
          <w:ilvl w:val="0"/>
          <w:numId w:val="1"/>
        </w:numPr>
        <w:spacing w:line="480" w:lineRule="auto"/>
        <w:rPr>
          <w:rFonts w:ascii="Arial" w:hAnsi="Arial" w:cs="Arial"/>
        </w:rPr>
      </w:pPr>
      <w:r w:rsidRPr="00EE01D0">
        <w:rPr>
          <w:rFonts w:ascii="Arial" w:hAnsi="Arial" w:cs="Arial"/>
        </w:rPr>
        <w:t>McLean, K., (2021). Justice-restoring responses: a theoretical framework for understanding citizen complaints against the police. </w:t>
      </w:r>
      <w:r w:rsidRPr="00EE01D0">
        <w:rPr>
          <w:rFonts w:ascii="Arial" w:hAnsi="Arial" w:cs="Arial"/>
          <w:i/>
          <w:iCs/>
        </w:rPr>
        <w:t>Policing and society</w:t>
      </w:r>
      <w:r w:rsidRPr="00EE01D0">
        <w:rPr>
          <w:rFonts w:ascii="Arial" w:hAnsi="Arial" w:cs="Arial"/>
        </w:rPr>
        <w:t>, </w:t>
      </w:r>
      <w:r w:rsidRPr="00EE01D0">
        <w:rPr>
          <w:rFonts w:ascii="Arial" w:hAnsi="Arial" w:cs="Arial"/>
          <w:i/>
          <w:iCs/>
        </w:rPr>
        <w:t>31</w:t>
      </w:r>
      <w:r w:rsidRPr="00EE01D0">
        <w:rPr>
          <w:rFonts w:ascii="Arial" w:hAnsi="Arial" w:cs="Arial"/>
        </w:rPr>
        <w:t>(2), pp.209-228.</w:t>
      </w:r>
    </w:p>
    <w:p w14:paraId="6DFF5A96" w14:textId="77777777" w:rsidR="004514F4" w:rsidRPr="00EE01D0" w:rsidRDefault="004514F4" w:rsidP="00EE01D0">
      <w:pPr>
        <w:pStyle w:val="ListParagraph"/>
        <w:numPr>
          <w:ilvl w:val="0"/>
          <w:numId w:val="1"/>
        </w:numPr>
        <w:spacing w:line="480" w:lineRule="auto"/>
        <w:rPr>
          <w:rFonts w:ascii="Arial" w:hAnsi="Arial" w:cs="Arial"/>
        </w:rPr>
      </w:pPr>
      <w:r w:rsidRPr="00EE01D0">
        <w:rPr>
          <w:rFonts w:ascii="Arial" w:hAnsi="Arial" w:cs="Arial"/>
        </w:rPr>
        <w:t>O'Brien, T.C. and Tyler, T.R., (2019). Rebuilding trust between police &amp; communities through procedural justice &amp; reconciliation. </w:t>
      </w:r>
      <w:r w:rsidRPr="00EE01D0">
        <w:rPr>
          <w:rFonts w:ascii="Arial" w:hAnsi="Arial" w:cs="Arial"/>
          <w:i/>
          <w:iCs/>
        </w:rPr>
        <w:t>Behavioral Science &amp; Policy</w:t>
      </w:r>
      <w:r w:rsidRPr="00EE01D0">
        <w:rPr>
          <w:rFonts w:ascii="Arial" w:hAnsi="Arial" w:cs="Arial"/>
        </w:rPr>
        <w:t>, </w:t>
      </w:r>
      <w:r w:rsidRPr="00EE01D0">
        <w:rPr>
          <w:rFonts w:ascii="Arial" w:hAnsi="Arial" w:cs="Arial"/>
          <w:i/>
          <w:iCs/>
        </w:rPr>
        <w:t>5</w:t>
      </w:r>
      <w:r w:rsidRPr="00EE01D0">
        <w:rPr>
          <w:rFonts w:ascii="Arial" w:hAnsi="Arial" w:cs="Arial"/>
        </w:rPr>
        <w:t>(1), pp.34-50.</w:t>
      </w:r>
    </w:p>
    <w:p w14:paraId="78432666" w14:textId="77777777" w:rsidR="004514F4" w:rsidRPr="00EE01D0" w:rsidRDefault="004514F4" w:rsidP="00EE01D0">
      <w:pPr>
        <w:pStyle w:val="ListParagraph"/>
        <w:numPr>
          <w:ilvl w:val="0"/>
          <w:numId w:val="1"/>
        </w:numPr>
        <w:spacing w:line="480" w:lineRule="auto"/>
        <w:rPr>
          <w:rFonts w:ascii="Arial" w:hAnsi="Arial" w:cs="Arial"/>
        </w:rPr>
      </w:pPr>
      <w:r w:rsidRPr="00EE01D0">
        <w:rPr>
          <w:rFonts w:ascii="Arial" w:hAnsi="Arial" w:cs="Arial"/>
        </w:rPr>
        <w:t>Shannon, I., (2022). Policing by Consent. In </w:t>
      </w:r>
      <w:r w:rsidRPr="00EE01D0">
        <w:rPr>
          <w:rFonts w:ascii="Arial" w:hAnsi="Arial" w:cs="Arial"/>
          <w:i/>
          <w:iCs/>
        </w:rPr>
        <w:t>Chief Police Officers’ Stories of Legitimacy</w:t>
      </w:r>
      <w:r w:rsidRPr="00EE01D0">
        <w:rPr>
          <w:rFonts w:ascii="Arial" w:hAnsi="Arial" w:cs="Arial"/>
        </w:rPr>
        <w:t> (pp. 129-173). Palgrave Macmillan, Cham.</w:t>
      </w:r>
    </w:p>
    <w:p w14:paraId="43250546" w14:textId="77777777" w:rsidR="004514F4" w:rsidRPr="00EE01D0" w:rsidRDefault="004514F4" w:rsidP="00EE01D0">
      <w:pPr>
        <w:pStyle w:val="ListParagraph"/>
        <w:numPr>
          <w:ilvl w:val="0"/>
          <w:numId w:val="1"/>
        </w:numPr>
        <w:spacing w:line="480" w:lineRule="auto"/>
        <w:rPr>
          <w:rFonts w:ascii="Arial" w:hAnsi="Arial" w:cs="Arial"/>
        </w:rPr>
      </w:pPr>
      <w:r w:rsidRPr="00EE01D0">
        <w:rPr>
          <w:rFonts w:ascii="Arial" w:hAnsi="Arial" w:cs="Arial"/>
        </w:rPr>
        <w:t>Torres, J.A., (2017). Predicting perceived police effectiveness in public housing: Police contact, police trust, and police responsiveness. </w:t>
      </w:r>
      <w:r w:rsidRPr="00EE01D0">
        <w:rPr>
          <w:rFonts w:ascii="Arial" w:hAnsi="Arial" w:cs="Arial"/>
          <w:i/>
          <w:iCs/>
        </w:rPr>
        <w:t>Policing and society</w:t>
      </w:r>
      <w:r w:rsidRPr="00EE01D0">
        <w:rPr>
          <w:rFonts w:ascii="Arial" w:hAnsi="Arial" w:cs="Arial"/>
        </w:rPr>
        <w:t>, </w:t>
      </w:r>
      <w:r w:rsidRPr="00EE01D0">
        <w:rPr>
          <w:rFonts w:ascii="Arial" w:hAnsi="Arial" w:cs="Arial"/>
          <w:i/>
          <w:iCs/>
        </w:rPr>
        <w:t>27</w:t>
      </w:r>
      <w:r w:rsidRPr="00EE01D0">
        <w:rPr>
          <w:rFonts w:ascii="Arial" w:hAnsi="Arial" w:cs="Arial"/>
        </w:rPr>
        <w:t>(4), pp.439-459.</w:t>
      </w:r>
    </w:p>
    <w:p w14:paraId="7E482FC2" w14:textId="77777777" w:rsidR="004514F4" w:rsidRPr="00EE01D0" w:rsidRDefault="004514F4" w:rsidP="00EE01D0">
      <w:pPr>
        <w:pStyle w:val="ListParagraph"/>
        <w:numPr>
          <w:ilvl w:val="0"/>
          <w:numId w:val="1"/>
        </w:numPr>
        <w:spacing w:line="480" w:lineRule="auto"/>
        <w:rPr>
          <w:rFonts w:ascii="Arial" w:hAnsi="Arial" w:cs="Arial"/>
        </w:rPr>
      </w:pPr>
      <w:r w:rsidRPr="00EE01D0">
        <w:rPr>
          <w:rFonts w:ascii="Arial" w:hAnsi="Arial" w:cs="Arial"/>
        </w:rPr>
        <w:t>Torrible, C., (2022). Trust in the police and policing by consent in turbulent times. </w:t>
      </w:r>
      <w:r w:rsidRPr="00EE01D0">
        <w:rPr>
          <w:rFonts w:ascii="Arial" w:hAnsi="Arial" w:cs="Arial"/>
          <w:i/>
          <w:iCs/>
        </w:rPr>
        <w:t>Safer Communities</w:t>
      </w:r>
      <w:r w:rsidRPr="00EE01D0">
        <w:rPr>
          <w:rFonts w:ascii="Arial" w:hAnsi="Arial" w:cs="Arial"/>
        </w:rPr>
        <w:t>, (ahead-of-print).</w:t>
      </w:r>
    </w:p>
    <w:sectPr w:rsidR="004514F4" w:rsidRPr="00EE01D0" w:rsidSect="00786C6D">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D3694A" w14:textId="77777777" w:rsidR="00492863" w:rsidRDefault="00492863" w:rsidP="00786C6D">
      <w:pPr>
        <w:spacing w:after="0" w:line="240" w:lineRule="auto"/>
      </w:pPr>
      <w:r>
        <w:separator/>
      </w:r>
    </w:p>
  </w:endnote>
  <w:endnote w:type="continuationSeparator" w:id="0">
    <w:p w14:paraId="6528A0F5" w14:textId="77777777" w:rsidR="00492863" w:rsidRDefault="00492863" w:rsidP="00786C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1659361"/>
      <w:docPartObj>
        <w:docPartGallery w:val="Page Numbers (Bottom of Page)"/>
        <w:docPartUnique/>
      </w:docPartObj>
    </w:sdtPr>
    <w:sdtEndPr>
      <w:rPr>
        <w:noProof/>
      </w:rPr>
    </w:sdtEndPr>
    <w:sdtContent>
      <w:p w14:paraId="2B40A85F" w14:textId="77777777" w:rsidR="00786C6D" w:rsidRDefault="00786C6D">
        <w:pPr>
          <w:pStyle w:val="Footer"/>
          <w:jc w:val="right"/>
        </w:pPr>
        <w:r>
          <w:fldChar w:fldCharType="begin"/>
        </w:r>
        <w:r>
          <w:instrText xml:space="preserve"> PAGE   \* MERGEFORMAT </w:instrText>
        </w:r>
        <w:r>
          <w:fldChar w:fldCharType="separate"/>
        </w:r>
        <w:r w:rsidR="00EE01D0">
          <w:rPr>
            <w:noProof/>
          </w:rPr>
          <w:t>1</w:t>
        </w:r>
        <w:r>
          <w:rPr>
            <w:noProof/>
          </w:rPr>
          <w:fldChar w:fldCharType="end"/>
        </w:r>
      </w:p>
    </w:sdtContent>
  </w:sdt>
  <w:p w14:paraId="6A881EF3" w14:textId="77777777" w:rsidR="00786C6D" w:rsidRDefault="00786C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8E0265" w14:textId="77777777" w:rsidR="00492863" w:rsidRDefault="00492863" w:rsidP="00786C6D">
      <w:pPr>
        <w:spacing w:after="0" w:line="240" w:lineRule="auto"/>
      </w:pPr>
      <w:r>
        <w:separator/>
      </w:r>
    </w:p>
  </w:footnote>
  <w:footnote w:type="continuationSeparator" w:id="0">
    <w:p w14:paraId="104F7A69" w14:textId="77777777" w:rsidR="00492863" w:rsidRDefault="00492863" w:rsidP="00786C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8A4C35"/>
    <w:multiLevelType w:val="hybridMultilevel"/>
    <w:tmpl w:val="A1A609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758390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6C6D"/>
    <w:rsid w:val="00082D3F"/>
    <w:rsid w:val="00214A26"/>
    <w:rsid w:val="00261E83"/>
    <w:rsid w:val="004514F4"/>
    <w:rsid w:val="00492863"/>
    <w:rsid w:val="00661BEB"/>
    <w:rsid w:val="006C53F6"/>
    <w:rsid w:val="00754ABB"/>
    <w:rsid w:val="00786C6D"/>
    <w:rsid w:val="008F1EFE"/>
    <w:rsid w:val="0094200E"/>
    <w:rsid w:val="009C4FA9"/>
    <w:rsid w:val="00A355EF"/>
    <w:rsid w:val="00BA0FAC"/>
    <w:rsid w:val="00C3611A"/>
    <w:rsid w:val="00C462A7"/>
    <w:rsid w:val="00C513BE"/>
    <w:rsid w:val="00CB6A04"/>
    <w:rsid w:val="00EE01D0"/>
    <w:rsid w:val="00F37A20"/>
    <w:rsid w:val="00F93F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21E20"/>
  <w15:chartTrackingRefBased/>
  <w15:docId w15:val="{7F4D69C9-0583-42BE-9A23-A9F734E4C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200E"/>
    <w:pPr>
      <w:jc w:val="both"/>
    </w:pPr>
    <w:rPr>
      <w:rFonts w:ascii="Times New Roman" w:hAnsi="Times New Roman"/>
      <w:sz w:val="24"/>
    </w:rPr>
  </w:style>
  <w:style w:type="paragraph" w:styleId="Heading1">
    <w:name w:val="heading 1"/>
    <w:basedOn w:val="Normal"/>
    <w:next w:val="Normal"/>
    <w:link w:val="Heading1Char"/>
    <w:autoRedefine/>
    <w:uiPriority w:val="9"/>
    <w:qFormat/>
    <w:rsid w:val="00661BEB"/>
    <w:pPr>
      <w:keepNext/>
      <w:keepLines/>
      <w:suppressAutoHyphens/>
      <w:autoSpaceDN w:val="0"/>
      <w:spacing w:before="240" w:after="0" w:line="242" w:lineRule="auto"/>
      <w:textAlignment w:val="baseline"/>
      <w:outlineLvl w:val="0"/>
    </w:pPr>
    <w:rPr>
      <w:rFonts w:eastAsiaTheme="majorEastAsia" w:cstheme="majorBidi"/>
      <w:b/>
      <w:bCs/>
      <w:sz w:val="36"/>
      <w:szCs w:val="32"/>
    </w:rPr>
  </w:style>
  <w:style w:type="paragraph" w:styleId="Heading2">
    <w:name w:val="heading 2"/>
    <w:basedOn w:val="Normal"/>
    <w:next w:val="Normal"/>
    <w:link w:val="Heading2Char"/>
    <w:autoRedefine/>
    <w:uiPriority w:val="9"/>
    <w:unhideWhenUsed/>
    <w:qFormat/>
    <w:rsid w:val="00661BEB"/>
    <w:pPr>
      <w:keepNext/>
      <w:keepLines/>
      <w:suppressAutoHyphens/>
      <w:autoSpaceDN w:val="0"/>
      <w:spacing w:before="40" w:after="0" w:line="242" w:lineRule="auto"/>
      <w:jc w:val="left"/>
      <w:textAlignment w:val="baseline"/>
      <w:outlineLvl w:val="1"/>
    </w:pPr>
    <w:rPr>
      <w:rFonts w:eastAsiaTheme="majorEastAsia" w:cstheme="majorBidi"/>
      <w:b/>
      <w:sz w:val="32"/>
      <w:szCs w:val="26"/>
    </w:rPr>
  </w:style>
  <w:style w:type="paragraph" w:styleId="Heading3">
    <w:name w:val="heading 3"/>
    <w:basedOn w:val="Normal"/>
    <w:next w:val="Normal"/>
    <w:link w:val="Heading3Char"/>
    <w:uiPriority w:val="9"/>
    <w:unhideWhenUsed/>
    <w:qFormat/>
    <w:rsid w:val="006C53F6"/>
    <w:pPr>
      <w:keepNext/>
      <w:keepLines/>
      <w:spacing w:before="120" w:after="120"/>
      <w:outlineLvl w:val="2"/>
    </w:pPr>
    <w:rPr>
      <w:rFonts w:eastAsiaTheme="majorEastAsia" w:cstheme="majorBidi"/>
      <w:b/>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1BEB"/>
    <w:rPr>
      <w:rFonts w:ascii="Times New Roman" w:eastAsiaTheme="majorEastAsia" w:hAnsi="Times New Roman" w:cstheme="majorBidi"/>
      <w:b/>
      <w:bCs/>
      <w:sz w:val="36"/>
      <w:szCs w:val="32"/>
    </w:rPr>
  </w:style>
  <w:style w:type="character" w:customStyle="1" w:styleId="Heading2Char">
    <w:name w:val="Heading 2 Char"/>
    <w:basedOn w:val="DefaultParagraphFont"/>
    <w:link w:val="Heading2"/>
    <w:uiPriority w:val="9"/>
    <w:rsid w:val="00661BEB"/>
    <w:rPr>
      <w:rFonts w:ascii="Times New Roman" w:eastAsiaTheme="majorEastAsia" w:hAnsi="Times New Roman" w:cstheme="majorBidi"/>
      <w:b/>
      <w:sz w:val="32"/>
      <w:szCs w:val="26"/>
    </w:rPr>
  </w:style>
  <w:style w:type="paragraph" w:styleId="Title">
    <w:name w:val="Title"/>
    <w:basedOn w:val="Normal"/>
    <w:next w:val="Normal"/>
    <w:link w:val="TitleChar"/>
    <w:uiPriority w:val="10"/>
    <w:qFormat/>
    <w:rsid w:val="0094200E"/>
    <w:pPr>
      <w:spacing w:after="0" w:line="240" w:lineRule="auto"/>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94200E"/>
    <w:rPr>
      <w:rFonts w:ascii="Times New Roman" w:eastAsiaTheme="majorEastAsia" w:hAnsi="Times New Roman" w:cstheme="majorBidi"/>
      <w:b/>
      <w:spacing w:val="-10"/>
      <w:kern w:val="28"/>
      <w:sz w:val="56"/>
      <w:szCs w:val="56"/>
    </w:rPr>
  </w:style>
  <w:style w:type="character" w:customStyle="1" w:styleId="Heading3Char">
    <w:name w:val="Heading 3 Char"/>
    <w:basedOn w:val="DefaultParagraphFont"/>
    <w:link w:val="Heading3"/>
    <w:uiPriority w:val="9"/>
    <w:rsid w:val="006C53F6"/>
    <w:rPr>
      <w:rFonts w:ascii="Times New Roman" w:eastAsiaTheme="majorEastAsia" w:hAnsi="Times New Roman" w:cstheme="majorBidi"/>
      <w:b/>
      <w:sz w:val="26"/>
      <w:szCs w:val="24"/>
    </w:rPr>
  </w:style>
  <w:style w:type="paragraph" w:styleId="Header">
    <w:name w:val="header"/>
    <w:basedOn w:val="Normal"/>
    <w:link w:val="HeaderChar"/>
    <w:uiPriority w:val="99"/>
    <w:unhideWhenUsed/>
    <w:rsid w:val="00786C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6C6D"/>
    <w:rPr>
      <w:rFonts w:ascii="Times New Roman" w:hAnsi="Times New Roman"/>
      <w:sz w:val="24"/>
    </w:rPr>
  </w:style>
  <w:style w:type="paragraph" w:styleId="Footer">
    <w:name w:val="footer"/>
    <w:basedOn w:val="Normal"/>
    <w:link w:val="FooterChar"/>
    <w:uiPriority w:val="99"/>
    <w:unhideWhenUsed/>
    <w:rsid w:val="00786C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6C6D"/>
    <w:rPr>
      <w:rFonts w:ascii="Times New Roman" w:hAnsi="Times New Roman"/>
      <w:sz w:val="24"/>
    </w:rPr>
  </w:style>
  <w:style w:type="paragraph" w:styleId="ListParagraph">
    <w:name w:val="List Paragraph"/>
    <w:basedOn w:val="Normal"/>
    <w:uiPriority w:val="34"/>
    <w:qFormat/>
    <w:rsid w:val="004514F4"/>
    <w:pPr>
      <w:ind w:left="720"/>
      <w:contextualSpacing/>
    </w:pPr>
  </w:style>
  <w:style w:type="paragraph" w:styleId="TOCHeading">
    <w:name w:val="TOC Heading"/>
    <w:basedOn w:val="Heading1"/>
    <w:next w:val="Normal"/>
    <w:uiPriority w:val="39"/>
    <w:unhideWhenUsed/>
    <w:qFormat/>
    <w:rsid w:val="00EE01D0"/>
    <w:pPr>
      <w:suppressAutoHyphens w:val="0"/>
      <w:autoSpaceDN/>
      <w:spacing w:line="259" w:lineRule="auto"/>
      <w:jc w:val="left"/>
      <w:textAlignment w:val="auto"/>
      <w:outlineLvl w:val="9"/>
    </w:pPr>
    <w:rPr>
      <w:rFonts w:asciiTheme="majorHAnsi" w:hAnsiTheme="majorHAnsi"/>
      <w:b w:val="0"/>
      <w:bCs w:val="0"/>
      <w:color w:val="2E74B5" w:themeColor="accent1" w:themeShade="BF"/>
      <w:sz w:val="32"/>
    </w:rPr>
  </w:style>
  <w:style w:type="paragraph" w:styleId="TOC1">
    <w:name w:val="toc 1"/>
    <w:basedOn w:val="Normal"/>
    <w:next w:val="Normal"/>
    <w:autoRedefine/>
    <w:uiPriority w:val="39"/>
    <w:unhideWhenUsed/>
    <w:rsid w:val="00EE01D0"/>
    <w:pPr>
      <w:spacing w:after="100"/>
    </w:pPr>
  </w:style>
  <w:style w:type="character" w:styleId="Hyperlink">
    <w:name w:val="Hyperlink"/>
    <w:basedOn w:val="DefaultParagraphFont"/>
    <w:uiPriority w:val="99"/>
    <w:unhideWhenUsed/>
    <w:rsid w:val="00EE01D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0376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B4C12-6EC3-41FF-9837-3261F6D263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10</Pages>
  <Words>1662</Words>
  <Characters>9474</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cristina rusu</cp:lastModifiedBy>
  <cp:revision>3</cp:revision>
  <dcterms:created xsi:type="dcterms:W3CDTF">2022-11-05T10:42:00Z</dcterms:created>
  <dcterms:modified xsi:type="dcterms:W3CDTF">2022-11-10T09:53:00Z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2e7bf240-7185-4a33-a4cb-460f6d5b7133</vt:lpwstr>
  </property>
</Properties>
</file>