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C51B6" w14:textId="5BBD4F5D" w:rsidR="00356427" w:rsidRDefault="00134B98" w:rsidP="00134B98">
      <w:pPr>
        <w:jc w:val="center"/>
        <w:rPr>
          <w:b/>
          <w:bCs/>
          <w:u w:val="single"/>
        </w:rPr>
      </w:pPr>
      <w:r w:rsidRPr="00134B98">
        <w:rPr>
          <w:b/>
          <w:bCs/>
          <w:u w:val="single"/>
        </w:rPr>
        <w:t>Demonstrate how cross-curricular teaching and learning can influence in-depth skills and understanding. Underpin this with reference to relevant research, a detailed lesson plan and an enhanced provision material.</w:t>
      </w:r>
    </w:p>
    <w:p w14:paraId="5E8A865F" w14:textId="77777777" w:rsidR="004C3247" w:rsidRDefault="004C3247" w:rsidP="00134B98">
      <w:pPr>
        <w:jc w:val="center"/>
        <w:rPr>
          <w:b/>
          <w:bCs/>
          <w:u w:val="single"/>
        </w:rPr>
      </w:pPr>
    </w:p>
    <w:p w14:paraId="7314804C" w14:textId="77777777" w:rsidR="004C3247" w:rsidRDefault="004C3247" w:rsidP="00134B98">
      <w:pPr>
        <w:jc w:val="center"/>
        <w:rPr>
          <w:b/>
          <w:bCs/>
          <w:u w:val="single"/>
        </w:rPr>
      </w:pPr>
    </w:p>
    <w:p w14:paraId="0B1F7B9C" w14:textId="77777777" w:rsidR="004C3247" w:rsidRDefault="004C3247" w:rsidP="00134B98">
      <w:pPr>
        <w:jc w:val="center"/>
        <w:rPr>
          <w:b/>
          <w:bCs/>
          <w:u w:val="single"/>
        </w:rPr>
      </w:pPr>
    </w:p>
    <w:p w14:paraId="1044DF23" w14:textId="77777777" w:rsidR="004C3247" w:rsidRDefault="004C3247" w:rsidP="00134B98">
      <w:pPr>
        <w:jc w:val="center"/>
        <w:rPr>
          <w:b/>
          <w:bCs/>
          <w:u w:val="single"/>
        </w:rPr>
      </w:pPr>
    </w:p>
    <w:p w14:paraId="1966740C" w14:textId="77777777" w:rsidR="004C3247" w:rsidRDefault="004C3247" w:rsidP="00134B98">
      <w:pPr>
        <w:jc w:val="center"/>
        <w:rPr>
          <w:b/>
          <w:bCs/>
          <w:u w:val="single"/>
        </w:rPr>
      </w:pPr>
    </w:p>
    <w:p w14:paraId="37041E8E" w14:textId="77777777" w:rsidR="004C3247" w:rsidRDefault="004C3247" w:rsidP="00134B98">
      <w:pPr>
        <w:jc w:val="center"/>
        <w:rPr>
          <w:b/>
          <w:bCs/>
          <w:u w:val="single"/>
        </w:rPr>
      </w:pPr>
    </w:p>
    <w:p w14:paraId="227D984B" w14:textId="77777777" w:rsidR="004C3247" w:rsidRDefault="004C3247" w:rsidP="00134B98">
      <w:pPr>
        <w:jc w:val="center"/>
        <w:rPr>
          <w:b/>
          <w:bCs/>
          <w:u w:val="single"/>
        </w:rPr>
      </w:pPr>
    </w:p>
    <w:p w14:paraId="39966D1E" w14:textId="77777777" w:rsidR="004C3247" w:rsidRDefault="004C3247" w:rsidP="00134B98">
      <w:pPr>
        <w:jc w:val="center"/>
        <w:rPr>
          <w:b/>
          <w:bCs/>
          <w:u w:val="single"/>
        </w:rPr>
      </w:pPr>
    </w:p>
    <w:p w14:paraId="1473D4F5" w14:textId="77777777" w:rsidR="004C3247" w:rsidRDefault="004C3247" w:rsidP="00134B98">
      <w:pPr>
        <w:jc w:val="center"/>
        <w:rPr>
          <w:b/>
          <w:bCs/>
          <w:u w:val="single"/>
        </w:rPr>
      </w:pPr>
    </w:p>
    <w:p w14:paraId="32245FDC" w14:textId="58E088FA" w:rsidR="00134B98" w:rsidRDefault="004C3247" w:rsidP="00134B98">
      <w:pPr>
        <w:jc w:val="center"/>
        <w:rPr>
          <w:b/>
          <w:bCs/>
          <w:u w:val="single"/>
        </w:rPr>
      </w:pPr>
      <w:r>
        <w:rPr>
          <w:b/>
          <w:bCs/>
          <w:u w:val="single"/>
        </w:rPr>
        <w:t>Previous Targets</w:t>
      </w:r>
    </w:p>
    <w:tbl>
      <w:tblPr>
        <w:tblStyle w:val="TableGrid"/>
        <w:tblW w:w="0" w:type="auto"/>
        <w:tblLook w:val="04A0" w:firstRow="1" w:lastRow="0" w:firstColumn="1" w:lastColumn="0" w:noHBand="0" w:noVBand="1"/>
      </w:tblPr>
      <w:tblGrid>
        <w:gridCol w:w="3005"/>
        <w:gridCol w:w="3005"/>
        <w:gridCol w:w="3006"/>
      </w:tblGrid>
      <w:tr w:rsidR="00134B98" w14:paraId="6C1A659F" w14:textId="77777777" w:rsidTr="00134B98">
        <w:tc>
          <w:tcPr>
            <w:tcW w:w="3005" w:type="dxa"/>
          </w:tcPr>
          <w:p w14:paraId="3AEB019F" w14:textId="77777777" w:rsidR="00134B98" w:rsidRDefault="00134B98" w:rsidP="004C3247">
            <w:pPr>
              <w:jc w:val="center"/>
              <w:rPr>
                <w:b/>
                <w:bCs/>
                <w:u w:val="single"/>
              </w:rPr>
            </w:pPr>
          </w:p>
        </w:tc>
        <w:tc>
          <w:tcPr>
            <w:tcW w:w="3005" w:type="dxa"/>
          </w:tcPr>
          <w:p w14:paraId="64A9FA44" w14:textId="476702ED" w:rsidR="00134B98" w:rsidRPr="00134B98" w:rsidRDefault="00134B98" w:rsidP="004C3247">
            <w:pPr>
              <w:jc w:val="center"/>
            </w:pPr>
            <w:r>
              <w:t>Target</w:t>
            </w:r>
          </w:p>
        </w:tc>
        <w:tc>
          <w:tcPr>
            <w:tcW w:w="3006" w:type="dxa"/>
          </w:tcPr>
          <w:p w14:paraId="67F2E3CF" w14:textId="60BCF308" w:rsidR="00134B98" w:rsidRPr="00134B98" w:rsidRDefault="00134B98" w:rsidP="004C3247">
            <w:pPr>
              <w:jc w:val="center"/>
            </w:pPr>
            <w:r>
              <w:t>How have I applied this?</w:t>
            </w:r>
          </w:p>
        </w:tc>
      </w:tr>
      <w:tr w:rsidR="00134B98" w14:paraId="6FEE6364" w14:textId="77777777" w:rsidTr="00134B98">
        <w:tc>
          <w:tcPr>
            <w:tcW w:w="3005" w:type="dxa"/>
          </w:tcPr>
          <w:p w14:paraId="4BB97468" w14:textId="50D8B519" w:rsidR="00134B98" w:rsidRPr="00134B98" w:rsidRDefault="00134B98" w:rsidP="004C3247">
            <w:pPr>
              <w:jc w:val="center"/>
            </w:pPr>
            <w:r>
              <w:t>Target 1</w:t>
            </w:r>
          </w:p>
        </w:tc>
        <w:tc>
          <w:tcPr>
            <w:tcW w:w="3005" w:type="dxa"/>
          </w:tcPr>
          <w:p w14:paraId="24B38623" w14:textId="35A54180" w:rsidR="00134B98" w:rsidRPr="003A2E9D" w:rsidRDefault="003A2E9D" w:rsidP="004C3247">
            <w:pPr>
              <w:jc w:val="center"/>
              <w:rPr>
                <w:rFonts w:ascii="Calibri" w:hAnsi="Calibri" w:cs="Calibri"/>
                <w:b/>
                <w:bCs/>
                <w:color w:val="000000" w:themeColor="text1"/>
                <w:u w:val="single"/>
              </w:rPr>
            </w:pPr>
            <w:r w:rsidRPr="003A2E9D">
              <w:rPr>
                <w:rFonts w:ascii="Calibri" w:hAnsi="Calibri" w:cs="Calibri"/>
                <w:color w:val="000000" w:themeColor="text1"/>
                <w:shd w:val="clear" w:color="auto" w:fill="FFFFFF"/>
              </w:rPr>
              <w:t>Engage with an even wider range of literature which includes more credible and reliable sources.</w:t>
            </w:r>
          </w:p>
        </w:tc>
        <w:tc>
          <w:tcPr>
            <w:tcW w:w="3006" w:type="dxa"/>
          </w:tcPr>
          <w:p w14:paraId="162DA3B7" w14:textId="1FCE966E" w:rsidR="00134B98" w:rsidRPr="003A2E9D" w:rsidRDefault="003A2E9D" w:rsidP="004C3247">
            <w:pPr>
              <w:jc w:val="center"/>
            </w:pPr>
            <w:r>
              <w:t>I have applied this by using the university’s library and webpage, to find sources which will support me even further. Showing an even wider range of literature and credible sources within my writing.</w:t>
            </w:r>
          </w:p>
        </w:tc>
      </w:tr>
      <w:tr w:rsidR="00134B98" w14:paraId="045186F9" w14:textId="77777777" w:rsidTr="00134B98">
        <w:tc>
          <w:tcPr>
            <w:tcW w:w="3005" w:type="dxa"/>
          </w:tcPr>
          <w:p w14:paraId="2767F136" w14:textId="536DC603" w:rsidR="00134B98" w:rsidRPr="00134B98" w:rsidRDefault="00134B98" w:rsidP="004C3247">
            <w:pPr>
              <w:jc w:val="center"/>
            </w:pPr>
            <w:r>
              <w:t>Target 2</w:t>
            </w:r>
          </w:p>
        </w:tc>
        <w:tc>
          <w:tcPr>
            <w:tcW w:w="3005" w:type="dxa"/>
          </w:tcPr>
          <w:p w14:paraId="2DFAA32C" w14:textId="6DC8EE01" w:rsidR="003A2E9D" w:rsidRPr="003A2E9D" w:rsidRDefault="003A2E9D" w:rsidP="004C3247">
            <w:pPr>
              <w:pStyle w:val="NormalWeb"/>
              <w:spacing w:before="0" w:beforeAutospacing="0" w:after="0" w:afterAutospacing="0"/>
              <w:jc w:val="center"/>
              <w:rPr>
                <w:rFonts w:ascii="Calibri" w:hAnsi="Calibri" w:cs="Calibri"/>
                <w:color w:val="000000" w:themeColor="text1"/>
              </w:rPr>
            </w:pPr>
            <w:r w:rsidRPr="003A2E9D">
              <w:rPr>
                <w:rFonts w:ascii="Calibri" w:hAnsi="Calibri" w:cs="Calibri"/>
                <w:color w:val="000000" w:themeColor="text1"/>
              </w:rPr>
              <w:t>Continue to develop synthesis in your writing. There are some good examples in your assignment but further examples are needed.</w:t>
            </w:r>
          </w:p>
          <w:p w14:paraId="0352A156" w14:textId="77777777" w:rsidR="003A2E9D" w:rsidRPr="003A2E9D" w:rsidRDefault="003A2E9D" w:rsidP="004C3247">
            <w:pPr>
              <w:jc w:val="center"/>
              <w:rPr>
                <w:rFonts w:ascii="Calibri" w:hAnsi="Calibri" w:cs="Calibri"/>
                <w:color w:val="000000" w:themeColor="text1"/>
              </w:rPr>
            </w:pPr>
          </w:p>
          <w:p w14:paraId="599D5E16" w14:textId="77777777" w:rsidR="00134B98" w:rsidRPr="003A2E9D" w:rsidRDefault="00134B98" w:rsidP="004C3247">
            <w:pPr>
              <w:jc w:val="center"/>
              <w:rPr>
                <w:rFonts w:ascii="Calibri" w:hAnsi="Calibri" w:cs="Calibri"/>
                <w:b/>
                <w:bCs/>
                <w:color w:val="000000" w:themeColor="text1"/>
                <w:u w:val="single"/>
              </w:rPr>
            </w:pPr>
          </w:p>
        </w:tc>
        <w:tc>
          <w:tcPr>
            <w:tcW w:w="3006" w:type="dxa"/>
          </w:tcPr>
          <w:p w14:paraId="052F580C" w14:textId="355248F1" w:rsidR="00134B98" w:rsidRPr="003A2E9D" w:rsidRDefault="003A2E9D" w:rsidP="004C3247">
            <w:pPr>
              <w:jc w:val="center"/>
            </w:pPr>
            <w:r>
              <w:t>I will do this by making more regular connections with literature and evidence which support the argument I am presenting.</w:t>
            </w:r>
          </w:p>
        </w:tc>
      </w:tr>
      <w:tr w:rsidR="00134B98" w14:paraId="1EB82F19" w14:textId="77777777" w:rsidTr="00134B98">
        <w:tc>
          <w:tcPr>
            <w:tcW w:w="3005" w:type="dxa"/>
          </w:tcPr>
          <w:p w14:paraId="46B3C44A" w14:textId="1DC65D83" w:rsidR="00134B98" w:rsidRPr="00134B98" w:rsidRDefault="00134B98" w:rsidP="004C3247">
            <w:pPr>
              <w:jc w:val="center"/>
            </w:pPr>
            <w:r>
              <w:t>Target 3</w:t>
            </w:r>
          </w:p>
        </w:tc>
        <w:tc>
          <w:tcPr>
            <w:tcW w:w="3005" w:type="dxa"/>
          </w:tcPr>
          <w:p w14:paraId="797E2FCF" w14:textId="30C515F3" w:rsidR="00134B98" w:rsidRPr="003A2E9D" w:rsidRDefault="003A2E9D" w:rsidP="004C3247">
            <w:pPr>
              <w:jc w:val="center"/>
              <w:rPr>
                <w:rFonts w:ascii="Calibri" w:hAnsi="Calibri" w:cs="Calibri"/>
                <w:b/>
                <w:bCs/>
                <w:color w:val="000000" w:themeColor="text1"/>
                <w:u w:val="single"/>
              </w:rPr>
            </w:pPr>
            <w:r w:rsidRPr="003A2E9D">
              <w:rPr>
                <w:rFonts w:ascii="Calibri" w:hAnsi="Calibri" w:cs="Calibri"/>
                <w:color w:val="000000" w:themeColor="text1"/>
                <w:shd w:val="clear" w:color="auto" w:fill="FFFFFF"/>
              </w:rPr>
              <w:t>Make use of tentative language to suggest something rather than state it as fact.</w:t>
            </w:r>
          </w:p>
        </w:tc>
        <w:tc>
          <w:tcPr>
            <w:tcW w:w="3006" w:type="dxa"/>
          </w:tcPr>
          <w:p w14:paraId="78FD0BBC" w14:textId="13E7E14C" w:rsidR="00134B98" w:rsidRPr="003A2E9D" w:rsidRDefault="003A2E9D" w:rsidP="004C3247">
            <w:pPr>
              <w:jc w:val="center"/>
            </w:pPr>
            <w:r>
              <w:t xml:space="preserve">I have applied this by ensuring I use phrases such </w:t>
            </w:r>
            <w:proofErr w:type="gramStart"/>
            <w:r>
              <w:t>as;</w:t>
            </w:r>
            <w:proofErr w:type="gramEnd"/>
            <w:r>
              <w:t xml:space="preserve"> could have, might have, maybe rather than</w:t>
            </w:r>
            <w:r w:rsidR="004C3247">
              <w:t xml:space="preserve"> stating something as fact.</w:t>
            </w:r>
          </w:p>
        </w:tc>
      </w:tr>
    </w:tbl>
    <w:p w14:paraId="6127B2C7" w14:textId="77777777" w:rsidR="00134B98" w:rsidRDefault="00134B98" w:rsidP="00134B98">
      <w:pPr>
        <w:jc w:val="center"/>
        <w:rPr>
          <w:b/>
          <w:bCs/>
          <w:u w:val="single"/>
        </w:rPr>
      </w:pPr>
    </w:p>
    <w:p w14:paraId="71656492" w14:textId="77777777" w:rsidR="00737B76" w:rsidRDefault="00737B76" w:rsidP="00134B98">
      <w:pPr>
        <w:jc w:val="center"/>
        <w:rPr>
          <w:b/>
          <w:bCs/>
          <w:u w:val="single"/>
        </w:rPr>
      </w:pPr>
    </w:p>
    <w:p w14:paraId="2207CF2C" w14:textId="77777777" w:rsidR="00737B76" w:rsidRDefault="00737B76" w:rsidP="00134B98">
      <w:pPr>
        <w:jc w:val="center"/>
        <w:rPr>
          <w:b/>
          <w:bCs/>
          <w:u w:val="single"/>
        </w:rPr>
      </w:pPr>
    </w:p>
    <w:p w14:paraId="408129A0" w14:textId="77777777" w:rsidR="00737B76" w:rsidRDefault="00737B76" w:rsidP="00134B98">
      <w:pPr>
        <w:jc w:val="center"/>
        <w:rPr>
          <w:b/>
          <w:bCs/>
          <w:u w:val="single"/>
        </w:rPr>
      </w:pPr>
    </w:p>
    <w:p w14:paraId="08D47369" w14:textId="77777777" w:rsidR="00737B76" w:rsidRDefault="00737B76" w:rsidP="00134B98">
      <w:pPr>
        <w:jc w:val="center"/>
        <w:rPr>
          <w:b/>
          <w:bCs/>
          <w:u w:val="single"/>
        </w:rPr>
      </w:pPr>
    </w:p>
    <w:p w14:paraId="43EFC92E" w14:textId="77777777" w:rsidR="00737B76" w:rsidRDefault="00737B76" w:rsidP="00134B98">
      <w:pPr>
        <w:jc w:val="center"/>
        <w:rPr>
          <w:b/>
          <w:bCs/>
          <w:u w:val="single"/>
        </w:rPr>
      </w:pPr>
    </w:p>
    <w:p w14:paraId="36371DDE" w14:textId="77777777" w:rsidR="00737B76" w:rsidRDefault="00737B76" w:rsidP="00134B98">
      <w:pPr>
        <w:jc w:val="center"/>
        <w:rPr>
          <w:b/>
          <w:bCs/>
          <w:u w:val="single"/>
        </w:rPr>
      </w:pPr>
    </w:p>
    <w:p w14:paraId="38005836" w14:textId="77777777" w:rsidR="00737B76" w:rsidRDefault="00737B76" w:rsidP="00134B98">
      <w:pPr>
        <w:jc w:val="center"/>
        <w:rPr>
          <w:b/>
          <w:bCs/>
          <w:u w:val="single"/>
        </w:rPr>
      </w:pPr>
    </w:p>
    <w:p w14:paraId="6F4CB8B5" w14:textId="77777777" w:rsidR="00737B76" w:rsidRDefault="00737B76" w:rsidP="00134B98">
      <w:pPr>
        <w:jc w:val="center"/>
        <w:rPr>
          <w:b/>
          <w:bCs/>
          <w:u w:val="single"/>
        </w:rPr>
      </w:pPr>
    </w:p>
    <w:p w14:paraId="13968800" w14:textId="77777777" w:rsidR="004C3247" w:rsidRDefault="004C3247" w:rsidP="00BB1E61">
      <w:pPr>
        <w:spacing w:line="360" w:lineRule="auto"/>
        <w:jc w:val="both"/>
        <w:rPr>
          <w:b/>
          <w:bCs/>
          <w:u w:val="single"/>
        </w:rPr>
      </w:pPr>
    </w:p>
    <w:p w14:paraId="59CB38E5" w14:textId="742698F8" w:rsidR="00C012D3" w:rsidRPr="00237A3F" w:rsidRDefault="00737B76" w:rsidP="00BB1E61">
      <w:pPr>
        <w:spacing w:line="360" w:lineRule="auto"/>
        <w:jc w:val="both"/>
        <w:rPr>
          <w:rFonts w:ascii="Calibri" w:hAnsi="Calibri" w:cs="Calibri"/>
        </w:rPr>
      </w:pPr>
      <w:r w:rsidRPr="00237A3F">
        <w:rPr>
          <w:rFonts w:ascii="Calibri" w:hAnsi="Calibri" w:cs="Calibri"/>
        </w:rPr>
        <w:lastRenderedPageBreak/>
        <w:t xml:space="preserve">During this assignment, </w:t>
      </w:r>
      <w:r w:rsidR="00450872" w:rsidRPr="00237A3F">
        <w:rPr>
          <w:rFonts w:ascii="Calibri" w:hAnsi="Calibri" w:cs="Calibri"/>
        </w:rPr>
        <w:t>a description and understanding of the Curriculum for Wales and its importance of cross-curricular teaching and learning will be demonstrated. This will be done by explaining the role of cross-curricular teaching and learning within the foundation learning environment</w:t>
      </w:r>
      <w:r w:rsidR="0040391E" w:rsidRPr="00237A3F">
        <w:rPr>
          <w:rFonts w:ascii="Calibri" w:hAnsi="Calibri" w:cs="Calibri"/>
        </w:rPr>
        <w:t>,</w:t>
      </w:r>
      <w:r w:rsidR="00450872" w:rsidRPr="00237A3F">
        <w:rPr>
          <w:rFonts w:ascii="Calibri" w:hAnsi="Calibri" w:cs="Calibri"/>
        </w:rPr>
        <w:t xml:space="preserve"> and how it is in relation to pupil outcomes. I will draw upon information provided in lectures, bridging experiences and enrichment days to demonstrate an understanding of</w:t>
      </w:r>
      <w:r w:rsidR="0040391E" w:rsidRPr="00237A3F">
        <w:rPr>
          <w:rFonts w:ascii="Calibri" w:hAnsi="Calibri" w:cs="Calibri"/>
        </w:rPr>
        <w:t xml:space="preserve"> where</w:t>
      </w:r>
      <w:r w:rsidR="00450872" w:rsidRPr="00237A3F">
        <w:rPr>
          <w:rFonts w:ascii="Calibri" w:hAnsi="Calibri" w:cs="Calibri"/>
        </w:rPr>
        <w:t xml:space="preserve"> I have witnessed effective cross-curricular activities </w:t>
      </w:r>
      <w:r w:rsidR="0040391E" w:rsidRPr="00237A3F">
        <w:rPr>
          <w:rFonts w:ascii="Calibri" w:hAnsi="Calibri" w:cs="Calibri"/>
        </w:rPr>
        <w:t xml:space="preserve">in foundation learning settings. </w:t>
      </w:r>
      <w:r w:rsidR="00C012D3" w:rsidRPr="00237A3F">
        <w:rPr>
          <w:rFonts w:ascii="Calibri" w:hAnsi="Calibri" w:cs="Calibri"/>
        </w:rPr>
        <w:t xml:space="preserve">Cross-curricular learning, described by Twinkl (2024), is a way in which we develop children’s academic capabilities by expanding their knowledge </w:t>
      </w:r>
      <w:r w:rsidR="009836B7" w:rsidRPr="00237A3F">
        <w:rPr>
          <w:rFonts w:ascii="Calibri" w:hAnsi="Calibri" w:cs="Calibri"/>
        </w:rPr>
        <w:t>of the</w:t>
      </w:r>
      <w:r w:rsidR="00C012D3" w:rsidRPr="00237A3F">
        <w:rPr>
          <w:rFonts w:ascii="Calibri" w:hAnsi="Calibri" w:cs="Calibri"/>
        </w:rPr>
        <w:t xml:space="preserve"> subject by </w:t>
      </w:r>
      <w:r w:rsidR="009836B7" w:rsidRPr="00237A3F">
        <w:rPr>
          <w:rFonts w:ascii="Calibri" w:hAnsi="Calibri" w:cs="Calibri"/>
        </w:rPr>
        <w:t xml:space="preserve">incorporating elements of other subjects such </w:t>
      </w:r>
      <w:proofErr w:type="gramStart"/>
      <w:r w:rsidR="009836B7" w:rsidRPr="00237A3F">
        <w:rPr>
          <w:rFonts w:ascii="Calibri" w:hAnsi="Calibri" w:cs="Calibri"/>
        </w:rPr>
        <w:t>as;</w:t>
      </w:r>
      <w:proofErr w:type="gramEnd"/>
      <w:r w:rsidR="009836B7" w:rsidRPr="00237A3F">
        <w:rPr>
          <w:rFonts w:ascii="Calibri" w:hAnsi="Calibri" w:cs="Calibri"/>
        </w:rPr>
        <w:t xml:space="preserve"> </w:t>
      </w:r>
      <w:r w:rsidR="00922735" w:rsidRPr="00237A3F">
        <w:rPr>
          <w:rFonts w:ascii="Calibri" w:hAnsi="Calibri" w:cs="Calibri"/>
        </w:rPr>
        <w:t>literacy</w:t>
      </w:r>
      <w:r w:rsidR="00A04BBC" w:rsidRPr="00237A3F">
        <w:rPr>
          <w:rFonts w:ascii="Calibri" w:hAnsi="Calibri" w:cs="Calibri"/>
        </w:rPr>
        <w:t xml:space="preserve">, </w:t>
      </w:r>
      <w:r w:rsidR="00922735" w:rsidRPr="00237A3F">
        <w:rPr>
          <w:rFonts w:ascii="Calibri" w:hAnsi="Calibri" w:cs="Calibri"/>
        </w:rPr>
        <w:t xml:space="preserve">numeracy and digital competency </w:t>
      </w:r>
      <w:r w:rsidR="009836B7" w:rsidRPr="00237A3F">
        <w:rPr>
          <w:rFonts w:ascii="Calibri" w:hAnsi="Calibri" w:cs="Calibri"/>
        </w:rPr>
        <w:t>into their learning. Doing this develops children holistically, as they develop more skills than one within a single topic or subject – benefitting them throughout their learning overall. An example of cross-curricular learning could be, if in history the children were focusing on the Romans, they could develop their knowledge on the Romans by</w:t>
      </w:r>
      <w:r w:rsidR="00922735" w:rsidRPr="00237A3F">
        <w:rPr>
          <w:rFonts w:ascii="Calibri" w:hAnsi="Calibri" w:cs="Calibri"/>
        </w:rPr>
        <w:t xml:space="preserve"> learning about roman numerals in </w:t>
      </w:r>
      <w:proofErr w:type="gramStart"/>
      <w:r w:rsidR="00922735" w:rsidRPr="00237A3F">
        <w:rPr>
          <w:rFonts w:ascii="Calibri" w:hAnsi="Calibri" w:cs="Calibri"/>
        </w:rPr>
        <w:t>maths</w:t>
      </w:r>
      <w:r w:rsidR="0067403C" w:rsidRPr="00237A3F">
        <w:rPr>
          <w:rFonts w:ascii="Calibri" w:hAnsi="Calibri" w:cs="Calibri"/>
        </w:rPr>
        <w:t>, or</w:t>
      </w:r>
      <w:proofErr w:type="gramEnd"/>
      <w:r w:rsidR="0067403C" w:rsidRPr="00237A3F">
        <w:rPr>
          <w:rFonts w:ascii="Calibri" w:hAnsi="Calibri" w:cs="Calibri"/>
        </w:rPr>
        <w:t xml:space="preserve"> using iPads to film themselves acting out roman scenes </w:t>
      </w:r>
      <w:r w:rsidR="002E1B4C" w:rsidRPr="00237A3F">
        <w:rPr>
          <w:rFonts w:ascii="Calibri" w:hAnsi="Calibri" w:cs="Calibri"/>
        </w:rPr>
        <w:t>in</w:t>
      </w:r>
      <w:r w:rsidR="0067403C" w:rsidRPr="00237A3F">
        <w:rPr>
          <w:rFonts w:ascii="Calibri" w:hAnsi="Calibri" w:cs="Calibri"/>
        </w:rPr>
        <w:t xml:space="preserve"> performing arts</w:t>
      </w:r>
      <w:r w:rsidR="004D62E3" w:rsidRPr="00237A3F">
        <w:rPr>
          <w:rFonts w:ascii="Calibri" w:hAnsi="Calibri" w:cs="Calibri"/>
        </w:rPr>
        <w:t xml:space="preserve">. Many schools find strengths within </w:t>
      </w:r>
      <w:r w:rsidR="007F3185" w:rsidRPr="00237A3F">
        <w:rPr>
          <w:rFonts w:ascii="Calibri" w:hAnsi="Calibri" w:cs="Calibri"/>
        </w:rPr>
        <w:t>what</w:t>
      </w:r>
      <w:r w:rsidR="004D62E3" w:rsidRPr="00237A3F">
        <w:rPr>
          <w:rFonts w:ascii="Calibri" w:hAnsi="Calibri" w:cs="Calibri"/>
        </w:rPr>
        <w:t xml:space="preserve"> </w:t>
      </w:r>
      <w:r w:rsidR="007F3185" w:rsidRPr="00237A3F">
        <w:rPr>
          <w:rFonts w:ascii="Calibri" w:hAnsi="Calibri" w:cs="Calibri"/>
        </w:rPr>
        <w:t>influences</w:t>
      </w:r>
      <w:r w:rsidR="004D62E3" w:rsidRPr="00237A3F">
        <w:rPr>
          <w:rFonts w:ascii="Calibri" w:hAnsi="Calibri" w:cs="Calibri"/>
        </w:rPr>
        <w:t xml:space="preserve"> the teaching of cross-curricular learning</w:t>
      </w:r>
      <w:r w:rsidR="007F3185" w:rsidRPr="00237A3F">
        <w:rPr>
          <w:rFonts w:ascii="Calibri" w:hAnsi="Calibri" w:cs="Calibri"/>
        </w:rPr>
        <w:t>, for example, working together with staff that are heads of departments to help teachers develop their ideas of how they could incorporate maths into their literacy lesson. Kerry (2015) explains that it is through effective planning and staff working together, where the strengths that influence teachers to embed cross-curricular learning into their schools</w:t>
      </w:r>
      <w:r w:rsidR="002E1B4C" w:rsidRPr="00237A3F">
        <w:rPr>
          <w:rFonts w:ascii="Calibri" w:hAnsi="Calibri" w:cs="Calibri"/>
        </w:rPr>
        <w:t xml:space="preserve"> occurs </w:t>
      </w:r>
      <w:r w:rsidR="00232C33" w:rsidRPr="00237A3F">
        <w:rPr>
          <w:rFonts w:ascii="Calibri" w:hAnsi="Calibri" w:cs="Calibri"/>
        </w:rPr>
        <w:t>effectively</w:t>
      </w:r>
      <w:r w:rsidR="007F3185" w:rsidRPr="00237A3F">
        <w:rPr>
          <w:rFonts w:ascii="Calibri" w:hAnsi="Calibri" w:cs="Calibri"/>
        </w:rPr>
        <w:t>. However, some schools may face</w:t>
      </w:r>
      <w:r w:rsidR="002E1B4C" w:rsidRPr="00237A3F">
        <w:rPr>
          <w:rFonts w:ascii="Calibri" w:hAnsi="Calibri" w:cs="Calibri"/>
        </w:rPr>
        <w:t xml:space="preserve"> </w:t>
      </w:r>
      <w:r w:rsidR="007F3185" w:rsidRPr="00237A3F">
        <w:rPr>
          <w:rFonts w:ascii="Calibri" w:hAnsi="Calibri" w:cs="Calibri"/>
        </w:rPr>
        <w:t xml:space="preserve">challenges that prevent them from embedding cross-curricular learning in their curriculum. For example, </w:t>
      </w:r>
      <w:r w:rsidR="008B3E72" w:rsidRPr="00237A3F">
        <w:rPr>
          <w:rFonts w:ascii="Calibri" w:hAnsi="Calibri" w:cs="Calibri"/>
        </w:rPr>
        <w:t>Fautley and Savage (2010) describe that many teachers may not have access to staff with the knowledge of how they can incorporate cross-curricular teaching within their classroom – especially if this is a new concept to them. Furthermore, they describe that some way</w:t>
      </w:r>
      <w:r w:rsidR="0067403C" w:rsidRPr="00237A3F">
        <w:rPr>
          <w:rFonts w:ascii="Calibri" w:hAnsi="Calibri" w:cs="Calibri"/>
        </w:rPr>
        <w:t>s</w:t>
      </w:r>
      <w:r w:rsidR="008B3E72" w:rsidRPr="00237A3F">
        <w:rPr>
          <w:rFonts w:ascii="Calibri" w:hAnsi="Calibri" w:cs="Calibri"/>
        </w:rPr>
        <w:t xml:space="preserve"> of embedding cross-curricular learning into children’s learning often requires school trips to take place, which means costs. In the case of my placement school, due to its fairly deprived area, a lot of the parents would struggle to cover these costs. </w:t>
      </w:r>
      <w:r w:rsidR="00DF237E" w:rsidRPr="00237A3F">
        <w:rPr>
          <w:rFonts w:ascii="Calibri" w:hAnsi="Calibri" w:cs="Calibri"/>
        </w:rPr>
        <w:t>This could lead to children having to miss out on opportunities that would be highly beneficial for the development of their education</w:t>
      </w:r>
      <w:r w:rsidR="005F1C27" w:rsidRPr="00237A3F">
        <w:rPr>
          <w:rFonts w:ascii="Calibri" w:hAnsi="Calibri" w:cs="Calibri"/>
        </w:rPr>
        <w:t xml:space="preserve">. </w:t>
      </w:r>
      <w:r w:rsidR="00D01BC2" w:rsidRPr="00237A3F">
        <w:rPr>
          <w:rFonts w:ascii="Calibri" w:hAnsi="Calibri" w:cs="Calibri"/>
        </w:rPr>
        <w:t>Missing</w:t>
      </w:r>
      <w:r w:rsidR="005F1C27" w:rsidRPr="00237A3F">
        <w:rPr>
          <w:rFonts w:ascii="Calibri" w:hAnsi="Calibri" w:cs="Calibri"/>
        </w:rPr>
        <w:t xml:space="preserve"> out on these opportunities to engage in cross-curricular learning will demotivate their desire </w:t>
      </w:r>
      <w:r w:rsidR="00D01BC2" w:rsidRPr="00237A3F">
        <w:rPr>
          <w:rFonts w:ascii="Calibri" w:hAnsi="Calibri" w:cs="Calibri"/>
        </w:rPr>
        <w:t xml:space="preserve">to learn in stimulating and interconnecting topics and subjects, due to the fear of failing as a result of their missed opportunities within cross-curricular learning. To give a thorough evaluation </w:t>
      </w:r>
      <w:r w:rsidR="002062C5" w:rsidRPr="00237A3F">
        <w:rPr>
          <w:rFonts w:ascii="Calibri" w:hAnsi="Calibri" w:cs="Calibri"/>
        </w:rPr>
        <w:t xml:space="preserve">of my understanding of cross-curricular learning within a foundation learning </w:t>
      </w:r>
      <w:r w:rsidR="002062C5" w:rsidRPr="00237A3F">
        <w:rPr>
          <w:rFonts w:ascii="Calibri" w:hAnsi="Calibri" w:cs="Calibri"/>
        </w:rPr>
        <w:lastRenderedPageBreak/>
        <w:t xml:space="preserve">setting, I will provide a detailed lesson plan and learning resource to demonstrate how I would use cross-curricular learning within my own foundation learning classroom. </w:t>
      </w:r>
      <w:r w:rsidR="002C127B" w:rsidRPr="00237A3F">
        <w:rPr>
          <w:rFonts w:ascii="Calibri" w:hAnsi="Calibri" w:cs="Calibri"/>
        </w:rPr>
        <w:t xml:space="preserve">Upon doing this, I will consider my professional development </w:t>
      </w:r>
      <w:r w:rsidR="0067403C" w:rsidRPr="00237A3F">
        <w:rPr>
          <w:rFonts w:ascii="Calibri" w:hAnsi="Calibri" w:cs="Calibri"/>
        </w:rPr>
        <w:t>regarding</w:t>
      </w:r>
      <w:r w:rsidR="002C127B" w:rsidRPr="00237A3F">
        <w:rPr>
          <w:rFonts w:ascii="Calibri" w:hAnsi="Calibri" w:cs="Calibri"/>
        </w:rPr>
        <w:t xml:space="preserve"> cross-curricular learning as a teacher, cross-referencing this to some of the QTS standards. </w:t>
      </w:r>
    </w:p>
    <w:p w14:paraId="59E9019B" w14:textId="77777777" w:rsidR="00A43A1A" w:rsidRPr="00237A3F" w:rsidRDefault="00A43A1A" w:rsidP="00BB1E61">
      <w:pPr>
        <w:spacing w:line="360" w:lineRule="auto"/>
        <w:jc w:val="both"/>
        <w:rPr>
          <w:rFonts w:ascii="Calibri" w:hAnsi="Calibri" w:cs="Calibri"/>
        </w:rPr>
      </w:pPr>
    </w:p>
    <w:p w14:paraId="3E5AD290" w14:textId="322BC4FD" w:rsidR="00CA64CC" w:rsidRPr="00237A3F" w:rsidRDefault="00A43A1A" w:rsidP="00BB1E61">
      <w:pPr>
        <w:spacing w:line="360" w:lineRule="auto"/>
        <w:jc w:val="both"/>
        <w:rPr>
          <w:rFonts w:ascii="Calibri" w:hAnsi="Calibri" w:cs="Calibri"/>
        </w:rPr>
      </w:pPr>
      <w:r w:rsidRPr="00237A3F">
        <w:rPr>
          <w:rFonts w:ascii="Calibri" w:hAnsi="Calibri" w:cs="Calibri"/>
        </w:rPr>
        <w:t xml:space="preserve">An example of a lesson plan and learning resource that could be used to develop children in foundation learning classrooms could be, developing children’s science and technology. For instance, attached in the appendix is the example of a lesson plan and learning resource that develops children’s learning through cross-curricular </w:t>
      </w:r>
      <w:r w:rsidR="002E1B4C" w:rsidRPr="00237A3F">
        <w:rPr>
          <w:rFonts w:ascii="Calibri" w:hAnsi="Calibri" w:cs="Calibri"/>
        </w:rPr>
        <w:t xml:space="preserve">teaching </w:t>
      </w:r>
      <w:r w:rsidRPr="00237A3F">
        <w:rPr>
          <w:rFonts w:ascii="Calibri" w:hAnsi="Calibri" w:cs="Calibri"/>
        </w:rPr>
        <w:t>utilising the six Areas of Learning and Experience (</w:t>
      </w:r>
      <w:proofErr w:type="spellStart"/>
      <w:r w:rsidRPr="00237A3F">
        <w:rPr>
          <w:rFonts w:ascii="Calibri" w:hAnsi="Calibri" w:cs="Calibri"/>
        </w:rPr>
        <w:t>AoLEs</w:t>
      </w:r>
      <w:proofErr w:type="spellEnd"/>
      <w:r w:rsidRPr="00237A3F">
        <w:rPr>
          <w:rFonts w:ascii="Calibri" w:hAnsi="Calibri" w:cs="Calibri"/>
        </w:rPr>
        <w:t xml:space="preserve">). The </w:t>
      </w:r>
      <w:proofErr w:type="spellStart"/>
      <w:r w:rsidRPr="00237A3F">
        <w:rPr>
          <w:rFonts w:ascii="Calibri" w:hAnsi="Calibri" w:cs="Calibri"/>
        </w:rPr>
        <w:t>AoLEs</w:t>
      </w:r>
      <w:proofErr w:type="spellEnd"/>
      <w:r w:rsidR="00C62C81" w:rsidRPr="00237A3F">
        <w:rPr>
          <w:rFonts w:ascii="Calibri" w:hAnsi="Calibri" w:cs="Calibri"/>
        </w:rPr>
        <w:t xml:space="preserve">, explained by Welsh Government (2018) suggest, there are six </w:t>
      </w:r>
      <w:proofErr w:type="spellStart"/>
      <w:r w:rsidR="00C62C81" w:rsidRPr="00237A3F">
        <w:rPr>
          <w:rFonts w:ascii="Calibri" w:hAnsi="Calibri" w:cs="Calibri"/>
        </w:rPr>
        <w:t>AoLEs</w:t>
      </w:r>
      <w:proofErr w:type="spellEnd"/>
      <w:r w:rsidR="00C62C81" w:rsidRPr="00237A3F">
        <w:rPr>
          <w:rFonts w:ascii="Calibri" w:hAnsi="Calibri" w:cs="Calibri"/>
        </w:rPr>
        <w:t xml:space="preserve"> such as; health and wellbeing, expressive arts, humanities, languages, literacy and communication, mathematics and numeracy and science and technology, which we as professionals must base our lessons on. In this case, which can be seen </w:t>
      </w:r>
      <w:r w:rsidR="00BB1E61" w:rsidRPr="00237A3F">
        <w:rPr>
          <w:rFonts w:ascii="Calibri" w:hAnsi="Calibri" w:cs="Calibri"/>
        </w:rPr>
        <w:t>in</w:t>
      </w:r>
      <w:r w:rsidR="00C62C81" w:rsidRPr="00237A3F">
        <w:rPr>
          <w:rFonts w:ascii="Calibri" w:hAnsi="Calibri" w:cs="Calibri"/>
        </w:rPr>
        <w:t xml:space="preserve"> the lesson plan in the appendix, the focus of the lesson is science and technology. </w:t>
      </w:r>
    </w:p>
    <w:p w14:paraId="313BB4CD" w14:textId="29671111" w:rsidR="00A43A1A" w:rsidRPr="00237A3F" w:rsidRDefault="00CF2500" w:rsidP="00BB1E61">
      <w:pPr>
        <w:spacing w:line="360" w:lineRule="auto"/>
        <w:jc w:val="both"/>
        <w:rPr>
          <w:rFonts w:ascii="Calibri" w:hAnsi="Calibri" w:cs="Calibri"/>
          <w:b/>
          <w:bCs/>
          <w:color w:val="FF0000"/>
        </w:rPr>
      </w:pPr>
      <w:r w:rsidRPr="00237A3F">
        <w:rPr>
          <w:rFonts w:ascii="Calibri" w:hAnsi="Calibri" w:cs="Calibri"/>
        </w:rPr>
        <w:t xml:space="preserve">Within this, we must make meaningful links across the curriculum by engaging with cross-curricular skills framework. </w:t>
      </w:r>
      <w:r w:rsidR="00BB1E61" w:rsidRPr="00237A3F">
        <w:rPr>
          <w:rFonts w:ascii="Calibri" w:hAnsi="Calibri" w:cs="Calibri"/>
        </w:rPr>
        <w:t xml:space="preserve">The cross-curricular skills framework is set out by Welsh Government (2024) who suggest, that literacy, numeracy and digital competence are vital within the Curriculum for Wales. Welsh Government (2024) provide framework guidance for practitioners to follow in order for children to develop these skills accordingly. </w:t>
      </w:r>
      <w:r w:rsidR="00991DCB" w:rsidRPr="00237A3F">
        <w:rPr>
          <w:rFonts w:ascii="Calibri" w:hAnsi="Calibri" w:cs="Calibri"/>
        </w:rPr>
        <w:t xml:space="preserve">The framework for literacy, numeracy and digital competency all consist of strands, explaining the basic criteria for the section of the framework, and progression steps, which give detail as to what a child should be doing to have achieved this within their work. Morrison (1994) suggests that embedding cross-curricular themes into the curriculum, such as literacy, numeracy and digital competency, is part of the most enriched designs to be </w:t>
      </w:r>
      <w:r w:rsidR="00CA64CC" w:rsidRPr="00237A3F">
        <w:rPr>
          <w:rFonts w:ascii="Calibri" w:hAnsi="Calibri" w:cs="Calibri"/>
        </w:rPr>
        <w:t>included</w:t>
      </w:r>
      <w:r w:rsidR="00991DCB" w:rsidRPr="00237A3F">
        <w:rPr>
          <w:rFonts w:ascii="Calibri" w:hAnsi="Calibri" w:cs="Calibri"/>
        </w:rPr>
        <w:t xml:space="preserve"> </w:t>
      </w:r>
      <w:r w:rsidR="00CA64CC" w:rsidRPr="00237A3F">
        <w:rPr>
          <w:rFonts w:ascii="Calibri" w:hAnsi="Calibri" w:cs="Calibri"/>
        </w:rPr>
        <w:t>in</w:t>
      </w:r>
      <w:r w:rsidR="00991DCB" w:rsidRPr="00237A3F">
        <w:rPr>
          <w:rFonts w:ascii="Calibri" w:hAnsi="Calibri" w:cs="Calibri"/>
        </w:rPr>
        <w:t xml:space="preserve"> any school curriculum. </w:t>
      </w:r>
      <w:r w:rsidR="006858DF" w:rsidRPr="00237A3F">
        <w:rPr>
          <w:rFonts w:ascii="Calibri" w:hAnsi="Calibri" w:cs="Calibri"/>
        </w:rPr>
        <w:t>Barnes (2018) continues that cross-curricular learning is such an effective tool as it draws many learning experiences into related materials</w:t>
      </w:r>
      <w:r w:rsidR="005E6F51" w:rsidRPr="00237A3F">
        <w:rPr>
          <w:rFonts w:ascii="Calibri" w:hAnsi="Calibri" w:cs="Calibri"/>
        </w:rPr>
        <w:t>, encouraging children to think for themselves by making their own links to topics and becoming curious.</w:t>
      </w:r>
      <w:r w:rsidR="00CA64CC" w:rsidRPr="00237A3F">
        <w:rPr>
          <w:rFonts w:ascii="Calibri" w:hAnsi="Calibri" w:cs="Calibri"/>
        </w:rPr>
        <w:t xml:space="preserve"> </w:t>
      </w:r>
      <w:r w:rsidR="00232C33" w:rsidRPr="00237A3F">
        <w:rPr>
          <w:rFonts w:ascii="Calibri" w:hAnsi="Calibri" w:cs="Calibri"/>
        </w:rPr>
        <w:t>Furthermore,</w:t>
      </w:r>
      <w:r w:rsidR="00CA64CC" w:rsidRPr="00237A3F">
        <w:rPr>
          <w:rFonts w:ascii="Calibri" w:hAnsi="Calibri" w:cs="Calibri"/>
        </w:rPr>
        <w:t xml:space="preserve"> Rowley and Cooper (2009) describe the benefits </w:t>
      </w:r>
      <w:r w:rsidR="00744567" w:rsidRPr="00237A3F">
        <w:rPr>
          <w:rFonts w:ascii="Calibri" w:hAnsi="Calibri" w:cs="Calibri"/>
        </w:rPr>
        <w:t xml:space="preserve">of developing these skills within different subjects allows children to develop more of a problem-solving mentality, </w:t>
      </w:r>
      <w:proofErr w:type="gramStart"/>
      <w:r w:rsidR="00744567" w:rsidRPr="00237A3F">
        <w:rPr>
          <w:rFonts w:ascii="Calibri" w:hAnsi="Calibri" w:cs="Calibri"/>
        </w:rPr>
        <w:t>similar to</w:t>
      </w:r>
      <w:proofErr w:type="gramEnd"/>
      <w:r w:rsidR="00744567" w:rsidRPr="00237A3F">
        <w:rPr>
          <w:rFonts w:ascii="Calibri" w:hAnsi="Calibri" w:cs="Calibri"/>
        </w:rPr>
        <w:t xml:space="preserve"> brain training. </w:t>
      </w:r>
      <w:r w:rsidR="00945B80" w:rsidRPr="00237A3F">
        <w:rPr>
          <w:rFonts w:ascii="Calibri" w:hAnsi="Calibri" w:cs="Calibri"/>
        </w:rPr>
        <w:t xml:space="preserve">Welsh Government (2017) explain that this allows children to engage with one of their four purposes to learning, ambitious, capable learners. As by engaging in the cross-curricular skills </w:t>
      </w:r>
      <w:r w:rsidR="00945B80" w:rsidRPr="00237A3F">
        <w:rPr>
          <w:rFonts w:ascii="Calibri" w:hAnsi="Calibri" w:cs="Calibri"/>
        </w:rPr>
        <w:lastRenderedPageBreak/>
        <w:t>coherently will develop children into being ready to learn throughout their lives in education and the world beyond</w:t>
      </w:r>
      <w:r w:rsidR="00945B80" w:rsidRPr="00237A3F">
        <w:rPr>
          <w:rFonts w:ascii="Calibri" w:hAnsi="Calibri" w:cs="Calibri"/>
          <w:color w:val="000000" w:themeColor="text1"/>
        </w:rPr>
        <w:t xml:space="preserve">. </w:t>
      </w:r>
      <w:r w:rsidR="00B3407F" w:rsidRPr="00237A3F">
        <w:rPr>
          <w:rFonts w:ascii="Calibri" w:hAnsi="Calibri" w:cs="Calibri"/>
          <w:b/>
          <w:bCs/>
          <w:color w:val="FF0000"/>
        </w:rPr>
        <w:t xml:space="preserve"> </w:t>
      </w:r>
    </w:p>
    <w:p w14:paraId="4452958E" w14:textId="16565E95" w:rsidR="00CA64CC" w:rsidRPr="00237A3F" w:rsidRDefault="00CA64CC" w:rsidP="00BB1E61">
      <w:pPr>
        <w:spacing w:line="360" w:lineRule="auto"/>
        <w:jc w:val="both"/>
        <w:rPr>
          <w:rFonts w:ascii="Calibri" w:hAnsi="Calibri" w:cs="Calibri"/>
        </w:rPr>
      </w:pPr>
      <w:r w:rsidRPr="00237A3F">
        <w:rPr>
          <w:rFonts w:ascii="Calibri" w:hAnsi="Calibri" w:cs="Calibri"/>
        </w:rPr>
        <w:t>On the other h</w:t>
      </w:r>
      <w:r w:rsidR="00744567" w:rsidRPr="00237A3F">
        <w:rPr>
          <w:rFonts w:ascii="Calibri" w:hAnsi="Calibri" w:cs="Calibri"/>
        </w:rPr>
        <w:t xml:space="preserve">and, </w:t>
      </w:r>
      <w:r w:rsidR="00B3407F" w:rsidRPr="00237A3F">
        <w:rPr>
          <w:rFonts w:ascii="Calibri" w:hAnsi="Calibri" w:cs="Calibri"/>
        </w:rPr>
        <w:t xml:space="preserve">Durham University (2016) </w:t>
      </w:r>
      <w:r w:rsidR="00920963" w:rsidRPr="00237A3F">
        <w:rPr>
          <w:rFonts w:ascii="Calibri" w:hAnsi="Calibri" w:cs="Calibri"/>
        </w:rPr>
        <w:t xml:space="preserve">implies </w:t>
      </w:r>
      <w:r w:rsidR="00B3407F" w:rsidRPr="00237A3F">
        <w:rPr>
          <w:rFonts w:ascii="Calibri" w:hAnsi="Calibri" w:cs="Calibri"/>
        </w:rPr>
        <w:t xml:space="preserve">that they find cross-curricular learning does not increase children's education. </w:t>
      </w:r>
      <w:r w:rsidR="00920963" w:rsidRPr="00237A3F">
        <w:rPr>
          <w:rFonts w:ascii="Calibri" w:hAnsi="Calibri" w:cs="Calibri"/>
        </w:rPr>
        <w:t xml:space="preserve">This is because often the links between the subject of the lesson and the cross-curricular skill can be highly unconnected to the original topic. This could lead to teachers focusing more on engaging the children with developing cross-curricular skills rather than the understanding of the subject they are learning about, in turn leading the children to be less knowledgeable. </w:t>
      </w:r>
      <w:r w:rsidR="003528D8" w:rsidRPr="00237A3F">
        <w:rPr>
          <w:rFonts w:ascii="Calibri" w:hAnsi="Calibri" w:cs="Calibri"/>
        </w:rPr>
        <w:t>Moore and Allison (2011) continue that their concerns follow suggestions that if there is too much emphasis and pressure to incorporate cross-curricular skills into the curriculum, planning will become inefficient and challenging</w:t>
      </w:r>
      <w:r w:rsidR="005E2CF6" w:rsidRPr="00237A3F">
        <w:rPr>
          <w:rFonts w:ascii="Calibri" w:hAnsi="Calibri" w:cs="Calibri"/>
        </w:rPr>
        <w:t>. The</w:t>
      </w:r>
      <w:r w:rsidR="003528D8" w:rsidRPr="00237A3F">
        <w:rPr>
          <w:rFonts w:ascii="Calibri" w:hAnsi="Calibri" w:cs="Calibri"/>
        </w:rPr>
        <w:t xml:space="preserve"> sequencing of the lesson will be neglected</w:t>
      </w:r>
      <w:r w:rsidR="005E2CF6" w:rsidRPr="00237A3F">
        <w:rPr>
          <w:rFonts w:ascii="Calibri" w:hAnsi="Calibri" w:cs="Calibri"/>
        </w:rPr>
        <w:t xml:space="preserve"> and therefore tarnished for children to move forward and develop appropriately. </w:t>
      </w:r>
      <w:r w:rsidR="0050466E" w:rsidRPr="00237A3F">
        <w:rPr>
          <w:rFonts w:ascii="Calibri" w:hAnsi="Calibri" w:cs="Calibri"/>
        </w:rPr>
        <w:t xml:space="preserve">The Department for Education (2009) expresses that for cross-curricular themes to be embedded properly within the curriculum, there needs to be a higher focus towards providing the expertise to engage within it effectively. </w:t>
      </w:r>
      <w:r w:rsidR="00A877C2" w:rsidRPr="00237A3F">
        <w:rPr>
          <w:rFonts w:ascii="Calibri" w:hAnsi="Calibri" w:cs="Calibri"/>
        </w:rPr>
        <w:t xml:space="preserve">This </w:t>
      </w:r>
      <w:r w:rsidR="00CB30C1" w:rsidRPr="00237A3F">
        <w:rPr>
          <w:rFonts w:ascii="Calibri" w:hAnsi="Calibri" w:cs="Calibri"/>
        </w:rPr>
        <w:t>suggests</w:t>
      </w:r>
      <w:r w:rsidR="00A877C2" w:rsidRPr="00237A3F">
        <w:rPr>
          <w:rFonts w:ascii="Calibri" w:hAnsi="Calibri" w:cs="Calibri"/>
        </w:rPr>
        <w:t xml:space="preserve"> that through the correct support and guidance, the drawbacks noted by </w:t>
      </w:r>
      <w:r w:rsidR="00CB30C1" w:rsidRPr="00237A3F">
        <w:rPr>
          <w:rFonts w:ascii="Calibri" w:hAnsi="Calibri" w:cs="Calibri"/>
        </w:rPr>
        <w:t xml:space="preserve">professionals previously can be overcome. Allowing children to be able to develop their cross-curricular skills within subject lessons, without an over-presenting presence of any skill.  </w:t>
      </w:r>
    </w:p>
    <w:p w14:paraId="4B801F4B" w14:textId="12ACD8F8" w:rsidR="00CB30C1" w:rsidRPr="00237A3F" w:rsidRDefault="00CB30C1" w:rsidP="00BB1E61">
      <w:pPr>
        <w:spacing w:line="360" w:lineRule="auto"/>
        <w:jc w:val="both"/>
        <w:rPr>
          <w:rFonts w:ascii="Calibri" w:hAnsi="Calibri" w:cs="Calibri"/>
        </w:rPr>
      </w:pPr>
      <w:r w:rsidRPr="00237A3F">
        <w:rPr>
          <w:rFonts w:ascii="Calibri" w:hAnsi="Calibri" w:cs="Calibri"/>
        </w:rPr>
        <w:t>In accordance with this assignment, I created and developed a lesson plan with a learning resource. The idea of the lesson was for the children to develop their science and technology, hence the lesson being a science and technology lesson. The lesson focuses on a book titled ‘Sam Plants a Sunflower</w:t>
      </w:r>
      <w:r w:rsidR="00BA0493" w:rsidRPr="00237A3F">
        <w:rPr>
          <w:rFonts w:ascii="Calibri" w:hAnsi="Calibri" w:cs="Calibri"/>
        </w:rPr>
        <w:t xml:space="preserve">’, in which the book explains the lifecycle of a sunflower. The children need to take in this information to be able to complete the learning resource where they must recall the order of the lifecycle of a sunflower. In the lesson plan, it is explained that the higher-ability children are to put the pictures and names of the stages in order, while the lower-ability children only need to put the pictures in order with the name of the stage already there. The lesson plan explains what misconceptions the children might be faced with, and how to overcome them if they do arise. As well as this, the lesson plan describes how the children are to meet the success criteria leading to their success within the task. </w:t>
      </w:r>
    </w:p>
    <w:p w14:paraId="52F61449" w14:textId="1883DE61" w:rsidR="00BA0493" w:rsidRPr="00237A3F" w:rsidRDefault="00BA0493" w:rsidP="00BB1E61">
      <w:pPr>
        <w:spacing w:line="360" w:lineRule="auto"/>
        <w:jc w:val="both"/>
        <w:rPr>
          <w:rFonts w:ascii="Calibri" w:hAnsi="Calibri" w:cs="Calibri"/>
        </w:rPr>
      </w:pPr>
      <w:r w:rsidRPr="00237A3F">
        <w:rPr>
          <w:rFonts w:ascii="Calibri" w:hAnsi="Calibri" w:cs="Calibri"/>
        </w:rPr>
        <w:t xml:space="preserve">Within the lesson plan, meaningful links across the curriculum were made. </w:t>
      </w:r>
      <w:r w:rsidR="00E209E8" w:rsidRPr="00237A3F">
        <w:rPr>
          <w:rFonts w:ascii="Calibri" w:hAnsi="Calibri" w:cs="Calibri"/>
        </w:rPr>
        <w:t xml:space="preserve">Barnes (2015) expresses, that although is it vital for children to develop in all three areas of cross-curricular skills, literacy, numeracy and digital competency, all three do not have to be present in every lesson. Barnes (2015) explains that this is because there needs to be meaningful experiences </w:t>
      </w:r>
      <w:r w:rsidR="00E209E8" w:rsidRPr="00237A3F">
        <w:rPr>
          <w:rFonts w:ascii="Calibri" w:hAnsi="Calibri" w:cs="Calibri"/>
        </w:rPr>
        <w:lastRenderedPageBreak/>
        <w:t>for the children to engage in a lesson. The reason it might be important for there to be meaningful experiences in learning, explained by Elder and Gilbert (2012), i</w:t>
      </w:r>
      <w:r w:rsidR="00232C33" w:rsidRPr="00237A3F">
        <w:rPr>
          <w:rFonts w:ascii="Calibri" w:hAnsi="Calibri" w:cs="Calibri"/>
        </w:rPr>
        <w:t xml:space="preserve">s because it </w:t>
      </w:r>
      <w:r w:rsidR="00BF3FC0" w:rsidRPr="00237A3F">
        <w:rPr>
          <w:rFonts w:ascii="Calibri" w:hAnsi="Calibri" w:cs="Calibri"/>
        </w:rPr>
        <w:t xml:space="preserve">allows children to have an experience they can draw themselves back to, further developing their understanding of a subject. With this in mind, Barnes (2015) explains that if there is no link, one should not be forced into the learning. This is because it will make the learning meaningless, powerless and weak, resulting in no learning taking place. This is why in my lesson plan, there is no digital competency being developed as I felt I was stretching my links to make it relevant and meaningful. This is a way I could develop my lesson plan further, by incorporating aspects into the lesson that would allow me to include digital competency into the learning. This could be done by, getting the children to carry out the task on a computer or </w:t>
      </w:r>
      <w:r w:rsidR="007A4F05" w:rsidRPr="00237A3F">
        <w:rPr>
          <w:rFonts w:ascii="Calibri" w:hAnsi="Calibri" w:cs="Calibri"/>
        </w:rPr>
        <w:t xml:space="preserve">iPad using online resources such as Just 2 Easy (J2E), which Welsh Government (2024), explain is a useful </w:t>
      </w:r>
      <w:r w:rsidR="00232C33" w:rsidRPr="00237A3F">
        <w:rPr>
          <w:rFonts w:ascii="Calibri" w:hAnsi="Calibri" w:cs="Calibri"/>
        </w:rPr>
        <w:t>award-winning</w:t>
      </w:r>
      <w:r w:rsidR="007A4F05" w:rsidRPr="00237A3F">
        <w:rPr>
          <w:rFonts w:ascii="Calibri" w:hAnsi="Calibri" w:cs="Calibri"/>
        </w:rPr>
        <w:t xml:space="preserve"> too</w:t>
      </w:r>
      <w:r w:rsidR="00A04BBC" w:rsidRPr="00237A3F">
        <w:rPr>
          <w:rFonts w:ascii="Calibri" w:hAnsi="Calibri" w:cs="Calibri"/>
        </w:rPr>
        <w:t xml:space="preserve">l </w:t>
      </w:r>
      <w:r w:rsidR="007A4F05" w:rsidRPr="00237A3F">
        <w:rPr>
          <w:rFonts w:ascii="Calibri" w:hAnsi="Calibri" w:cs="Calibri"/>
        </w:rPr>
        <w:t xml:space="preserve">to help children develop their knowledge through computing and cross-curricular creative activities. </w:t>
      </w:r>
    </w:p>
    <w:p w14:paraId="1F89A9E0" w14:textId="51CAD3CC" w:rsidR="00A70F0F" w:rsidRPr="00237A3F" w:rsidRDefault="00A70F0F" w:rsidP="00BB1E61">
      <w:pPr>
        <w:spacing w:line="360" w:lineRule="auto"/>
        <w:jc w:val="both"/>
        <w:rPr>
          <w:rFonts w:ascii="Calibri" w:hAnsi="Calibri" w:cs="Calibri"/>
        </w:rPr>
      </w:pPr>
      <w:r w:rsidRPr="00237A3F">
        <w:rPr>
          <w:rFonts w:ascii="Calibri" w:hAnsi="Calibri" w:cs="Calibri"/>
        </w:rPr>
        <w:t xml:space="preserve">The resource created will be used as a focus task for the lesson, with </w:t>
      </w:r>
      <w:r w:rsidR="00A04BBC" w:rsidRPr="00237A3F">
        <w:rPr>
          <w:rFonts w:ascii="Calibri" w:hAnsi="Calibri" w:cs="Calibri"/>
        </w:rPr>
        <w:t>the children</w:t>
      </w:r>
      <w:r w:rsidRPr="00237A3F">
        <w:rPr>
          <w:rFonts w:ascii="Calibri" w:hAnsi="Calibri" w:cs="Calibri"/>
        </w:rPr>
        <w:t xml:space="preserve"> working in their ability groups to complete the task. The children will have the story read to them as a class, before working in their ability groups with a teacher or teaching assistant. By having the children work in small groups, with</w:t>
      </w:r>
      <w:r w:rsidR="00155761" w:rsidRPr="00237A3F">
        <w:rPr>
          <w:rFonts w:ascii="Calibri" w:hAnsi="Calibri" w:cs="Calibri"/>
        </w:rPr>
        <w:t xml:space="preserve"> </w:t>
      </w:r>
      <w:r w:rsidR="004C3247" w:rsidRPr="00237A3F">
        <w:rPr>
          <w:rFonts w:ascii="Calibri" w:hAnsi="Calibri" w:cs="Calibri"/>
        </w:rPr>
        <w:t xml:space="preserve">children </w:t>
      </w:r>
      <w:r w:rsidR="00155761" w:rsidRPr="00237A3F">
        <w:rPr>
          <w:rFonts w:ascii="Calibri" w:hAnsi="Calibri" w:cs="Calibri"/>
        </w:rPr>
        <w:t xml:space="preserve">at the same ability level as them will allow the teacher or teaching assistant to carry out Assessment for Learning (AfL) strategies as the children work. Cambridge Assessment (2024) </w:t>
      </w:r>
      <w:r w:rsidR="00B72F07" w:rsidRPr="00237A3F">
        <w:rPr>
          <w:rFonts w:ascii="Calibri" w:hAnsi="Calibri" w:cs="Calibri"/>
        </w:rPr>
        <w:t>explain that Af</w:t>
      </w:r>
      <w:r w:rsidR="004C3247" w:rsidRPr="00237A3F">
        <w:rPr>
          <w:rFonts w:ascii="Calibri" w:hAnsi="Calibri" w:cs="Calibri"/>
        </w:rPr>
        <w:t xml:space="preserve">L is a strategy used to give pupils feedback to improve their work and overall performance of their work. By using AfL strategies will allow the teacher and teaching assistant to live mark the children’s work as they go. </w:t>
      </w:r>
      <w:r w:rsidR="00F967DE" w:rsidRPr="00237A3F">
        <w:rPr>
          <w:rFonts w:ascii="Calibri" w:hAnsi="Calibri" w:cs="Calibri"/>
        </w:rPr>
        <w:t>McGill</w:t>
      </w:r>
      <w:r w:rsidR="00AA12C1" w:rsidRPr="00237A3F">
        <w:rPr>
          <w:rFonts w:ascii="Calibri" w:hAnsi="Calibri" w:cs="Calibri"/>
        </w:rPr>
        <w:t xml:space="preserve"> (2015) explains live marking as giving pupils feedback on their work during the process of them working, so they know how to improve when continuing with their work. This strategy helps children learn at a faster rate, as Hattie et al (2015) suggests, it improves children’s enthusiasm and growth towards their education – as they are then continuously</w:t>
      </w:r>
      <w:r w:rsidR="00922735" w:rsidRPr="00237A3F">
        <w:rPr>
          <w:rFonts w:ascii="Calibri" w:hAnsi="Calibri" w:cs="Calibri"/>
        </w:rPr>
        <w:t xml:space="preserve"> learning and</w:t>
      </w:r>
      <w:r w:rsidR="00AA12C1" w:rsidRPr="00237A3F">
        <w:rPr>
          <w:rFonts w:ascii="Calibri" w:hAnsi="Calibri" w:cs="Calibri"/>
        </w:rPr>
        <w:t xml:space="preserve"> improving</w:t>
      </w:r>
      <w:r w:rsidR="00A04BBC" w:rsidRPr="00237A3F">
        <w:rPr>
          <w:rFonts w:ascii="Calibri" w:hAnsi="Calibri" w:cs="Calibri"/>
        </w:rPr>
        <w:t xml:space="preserve"> through this strategy</w:t>
      </w:r>
      <w:r w:rsidR="00AA12C1" w:rsidRPr="00237A3F">
        <w:rPr>
          <w:rFonts w:ascii="Calibri" w:hAnsi="Calibri" w:cs="Calibri"/>
        </w:rPr>
        <w:t xml:space="preserve">. </w:t>
      </w:r>
    </w:p>
    <w:p w14:paraId="3BC4FD93" w14:textId="77777777" w:rsidR="00441548" w:rsidRPr="00237A3F" w:rsidRDefault="00441548" w:rsidP="00BB1E61">
      <w:pPr>
        <w:spacing w:line="360" w:lineRule="auto"/>
        <w:jc w:val="both"/>
        <w:rPr>
          <w:rFonts w:ascii="Calibri" w:hAnsi="Calibri" w:cs="Calibri"/>
        </w:rPr>
      </w:pPr>
    </w:p>
    <w:p w14:paraId="40CCDE87" w14:textId="387DE410" w:rsidR="00441548" w:rsidRPr="00237A3F" w:rsidRDefault="00441548" w:rsidP="00BB1E61">
      <w:pPr>
        <w:spacing w:line="360" w:lineRule="auto"/>
        <w:jc w:val="both"/>
        <w:rPr>
          <w:rFonts w:ascii="Calibri" w:hAnsi="Calibri" w:cs="Calibri"/>
        </w:rPr>
      </w:pPr>
      <w:r w:rsidRPr="00237A3F">
        <w:rPr>
          <w:rFonts w:ascii="Calibri" w:hAnsi="Calibri" w:cs="Calibri"/>
        </w:rPr>
        <w:t xml:space="preserve">In conclusion, it is clear that there is an extensive importance to embedding cross-curricular skills into our </w:t>
      </w:r>
      <w:r w:rsidR="00232C33" w:rsidRPr="00237A3F">
        <w:rPr>
          <w:rFonts w:ascii="Calibri" w:hAnsi="Calibri" w:cs="Calibri"/>
        </w:rPr>
        <w:t>school’s</w:t>
      </w:r>
      <w:r w:rsidRPr="00237A3F">
        <w:rPr>
          <w:rFonts w:ascii="Calibri" w:hAnsi="Calibri" w:cs="Calibri"/>
        </w:rPr>
        <w:t xml:space="preserve"> curriculum in the education for our children. There is plenty of evidence that suggests that by incorporating literacy, numeracy and digital competency into our </w:t>
      </w:r>
      <w:r w:rsidR="0003752A" w:rsidRPr="00237A3F">
        <w:rPr>
          <w:rFonts w:ascii="Calibri" w:hAnsi="Calibri" w:cs="Calibri"/>
        </w:rPr>
        <w:t>children’s</w:t>
      </w:r>
      <w:r w:rsidRPr="00237A3F">
        <w:rPr>
          <w:rFonts w:ascii="Calibri" w:hAnsi="Calibri" w:cs="Calibri"/>
        </w:rPr>
        <w:t xml:space="preserve"> education</w:t>
      </w:r>
      <w:r w:rsidR="0003752A" w:rsidRPr="00237A3F">
        <w:rPr>
          <w:rFonts w:ascii="Calibri" w:hAnsi="Calibri" w:cs="Calibri"/>
        </w:rPr>
        <w:t xml:space="preserve">, they become more well-rounded, </w:t>
      </w:r>
      <w:r w:rsidR="00232C33" w:rsidRPr="00237A3F">
        <w:rPr>
          <w:rFonts w:ascii="Calibri" w:hAnsi="Calibri" w:cs="Calibri"/>
        </w:rPr>
        <w:t>problem-solving</w:t>
      </w:r>
      <w:r w:rsidR="0003752A" w:rsidRPr="00237A3F">
        <w:rPr>
          <w:rFonts w:ascii="Calibri" w:hAnsi="Calibri" w:cs="Calibri"/>
        </w:rPr>
        <w:t xml:space="preserve"> thinkers with the skills they need ready to take on the world. Although there were some drawbacks noted and </w:t>
      </w:r>
      <w:r w:rsidR="0003752A" w:rsidRPr="00237A3F">
        <w:rPr>
          <w:rFonts w:ascii="Calibri" w:hAnsi="Calibri" w:cs="Calibri"/>
        </w:rPr>
        <w:lastRenderedPageBreak/>
        <w:t xml:space="preserve">addressed, explaining that often the links connecting the subject and the cross-curricular framework can be blurred – making the learning powerless and meaningless. However, upon discussing this it was evident that by developing </w:t>
      </w:r>
      <w:r w:rsidR="00232C33" w:rsidRPr="00237A3F">
        <w:rPr>
          <w:rFonts w:ascii="Calibri" w:hAnsi="Calibri" w:cs="Calibri"/>
        </w:rPr>
        <w:t>professionals’</w:t>
      </w:r>
      <w:r w:rsidR="0003752A" w:rsidRPr="00237A3F">
        <w:rPr>
          <w:rFonts w:ascii="Calibri" w:hAnsi="Calibri" w:cs="Calibri"/>
        </w:rPr>
        <w:t xml:space="preserve"> knowledge in using cross-curricular framework</w:t>
      </w:r>
      <w:r w:rsidR="003D1C40" w:rsidRPr="00237A3F">
        <w:rPr>
          <w:rFonts w:ascii="Calibri" w:hAnsi="Calibri" w:cs="Calibri"/>
        </w:rPr>
        <w:t>, this issue could be overcome by learning not every lesson needs to link to each of the three cross-curricular skills. In turn, learning that it is more important that the link</w:t>
      </w:r>
      <w:r w:rsidR="00705C27" w:rsidRPr="00237A3F">
        <w:rPr>
          <w:rFonts w:ascii="Calibri" w:hAnsi="Calibri" w:cs="Calibri"/>
        </w:rPr>
        <w:t>s</w:t>
      </w:r>
      <w:r w:rsidR="003D1C40" w:rsidRPr="00237A3F">
        <w:rPr>
          <w:rFonts w:ascii="Calibri" w:hAnsi="Calibri" w:cs="Calibri"/>
        </w:rPr>
        <w:t xml:space="preserve"> you do develop as a teacher are strong, making the learning powerful, relevant and fun. </w:t>
      </w:r>
      <w:r w:rsidR="00705C27" w:rsidRPr="00237A3F">
        <w:rPr>
          <w:rFonts w:ascii="Calibri" w:hAnsi="Calibri" w:cs="Calibri"/>
        </w:rPr>
        <w:t>Furthermore, from this experience of creating my own lesson plan and resource to go with it, I can understand the challenges discussed within the creation of a lesson plan and resource.</w:t>
      </w:r>
      <w:r w:rsidR="0061096A" w:rsidRPr="00237A3F">
        <w:rPr>
          <w:rFonts w:ascii="Calibri" w:hAnsi="Calibri" w:cs="Calibri"/>
        </w:rPr>
        <w:t xml:space="preserve"> From this I have been able to engage in the QTS Standards in order to help me understand what I need to do to develop professionally within my blossoming role as a teacher. </w:t>
      </w:r>
      <w:r w:rsidR="000B7A7E" w:rsidRPr="00237A3F">
        <w:rPr>
          <w:rFonts w:ascii="Calibri" w:hAnsi="Calibri" w:cs="Calibri"/>
        </w:rPr>
        <w:t xml:space="preserve">For example, one of the QTS Standards set out by the Department for Education (2021) </w:t>
      </w:r>
      <w:r w:rsidR="00E70AB1" w:rsidRPr="00237A3F">
        <w:rPr>
          <w:rFonts w:ascii="Calibri" w:hAnsi="Calibri" w:cs="Calibri"/>
        </w:rPr>
        <w:t>is that teacher</w:t>
      </w:r>
      <w:r w:rsidR="00232C33" w:rsidRPr="00237A3F">
        <w:rPr>
          <w:rFonts w:ascii="Calibri" w:hAnsi="Calibri" w:cs="Calibri"/>
        </w:rPr>
        <w:t>s</w:t>
      </w:r>
      <w:r w:rsidR="00E70AB1" w:rsidRPr="00237A3F">
        <w:rPr>
          <w:rFonts w:ascii="Calibri" w:hAnsi="Calibri" w:cs="Calibri"/>
        </w:rPr>
        <w:t xml:space="preserve"> ‘Promote good progress and outcomes by </w:t>
      </w:r>
      <w:r w:rsidR="00232C33" w:rsidRPr="00237A3F">
        <w:rPr>
          <w:rFonts w:ascii="Calibri" w:hAnsi="Calibri" w:cs="Calibri"/>
        </w:rPr>
        <w:t>pupils</w:t>
      </w:r>
      <w:r w:rsidR="00E70AB1" w:rsidRPr="00237A3F">
        <w:rPr>
          <w:rFonts w:ascii="Calibri" w:hAnsi="Calibri" w:cs="Calibri"/>
        </w:rPr>
        <w:t xml:space="preserve">. I feel that this standard is vital to adhere to as a teacher, practically when discussing this topic, because in order for children to progress successfully through the cross-curricular skills their progress must be good. Meaning, for children’s progress to be good, the links make to the cross-curricular framework must make sense and be beneficial to the children’s learning. </w:t>
      </w:r>
    </w:p>
    <w:p w14:paraId="664C0A81" w14:textId="77777777" w:rsidR="00C012D3" w:rsidRDefault="00C012D3">
      <w:r>
        <w:br w:type="page"/>
      </w:r>
    </w:p>
    <w:p w14:paraId="3115C9F4" w14:textId="23E6CFA5" w:rsidR="00737B76" w:rsidRDefault="00C012D3" w:rsidP="00C012D3">
      <w:pPr>
        <w:spacing w:line="360" w:lineRule="auto"/>
        <w:rPr>
          <w:b/>
          <w:bCs/>
          <w:u w:val="single"/>
        </w:rPr>
      </w:pPr>
      <w:r>
        <w:rPr>
          <w:b/>
          <w:bCs/>
          <w:u w:val="single"/>
        </w:rPr>
        <w:lastRenderedPageBreak/>
        <w:t>Reference List</w:t>
      </w:r>
    </w:p>
    <w:p w14:paraId="7732CDEF" w14:textId="77777777" w:rsidR="00FA3A58" w:rsidRDefault="00FA3A58" w:rsidP="00C012D3">
      <w:pPr>
        <w:spacing w:line="360" w:lineRule="auto"/>
        <w:rPr>
          <w:b/>
          <w:bCs/>
          <w:u w:val="single"/>
        </w:rPr>
      </w:pPr>
    </w:p>
    <w:p w14:paraId="11301B2C"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Barnes, J. (2018) </w:t>
      </w:r>
      <w:r w:rsidRPr="00237A3F">
        <w:rPr>
          <w:rFonts w:ascii="Calibri" w:hAnsi="Calibri" w:cs="Calibri"/>
          <w:i/>
          <w:iCs/>
        </w:rPr>
        <w:t xml:space="preserve">Applying Cross-Curricular Approaches Creatively. </w:t>
      </w:r>
      <w:r w:rsidRPr="00237A3F">
        <w:rPr>
          <w:rFonts w:ascii="Calibri" w:hAnsi="Calibri" w:cs="Calibri"/>
        </w:rPr>
        <w:t xml:space="preserve">New York: Taylor and Francis. </w:t>
      </w:r>
    </w:p>
    <w:p w14:paraId="244C87D0" w14:textId="77777777" w:rsidR="00ED2FD7" w:rsidRPr="00237A3F" w:rsidRDefault="00ED2FD7" w:rsidP="00ED2FD7">
      <w:pPr>
        <w:spacing w:line="360" w:lineRule="auto"/>
        <w:rPr>
          <w:rFonts w:ascii="Calibri" w:hAnsi="Calibri" w:cs="Calibri"/>
        </w:rPr>
      </w:pPr>
    </w:p>
    <w:p w14:paraId="7D8F13DD"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Cambridge Assessment (2024) </w:t>
      </w:r>
      <w:r w:rsidRPr="00237A3F">
        <w:rPr>
          <w:rFonts w:ascii="Calibri" w:hAnsi="Calibri" w:cs="Calibri"/>
          <w:i/>
          <w:iCs/>
        </w:rPr>
        <w:t>Getting started with Assessment for Learning.</w:t>
      </w:r>
      <w:r w:rsidRPr="00237A3F">
        <w:rPr>
          <w:rFonts w:ascii="Calibri" w:hAnsi="Calibri" w:cs="Calibri"/>
        </w:rPr>
        <w:t xml:space="preserve"> Available at: https://cambridge-community.org.uk/professional-development/gswafl/index.html (Accessed: 25</w:t>
      </w:r>
      <w:r w:rsidRPr="00237A3F">
        <w:rPr>
          <w:rFonts w:ascii="Calibri" w:hAnsi="Calibri" w:cs="Calibri"/>
          <w:vertAlign w:val="superscript"/>
        </w:rPr>
        <w:t>th</w:t>
      </w:r>
      <w:r w:rsidRPr="00237A3F">
        <w:rPr>
          <w:rFonts w:ascii="Calibri" w:hAnsi="Calibri" w:cs="Calibri"/>
        </w:rPr>
        <w:t xml:space="preserve"> March 2024). </w:t>
      </w:r>
    </w:p>
    <w:p w14:paraId="397129EC" w14:textId="77777777" w:rsidR="00ED2FD7" w:rsidRPr="00237A3F" w:rsidRDefault="00ED2FD7" w:rsidP="00ED2FD7">
      <w:pPr>
        <w:spacing w:line="360" w:lineRule="auto"/>
        <w:rPr>
          <w:rFonts w:ascii="Calibri" w:hAnsi="Calibri" w:cs="Calibri"/>
        </w:rPr>
      </w:pPr>
    </w:p>
    <w:p w14:paraId="74F9FDEB"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Department for Education (2009) </w:t>
      </w:r>
      <w:r w:rsidRPr="00237A3F">
        <w:rPr>
          <w:rFonts w:ascii="Calibri" w:hAnsi="Calibri" w:cs="Calibri"/>
          <w:i/>
          <w:iCs/>
        </w:rPr>
        <w:t xml:space="preserve">Independent Review of the Primary Curriculum: Final Report. </w:t>
      </w:r>
      <w:r w:rsidRPr="00237A3F">
        <w:rPr>
          <w:rFonts w:ascii="Calibri" w:hAnsi="Calibri" w:cs="Calibri"/>
        </w:rPr>
        <w:t>Available at: https://education-uk.org/documents/pdfs/2009-IRPC-final-report.pdf (Accessed: 25</w:t>
      </w:r>
      <w:r w:rsidRPr="00237A3F">
        <w:rPr>
          <w:rFonts w:ascii="Calibri" w:hAnsi="Calibri" w:cs="Calibri"/>
          <w:vertAlign w:val="superscript"/>
        </w:rPr>
        <w:t>th</w:t>
      </w:r>
      <w:r w:rsidRPr="00237A3F">
        <w:rPr>
          <w:rFonts w:ascii="Calibri" w:hAnsi="Calibri" w:cs="Calibri"/>
        </w:rPr>
        <w:t xml:space="preserve"> March 2024). </w:t>
      </w:r>
    </w:p>
    <w:p w14:paraId="5DB5DEAE" w14:textId="77777777" w:rsidR="00ED2FD7" w:rsidRPr="00237A3F" w:rsidRDefault="00ED2FD7" w:rsidP="00ED2FD7">
      <w:pPr>
        <w:spacing w:line="360" w:lineRule="auto"/>
        <w:rPr>
          <w:rFonts w:ascii="Calibri" w:hAnsi="Calibri" w:cs="Calibri"/>
        </w:rPr>
      </w:pPr>
    </w:p>
    <w:p w14:paraId="358F0B4B"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Department for Education (2021) </w:t>
      </w:r>
      <w:r w:rsidRPr="00237A3F">
        <w:rPr>
          <w:rFonts w:ascii="Calibri" w:hAnsi="Calibri" w:cs="Calibri"/>
          <w:i/>
          <w:iCs/>
        </w:rPr>
        <w:t xml:space="preserve">Teachers’ Standards: Guidance for school leaders, school staff and governing bodies. </w:t>
      </w:r>
      <w:r w:rsidRPr="00237A3F">
        <w:rPr>
          <w:rFonts w:ascii="Calibri" w:hAnsi="Calibri" w:cs="Calibri"/>
        </w:rPr>
        <w:t>Available at: https://assets.publishing.service.gov.uk/media/61b73d6c8fa8f50384489c9a/Teachers__Standards_Dec_2021.pdf (Accessed: 25</w:t>
      </w:r>
      <w:r w:rsidRPr="00237A3F">
        <w:rPr>
          <w:rFonts w:ascii="Calibri" w:hAnsi="Calibri" w:cs="Calibri"/>
          <w:vertAlign w:val="superscript"/>
        </w:rPr>
        <w:t>th</w:t>
      </w:r>
      <w:r w:rsidRPr="00237A3F">
        <w:rPr>
          <w:rFonts w:ascii="Calibri" w:hAnsi="Calibri" w:cs="Calibri"/>
        </w:rPr>
        <w:t xml:space="preserve"> March 2024). </w:t>
      </w:r>
    </w:p>
    <w:p w14:paraId="3B8D9A53" w14:textId="77777777" w:rsidR="00ED2FD7" w:rsidRPr="00237A3F" w:rsidRDefault="00ED2FD7" w:rsidP="00ED2FD7">
      <w:pPr>
        <w:spacing w:line="360" w:lineRule="auto"/>
        <w:rPr>
          <w:rFonts w:ascii="Calibri" w:hAnsi="Calibri" w:cs="Calibri"/>
        </w:rPr>
      </w:pPr>
    </w:p>
    <w:p w14:paraId="4BB11DE1"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Durham University (2016) </w:t>
      </w:r>
      <w:r w:rsidRPr="00237A3F">
        <w:rPr>
          <w:rFonts w:ascii="Calibri" w:hAnsi="Calibri" w:cs="Calibri"/>
          <w:i/>
          <w:iCs/>
        </w:rPr>
        <w:t xml:space="preserve">An investigation into the impact of an integrated curriculum on learning in the primary school. </w:t>
      </w:r>
      <w:r w:rsidRPr="00237A3F">
        <w:rPr>
          <w:rFonts w:ascii="Calibri" w:hAnsi="Calibri" w:cs="Calibri"/>
        </w:rPr>
        <w:t>Available at: http://etheses.dur.ac.uk/12025/1/Hammond_DJ_EdD_Thesis_March_17.pdf?DDD29+#:~:text=Exploring%20some%20cross%20curricular%20models,these%20models%20have%20been%20based (Accessed: 25</w:t>
      </w:r>
      <w:r w:rsidRPr="00237A3F">
        <w:rPr>
          <w:rFonts w:ascii="Calibri" w:hAnsi="Calibri" w:cs="Calibri"/>
          <w:vertAlign w:val="superscript"/>
        </w:rPr>
        <w:t>th</w:t>
      </w:r>
      <w:r w:rsidRPr="00237A3F">
        <w:rPr>
          <w:rFonts w:ascii="Calibri" w:hAnsi="Calibri" w:cs="Calibri"/>
        </w:rPr>
        <w:t xml:space="preserve"> March 2024). </w:t>
      </w:r>
    </w:p>
    <w:p w14:paraId="65FE9D9E" w14:textId="77777777" w:rsidR="00ED2FD7" w:rsidRPr="00237A3F" w:rsidRDefault="00ED2FD7" w:rsidP="00ED2FD7">
      <w:pPr>
        <w:spacing w:line="360" w:lineRule="auto"/>
        <w:rPr>
          <w:rFonts w:ascii="Calibri" w:hAnsi="Calibri" w:cs="Calibri"/>
        </w:rPr>
      </w:pPr>
    </w:p>
    <w:p w14:paraId="64D40E36"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Elder, Z. (2012) </w:t>
      </w:r>
      <w:r w:rsidRPr="00237A3F">
        <w:rPr>
          <w:rFonts w:ascii="Calibri" w:hAnsi="Calibri" w:cs="Calibri"/>
          <w:i/>
          <w:iCs/>
        </w:rPr>
        <w:t xml:space="preserve">Full on Learning: Involve Me and I’ll Understand. </w:t>
      </w:r>
      <w:r w:rsidRPr="00237A3F">
        <w:rPr>
          <w:rFonts w:ascii="Calibri" w:hAnsi="Calibri" w:cs="Calibri"/>
        </w:rPr>
        <w:t xml:space="preserve">London: Crown House Publishing. </w:t>
      </w:r>
    </w:p>
    <w:p w14:paraId="182E23B1" w14:textId="77777777" w:rsidR="00ED2FD7" w:rsidRPr="00237A3F" w:rsidRDefault="00ED2FD7" w:rsidP="00ED2FD7">
      <w:pPr>
        <w:spacing w:line="360" w:lineRule="auto"/>
        <w:rPr>
          <w:rFonts w:ascii="Calibri" w:hAnsi="Calibri" w:cs="Calibri"/>
        </w:rPr>
      </w:pPr>
    </w:p>
    <w:p w14:paraId="363226C7"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Fautley, M. and Savage, J. (2010) </w:t>
      </w:r>
      <w:r w:rsidRPr="00237A3F">
        <w:rPr>
          <w:rFonts w:ascii="Calibri" w:hAnsi="Calibri" w:cs="Calibri"/>
          <w:i/>
          <w:iCs/>
        </w:rPr>
        <w:t xml:space="preserve">Cross-Curricular Teaching and Learning in the Secondary School... The Arts: Drama, Visual Art, </w:t>
      </w:r>
      <w:proofErr w:type="gramStart"/>
      <w:r w:rsidRPr="00237A3F">
        <w:rPr>
          <w:rFonts w:ascii="Calibri" w:hAnsi="Calibri" w:cs="Calibri"/>
          <w:i/>
          <w:iCs/>
        </w:rPr>
        <w:t>Music</w:t>
      </w:r>
      <w:proofErr w:type="gramEnd"/>
      <w:r w:rsidRPr="00237A3F">
        <w:rPr>
          <w:rFonts w:ascii="Calibri" w:hAnsi="Calibri" w:cs="Calibri"/>
          <w:i/>
          <w:iCs/>
        </w:rPr>
        <w:t xml:space="preserve"> and Design. </w:t>
      </w:r>
      <w:r w:rsidRPr="00237A3F">
        <w:rPr>
          <w:rFonts w:ascii="Calibri" w:hAnsi="Calibri" w:cs="Calibri"/>
        </w:rPr>
        <w:t xml:space="preserve">New York: Taylor and Francis. </w:t>
      </w:r>
    </w:p>
    <w:p w14:paraId="77942A0F" w14:textId="77777777" w:rsidR="00ED2FD7" w:rsidRPr="00237A3F" w:rsidRDefault="00ED2FD7" w:rsidP="00ED2FD7">
      <w:pPr>
        <w:spacing w:line="360" w:lineRule="auto"/>
        <w:rPr>
          <w:rFonts w:ascii="Calibri" w:hAnsi="Calibri" w:cs="Calibri"/>
        </w:rPr>
      </w:pPr>
    </w:p>
    <w:p w14:paraId="3D066F1E"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Hattie, </w:t>
      </w:r>
      <w:proofErr w:type="gramStart"/>
      <w:r w:rsidRPr="00237A3F">
        <w:rPr>
          <w:rFonts w:ascii="Calibri" w:hAnsi="Calibri" w:cs="Calibri"/>
        </w:rPr>
        <w:t>J. ,</w:t>
      </w:r>
      <w:proofErr w:type="gramEnd"/>
      <w:r w:rsidRPr="00237A3F">
        <w:rPr>
          <w:rFonts w:ascii="Calibri" w:hAnsi="Calibri" w:cs="Calibri"/>
        </w:rPr>
        <w:t xml:space="preserve"> Masters, D. and Birch, K. (2015) </w:t>
      </w:r>
      <w:r w:rsidRPr="00237A3F">
        <w:rPr>
          <w:rFonts w:ascii="Calibri" w:hAnsi="Calibri" w:cs="Calibri"/>
          <w:i/>
          <w:iCs/>
        </w:rPr>
        <w:t xml:space="preserve">Visible Learning Into Action: International Case Studies of Impact. </w:t>
      </w:r>
      <w:r w:rsidRPr="00237A3F">
        <w:rPr>
          <w:rFonts w:ascii="Calibri" w:hAnsi="Calibri" w:cs="Calibri"/>
        </w:rPr>
        <w:t xml:space="preserve">New York: Taylor and Francis. </w:t>
      </w:r>
    </w:p>
    <w:p w14:paraId="506EE942" w14:textId="77777777" w:rsidR="00ED2FD7" w:rsidRPr="00237A3F" w:rsidRDefault="00ED2FD7" w:rsidP="00ED2FD7">
      <w:pPr>
        <w:spacing w:line="360" w:lineRule="auto"/>
        <w:rPr>
          <w:rFonts w:ascii="Calibri" w:hAnsi="Calibri" w:cs="Calibri"/>
        </w:rPr>
      </w:pPr>
    </w:p>
    <w:p w14:paraId="3AE1AF09"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Kerry, T. (2015) </w:t>
      </w:r>
      <w:r w:rsidRPr="00237A3F">
        <w:rPr>
          <w:rFonts w:ascii="Calibri" w:hAnsi="Calibri" w:cs="Calibri"/>
          <w:i/>
          <w:iCs/>
        </w:rPr>
        <w:t xml:space="preserve">Cross-Curricular Teaching in the Primary School: Planning and Facilitating Imaginative Lessons. </w:t>
      </w:r>
      <w:r w:rsidRPr="00237A3F">
        <w:rPr>
          <w:rFonts w:ascii="Calibri" w:hAnsi="Calibri" w:cs="Calibri"/>
        </w:rPr>
        <w:t>2</w:t>
      </w:r>
      <w:r w:rsidRPr="00237A3F">
        <w:rPr>
          <w:rFonts w:ascii="Calibri" w:hAnsi="Calibri" w:cs="Calibri"/>
          <w:vertAlign w:val="superscript"/>
        </w:rPr>
        <w:t>nd</w:t>
      </w:r>
      <w:r w:rsidRPr="00237A3F">
        <w:rPr>
          <w:rFonts w:ascii="Calibri" w:hAnsi="Calibri" w:cs="Calibri"/>
        </w:rPr>
        <w:t xml:space="preserve"> Ed. New York: Taylor and Francis.</w:t>
      </w:r>
    </w:p>
    <w:p w14:paraId="330118D0" w14:textId="77777777" w:rsidR="00ED2FD7" w:rsidRPr="00237A3F" w:rsidRDefault="00ED2FD7" w:rsidP="00ED2FD7">
      <w:pPr>
        <w:spacing w:line="360" w:lineRule="auto"/>
        <w:rPr>
          <w:rFonts w:ascii="Calibri" w:hAnsi="Calibri" w:cs="Calibri"/>
        </w:rPr>
      </w:pPr>
    </w:p>
    <w:p w14:paraId="7F04BDA3"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McGill, R. (2015) </w:t>
      </w:r>
      <w:r w:rsidRPr="00237A3F">
        <w:rPr>
          <w:rFonts w:ascii="Calibri" w:hAnsi="Calibri" w:cs="Calibri"/>
          <w:i/>
          <w:iCs/>
        </w:rPr>
        <w:t xml:space="preserve">Teacher Toolkit: Helping You Survive Your First Five Years. </w:t>
      </w:r>
      <w:r w:rsidRPr="00237A3F">
        <w:rPr>
          <w:rFonts w:ascii="Calibri" w:hAnsi="Calibri" w:cs="Calibri"/>
        </w:rPr>
        <w:t xml:space="preserve">London: Bloomsbury Publishing. </w:t>
      </w:r>
    </w:p>
    <w:p w14:paraId="4580092F" w14:textId="77777777" w:rsidR="00ED2FD7" w:rsidRPr="00237A3F" w:rsidRDefault="00ED2FD7" w:rsidP="00ED2FD7">
      <w:pPr>
        <w:spacing w:line="360" w:lineRule="auto"/>
        <w:rPr>
          <w:rFonts w:ascii="Calibri" w:hAnsi="Calibri" w:cs="Calibri"/>
        </w:rPr>
      </w:pPr>
    </w:p>
    <w:p w14:paraId="73EC2074" w14:textId="77777777" w:rsidR="00ED2FD7" w:rsidRPr="00237A3F" w:rsidRDefault="00ED2FD7" w:rsidP="00ED2FD7">
      <w:pPr>
        <w:spacing w:line="360" w:lineRule="auto"/>
        <w:rPr>
          <w:rFonts w:ascii="Calibri" w:hAnsi="Calibri" w:cs="Calibri"/>
        </w:rPr>
      </w:pPr>
      <w:r w:rsidRPr="00237A3F">
        <w:rPr>
          <w:rFonts w:ascii="Calibri" w:hAnsi="Calibri" w:cs="Calibri"/>
        </w:rPr>
        <w:t>Moore, S. and Allison, C. (2011) Cross</w:t>
      </w:r>
      <w:r w:rsidRPr="00237A3F">
        <w:rPr>
          <w:rFonts w:ascii="Calibri" w:hAnsi="Calibri" w:cs="Calibri"/>
          <w:i/>
          <w:iCs/>
        </w:rPr>
        <w:t xml:space="preserve">-Curricular Literacy Challenges. </w:t>
      </w:r>
      <w:r w:rsidRPr="00237A3F">
        <w:rPr>
          <w:rFonts w:ascii="Calibri" w:hAnsi="Calibri" w:cs="Calibri"/>
        </w:rPr>
        <w:t xml:space="preserve">London: Hopscotch. </w:t>
      </w:r>
    </w:p>
    <w:p w14:paraId="35C99808" w14:textId="77777777" w:rsidR="00ED2FD7" w:rsidRPr="00237A3F" w:rsidRDefault="00ED2FD7" w:rsidP="00ED2FD7">
      <w:pPr>
        <w:spacing w:line="360" w:lineRule="auto"/>
        <w:rPr>
          <w:rFonts w:ascii="Calibri" w:hAnsi="Calibri" w:cs="Calibri"/>
        </w:rPr>
      </w:pPr>
    </w:p>
    <w:p w14:paraId="44A6074A"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Morrison, K. (1994) </w:t>
      </w:r>
      <w:r w:rsidRPr="00237A3F">
        <w:rPr>
          <w:rFonts w:ascii="Calibri" w:hAnsi="Calibri" w:cs="Calibri"/>
          <w:i/>
          <w:iCs/>
        </w:rPr>
        <w:t xml:space="preserve">Implementing Cross-Curricular Themes. </w:t>
      </w:r>
      <w:r w:rsidRPr="00237A3F">
        <w:rPr>
          <w:rFonts w:ascii="Calibri" w:hAnsi="Calibri" w:cs="Calibri"/>
        </w:rPr>
        <w:t xml:space="preserve">London: David Fulton Publishers. </w:t>
      </w:r>
    </w:p>
    <w:p w14:paraId="7D7DC5B4" w14:textId="77777777" w:rsidR="00ED2FD7" w:rsidRPr="00237A3F" w:rsidRDefault="00ED2FD7" w:rsidP="00ED2FD7">
      <w:pPr>
        <w:spacing w:line="360" w:lineRule="auto"/>
        <w:rPr>
          <w:rFonts w:ascii="Calibri" w:hAnsi="Calibri" w:cs="Calibri"/>
        </w:rPr>
      </w:pPr>
    </w:p>
    <w:p w14:paraId="3072732E"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Rowley, C. and Cooper, H. (2009) </w:t>
      </w:r>
      <w:r w:rsidRPr="00237A3F">
        <w:rPr>
          <w:rFonts w:ascii="Calibri" w:hAnsi="Calibri" w:cs="Calibri"/>
          <w:i/>
          <w:iCs/>
        </w:rPr>
        <w:t xml:space="preserve">Cross-curricular Approaches to Teaching and Learning. </w:t>
      </w:r>
      <w:r w:rsidRPr="00237A3F">
        <w:rPr>
          <w:rFonts w:ascii="Calibri" w:hAnsi="Calibri" w:cs="Calibri"/>
        </w:rPr>
        <w:t xml:space="preserve">London: SAGE Publication. </w:t>
      </w:r>
    </w:p>
    <w:p w14:paraId="42153A51" w14:textId="77777777" w:rsidR="00ED2FD7" w:rsidRPr="00237A3F" w:rsidRDefault="00ED2FD7" w:rsidP="00ED2FD7">
      <w:pPr>
        <w:spacing w:line="360" w:lineRule="auto"/>
        <w:rPr>
          <w:rFonts w:ascii="Calibri" w:hAnsi="Calibri" w:cs="Calibri"/>
        </w:rPr>
      </w:pPr>
    </w:p>
    <w:p w14:paraId="31B988A0"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Twinkl (2024) </w:t>
      </w:r>
      <w:r w:rsidRPr="00237A3F">
        <w:rPr>
          <w:rFonts w:ascii="Calibri" w:hAnsi="Calibri" w:cs="Calibri"/>
          <w:i/>
          <w:iCs/>
        </w:rPr>
        <w:t>what is Cross-</w:t>
      </w:r>
      <w:proofErr w:type="gramStart"/>
      <w:r w:rsidRPr="00237A3F">
        <w:rPr>
          <w:rFonts w:ascii="Calibri" w:hAnsi="Calibri" w:cs="Calibri"/>
          <w:i/>
          <w:iCs/>
        </w:rPr>
        <w:t>curricular?.</w:t>
      </w:r>
      <w:proofErr w:type="gramEnd"/>
      <w:r w:rsidRPr="00237A3F">
        <w:rPr>
          <w:rFonts w:ascii="Calibri" w:hAnsi="Calibri" w:cs="Calibri"/>
          <w:i/>
          <w:iCs/>
        </w:rPr>
        <w:t xml:space="preserve"> </w:t>
      </w:r>
      <w:r w:rsidRPr="00237A3F">
        <w:rPr>
          <w:rFonts w:ascii="Calibri" w:hAnsi="Calibri" w:cs="Calibri"/>
        </w:rPr>
        <w:t>Available at: https://www.twinkl.co.uk/teaching-wiki/cross-curricular#:~:text=Cross%2Dcurricular%20learning%20involves%20establishing,a%20study%20of%20interconnected%20topics (Accessed: 25</w:t>
      </w:r>
      <w:r w:rsidRPr="00237A3F">
        <w:rPr>
          <w:rFonts w:ascii="Calibri" w:hAnsi="Calibri" w:cs="Calibri"/>
          <w:vertAlign w:val="superscript"/>
        </w:rPr>
        <w:t>th</w:t>
      </w:r>
      <w:r w:rsidRPr="00237A3F">
        <w:rPr>
          <w:rFonts w:ascii="Calibri" w:hAnsi="Calibri" w:cs="Calibri"/>
        </w:rPr>
        <w:t xml:space="preserve"> March 2024). </w:t>
      </w:r>
    </w:p>
    <w:p w14:paraId="7DBC8F4B" w14:textId="77777777" w:rsidR="00ED2FD7" w:rsidRPr="00237A3F" w:rsidRDefault="00ED2FD7" w:rsidP="00ED2FD7">
      <w:pPr>
        <w:spacing w:line="360" w:lineRule="auto"/>
        <w:rPr>
          <w:rFonts w:ascii="Calibri" w:hAnsi="Calibri" w:cs="Calibri"/>
        </w:rPr>
      </w:pPr>
    </w:p>
    <w:p w14:paraId="35BB1E98"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Welsh Government (2017) </w:t>
      </w:r>
      <w:r w:rsidRPr="00237A3F">
        <w:rPr>
          <w:rFonts w:ascii="Calibri" w:hAnsi="Calibri" w:cs="Calibri"/>
          <w:i/>
          <w:iCs/>
        </w:rPr>
        <w:t xml:space="preserve">Curriculum for Wales: overview. </w:t>
      </w:r>
      <w:r w:rsidRPr="00237A3F">
        <w:rPr>
          <w:rFonts w:ascii="Calibri" w:hAnsi="Calibri" w:cs="Calibri"/>
        </w:rPr>
        <w:t>Available at: https://www.gov.wales/curriculum-wales-overview#:~:text=The%20four%20purposes%20are%20the,encourage%20critical%20and%20civic%20engagement (Accessed: 25</w:t>
      </w:r>
      <w:r w:rsidRPr="00237A3F">
        <w:rPr>
          <w:rFonts w:ascii="Calibri" w:hAnsi="Calibri" w:cs="Calibri"/>
          <w:vertAlign w:val="superscript"/>
        </w:rPr>
        <w:t>th</w:t>
      </w:r>
      <w:r w:rsidRPr="00237A3F">
        <w:rPr>
          <w:rFonts w:ascii="Calibri" w:hAnsi="Calibri" w:cs="Calibri"/>
        </w:rPr>
        <w:t xml:space="preserve"> March 2024). </w:t>
      </w:r>
    </w:p>
    <w:p w14:paraId="2B406176" w14:textId="77777777" w:rsidR="00ED2FD7" w:rsidRPr="00237A3F" w:rsidRDefault="00ED2FD7" w:rsidP="00ED2FD7">
      <w:pPr>
        <w:spacing w:line="360" w:lineRule="auto"/>
        <w:rPr>
          <w:rFonts w:ascii="Calibri" w:hAnsi="Calibri" w:cs="Calibri"/>
        </w:rPr>
      </w:pPr>
    </w:p>
    <w:p w14:paraId="66917719"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Welsh Government (2018) </w:t>
      </w:r>
      <w:r w:rsidRPr="00237A3F">
        <w:rPr>
          <w:rFonts w:ascii="Calibri" w:hAnsi="Calibri" w:cs="Calibri"/>
          <w:i/>
          <w:iCs/>
        </w:rPr>
        <w:t xml:space="preserve">How ‘Areas of Learning and Experience’ are being developed as a central element of the new curriculum. </w:t>
      </w:r>
      <w:r w:rsidRPr="00237A3F">
        <w:rPr>
          <w:rFonts w:ascii="Calibri" w:hAnsi="Calibri" w:cs="Calibri"/>
        </w:rPr>
        <w:t>Available at: https://educationwales.blog.gov.wales/2018/06/20/how-areas-of-learning-and-experience-are-being-developed-as-a-central-element-of-the-new-curriculum/#:~:text=The%20new%20Curriculum%20for%20Wales,and%20Numeracy%3B%20Science%20and%20Technology (Accessed: 25</w:t>
      </w:r>
      <w:r w:rsidRPr="00237A3F">
        <w:rPr>
          <w:rFonts w:ascii="Calibri" w:hAnsi="Calibri" w:cs="Calibri"/>
          <w:vertAlign w:val="superscript"/>
        </w:rPr>
        <w:t>th</w:t>
      </w:r>
      <w:r w:rsidRPr="00237A3F">
        <w:rPr>
          <w:rFonts w:ascii="Calibri" w:hAnsi="Calibri" w:cs="Calibri"/>
        </w:rPr>
        <w:t xml:space="preserve"> March 2024).  </w:t>
      </w:r>
    </w:p>
    <w:p w14:paraId="55AD4F8F" w14:textId="77777777" w:rsidR="00ED2FD7" w:rsidRPr="00237A3F" w:rsidRDefault="00ED2FD7" w:rsidP="00ED2FD7">
      <w:pPr>
        <w:spacing w:line="360" w:lineRule="auto"/>
        <w:rPr>
          <w:rFonts w:ascii="Calibri" w:hAnsi="Calibri" w:cs="Calibri"/>
        </w:rPr>
      </w:pPr>
    </w:p>
    <w:p w14:paraId="7592D7AA" w14:textId="77777777" w:rsidR="00ED2FD7" w:rsidRPr="00237A3F" w:rsidRDefault="00ED2FD7" w:rsidP="00ED2FD7">
      <w:pPr>
        <w:spacing w:line="360" w:lineRule="auto"/>
        <w:rPr>
          <w:rFonts w:ascii="Calibri" w:hAnsi="Calibri" w:cs="Calibri"/>
        </w:rPr>
      </w:pPr>
      <w:r w:rsidRPr="00237A3F">
        <w:rPr>
          <w:rFonts w:ascii="Calibri" w:hAnsi="Calibri" w:cs="Calibri"/>
        </w:rPr>
        <w:lastRenderedPageBreak/>
        <w:t xml:space="preserve">Welsh Government (2024) </w:t>
      </w:r>
      <w:r w:rsidRPr="00237A3F">
        <w:rPr>
          <w:rFonts w:ascii="Calibri" w:hAnsi="Calibri" w:cs="Calibri"/>
          <w:i/>
          <w:iCs/>
        </w:rPr>
        <w:t xml:space="preserve">Cross-curricular skills framework. </w:t>
      </w:r>
      <w:r w:rsidRPr="00237A3F">
        <w:rPr>
          <w:rFonts w:ascii="Calibri" w:hAnsi="Calibri" w:cs="Calibri"/>
        </w:rPr>
        <w:t>Available at: https://hwb.gov.wales/curriculum-for-wales/cross-curricular-skills-frameworks/#overview (Accessed: 25</w:t>
      </w:r>
      <w:r w:rsidRPr="00237A3F">
        <w:rPr>
          <w:rFonts w:ascii="Calibri" w:hAnsi="Calibri" w:cs="Calibri"/>
          <w:vertAlign w:val="superscript"/>
        </w:rPr>
        <w:t>th</w:t>
      </w:r>
      <w:r w:rsidRPr="00237A3F">
        <w:rPr>
          <w:rFonts w:ascii="Calibri" w:hAnsi="Calibri" w:cs="Calibri"/>
        </w:rPr>
        <w:t xml:space="preserve"> March 2024).</w:t>
      </w:r>
    </w:p>
    <w:p w14:paraId="394F295F" w14:textId="77777777" w:rsidR="00ED2FD7" w:rsidRPr="00237A3F" w:rsidRDefault="00ED2FD7" w:rsidP="00ED2FD7">
      <w:pPr>
        <w:spacing w:line="360" w:lineRule="auto"/>
        <w:rPr>
          <w:rFonts w:ascii="Calibri" w:hAnsi="Calibri" w:cs="Calibri"/>
        </w:rPr>
      </w:pPr>
    </w:p>
    <w:p w14:paraId="1D688FF1" w14:textId="77777777" w:rsidR="00ED2FD7" w:rsidRPr="00237A3F" w:rsidRDefault="00ED2FD7" w:rsidP="00ED2FD7">
      <w:pPr>
        <w:spacing w:line="360" w:lineRule="auto"/>
        <w:rPr>
          <w:rFonts w:ascii="Calibri" w:hAnsi="Calibri" w:cs="Calibri"/>
        </w:rPr>
      </w:pPr>
      <w:r w:rsidRPr="00237A3F">
        <w:rPr>
          <w:rFonts w:ascii="Calibri" w:hAnsi="Calibri" w:cs="Calibri"/>
        </w:rPr>
        <w:t xml:space="preserve">Welsh Government (2024) </w:t>
      </w:r>
      <w:r w:rsidRPr="00237A3F">
        <w:rPr>
          <w:rFonts w:ascii="Calibri" w:hAnsi="Calibri" w:cs="Calibri"/>
          <w:i/>
          <w:iCs/>
        </w:rPr>
        <w:t xml:space="preserve">Just2easy. </w:t>
      </w:r>
      <w:r w:rsidRPr="00237A3F">
        <w:rPr>
          <w:rFonts w:ascii="Calibri" w:hAnsi="Calibri" w:cs="Calibri"/>
        </w:rPr>
        <w:t>Available at: https://hwb.gov.wales/support-centre/just2easy (Accessed: 25</w:t>
      </w:r>
      <w:r w:rsidRPr="00237A3F">
        <w:rPr>
          <w:rFonts w:ascii="Calibri" w:hAnsi="Calibri" w:cs="Calibri"/>
          <w:vertAlign w:val="superscript"/>
        </w:rPr>
        <w:t>th</w:t>
      </w:r>
      <w:r w:rsidRPr="00237A3F">
        <w:rPr>
          <w:rFonts w:ascii="Calibri" w:hAnsi="Calibri" w:cs="Calibri"/>
        </w:rPr>
        <w:t xml:space="preserve"> March 2024). </w:t>
      </w:r>
    </w:p>
    <w:p w14:paraId="16113F2D" w14:textId="054DE38E" w:rsidR="00CB102B" w:rsidRDefault="00CB102B" w:rsidP="00C012D3">
      <w:pPr>
        <w:spacing w:line="360" w:lineRule="auto"/>
      </w:pPr>
      <w:r>
        <w:t xml:space="preserve"> </w:t>
      </w:r>
    </w:p>
    <w:p w14:paraId="07354DCF" w14:textId="77777777" w:rsidR="00232C33" w:rsidRDefault="00232C33" w:rsidP="00C012D3">
      <w:pPr>
        <w:spacing w:line="360" w:lineRule="auto"/>
      </w:pPr>
    </w:p>
    <w:p w14:paraId="6C5BB368" w14:textId="77777777" w:rsidR="00232C33" w:rsidRDefault="00232C33" w:rsidP="00C012D3">
      <w:pPr>
        <w:spacing w:line="360" w:lineRule="auto"/>
      </w:pPr>
    </w:p>
    <w:p w14:paraId="0435BF9D" w14:textId="77777777" w:rsidR="00232C33" w:rsidRDefault="00232C33" w:rsidP="00C012D3">
      <w:pPr>
        <w:spacing w:line="360" w:lineRule="auto"/>
      </w:pPr>
    </w:p>
    <w:p w14:paraId="56718CDF" w14:textId="77777777" w:rsidR="00232C33" w:rsidRDefault="00232C33" w:rsidP="00C012D3">
      <w:pPr>
        <w:spacing w:line="360" w:lineRule="auto"/>
      </w:pPr>
    </w:p>
    <w:p w14:paraId="01C4EF4B" w14:textId="77777777" w:rsidR="00232C33" w:rsidRDefault="00232C33" w:rsidP="00C012D3">
      <w:pPr>
        <w:spacing w:line="360" w:lineRule="auto"/>
      </w:pPr>
    </w:p>
    <w:p w14:paraId="17E11527" w14:textId="77777777" w:rsidR="00232C33" w:rsidRDefault="00232C33" w:rsidP="00C012D3">
      <w:pPr>
        <w:spacing w:line="360" w:lineRule="auto"/>
      </w:pPr>
    </w:p>
    <w:p w14:paraId="4C28604C" w14:textId="77777777" w:rsidR="00232C33" w:rsidRDefault="00232C33" w:rsidP="00C012D3">
      <w:pPr>
        <w:spacing w:line="360" w:lineRule="auto"/>
      </w:pPr>
    </w:p>
    <w:p w14:paraId="48764077" w14:textId="77777777" w:rsidR="00232C33" w:rsidRDefault="00232C33" w:rsidP="00C012D3">
      <w:pPr>
        <w:spacing w:line="360" w:lineRule="auto"/>
      </w:pPr>
    </w:p>
    <w:p w14:paraId="73B4E950" w14:textId="77777777" w:rsidR="00232C33" w:rsidRDefault="00232C33" w:rsidP="00C012D3">
      <w:pPr>
        <w:spacing w:line="360" w:lineRule="auto"/>
      </w:pPr>
    </w:p>
    <w:p w14:paraId="68F6DA61" w14:textId="77777777" w:rsidR="00232C33" w:rsidRDefault="00232C33" w:rsidP="00C012D3">
      <w:pPr>
        <w:spacing w:line="360" w:lineRule="auto"/>
      </w:pPr>
    </w:p>
    <w:p w14:paraId="5612D3EF" w14:textId="77777777" w:rsidR="00232C33" w:rsidRDefault="00232C33" w:rsidP="00C012D3">
      <w:pPr>
        <w:spacing w:line="360" w:lineRule="auto"/>
      </w:pPr>
    </w:p>
    <w:p w14:paraId="1D007409" w14:textId="77777777" w:rsidR="00232C33" w:rsidRDefault="00232C33" w:rsidP="00C012D3">
      <w:pPr>
        <w:spacing w:line="360" w:lineRule="auto"/>
      </w:pPr>
    </w:p>
    <w:p w14:paraId="2DF94AD1" w14:textId="77777777" w:rsidR="00232C33" w:rsidRDefault="00232C33" w:rsidP="00C012D3">
      <w:pPr>
        <w:spacing w:line="360" w:lineRule="auto"/>
      </w:pPr>
    </w:p>
    <w:p w14:paraId="60264A34" w14:textId="77777777" w:rsidR="00232C33" w:rsidRDefault="00232C33" w:rsidP="00C012D3">
      <w:pPr>
        <w:spacing w:line="360" w:lineRule="auto"/>
      </w:pPr>
    </w:p>
    <w:p w14:paraId="7F8C4DBC" w14:textId="77777777" w:rsidR="00232C33" w:rsidRDefault="00232C33" w:rsidP="00C012D3">
      <w:pPr>
        <w:spacing w:line="360" w:lineRule="auto"/>
      </w:pPr>
    </w:p>
    <w:p w14:paraId="40374CEC" w14:textId="77777777" w:rsidR="00232C33" w:rsidRDefault="00232C33" w:rsidP="00C012D3">
      <w:pPr>
        <w:spacing w:line="360" w:lineRule="auto"/>
      </w:pPr>
    </w:p>
    <w:p w14:paraId="1740559A" w14:textId="77777777" w:rsidR="00232C33" w:rsidRDefault="00232C33" w:rsidP="00C012D3">
      <w:pPr>
        <w:spacing w:line="360" w:lineRule="auto"/>
      </w:pPr>
    </w:p>
    <w:p w14:paraId="739095E4" w14:textId="77777777" w:rsidR="00232C33" w:rsidRDefault="00232C33" w:rsidP="00C012D3">
      <w:pPr>
        <w:spacing w:line="360" w:lineRule="auto"/>
      </w:pPr>
    </w:p>
    <w:p w14:paraId="223AF385" w14:textId="77777777" w:rsidR="00232C33" w:rsidRDefault="00232C33" w:rsidP="00C012D3">
      <w:pPr>
        <w:spacing w:line="360" w:lineRule="auto"/>
      </w:pPr>
    </w:p>
    <w:p w14:paraId="01679C3D" w14:textId="77777777" w:rsidR="00232C33" w:rsidRDefault="00232C33" w:rsidP="00C012D3">
      <w:pPr>
        <w:spacing w:line="360" w:lineRule="auto"/>
      </w:pPr>
    </w:p>
    <w:p w14:paraId="2E979DF7" w14:textId="77777777" w:rsidR="00232C33" w:rsidRDefault="00232C33" w:rsidP="00C012D3">
      <w:pPr>
        <w:spacing w:line="360" w:lineRule="auto"/>
      </w:pPr>
    </w:p>
    <w:p w14:paraId="06A8A741" w14:textId="77777777" w:rsidR="00232C33" w:rsidRDefault="00232C33" w:rsidP="00C012D3">
      <w:pPr>
        <w:spacing w:line="360" w:lineRule="auto"/>
      </w:pPr>
    </w:p>
    <w:p w14:paraId="50A888FC" w14:textId="77777777" w:rsidR="00237A3F" w:rsidRDefault="00237A3F" w:rsidP="00C012D3">
      <w:pPr>
        <w:spacing w:line="360" w:lineRule="auto"/>
        <w:rPr>
          <w:b/>
          <w:bCs/>
          <w:u w:val="single"/>
        </w:rPr>
      </w:pPr>
    </w:p>
    <w:p w14:paraId="383F9BDF" w14:textId="77777777" w:rsidR="00237A3F" w:rsidRDefault="00237A3F" w:rsidP="00C012D3">
      <w:pPr>
        <w:spacing w:line="360" w:lineRule="auto"/>
        <w:rPr>
          <w:b/>
          <w:bCs/>
          <w:u w:val="single"/>
        </w:rPr>
      </w:pPr>
    </w:p>
    <w:p w14:paraId="1B96B956" w14:textId="77777777" w:rsidR="00237A3F" w:rsidRDefault="00237A3F" w:rsidP="00C012D3">
      <w:pPr>
        <w:spacing w:line="360" w:lineRule="auto"/>
        <w:rPr>
          <w:b/>
          <w:bCs/>
          <w:u w:val="single"/>
        </w:rPr>
      </w:pPr>
    </w:p>
    <w:p w14:paraId="1DB37008" w14:textId="28E588F9" w:rsidR="00232C33" w:rsidRDefault="00232C33" w:rsidP="00C012D3">
      <w:pPr>
        <w:spacing w:line="360" w:lineRule="auto"/>
        <w:rPr>
          <w:b/>
          <w:bCs/>
          <w:u w:val="single"/>
        </w:rPr>
      </w:pPr>
      <w:r>
        <w:rPr>
          <w:b/>
          <w:bCs/>
          <w:u w:val="single"/>
        </w:rPr>
        <w:lastRenderedPageBreak/>
        <w:t>Appendix</w:t>
      </w:r>
    </w:p>
    <w:p w14:paraId="512A27AD" w14:textId="66AABD6E" w:rsidR="00232C33" w:rsidRDefault="00232C33" w:rsidP="00C012D3">
      <w:pPr>
        <w:spacing w:line="360" w:lineRule="auto"/>
        <w:rPr>
          <w:b/>
          <w:bCs/>
          <w:u w:val="single"/>
        </w:rPr>
      </w:pPr>
    </w:p>
    <w:p w14:paraId="2BF1F9B2" w14:textId="08C482B7" w:rsidR="00232C33" w:rsidRDefault="00237A3F" w:rsidP="00C012D3">
      <w:pPr>
        <w:spacing w:line="360" w:lineRule="auto"/>
        <w:rPr>
          <w:b/>
          <w:bCs/>
          <w:u w:val="single"/>
        </w:rPr>
      </w:pPr>
      <w:r>
        <w:rPr>
          <w:b/>
          <w:bCs/>
          <w:noProof/>
          <w:u w:val="single"/>
        </w:rPr>
        <w:drawing>
          <wp:anchor distT="0" distB="0" distL="114300" distR="114300" simplePos="0" relativeHeight="251658240" behindDoc="0" locked="0" layoutInCell="1" allowOverlap="1" wp14:anchorId="2DA13449" wp14:editId="3F36665E">
            <wp:simplePos x="0" y="0"/>
            <wp:positionH relativeFrom="margin">
              <wp:posOffset>-1369695</wp:posOffset>
            </wp:positionH>
            <wp:positionV relativeFrom="margin">
              <wp:posOffset>2296160</wp:posOffset>
            </wp:positionV>
            <wp:extent cx="8442960" cy="5621655"/>
            <wp:effectExtent l="952" t="0" r="3493" b="3492"/>
            <wp:wrapSquare wrapText="bothSides"/>
            <wp:docPr id="8541270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127017" name="Picture 1" descr="A screenshot of a computer&#10;&#10;Description automatically generated"/>
                    <pic:cNvPicPr/>
                  </pic:nvPicPr>
                  <pic:blipFill rotWithShape="1">
                    <a:blip r:embed="rId4">
                      <a:extLst>
                        <a:ext uri="{28A0092B-C50C-407E-A947-70E740481C1C}">
                          <a14:useLocalDpi xmlns:a14="http://schemas.microsoft.com/office/drawing/2010/main" val="0"/>
                        </a:ext>
                      </a:extLst>
                    </a:blip>
                    <a:srcRect l="12154" t="16426" r="12402" b="3194"/>
                    <a:stretch/>
                  </pic:blipFill>
                  <pic:spPr bwMode="auto">
                    <a:xfrm rot="5400000">
                      <a:off x="0" y="0"/>
                      <a:ext cx="8442960" cy="5621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2C33">
        <w:rPr>
          <w:b/>
          <w:bCs/>
          <w:u w:val="single"/>
        </w:rPr>
        <w:t>Appendix 1 – Lesson Plan</w:t>
      </w:r>
    </w:p>
    <w:p w14:paraId="2CD15445" w14:textId="0D6B701D" w:rsidR="00237A3F" w:rsidRDefault="00237A3F" w:rsidP="00C012D3">
      <w:pPr>
        <w:spacing w:line="360" w:lineRule="auto"/>
        <w:rPr>
          <w:b/>
          <w:bCs/>
          <w:u w:val="single"/>
        </w:rPr>
      </w:pPr>
      <w:r>
        <w:rPr>
          <w:b/>
          <w:bCs/>
          <w:noProof/>
          <w:u w:val="single"/>
        </w:rPr>
        <w:lastRenderedPageBreak/>
        <w:drawing>
          <wp:anchor distT="0" distB="0" distL="114300" distR="114300" simplePos="0" relativeHeight="251659264" behindDoc="0" locked="0" layoutInCell="1" allowOverlap="1" wp14:anchorId="51CF41BE" wp14:editId="10C00E76">
            <wp:simplePos x="0" y="0"/>
            <wp:positionH relativeFrom="margin">
              <wp:posOffset>-1846580</wp:posOffset>
            </wp:positionH>
            <wp:positionV relativeFrom="margin">
              <wp:posOffset>1712595</wp:posOffset>
            </wp:positionV>
            <wp:extent cx="9286875" cy="5865495"/>
            <wp:effectExtent l="0" t="3810" r="5715" b="5715"/>
            <wp:wrapSquare wrapText="bothSides"/>
            <wp:docPr id="12140507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05079" name="Picture 2" descr="A screenshot of a computer&#10;&#10;Description automatically generated"/>
                    <pic:cNvPicPr/>
                  </pic:nvPicPr>
                  <pic:blipFill rotWithShape="1">
                    <a:blip r:embed="rId5">
                      <a:extLst>
                        <a:ext uri="{28A0092B-C50C-407E-A947-70E740481C1C}">
                          <a14:useLocalDpi xmlns:a14="http://schemas.microsoft.com/office/drawing/2010/main" val="0"/>
                        </a:ext>
                      </a:extLst>
                    </a:blip>
                    <a:srcRect l="12732" t="17924" r="13598" b="7625"/>
                    <a:stretch/>
                  </pic:blipFill>
                  <pic:spPr bwMode="auto">
                    <a:xfrm rot="5400000">
                      <a:off x="0" y="0"/>
                      <a:ext cx="9286875" cy="5865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66391F" w14:textId="658CE0E3" w:rsidR="00237A3F" w:rsidRDefault="00237A3F">
      <w:pPr>
        <w:rPr>
          <w:b/>
          <w:bCs/>
          <w:u w:val="single"/>
        </w:rPr>
      </w:pPr>
      <w:r>
        <w:rPr>
          <w:b/>
          <w:bCs/>
          <w:noProof/>
          <w:u w:val="single"/>
        </w:rPr>
        <w:lastRenderedPageBreak/>
        <w:drawing>
          <wp:anchor distT="0" distB="0" distL="114300" distR="114300" simplePos="0" relativeHeight="251660288" behindDoc="0" locked="0" layoutInCell="1" allowOverlap="1" wp14:anchorId="526B6167" wp14:editId="43174C84">
            <wp:simplePos x="0" y="0"/>
            <wp:positionH relativeFrom="margin">
              <wp:posOffset>-1690370</wp:posOffset>
            </wp:positionH>
            <wp:positionV relativeFrom="margin">
              <wp:posOffset>1518920</wp:posOffset>
            </wp:positionV>
            <wp:extent cx="8937625" cy="5902325"/>
            <wp:effectExtent l="0" t="6350" r="0" b="0"/>
            <wp:wrapSquare wrapText="bothSides"/>
            <wp:docPr id="194484419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844190" name="Picture 3"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13243" t="16294" r="12729" b="5480"/>
                    <a:stretch/>
                  </pic:blipFill>
                  <pic:spPr bwMode="auto">
                    <a:xfrm rot="5400000">
                      <a:off x="0" y="0"/>
                      <a:ext cx="8937625" cy="5902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u w:val="single"/>
        </w:rPr>
        <w:br w:type="page"/>
      </w:r>
    </w:p>
    <w:p w14:paraId="6DD17016" w14:textId="3A7D859B" w:rsidR="00237A3F" w:rsidRDefault="00237A3F" w:rsidP="00C012D3">
      <w:pPr>
        <w:spacing w:line="360" w:lineRule="auto"/>
        <w:rPr>
          <w:b/>
          <w:bCs/>
          <w:u w:val="single"/>
        </w:rPr>
      </w:pPr>
      <w:r>
        <w:rPr>
          <w:b/>
          <w:bCs/>
          <w:noProof/>
          <w:u w:val="single"/>
        </w:rPr>
        <w:lastRenderedPageBreak/>
        <w:drawing>
          <wp:anchor distT="0" distB="0" distL="114300" distR="114300" simplePos="0" relativeHeight="251661312" behindDoc="0" locked="0" layoutInCell="1" allowOverlap="1" wp14:anchorId="2AF2F2D4" wp14:editId="09B53D87">
            <wp:simplePos x="0" y="0"/>
            <wp:positionH relativeFrom="margin">
              <wp:posOffset>-1724025</wp:posOffset>
            </wp:positionH>
            <wp:positionV relativeFrom="margin">
              <wp:posOffset>1757045</wp:posOffset>
            </wp:positionV>
            <wp:extent cx="9182100" cy="6036310"/>
            <wp:effectExtent l="0" t="1905" r="0" b="0"/>
            <wp:wrapSquare wrapText="bothSides"/>
            <wp:docPr id="148150631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06311" name="Picture 4"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12904" t="17381" r="13253" b="4941"/>
                    <a:stretch/>
                  </pic:blipFill>
                  <pic:spPr bwMode="auto">
                    <a:xfrm rot="5400000">
                      <a:off x="0" y="0"/>
                      <a:ext cx="9182100" cy="6036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4DC184" w14:textId="53E25954" w:rsidR="00237A3F" w:rsidRDefault="00237A3F">
      <w:pPr>
        <w:rPr>
          <w:b/>
          <w:bCs/>
          <w:u w:val="single"/>
        </w:rPr>
      </w:pPr>
      <w:r>
        <w:rPr>
          <w:b/>
          <w:bCs/>
          <w:u w:val="single"/>
        </w:rPr>
        <w:lastRenderedPageBreak/>
        <w:t xml:space="preserve">Appendix two – Learning Resource </w:t>
      </w:r>
    </w:p>
    <w:p w14:paraId="422FC10E" w14:textId="2B0A3806" w:rsidR="00237A3F" w:rsidRDefault="00237A3F">
      <w:pPr>
        <w:rPr>
          <w:b/>
          <w:bCs/>
          <w:u w:val="single"/>
        </w:rPr>
      </w:pPr>
      <w:r>
        <w:rPr>
          <w:b/>
          <w:bCs/>
          <w:noProof/>
          <w:u w:val="single"/>
        </w:rPr>
        <w:drawing>
          <wp:anchor distT="0" distB="0" distL="114300" distR="114300" simplePos="0" relativeHeight="251662336" behindDoc="0" locked="0" layoutInCell="1" allowOverlap="1" wp14:anchorId="00EDD482" wp14:editId="17C234C3">
            <wp:simplePos x="0" y="0"/>
            <wp:positionH relativeFrom="margin">
              <wp:posOffset>-1487805</wp:posOffset>
            </wp:positionH>
            <wp:positionV relativeFrom="margin">
              <wp:posOffset>2245995</wp:posOffset>
            </wp:positionV>
            <wp:extent cx="8807450" cy="4956810"/>
            <wp:effectExtent l="0" t="5080" r="1270" b="1270"/>
            <wp:wrapSquare wrapText="bothSides"/>
            <wp:docPr id="139743857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438571" name="Picture 5"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19356" t="20911" r="11887" b="17166"/>
                    <a:stretch/>
                  </pic:blipFill>
                  <pic:spPr bwMode="auto">
                    <a:xfrm rot="5400000">
                      <a:off x="0" y="0"/>
                      <a:ext cx="8807450" cy="4956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u w:val="single"/>
        </w:rPr>
        <w:br w:type="page"/>
      </w:r>
    </w:p>
    <w:p w14:paraId="4D636206" w14:textId="77777777" w:rsidR="00237A3F" w:rsidRDefault="00237A3F" w:rsidP="00C012D3">
      <w:pPr>
        <w:spacing w:line="360" w:lineRule="auto"/>
        <w:rPr>
          <w:b/>
          <w:bCs/>
          <w:u w:val="single"/>
        </w:rPr>
      </w:pPr>
    </w:p>
    <w:p w14:paraId="37FA19FE" w14:textId="07609FAE" w:rsidR="00237A3F" w:rsidRDefault="00237A3F">
      <w:pPr>
        <w:rPr>
          <w:b/>
          <w:bCs/>
          <w:u w:val="single"/>
        </w:rPr>
      </w:pPr>
      <w:r>
        <w:rPr>
          <w:b/>
          <w:bCs/>
          <w:noProof/>
          <w:u w:val="single"/>
        </w:rPr>
        <w:drawing>
          <wp:anchor distT="0" distB="0" distL="114300" distR="114300" simplePos="0" relativeHeight="251664384" behindDoc="0" locked="0" layoutInCell="1" allowOverlap="1" wp14:anchorId="335B9232" wp14:editId="0171B3C8">
            <wp:simplePos x="0" y="0"/>
            <wp:positionH relativeFrom="margin">
              <wp:posOffset>-1684020</wp:posOffset>
            </wp:positionH>
            <wp:positionV relativeFrom="margin">
              <wp:posOffset>2103755</wp:posOffset>
            </wp:positionV>
            <wp:extent cx="9516745" cy="5311140"/>
            <wp:effectExtent l="0" t="5397" r="2857" b="2858"/>
            <wp:wrapSquare wrapText="bothSides"/>
            <wp:docPr id="180782976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829767" name="Picture 7"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19356" t="21454" r="12209" b="17433"/>
                    <a:stretch/>
                  </pic:blipFill>
                  <pic:spPr bwMode="auto">
                    <a:xfrm rot="5400000">
                      <a:off x="0" y="0"/>
                      <a:ext cx="9516745" cy="5311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u w:val="single"/>
        </w:rPr>
        <w:br w:type="page"/>
      </w:r>
    </w:p>
    <w:p w14:paraId="45FE5138" w14:textId="78B44CFA" w:rsidR="00232C33" w:rsidRPr="00232C33" w:rsidRDefault="00237A3F" w:rsidP="00C012D3">
      <w:pPr>
        <w:spacing w:line="360" w:lineRule="auto"/>
        <w:rPr>
          <w:b/>
          <w:bCs/>
          <w:u w:val="single"/>
        </w:rPr>
      </w:pPr>
      <w:r>
        <w:rPr>
          <w:b/>
          <w:bCs/>
          <w:noProof/>
          <w:u w:val="single"/>
        </w:rPr>
        <w:lastRenderedPageBreak/>
        <w:drawing>
          <wp:anchor distT="0" distB="0" distL="114300" distR="114300" simplePos="0" relativeHeight="251663360" behindDoc="0" locked="0" layoutInCell="1" allowOverlap="1" wp14:anchorId="628E6904" wp14:editId="0F7A4730">
            <wp:simplePos x="0" y="0"/>
            <wp:positionH relativeFrom="margin">
              <wp:posOffset>-1106170</wp:posOffset>
            </wp:positionH>
            <wp:positionV relativeFrom="margin">
              <wp:posOffset>1925320</wp:posOffset>
            </wp:positionV>
            <wp:extent cx="8760460" cy="4912360"/>
            <wp:effectExtent l="0" t="6350" r="0" b="0"/>
            <wp:wrapSquare wrapText="bothSides"/>
            <wp:docPr id="46286169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861696" name="Picture 6"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19355" t="21183" r="12244" b="17442"/>
                    <a:stretch/>
                  </pic:blipFill>
                  <pic:spPr bwMode="auto">
                    <a:xfrm rot="5400000">
                      <a:off x="0" y="0"/>
                      <a:ext cx="8760460" cy="4912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232C33" w:rsidRPr="00232C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B98"/>
    <w:rsid w:val="0003752A"/>
    <w:rsid w:val="000B7A7E"/>
    <w:rsid w:val="00125E31"/>
    <w:rsid w:val="00134B98"/>
    <w:rsid w:val="00155761"/>
    <w:rsid w:val="002062C5"/>
    <w:rsid w:val="00232C33"/>
    <w:rsid w:val="00237A3F"/>
    <w:rsid w:val="002C127B"/>
    <w:rsid w:val="002E1B4C"/>
    <w:rsid w:val="00314FC2"/>
    <w:rsid w:val="003528D8"/>
    <w:rsid w:val="00356427"/>
    <w:rsid w:val="003A2E9D"/>
    <w:rsid w:val="003D1C40"/>
    <w:rsid w:val="0040391E"/>
    <w:rsid w:val="004079FB"/>
    <w:rsid w:val="00441548"/>
    <w:rsid w:val="00450872"/>
    <w:rsid w:val="00487BA0"/>
    <w:rsid w:val="004C3247"/>
    <w:rsid w:val="004D4A62"/>
    <w:rsid w:val="004D62E3"/>
    <w:rsid w:val="0050466E"/>
    <w:rsid w:val="005E2CF6"/>
    <w:rsid w:val="005E6F51"/>
    <w:rsid w:val="005F1C27"/>
    <w:rsid w:val="0061096A"/>
    <w:rsid w:val="00634489"/>
    <w:rsid w:val="0067403C"/>
    <w:rsid w:val="006858DF"/>
    <w:rsid w:val="006A2CB6"/>
    <w:rsid w:val="00705C27"/>
    <w:rsid w:val="00737B76"/>
    <w:rsid w:val="00744567"/>
    <w:rsid w:val="007A4F05"/>
    <w:rsid w:val="007E0DCF"/>
    <w:rsid w:val="007E5D51"/>
    <w:rsid w:val="007F3185"/>
    <w:rsid w:val="008B3E72"/>
    <w:rsid w:val="00920963"/>
    <w:rsid w:val="00922735"/>
    <w:rsid w:val="00945B80"/>
    <w:rsid w:val="00947B1D"/>
    <w:rsid w:val="009836B7"/>
    <w:rsid w:val="00991DCB"/>
    <w:rsid w:val="00A04BBC"/>
    <w:rsid w:val="00A43A1A"/>
    <w:rsid w:val="00A70F0F"/>
    <w:rsid w:val="00A77A09"/>
    <w:rsid w:val="00A877C2"/>
    <w:rsid w:val="00AA12C1"/>
    <w:rsid w:val="00B3407F"/>
    <w:rsid w:val="00B72F07"/>
    <w:rsid w:val="00BA0493"/>
    <w:rsid w:val="00BB1E61"/>
    <w:rsid w:val="00BF3FC0"/>
    <w:rsid w:val="00C012D3"/>
    <w:rsid w:val="00C62C81"/>
    <w:rsid w:val="00CA64CC"/>
    <w:rsid w:val="00CB102B"/>
    <w:rsid w:val="00CB30C1"/>
    <w:rsid w:val="00CF2500"/>
    <w:rsid w:val="00D01BC2"/>
    <w:rsid w:val="00DF237E"/>
    <w:rsid w:val="00E209E8"/>
    <w:rsid w:val="00E45B28"/>
    <w:rsid w:val="00E70AB1"/>
    <w:rsid w:val="00ED2FD7"/>
    <w:rsid w:val="00F967DE"/>
    <w:rsid w:val="00FA3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BE1F9"/>
  <w15:chartTrackingRefBased/>
  <w15:docId w15:val="{EED643F7-7747-484B-8194-12E51A159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4B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4B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4B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4B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4B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4B9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4B9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4B9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4B9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B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4B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4B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4B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4B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4B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4B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4B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4B98"/>
    <w:rPr>
      <w:rFonts w:eastAsiaTheme="majorEastAsia" w:cstheme="majorBidi"/>
      <w:color w:val="272727" w:themeColor="text1" w:themeTint="D8"/>
    </w:rPr>
  </w:style>
  <w:style w:type="paragraph" w:styleId="Title">
    <w:name w:val="Title"/>
    <w:basedOn w:val="Normal"/>
    <w:next w:val="Normal"/>
    <w:link w:val="TitleChar"/>
    <w:uiPriority w:val="10"/>
    <w:qFormat/>
    <w:rsid w:val="00134B9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B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4B9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4B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4B9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34B98"/>
    <w:rPr>
      <w:i/>
      <w:iCs/>
      <w:color w:val="404040" w:themeColor="text1" w:themeTint="BF"/>
    </w:rPr>
  </w:style>
  <w:style w:type="paragraph" w:styleId="ListParagraph">
    <w:name w:val="List Paragraph"/>
    <w:basedOn w:val="Normal"/>
    <w:uiPriority w:val="34"/>
    <w:qFormat/>
    <w:rsid w:val="00134B98"/>
    <w:pPr>
      <w:ind w:left="720"/>
      <w:contextualSpacing/>
    </w:pPr>
  </w:style>
  <w:style w:type="character" w:styleId="IntenseEmphasis">
    <w:name w:val="Intense Emphasis"/>
    <w:basedOn w:val="DefaultParagraphFont"/>
    <w:uiPriority w:val="21"/>
    <w:qFormat/>
    <w:rsid w:val="00134B98"/>
    <w:rPr>
      <w:i/>
      <w:iCs/>
      <w:color w:val="0F4761" w:themeColor="accent1" w:themeShade="BF"/>
    </w:rPr>
  </w:style>
  <w:style w:type="paragraph" w:styleId="IntenseQuote">
    <w:name w:val="Intense Quote"/>
    <w:basedOn w:val="Normal"/>
    <w:next w:val="Normal"/>
    <w:link w:val="IntenseQuoteChar"/>
    <w:uiPriority w:val="30"/>
    <w:qFormat/>
    <w:rsid w:val="00134B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4B98"/>
    <w:rPr>
      <w:i/>
      <w:iCs/>
      <w:color w:val="0F4761" w:themeColor="accent1" w:themeShade="BF"/>
    </w:rPr>
  </w:style>
  <w:style w:type="character" w:styleId="IntenseReference">
    <w:name w:val="Intense Reference"/>
    <w:basedOn w:val="DefaultParagraphFont"/>
    <w:uiPriority w:val="32"/>
    <w:qFormat/>
    <w:rsid w:val="00134B98"/>
    <w:rPr>
      <w:b/>
      <w:bCs/>
      <w:smallCaps/>
      <w:color w:val="0F4761" w:themeColor="accent1" w:themeShade="BF"/>
      <w:spacing w:val="5"/>
    </w:rPr>
  </w:style>
  <w:style w:type="table" w:styleId="TableGrid">
    <w:name w:val="Table Grid"/>
    <w:basedOn w:val="TableNormal"/>
    <w:uiPriority w:val="39"/>
    <w:rsid w:val="00134B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12D3"/>
    <w:rPr>
      <w:color w:val="467886" w:themeColor="hyperlink"/>
      <w:u w:val="single"/>
    </w:rPr>
  </w:style>
  <w:style w:type="character" w:styleId="UnresolvedMention">
    <w:name w:val="Unresolved Mention"/>
    <w:basedOn w:val="DefaultParagraphFont"/>
    <w:uiPriority w:val="99"/>
    <w:semiHidden/>
    <w:unhideWhenUsed/>
    <w:rsid w:val="00C012D3"/>
    <w:rPr>
      <w:color w:val="605E5C"/>
      <w:shd w:val="clear" w:color="auto" w:fill="E1DFDD"/>
    </w:rPr>
  </w:style>
  <w:style w:type="character" w:customStyle="1" w:styleId="apple-converted-space">
    <w:name w:val="apple-converted-space"/>
    <w:basedOn w:val="DefaultParagraphFont"/>
    <w:rsid w:val="003A2E9D"/>
  </w:style>
  <w:style w:type="paragraph" w:styleId="NormalWeb">
    <w:name w:val="Normal (Web)"/>
    <w:basedOn w:val="Normal"/>
    <w:uiPriority w:val="99"/>
    <w:semiHidden/>
    <w:unhideWhenUsed/>
    <w:rsid w:val="003A2E9D"/>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FA3A5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5366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2568</Words>
  <Characters>14643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HOP19844935 (Polly Hopkins)</dc:creator>
  <cp:keywords/>
  <dc:description/>
  <cp:lastModifiedBy>HOP19844935 (Polly Hopkins)</cp:lastModifiedBy>
  <cp:revision>2</cp:revision>
  <dcterms:created xsi:type="dcterms:W3CDTF">2024-04-10T18:09:00Z</dcterms:created>
  <dcterms:modified xsi:type="dcterms:W3CDTF">2024-04-10T18:09:00Z</dcterms:modified>
</cp:coreProperties>
</file>