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8AB10F" w14:textId="77777777" w:rsidR="004E00EB" w:rsidRPr="00875DE4" w:rsidRDefault="004E00EB" w:rsidP="004E00EB">
      <w:pPr>
        <w:spacing w:before="240" w:line="360" w:lineRule="auto"/>
        <w:ind w:firstLine="0"/>
        <w:jc w:val="center"/>
        <w:rPr>
          <w:rFonts w:ascii="Arial" w:hAnsi="Arial" w:cs="Arial"/>
          <w:sz w:val="22"/>
          <w:szCs w:val="22"/>
        </w:rPr>
      </w:pPr>
      <w:r w:rsidRPr="00875DE4">
        <w:rPr>
          <w:rFonts w:ascii="Arial" w:hAnsi="Arial" w:cs="Arial"/>
          <w:sz w:val="22"/>
          <w:szCs w:val="22"/>
        </w:rPr>
        <w:t>SDG 3, SDG 13 Policies, Health, Well-being, and Sustainability</w:t>
      </w:r>
    </w:p>
    <w:p w14:paraId="22B771C1" w14:textId="77777777" w:rsidR="004E00EB" w:rsidRDefault="004E00EB" w:rsidP="004E00EB">
      <w:pPr>
        <w:spacing w:before="240" w:line="360" w:lineRule="auto"/>
        <w:ind w:firstLine="0"/>
        <w:jc w:val="center"/>
        <w:rPr>
          <w:rFonts w:ascii="Arial" w:hAnsi="Arial" w:cs="Arial"/>
          <w:sz w:val="22"/>
          <w:szCs w:val="22"/>
        </w:rPr>
      </w:pPr>
    </w:p>
    <w:p w14:paraId="7293C2C4" w14:textId="77777777" w:rsidR="004E00EB" w:rsidRDefault="004E00EB" w:rsidP="004E00EB">
      <w:pPr>
        <w:spacing w:before="240" w:line="360" w:lineRule="auto"/>
        <w:ind w:firstLine="0"/>
        <w:jc w:val="center"/>
        <w:rPr>
          <w:rFonts w:ascii="Arial" w:hAnsi="Arial" w:cs="Arial"/>
          <w:sz w:val="22"/>
          <w:szCs w:val="22"/>
        </w:rPr>
      </w:pPr>
    </w:p>
    <w:p w14:paraId="29A3C840" w14:textId="77777777" w:rsidR="004E00EB" w:rsidRPr="00875DE4" w:rsidRDefault="004E00EB" w:rsidP="004E00EB">
      <w:pPr>
        <w:spacing w:before="240" w:line="360" w:lineRule="auto"/>
        <w:ind w:firstLine="0"/>
        <w:jc w:val="center"/>
        <w:rPr>
          <w:rFonts w:ascii="Arial" w:hAnsi="Arial" w:cs="Arial"/>
          <w:sz w:val="22"/>
          <w:szCs w:val="22"/>
        </w:rPr>
      </w:pPr>
      <w:r>
        <w:rPr>
          <w:rFonts w:ascii="Arial" w:hAnsi="Arial" w:cs="Arial"/>
          <w:sz w:val="22"/>
          <w:szCs w:val="22"/>
        </w:rPr>
        <w:t>Student: Fadumo M Omar (2311758)</w:t>
      </w:r>
    </w:p>
    <w:p w14:paraId="0B45FA39" w14:textId="77777777" w:rsidR="004E00EB" w:rsidRPr="00875DE4" w:rsidRDefault="004E00EB" w:rsidP="004E00EB">
      <w:pPr>
        <w:spacing w:before="240" w:line="360" w:lineRule="auto"/>
        <w:ind w:firstLine="0"/>
        <w:jc w:val="center"/>
        <w:rPr>
          <w:rFonts w:ascii="Arial" w:hAnsi="Arial" w:cs="Arial"/>
          <w:sz w:val="22"/>
          <w:szCs w:val="22"/>
        </w:rPr>
      </w:pPr>
      <w:r>
        <w:rPr>
          <w:rFonts w:ascii="Arial" w:hAnsi="Arial" w:cs="Arial"/>
          <w:sz w:val="22"/>
          <w:szCs w:val="22"/>
        </w:rPr>
        <w:t>Health, Wellbeing and Sustainable Development (BMHP6030)</w:t>
      </w:r>
    </w:p>
    <w:p w14:paraId="169D0E50" w14:textId="77777777" w:rsidR="004E00EB" w:rsidRPr="00875DE4" w:rsidRDefault="004E00EB" w:rsidP="004E00EB">
      <w:pPr>
        <w:spacing w:before="240" w:line="360" w:lineRule="auto"/>
        <w:ind w:firstLine="0"/>
        <w:jc w:val="center"/>
        <w:rPr>
          <w:rFonts w:ascii="Arial" w:hAnsi="Arial" w:cs="Arial"/>
          <w:sz w:val="22"/>
          <w:szCs w:val="22"/>
        </w:rPr>
      </w:pPr>
      <w:r>
        <w:rPr>
          <w:rFonts w:ascii="Arial" w:hAnsi="Arial" w:cs="Arial"/>
          <w:sz w:val="22"/>
          <w:szCs w:val="22"/>
        </w:rPr>
        <w:t>Lecturer: Philip Jones</w:t>
      </w:r>
    </w:p>
    <w:p w14:paraId="223ACFFB" w14:textId="77777777" w:rsidR="004E00EB" w:rsidRPr="00875DE4" w:rsidRDefault="004E00EB" w:rsidP="004E00EB">
      <w:pPr>
        <w:spacing w:before="240" w:line="360" w:lineRule="auto"/>
        <w:ind w:firstLine="0"/>
        <w:jc w:val="center"/>
        <w:rPr>
          <w:rFonts w:ascii="Arial" w:hAnsi="Arial" w:cs="Arial"/>
          <w:sz w:val="22"/>
          <w:szCs w:val="22"/>
        </w:rPr>
      </w:pPr>
    </w:p>
    <w:p w14:paraId="45499D82" w14:textId="77777777" w:rsidR="004E00EB" w:rsidRDefault="004E00EB" w:rsidP="004E00EB">
      <w:pPr>
        <w:spacing w:before="240"/>
        <w:rPr>
          <w:rFonts w:ascii="Arial" w:hAnsi="Arial" w:cs="Arial"/>
          <w:sz w:val="22"/>
          <w:szCs w:val="22"/>
        </w:rPr>
      </w:pPr>
      <w:r>
        <w:rPr>
          <w:rFonts w:ascii="Arial" w:hAnsi="Arial" w:cs="Arial"/>
          <w:sz w:val="22"/>
          <w:szCs w:val="22"/>
        </w:rPr>
        <w:br w:type="page"/>
      </w:r>
    </w:p>
    <w:p w14:paraId="342C6F73" w14:textId="77777777" w:rsidR="004E00EB" w:rsidRPr="00875DE4" w:rsidRDefault="004E00EB" w:rsidP="004E00EB">
      <w:pPr>
        <w:spacing w:before="240" w:line="360" w:lineRule="auto"/>
        <w:ind w:firstLine="0"/>
        <w:jc w:val="center"/>
        <w:rPr>
          <w:rFonts w:ascii="Arial" w:hAnsi="Arial" w:cs="Arial"/>
          <w:sz w:val="22"/>
          <w:szCs w:val="22"/>
        </w:rPr>
      </w:pPr>
      <w:r w:rsidRPr="00875DE4">
        <w:rPr>
          <w:rFonts w:ascii="Arial" w:hAnsi="Arial" w:cs="Arial"/>
          <w:sz w:val="22"/>
          <w:szCs w:val="22"/>
        </w:rPr>
        <w:lastRenderedPageBreak/>
        <w:t>Introduction</w:t>
      </w:r>
    </w:p>
    <w:p w14:paraId="27BC65D9" w14:textId="77777777" w:rsidR="004E00EB" w:rsidRPr="00875DE4" w:rsidRDefault="004E00EB" w:rsidP="004E00EB">
      <w:pPr>
        <w:spacing w:before="240" w:line="360" w:lineRule="auto"/>
        <w:jc w:val="both"/>
        <w:rPr>
          <w:rFonts w:ascii="Arial" w:hAnsi="Arial" w:cs="Arial"/>
          <w:sz w:val="22"/>
          <w:szCs w:val="22"/>
        </w:rPr>
      </w:pPr>
      <w:r w:rsidRPr="00875DE4">
        <w:rPr>
          <w:rFonts w:ascii="Arial" w:hAnsi="Arial" w:cs="Arial"/>
          <w:sz w:val="22"/>
          <w:szCs w:val="22"/>
        </w:rPr>
        <w:t>Policies no longer treat health, well-being, and sustainability as different issues but rather as interrelated concerns. Poor health is affected by poverty, housing, risk of climatic conditions, education, transport, food systems, and access to care. Thus, health policies should not just be assessed by the objectives, but they should also be assessed by the ability to lessen inequality and enhance the living standards of the citizens. Sustainable development is crucial because it will force governments and other local organizations not just to consider the provision of short-run services but also to pay attention to the social, environmental, and economic welfare in the long run. The SDGs to be considered critically in this report are SDG 3, Good Health and Well-being, and SDG 13, Climate Action, because an increasing number of factors determine who can live safely, breathe clean air, and access resilient services due to climate change. This paper focuses on global, national, and local policies, which are discussed in the context of Wales and Swansea Bay. It affirms that the current efforts have merits in that they acknowledge the importance of prevention, equity, and partnership, yet remain deficient in that they do not suffice in funding, inequity in implementation, or responsibility. The theories that the report uses to demonstrate why policies cannot merely strive to change individual behavior but should also seek to adjust the larger environment for people to make healthy and sustainable decisions are the theory of social determinants of health, the Social Cognitive Theory, and the Health Belief Model.</w:t>
      </w:r>
    </w:p>
    <w:p w14:paraId="019BEBDC" w14:textId="77777777" w:rsidR="004E00EB" w:rsidRPr="00875DE4" w:rsidRDefault="004E00EB" w:rsidP="004E00EB">
      <w:pPr>
        <w:spacing w:before="240" w:line="360" w:lineRule="auto"/>
        <w:ind w:firstLine="0"/>
        <w:jc w:val="center"/>
        <w:rPr>
          <w:rFonts w:ascii="Arial" w:hAnsi="Arial" w:cs="Arial"/>
          <w:sz w:val="22"/>
          <w:szCs w:val="22"/>
        </w:rPr>
      </w:pPr>
      <w:r w:rsidRPr="00875DE4">
        <w:rPr>
          <w:rFonts w:ascii="Arial" w:hAnsi="Arial" w:cs="Arial"/>
          <w:sz w:val="22"/>
          <w:szCs w:val="22"/>
        </w:rPr>
        <w:t>GSDG 3, Good Health and Well-Being.</w:t>
      </w:r>
    </w:p>
    <w:p w14:paraId="55B408F9" w14:textId="77777777" w:rsidR="004E00EB" w:rsidRPr="00875DE4" w:rsidRDefault="004E00EB" w:rsidP="004E00EB">
      <w:pPr>
        <w:spacing w:before="240" w:line="360" w:lineRule="auto"/>
        <w:jc w:val="both"/>
        <w:rPr>
          <w:rFonts w:ascii="Arial" w:hAnsi="Arial" w:cs="Arial"/>
          <w:sz w:val="22"/>
          <w:szCs w:val="22"/>
        </w:rPr>
      </w:pPr>
      <w:r w:rsidRPr="00875DE4">
        <w:rPr>
          <w:rFonts w:ascii="Arial" w:hAnsi="Arial" w:cs="Arial"/>
          <w:sz w:val="22"/>
          <w:szCs w:val="22"/>
        </w:rPr>
        <w:t>SDG 3 strives towards healthy lifestyles and the well-being of all people. All over the world, there are setbacks and improvements. According to the United Nations (2026), in 2015-2023, the mortality rate caused by pregnancy decreased from 228 to 197 deaths per 100,000 live births, but in 2023, it is estimated that 260,000 women will still die as a result of pregnancy-related conditions (World Health Organization (WHO), 2025), which means that technical knowledge is not an issue, but accessibility remains uneven. But as universal health coverage rose after 2000, the disastrous out-of-pocket expenditure continued to keep millions of people in poverty, demonstrating that any coverage is not worthwhile unless it is affordable, standard, and credible (Kodali, 2023). This is a perfect illustration of the social determinants model whereby health is a product of stratified circumstances such as income, employment, shelter, and social support rather than a product of clinical care itself.</w:t>
      </w:r>
    </w:p>
    <w:p w14:paraId="76C91F2F" w14:textId="77777777" w:rsidR="004E00EB" w:rsidRPr="00875DE4" w:rsidRDefault="004E00EB" w:rsidP="004E00EB">
      <w:pPr>
        <w:spacing w:before="240" w:line="360" w:lineRule="auto"/>
        <w:jc w:val="both"/>
        <w:rPr>
          <w:rFonts w:ascii="Arial" w:hAnsi="Arial" w:cs="Arial"/>
          <w:sz w:val="22"/>
          <w:szCs w:val="22"/>
        </w:rPr>
      </w:pPr>
      <w:r w:rsidRPr="00875DE4">
        <w:rPr>
          <w:rFonts w:ascii="Arial" w:hAnsi="Arial" w:cs="Arial"/>
          <w:sz w:val="22"/>
          <w:szCs w:val="22"/>
        </w:rPr>
        <w:lastRenderedPageBreak/>
        <w:t xml:space="preserve">There are thus two key strengths of the global SDG 3 </w:t>
      </w:r>
      <w:proofErr w:type="gramStart"/>
      <w:r w:rsidRPr="00875DE4">
        <w:rPr>
          <w:rFonts w:ascii="Arial" w:hAnsi="Arial" w:cs="Arial"/>
          <w:sz w:val="22"/>
          <w:szCs w:val="22"/>
        </w:rPr>
        <w:t>initiatives</w:t>
      </w:r>
      <w:proofErr w:type="gramEnd"/>
      <w:r w:rsidRPr="00875DE4">
        <w:rPr>
          <w:rFonts w:ascii="Arial" w:hAnsi="Arial" w:cs="Arial"/>
          <w:sz w:val="22"/>
          <w:szCs w:val="22"/>
        </w:rPr>
        <w:t>, which must be well understood. To begin with, through this goal, it has been possible to establish quantifiable maternal health, infectious disease, non-communicable disease, and mental health goals (Brown, n.d.). Second, the goal promotes cross-country responsibility. However, according to a study by Farag (2025), the most evident weakness is that SDG reporting can hide the inequalities within countries. For example, while the national mean can be improved, women, migrants, the disabled, and poorer groups can be abandoned. This is why equity-based indicators are needed. A case in point is social cognitive theory, which points out that self-efficacy, enabling environment, and role modeling are required to promote health but does not necessarily involve information campaigns (Islam et al., 2023). To give an example, it can be a weak strategy to encourage people to practice or engage in screening at a time when transport is a problem, there are insecurities at the workplace, or services are culturally inaccessible.</w:t>
      </w:r>
    </w:p>
    <w:p w14:paraId="1CBE3481" w14:textId="77777777" w:rsidR="004E00EB" w:rsidRPr="00875DE4" w:rsidRDefault="004E00EB" w:rsidP="004E00EB">
      <w:pPr>
        <w:spacing w:before="240" w:line="360" w:lineRule="auto"/>
        <w:jc w:val="both"/>
        <w:rPr>
          <w:rFonts w:ascii="Arial" w:hAnsi="Arial" w:cs="Arial"/>
          <w:sz w:val="22"/>
          <w:szCs w:val="22"/>
        </w:rPr>
      </w:pPr>
      <w:r w:rsidRPr="00875DE4">
        <w:rPr>
          <w:rFonts w:ascii="Arial" w:hAnsi="Arial" w:cs="Arial"/>
          <w:sz w:val="22"/>
          <w:szCs w:val="22"/>
        </w:rPr>
        <w:t xml:space="preserve">The UK and Welsh policies that assist SDG 3 are at the national level; however, there are gaps in practice. Prevention, inequalities, and early intervention, such as smoking, obesity, alcohol, and diabetes prevention measures, were the key priority areas of the NHS Long-Term Plan (UK Health Security Agency, 2019). </w:t>
      </w:r>
      <w:proofErr w:type="gramStart"/>
      <w:r w:rsidRPr="00875DE4">
        <w:rPr>
          <w:rFonts w:ascii="Arial" w:hAnsi="Arial" w:cs="Arial"/>
          <w:sz w:val="22"/>
          <w:szCs w:val="22"/>
        </w:rPr>
        <w:t>A Healthier</w:t>
      </w:r>
      <w:proofErr w:type="gramEnd"/>
      <w:r w:rsidRPr="00875DE4">
        <w:rPr>
          <w:rFonts w:ascii="Arial" w:hAnsi="Arial" w:cs="Arial"/>
          <w:sz w:val="22"/>
          <w:szCs w:val="22"/>
        </w:rPr>
        <w:t xml:space="preserve"> Wales in Wales fosters whole-system orientation, which is rooted in prevention, integration, and lengthening the lifespan of people (Welsh Government, 2021). These policies align with the Health Belief Model, as they are trying to maximize the perceived benefits of </w:t>
      </w:r>
      <w:proofErr w:type="gramStart"/>
      <w:r w:rsidRPr="00875DE4">
        <w:rPr>
          <w:rFonts w:ascii="Arial" w:hAnsi="Arial" w:cs="Arial"/>
          <w:sz w:val="22"/>
          <w:szCs w:val="22"/>
        </w:rPr>
        <w:t>taking action</w:t>
      </w:r>
      <w:proofErr w:type="gramEnd"/>
      <w:r w:rsidRPr="00875DE4">
        <w:rPr>
          <w:rFonts w:ascii="Arial" w:hAnsi="Arial" w:cs="Arial"/>
          <w:sz w:val="22"/>
          <w:szCs w:val="22"/>
        </w:rPr>
        <w:t xml:space="preserve"> early and reduce the barriers to using the services (</w:t>
      </w:r>
      <w:proofErr w:type="spellStart"/>
      <w:r w:rsidRPr="00875DE4">
        <w:rPr>
          <w:rFonts w:ascii="Arial" w:hAnsi="Arial" w:cs="Arial"/>
          <w:sz w:val="22"/>
          <w:szCs w:val="22"/>
        </w:rPr>
        <w:t>Mansori</w:t>
      </w:r>
      <w:proofErr w:type="spellEnd"/>
      <w:r w:rsidRPr="00875DE4">
        <w:rPr>
          <w:rFonts w:ascii="Arial" w:hAnsi="Arial" w:cs="Arial"/>
          <w:sz w:val="22"/>
          <w:szCs w:val="22"/>
        </w:rPr>
        <w:t xml:space="preserve"> et al., 2025). They also, however, run a risk of being over-reliant on the responsibility of individuals. The argument of the Marmot Review is that the disparities in health increased after 2010 since the social gradient in health is a factor connected to living standards, early childhood, employment, and place (Marmot, 2022). Thus, there can be detrimental outcomes when poverty, inappropriate housing, and unsafe working conditions will continue to be present.</w:t>
      </w:r>
    </w:p>
    <w:p w14:paraId="47F0F807" w14:textId="77777777" w:rsidR="004E00EB" w:rsidRPr="00875DE4" w:rsidRDefault="004E00EB" w:rsidP="004E00EB">
      <w:pPr>
        <w:spacing w:before="240" w:line="360" w:lineRule="auto"/>
        <w:jc w:val="both"/>
        <w:rPr>
          <w:rFonts w:ascii="Arial" w:hAnsi="Arial" w:cs="Arial"/>
          <w:sz w:val="22"/>
          <w:szCs w:val="22"/>
        </w:rPr>
      </w:pPr>
      <w:r w:rsidRPr="00875DE4">
        <w:rPr>
          <w:rFonts w:ascii="Arial" w:hAnsi="Arial" w:cs="Arial"/>
          <w:sz w:val="22"/>
          <w:szCs w:val="22"/>
        </w:rPr>
        <w:t xml:space="preserve">This is criticized by Welsh evidence. A report by the Office for National Statistics (2026) shows that in 2022-2024, the average life expectancy of males and females in the most deprived parts of Wales was 73.6 and 78.4 years, respectively, and was 81.9 and 85.1 years in the least deprived areas. Public Health Wales reports a large healthy life expectancy gap that further emphasizes that robust social returns could be attained by investing in prevention (Welsh Government, 2025). The Swansea Bay Population Health Strategic Plan in the local Swansea Bay is also likely to be fruitful since it is to bring inequity down through partnership and prevention, and the Swansea Bay University Health Board (UHB) is linked to the move towards proximity to </w:t>
      </w:r>
      <w:r w:rsidRPr="00875DE4">
        <w:rPr>
          <w:rFonts w:ascii="Arial" w:hAnsi="Arial" w:cs="Arial"/>
          <w:sz w:val="22"/>
          <w:szCs w:val="22"/>
        </w:rPr>
        <w:lastRenderedPageBreak/>
        <w:t>home care (Swansea Bay UHB, 2025; Holt, 2025). Nevertheless, the economic and performance pressure on the local health boards results in local health boards experiencing competition between long-term prevention and the short-term urgent need on the waiting lists (Freedman and Wolf, 2023). This shows a contradiction in the policies where governments are proud of their prevention efforts, but systems strive to encourage crisis response.</w:t>
      </w:r>
    </w:p>
    <w:p w14:paraId="0268031B" w14:textId="77777777" w:rsidR="004E00EB" w:rsidRPr="00875DE4" w:rsidRDefault="004E00EB" w:rsidP="004E00EB">
      <w:pPr>
        <w:spacing w:before="240" w:line="360" w:lineRule="auto"/>
        <w:jc w:val="both"/>
        <w:rPr>
          <w:rFonts w:ascii="Arial" w:hAnsi="Arial" w:cs="Arial"/>
          <w:sz w:val="22"/>
          <w:szCs w:val="22"/>
        </w:rPr>
      </w:pPr>
      <w:r w:rsidRPr="00875DE4">
        <w:rPr>
          <w:rFonts w:ascii="Arial" w:hAnsi="Arial" w:cs="Arial"/>
          <w:sz w:val="22"/>
          <w:szCs w:val="22"/>
        </w:rPr>
        <w:t xml:space="preserve">As reported by Allen (2022), the key suggestion for the SDG 3 initiative would consist of ensuring that proportionate universalism is implemented for services in question to be universal, yet the resources would need to be added in proportion to the need. In this case, Wales should relate A Healthier Wales, Marmot Nation work, and local well-being plans to shared equity targets, including healthy life expectancy, preventable death, and prevention access (Maini et al., 2025). The necessity for co-production on the community level also exists because the policies that were designed without the voice of the community might not </w:t>
      </w:r>
      <w:proofErr w:type="gramStart"/>
      <w:r w:rsidRPr="00875DE4">
        <w:rPr>
          <w:rFonts w:ascii="Arial" w:hAnsi="Arial" w:cs="Arial"/>
          <w:sz w:val="22"/>
          <w:szCs w:val="22"/>
        </w:rPr>
        <w:t>take into account</w:t>
      </w:r>
      <w:proofErr w:type="gramEnd"/>
      <w:r w:rsidRPr="00875DE4">
        <w:rPr>
          <w:rFonts w:ascii="Arial" w:hAnsi="Arial" w:cs="Arial"/>
          <w:sz w:val="22"/>
          <w:szCs w:val="22"/>
        </w:rPr>
        <w:t xml:space="preserve"> cultural barriers, fear, mistrust, or low self-efficacy. Lastly, the investment should shift from short-term pilots to sustainable long-term prevention, particularly in the initial years, of mental health, housing quality, active traveling, and primary care access.</w:t>
      </w:r>
    </w:p>
    <w:p w14:paraId="6B4BDF20" w14:textId="77777777" w:rsidR="004E00EB" w:rsidRPr="00875DE4" w:rsidRDefault="004E00EB" w:rsidP="004E00EB">
      <w:pPr>
        <w:spacing w:before="240" w:line="360" w:lineRule="auto"/>
        <w:ind w:firstLine="0"/>
        <w:jc w:val="center"/>
        <w:rPr>
          <w:rFonts w:ascii="Arial" w:hAnsi="Arial" w:cs="Arial"/>
          <w:sz w:val="22"/>
          <w:szCs w:val="22"/>
        </w:rPr>
      </w:pPr>
      <w:r w:rsidRPr="00875DE4">
        <w:rPr>
          <w:rFonts w:ascii="Arial" w:hAnsi="Arial" w:cs="Arial"/>
          <w:sz w:val="22"/>
          <w:szCs w:val="22"/>
        </w:rPr>
        <w:t>SDG 13, Climate Action</w:t>
      </w:r>
    </w:p>
    <w:p w14:paraId="58BBB0EF" w14:textId="77777777" w:rsidR="004E00EB" w:rsidRPr="00875DE4" w:rsidRDefault="004E00EB" w:rsidP="004E00EB">
      <w:pPr>
        <w:spacing w:before="240" w:line="360" w:lineRule="auto"/>
        <w:jc w:val="both"/>
        <w:rPr>
          <w:rFonts w:ascii="Arial" w:hAnsi="Arial" w:cs="Arial"/>
          <w:sz w:val="22"/>
          <w:szCs w:val="22"/>
        </w:rPr>
      </w:pPr>
      <w:r w:rsidRPr="00875DE4">
        <w:rPr>
          <w:rFonts w:ascii="Arial" w:hAnsi="Arial" w:cs="Arial"/>
          <w:sz w:val="22"/>
          <w:szCs w:val="22"/>
        </w:rPr>
        <w:t xml:space="preserve">SDG 13 stresses that there is a necessity to act now in response to the issue of climate change and its consequences (United Nations, 2025). It directly relates to SDG 3, as climate change also affects heat illness, respiratory disease, food security, mental health, infectious disease, and service resilience. Reports by the World Meteorological Organization (WMO) state that the year 2024 was one of the warmest years in the history of its observation, with temperatures about 1.55°C above pre-industrial temperatures (WMO, 2025). Thus, climate change is already resulting in long-term losses and </w:t>
      </w:r>
      <w:proofErr w:type="gramStart"/>
      <w:r w:rsidRPr="00875DE4">
        <w:rPr>
          <w:rFonts w:ascii="Arial" w:hAnsi="Arial" w:cs="Arial"/>
          <w:sz w:val="22"/>
          <w:szCs w:val="22"/>
        </w:rPr>
        <w:t>damages</w:t>
      </w:r>
      <w:proofErr w:type="gramEnd"/>
      <w:r w:rsidRPr="00875DE4">
        <w:rPr>
          <w:rFonts w:ascii="Arial" w:hAnsi="Arial" w:cs="Arial"/>
          <w:sz w:val="22"/>
          <w:szCs w:val="22"/>
        </w:rPr>
        <w:t>, and the most significant threats would be among the vulnerable population. The Lancet Countdown is another contributor to climate change through the lens of a health crisis because the authors make a correlation between the dependence on fossil fuels and the amount of heat exposure, the air pollution, and food insecurity (Romanello et al., 2022).</w:t>
      </w:r>
    </w:p>
    <w:p w14:paraId="337F975E" w14:textId="77777777" w:rsidR="004E00EB" w:rsidRPr="00875DE4" w:rsidRDefault="004E00EB" w:rsidP="004E00EB">
      <w:pPr>
        <w:spacing w:before="240" w:line="360" w:lineRule="auto"/>
        <w:jc w:val="both"/>
        <w:rPr>
          <w:rFonts w:ascii="Arial" w:hAnsi="Arial" w:cs="Arial"/>
          <w:sz w:val="22"/>
          <w:szCs w:val="22"/>
        </w:rPr>
      </w:pPr>
      <w:r w:rsidRPr="00875DE4">
        <w:rPr>
          <w:rFonts w:ascii="Arial" w:hAnsi="Arial" w:cs="Arial"/>
          <w:sz w:val="22"/>
          <w:szCs w:val="22"/>
        </w:rPr>
        <w:t xml:space="preserve">The outcomes of the climate-health initiatives and the Paris deal have brought some benefits to the global climate policy, but they are not satisfactory. The United Nations Environmental Program (UNEP) estimates that the existing policies continue to put the world on an unsustainable warming path, and radical cuts in emissions are needed to meet the Paris </w:t>
      </w:r>
      <w:r w:rsidRPr="00875DE4">
        <w:rPr>
          <w:rFonts w:ascii="Arial" w:hAnsi="Arial" w:cs="Arial"/>
          <w:sz w:val="22"/>
          <w:szCs w:val="22"/>
        </w:rPr>
        <w:lastRenderedPageBreak/>
        <w:t xml:space="preserve">targets (UNEP, 2025). A typical instance of failure in implementation is that political commitments surpass delivery mechanisms. Climate action needs to change energy, transport, housing, food, and healthcare systems-wise and not just individual environmental campaigns. The behavioral theories can be applicable in the case but in a most insignificant way. Through visible low-carbon norms, social cognitive theory could be applied to facilitate social engagement, but with the health belief model, it could be applied to understand the reasons that might make people take action when they believe that climate threats are real and solutions are at close hand (Ding et al., 2025; </w:t>
      </w:r>
      <w:proofErr w:type="spellStart"/>
      <w:r w:rsidRPr="00875DE4">
        <w:rPr>
          <w:rFonts w:ascii="Arial" w:hAnsi="Arial" w:cs="Arial"/>
          <w:sz w:val="22"/>
          <w:szCs w:val="22"/>
        </w:rPr>
        <w:t>Mansori</w:t>
      </w:r>
      <w:proofErr w:type="spellEnd"/>
      <w:r w:rsidRPr="00875DE4">
        <w:rPr>
          <w:rFonts w:ascii="Arial" w:hAnsi="Arial" w:cs="Arial"/>
          <w:sz w:val="22"/>
          <w:szCs w:val="22"/>
        </w:rPr>
        <w:t xml:space="preserve"> et al., 2025). However, the responsibility cannot be entirely put in the hands of individuals to achieve climate action, as this can make high-carbon infrastructure the new norm.</w:t>
      </w:r>
    </w:p>
    <w:p w14:paraId="40DEC31F" w14:textId="77777777" w:rsidR="004E00EB" w:rsidRPr="00875DE4" w:rsidRDefault="004E00EB" w:rsidP="004E00EB">
      <w:pPr>
        <w:spacing w:before="240" w:line="360" w:lineRule="auto"/>
        <w:jc w:val="both"/>
        <w:rPr>
          <w:rFonts w:ascii="Arial" w:hAnsi="Arial" w:cs="Arial"/>
          <w:sz w:val="22"/>
          <w:szCs w:val="22"/>
        </w:rPr>
      </w:pPr>
      <w:r w:rsidRPr="00875DE4">
        <w:rPr>
          <w:rFonts w:ascii="Arial" w:hAnsi="Arial" w:cs="Arial"/>
          <w:sz w:val="22"/>
          <w:szCs w:val="22"/>
        </w:rPr>
        <w:t xml:space="preserve">In the UK, the climate policy is stipulated by law to work towards net-zero at the national level, although the process is uneven. In the progress report, the Climate Change Committee indicates that the delivery process in buildings, transport, power, and land use must be sped up (Climate Change Committee, 2025). The Welsh Government has a unique sustainability framework in the form of the Well-being of Future Generations Act that obliges public bodies to take into consideration long-term, preventative, integrated, and collaborative decision-making (Smyth, 2023). This is essential because the act inculcates the aspect of intergenerational justice in governance. According to the critics, the act, in turn, can be idealistic yet </w:t>
      </w:r>
      <w:proofErr w:type="gramStart"/>
      <w:r w:rsidRPr="00875DE4">
        <w:rPr>
          <w:rFonts w:ascii="Arial" w:hAnsi="Arial" w:cs="Arial"/>
          <w:sz w:val="22"/>
          <w:szCs w:val="22"/>
        </w:rPr>
        <w:t>has to</w:t>
      </w:r>
      <w:proofErr w:type="gramEnd"/>
      <w:r w:rsidRPr="00875DE4">
        <w:rPr>
          <w:rFonts w:ascii="Arial" w:hAnsi="Arial" w:cs="Arial"/>
          <w:sz w:val="22"/>
          <w:szCs w:val="22"/>
        </w:rPr>
        <w:t xml:space="preserve"> be implemented by </w:t>
      </w:r>
      <w:proofErr w:type="gramStart"/>
      <w:r w:rsidRPr="00875DE4">
        <w:rPr>
          <w:rFonts w:ascii="Arial" w:hAnsi="Arial" w:cs="Arial"/>
          <w:sz w:val="22"/>
          <w:szCs w:val="22"/>
        </w:rPr>
        <w:t>the government</w:t>
      </w:r>
      <w:proofErr w:type="gramEnd"/>
      <w:r w:rsidRPr="00875DE4">
        <w:rPr>
          <w:rFonts w:ascii="Arial" w:hAnsi="Arial" w:cs="Arial"/>
          <w:sz w:val="22"/>
          <w:szCs w:val="22"/>
        </w:rPr>
        <w:t xml:space="preserve"> agencies that should be financed and yield some tangible results (Smyth, 2023).</w:t>
      </w:r>
    </w:p>
    <w:p w14:paraId="3CF04B29" w14:textId="77777777" w:rsidR="004E00EB" w:rsidRPr="00875DE4" w:rsidRDefault="004E00EB" w:rsidP="004E00EB">
      <w:pPr>
        <w:spacing w:before="240" w:line="360" w:lineRule="auto"/>
        <w:jc w:val="both"/>
        <w:rPr>
          <w:rFonts w:ascii="Arial" w:hAnsi="Arial" w:cs="Arial"/>
          <w:sz w:val="22"/>
          <w:szCs w:val="22"/>
        </w:rPr>
      </w:pPr>
      <w:r w:rsidRPr="00875DE4">
        <w:rPr>
          <w:rFonts w:ascii="Arial" w:hAnsi="Arial" w:cs="Arial"/>
          <w:sz w:val="22"/>
          <w:szCs w:val="22"/>
        </w:rPr>
        <w:t xml:space="preserve">One of SDG 13's concerns pertains to the health services. The NHS Wales decarbonization plans require </w:t>
      </w:r>
      <w:proofErr w:type="gramStart"/>
      <w:r w:rsidRPr="00875DE4">
        <w:rPr>
          <w:rFonts w:ascii="Arial" w:hAnsi="Arial" w:cs="Arial"/>
          <w:sz w:val="22"/>
          <w:szCs w:val="22"/>
        </w:rPr>
        <w:t>taking action</w:t>
      </w:r>
      <w:proofErr w:type="gramEnd"/>
      <w:r w:rsidRPr="00875DE4">
        <w:rPr>
          <w:rFonts w:ascii="Arial" w:hAnsi="Arial" w:cs="Arial"/>
          <w:sz w:val="22"/>
          <w:szCs w:val="22"/>
        </w:rPr>
        <w:t xml:space="preserve"> on the estates, procurement, travel, and waste and clinical practices (Pascale et al., 2025). This is noteworthy because healthcare is not only causing </w:t>
      </w:r>
      <w:proofErr w:type="gramStart"/>
      <w:r w:rsidRPr="00875DE4">
        <w:rPr>
          <w:rFonts w:ascii="Arial" w:hAnsi="Arial" w:cs="Arial"/>
          <w:sz w:val="22"/>
          <w:szCs w:val="22"/>
        </w:rPr>
        <w:t>damages</w:t>
      </w:r>
      <w:proofErr w:type="gramEnd"/>
      <w:r w:rsidRPr="00875DE4">
        <w:rPr>
          <w:rFonts w:ascii="Arial" w:hAnsi="Arial" w:cs="Arial"/>
          <w:sz w:val="22"/>
          <w:szCs w:val="22"/>
        </w:rPr>
        <w:t xml:space="preserve"> related to climate but is also a contributor of emissions from buildings, medicines, supply chains, and patient travel. The example of Swansea Bay can show how it can be applied locally: the climate plans of the health boards are focused on decarbonization, resilience, and alignment with the national targets of NHS Wales, and the plans of the Local Well-being in Swansea have climate change and nature recovery as one of their core goals (Swansea Bay UHB, 2024). The programs are not in vain, as these help to bridge the gap between the reduction of emissions and healthier places, biodiversity, active traveling, and community resiliency.</w:t>
      </w:r>
    </w:p>
    <w:p w14:paraId="698047FF" w14:textId="77777777" w:rsidR="004E00EB" w:rsidRPr="00875DE4" w:rsidRDefault="004E00EB" w:rsidP="004E00EB">
      <w:pPr>
        <w:spacing w:before="240" w:line="360" w:lineRule="auto"/>
        <w:jc w:val="both"/>
        <w:rPr>
          <w:rFonts w:ascii="Arial" w:hAnsi="Arial" w:cs="Arial"/>
          <w:sz w:val="22"/>
          <w:szCs w:val="22"/>
        </w:rPr>
      </w:pPr>
      <w:r w:rsidRPr="00875DE4">
        <w:rPr>
          <w:rFonts w:ascii="Arial" w:hAnsi="Arial" w:cs="Arial"/>
          <w:sz w:val="22"/>
          <w:szCs w:val="22"/>
        </w:rPr>
        <w:t xml:space="preserve">Nonetheless, the SDG 13 policy needs solid justice to be more fortified. The health benefits that may come about due to house retrofitting, clean transportation, and healthier diets may be achieved, but it may prove to be uneconomical to the low-income group unless the </w:t>
      </w:r>
      <w:r w:rsidRPr="00875DE4">
        <w:rPr>
          <w:rFonts w:ascii="Arial" w:hAnsi="Arial" w:cs="Arial"/>
          <w:sz w:val="22"/>
          <w:szCs w:val="22"/>
        </w:rPr>
        <w:lastRenderedPageBreak/>
        <w:t xml:space="preserve">subsidies and infrastructures have improved designs to meet their needs (Li et al., 2025). </w:t>
      </w:r>
      <w:proofErr w:type="gramStart"/>
      <w:r w:rsidRPr="00875DE4">
        <w:rPr>
          <w:rFonts w:ascii="Arial" w:hAnsi="Arial" w:cs="Arial"/>
          <w:sz w:val="22"/>
          <w:szCs w:val="22"/>
        </w:rPr>
        <w:t>The adaptation</w:t>
      </w:r>
      <w:proofErr w:type="gramEnd"/>
      <w:r w:rsidRPr="00875DE4">
        <w:rPr>
          <w:rFonts w:ascii="Arial" w:hAnsi="Arial" w:cs="Arial"/>
          <w:sz w:val="22"/>
          <w:szCs w:val="22"/>
        </w:rPr>
        <w:t xml:space="preserve"> to climatic conditions should appear on the agenda more: heatwave planning, flood-resistant health facilities, green prescriptions, emergency preparedness, and protection of elders should be introduced to the health agenda, instead of the voluntary green project. It is therefore advisable to adopt a health in all climate policies approach. Health equity, carbon, and climate-resilience impacts should be considered in all climate policies and health policies, respectively. This should be shared by local authorities, health boards, and communities in the form of dashboards that encompass emissions, air quality, active travel, fuel poverty, access to green space, and climate-related illness. This would render SDG 13 more quantifiable, just, and related to daily well-being.</w:t>
      </w:r>
    </w:p>
    <w:p w14:paraId="7956F53F" w14:textId="77777777" w:rsidR="004E00EB" w:rsidRPr="00875DE4" w:rsidRDefault="004E00EB" w:rsidP="004E00EB">
      <w:pPr>
        <w:spacing w:before="240" w:line="360" w:lineRule="auto"/>
        <w:ind w:firstLine="0"/>
        <w:jc w:val="center"/>
        <w:rPr>
          <w:rFonts w:ascii="Arial" w:hAnsi="Arial" w:cs="Arial"/>
          <w:sz w:val="22"/>
          <w:szCs w:val="22"/>
        </w:rPr>
      </w:pPr>
      <w:r w:rsidRPr="00875DE4">
        <w:rPr>
          <w:rFonts w:ascii="Arial" w:hAnsi="Arial" w:cs="Arial"/>
          <w:sz w:val="22"/>
          <w:szCs w:val="22"/>
        </w:rPr>
        <w:t>Conclusion</w:t>
      </w:r>
    </w:p>
    <w:p w14:paraId="180B7C82" w14:textId="77777777" w:rsidR="004E00EB" w:rsidRPr="00875DE4" w:rsidRDefault="004E00EB" w:rsidP="004E00EB">
      <w:pPr>
        <w:spacing w:before="240" w:line="360" w:lineRule="auto"/>
        <w:jc w:val="both"/>
        <w:rPr>
          <w:rFonts w:ascii="Arial" w:hAnsi="Arial" w:cs="Arial"/>
          <w:sz w:val="22"/>
          <w:szCs w:val="22"/>
        </w:rPr>
      </w:pPr>
      <w:r w:rsidRPr="00875DE4">
        <w:rPr>
          <w:rFonts w:ascii="Arial" w:hAnsi="Arial" w:cs="Arial"/>
          <w:sz w:val="22"/>
          <w:szCs w:val="22"/>
        </w:rPr>
        <w:t xml:space="preserve">SDG 3 and SDG 13 go hand in hand, as good health cannot be achieved without equitable social elements and a secure, solid setting. Based on the evidence in this report, the global, national, and local policies have taken a good step in the right direction to recognize prevention, health equity, climate resiliency, and long-term well-being. It is not, however, the deficiency in the policy ambition itself but the distance between the written intentions and their actualization that is a key weakness. Thus, communities continue to suffer most </w:t>
      </w:r>
      <w:proofErr w:type="gramStart"/>
      <w:r w:rsidRPr="00875DE4">
        <w:rPr>
          <w:rFonts w:ascii="Arial" w:hAnsi="Arial" w:cs="Arial"/>
          <w:sz w:val="22"/>
          <w:szCs w:val="22"/>
        </w:rPr>
        <w:t>as a result of</w:t>
      </w:r>
      <w:proofErr w:type="gramEnd"/>
      <w:r w:rsidRPr="00875DE4">
        <w:rPr>
          <w:rFonts w:ascii="Arial" w:hAnsi="Arial" w:cs="Arial"/>
          <w:sz w:val="22"/>
          <w:szCs w:val="22"/>
        </w:rPr>
        <w:t xml:space="preserve"> health disparities, climate risks, poverty, inappropriate housing, and services. This implies that policies just </w:t>
      </w:r>
      <w:proofErr w:type="gramStart"/>
      <w:r w:rsidRPr="00875DE4">
        <w:rPr>
          <w:rFonts w:ascii="Arial" w:hAnsi="Arial" w:cs="Arial"/>
          <w:sz w:val="22"/>
          <w:szCs w:val="22"/>
        </w:rPr>
        <w:t>founded</w:t>
      </w:r>
      <w:proofErr w:type="gramEnd"/>
      <w:r w:rsidRPr="00875DE4">
        <w:rPr>
          <w:rFonts w:ascii="Arial" w:hAnsi="Arial" w:cs="Arial"/>
          <w:sz w:val="22"/>
          <w:szCs w:val="22"/>
        </w:rPr>
        <w:t xml:space="preserve"> on individual behavior change cannot suffice. A stronger plan should be developed to take into consideration larger systems that determine the taste of the community members and their decisions, options, and danger. </w:t>
      </w:r>
      <w:proofErr w:type="gramStart"/>
      <w:r w:rsidRPr="00875DE4">
        <w:rPr>
          <w:rFonts w:ascii="Arial" w:hAnsi="Arial" w:cs="Arial"/>
          <w:sz w:val="22"/>
          <w:szCs w:val="22"/>
        </w:rPr>
        <w:t>The universal</w:t>
      </w:r>
      <w:proofErr w:type="gramEnd"/>
      <w:r w:rsidRPr="00875DE4">
        <w:rPr>
          <w:rFonts w:ascii="Arial" w:hAnsi="Arial" w:cs="Arial"/>
          <w:sz w:val="22"/>
          <w:szCs w:val="22"/>
        </w:rPr>
        <w:t xml:space="preserve"> services should be made available to all, but special consideration should be given to these communities that are most disadvantaged. To make sure that solutions are not based on abstract assumptions but on lived experience, communities should be more actively involved in the local planning. Overall, climate change and the necessity to address health issues require integrated intervention in the areas of health, housing, transport, education, employment, and environmental policy. The overall suggestion is that sustainable development should be thought of as a realistic social policy of health, but not an international policy objective.</w:t>
      </w:r>
    </w:p>
    <w:p w14:paraId="0BB43C34" w14:textId="77777777" w:rsidR="004E00EB" w:rsidRDefault="004E00EB" w:rsidP="004E00EB">
      <w:pPr>
        <w:rPr>
          <w:rFonts w:ascii="Arial" w:hAnsi="Arial" w:cs="Arial"/>
          <w:sz w:val="22"/>
          <w:szCs w:val="22"/>
        </w:rPr>
      </w:pPr>
      <w:r>
        <w:rPr>
          <w:rFonts w:ascii="Arial" w:hAnsi="Arial" w:cs="Arial"/>
          <w:sz w:val="22"/>
          <w:szCs w:val="22"/>
        </w:rPr>
        <w:br w:type="page"/>
      </w:r>
    </w:p>
    <w:p w14:paraId="1C765A7A" w14:textId="77777777" w:rsidR="004E00EB" w:rsidRPr="00875DE4" w:rsidRDefault="004E00EB" w:rsidP="004E00EB">
      <w:pPr>
        <w:spacing w:before="240" w:line="360" w:lineRule="auto"/>
        <w:ind w:firstLine="0"/>
        <w:jc w:val="center"/>
        <w:rPr>
          <w:rFonts w:ascii="Arial" w:hAnsi="Arial" w:cs="Arial"/>
          <w:sz w:val="22"/>
          <w:szCs w:val="22"/>
        </w:rPr>
      </w:pPr>
      <w:r w:rsidRPr="00875DE4">
        <w:rPr>
          <w:rFonts w:ascii="Arial" w:hAnsi="Arial" w:cs="Arial"/>
          <w:sz w:val="22"/>
          <w:szCs w:val="22"/>
        </w:rPr>
        <w:lastRenderedPageBreak/>
        <w:t>References</w:t>
      </w:r>
    </w:p>
    <w:p w14:paraId="0379CE05" w14:textId="77777777" w:rsidR="004E00EB" w:rsidRPr="00875DE4" w:rsidRDefault="004E00EB" w:rsidP="004E00EB">
      <w:pPr>
        <w:spacing w:before="240" w:line="360" w:lineRule="auto"/>
        <w:ind w:left="720" w:hanging="720"/>
        <w:jc w:val="both"/>
        <w:rPr>
          <w:rFonts w:ascii="Arial" w:hAnsi="Arial" w:cs="Arial"/>
          <w:sz w:val="22"/>
          <w:szCs w:val="22"/>
        </w:rPr>
      </w:pPr>
      <w:r w:rsidRPr="00875DE4">
        <w:rPr>
          <w:rFonts w:ascii="Arial" w:hAnsi="Arial" w:cs="Arial"/>
          <w:sz w:val="22"/>
          <w:szCs w:val="22"/>
        </w:rPr>
        <w:t xml:space="preserve">Allen, L.N., 2022. The philosophical foundations of ‘health for all’ and universal health coverage. </w:t>
      </w:r>
      <w:r w:rsidRPr="00875DE4">
        <w:rPr>
          <w:rFonts w:ascii="Arial" w:hAnsi="Arial" w:cs="Arial"/>
          <w:i/>
          <w:iCs/>
          <w:sz w:val="22"/>
          <w:szCs w:val="22"/>
        </w:rPr>
        <w:t>International Journal for Equity in Health,</w:t>
      </w:r>
      <w:r w:rsidRPr="00875DE4">
        <w:rPr>
          <w:rFonts w:ascii="Arial" w:hAnsi="Arial" w:cs="Arial"/>
          <w:sz w:val="22"/>
          <w:szCs w:val="22"/>
        </w:rPr>
        <w:t> </w:t>
      </w:r>
      <w:r w:rsidRPr="00875DE4">
        <w:rPr>
          <w:rFonts w:ascii="Arial" w:hAnsi="Arial" w:cs="Arial"/>
          <w:i/>
          <w:iCs/>
          <w:sz w:val="22"/>
          <w:szCs w:val="22"/>
        </w:rPr>
        <w:t>21(1), p.</w:t>
      </w:r>
      <w:r w:rsidRPr="00875DE4">
        <w:rPr>
          <w:rFonts w:ascii="Arial" w:hAnsi="Arial" w:cs="Arial"/>
          <w:sz w:val="22"/>
          <w:szCs w:val="22"/>
        </w:rPr>
        <w:t xml:space="preserve"> 155. </w:t>
      </w:r>
      <w:r w:rsidRPr="00875DE4">
        <w:rPr>
          <w:rFonts w:ascii="Arial" w:hAnsi="Arial" w:cs="Arial"/>
          <w:sz w:val="22"/>
          <w:szCs w:val="22"/>
        </w:rPr>
        <w:br/>
      </w:r>
      <w:hyperlink r:id="rId4" w:tgtFrame="_blank" w:history="1">
        <w:r w:rsidRPr="00875DE4">
          <w:rPr>
            <w:rStyle w:val="Hyperlink"/>
            <w:rFonts w:ascii="Arial" w:hAnsi="Arial" w:cs="Arial"/>
            <w:sz w:val="22"/>
            <w:szCs w:val="22"/>
          </w:rPr>
          <w:t>https://doi.org/10.1186/s12939-022-01780-8</w:t>
        </w:r>
      </w:hyperlink>
    </w:p>
    <w:p w14:paraId="72E1452B" w14:textId="77777777" w:rsidR="004E00EB" w:rsidRPr="00875DE4" w:rsidRDefault="004E00EB" w:rsidP="004E00EB">
      <w:pPr>
        <w:spacing w:before="240" w:line="360" w:lineRule="auto"/>
        <w:ind w:left="720" w:hanging="720"/>
        <w:jc w:val="both"/>
        <w:rPr>
          <w:rFonts w:ascii="Arial" w:hAnsi="Arial" w:cs="Arial"/>
          <w:sz w:val="22"/>
          <w:szCs w:val="22"/>
        </w:rPr>
      </w:pPr>
      <w:r w:rsidRPr="00875DE4">
        <w:rPr>
          <w:rFonts w:ascii="Arial" w:hAnsi="Arial" w:cs="Arial"/>
          <w:sz w:val="22"/>
          <w:szCs w:val="22"/>
        </w:rPr>
        <w:t xml:space="preserve">Brown, R. n.d. SDG 3: Ensure healthy lives and promote well-being </w:t>
      </w:r>
      <w:proofErr w:type="gramStart"/>
      <w:r w:rsidRPr="00875DE4">
        <w:rPr>
          <w:rFonts w:ascii="Arial" w:hAnsi="Arial" w:cs="Arial"/>
          <w:sz w:val="22"/>
          <w:szCs w:val="22"/>
        </w:rPr>
        <w:t>for all at</w:t>
      </w:r>
      <w:proofErr w:type="gramEnd"/>
      <w:r w:rsidRPr="00875DE4">
        <w:rPr>
          <w:rFonts w:ascii="Arial" w:hAnsi="Arial" w:cs="Arial"/>
          <w:sz w:val="22"/>
          <w:szCs w:val="22"/>
        </w:rPr>
        <w:t xml:space="preserve"> all ages. </w:t>
      </w:r>
      <w:r w:rsidRPr="00875DE4">
        <w:rPr>
          <w:rFonts w:ascii="Arial" w:hAnsi="Arial" w:cs="Arial"/>
          <w:i/>
          <w:iCs/>
          <w:sz w:val="22"/>
          <w:szCs w:val="22"/>
        </w:rPr>
        <w:t xml:space="preserve">UN Women. </w:t>
      </w:r>
      <w:hyperlink r:id="rId5" w:tgtFrame="_blank" w:history="1">
        <w:r w:rsidRPr="00875DE4">
          <w:rPr>
            <w:rStyle w:val="Hyperlink"/>
            <w:rFonts w:ascii="Arial" w:hAnsi="Arial" w:cs="Arial"/>
            <w:sz w:val="22"/>
            <w:szCs w:val="22"/>
          </w:rPr>
          <w:t>https://www.unwomen.org/en/news/in-focus/women-and-the-sdgs/sdg-3-good-health-well-being</w:t>
        </w:r>
      </w:hyperlink>
    </w:p>
    <w:p w14:paraId="47277B08" w14:textId="77777777" w:rsidR="004E00EB" w:rsidRPr="00875DE4" w:rsidRDefault="004E00EB" w:rsidP="004E00EB">
      <w:pPr>
        <w:spacing w:before="240" w:line="360" w:lineRule="auto"/>
        <w:ind w:left="720" w:hanging="720"/>
        <w:jc w:val="both"/>
        <w:rPr>
          <w:rFonts w:ascii="Arial" w:hAnsi="Arial" w:cs="Arial"/>
          <w:sz w:val="22"/>
          <w:szCs w:val="22"/>
        </w:rPr>
      </w:pPr>
      <w:r w:rsidRPr="00875DE4">
        <w:rPr>
          <w:rFonts w:ascii="Arial" w:hAnsi="Arial" w:cs="Arial"/>
          <w:sz w:val="22"/>
          <w:szCs w:val="22"/>
        </w:rPr>
        <w:t xml:space="preserve">Climate Change Committee. 2025. </w:t>
      </w:r>
      <w:r w:rsidRPr="00875DE4">
        <w:rPr>
          <w:rFonts w:ascii="Arial" w:hAnsi="Arial" w:cs="Arial"/>
          <w:i/>
          <w:iCs/>
          <w:sz w:val="22"/>
          <w:szCs w:val="22"/>
        </w:rPr>
        <w:t xml:space="preserve">Progress in reducing emissions: 2025 report to parliament. </w:t>
      </w:r>
      <w:hyperlink r:id="rId6" w:tgtFrame="_blank" w:history="1">
        <w:r w:rsidRPr="00875DE4">
          <w:rPr>
            <w:rStyle w:val="Hyperlink"/>
            <w:rFonts w:ascii="Arial" w:hAnsi="Arial" w:cs="Arial"/>
            <w:sz w:val="22"/>
            <w:szCs w:val="22"/>
          </w:rPr>
          <w:t>https://www.theccc.org.uk/publication/progress-in-reducing-emissions-2025-report-to-parliament/</w:t>
        </w:r>
      </w:hyperlink>
    </w:p>
    <w:p w14:paraId="50A7B7D9" w14:textId="77777777" w:rsidR="004E00EB" w:rsidRPr="00875DE4" w:rsidRDefault="004E00EB" w:rsidP="004E00EB">
      <w:pPr>
        <w:spacing w:before="240" w:line="360" w:lineRule="auto"/>
        <w:ind w:left="720" w:hanging="720"/>
        <w:jc w:val="both"/>
        <w:rPr>
          <w:rFonts w:ascii="Arial" w:hAnsi="Arial" w:cs="Arial"/>
          <w:sz w:val="22"/>
          <w:szCs w:val="22"/>
        </w:rPr>
      </w:pPr>
      <w:r w:rsidRPr="00875DE4">
        <w:rPr>
          <w:rFonts w:ascii="Arial" w:hAnsi="Arial" w:cs="Arial"/>
          <w:sz w:val="22"/>
          <w:szCs w:val="22"/>
        </w:rPr>
        <w:t xml:space="preserve">Ding, C., Xiong, S., Wu, X., and Zhang, R., 2025. Residential low-carbon consumption behavior: insight from social cognition theory. </w:t>
      </w:r>
      <w:r w:rsidRPr="00875DE4">
        <w:rPr>
          <w:rFonts w:ascii="Arial" w:hAnsi="Arial" w:cs="Arial"/>
          <w:i/>
          <w:iCs/>
          <w:sz w:val="22"/>
          <w:szCs w:val="22"/>
        </w:rPr>
        <w:t>Management Decision</w:t>
      </w:r>
      <w:r w:rsidRPr="00875DE4">
        <w:rPr>
          <w:rFonts w:ascii="Arial" w:hAnsi="Arial" w:cs="Arial"/>
          <w:sz w:val="22"/>
          <w:szCs w:val="22"/>
        </w:rPr>
        <w:t xml:space="preserve">. </w:t>
      </w:r>
      <w:hyperlink r:id="rId7" w:tgtFrame="_blank" w:history="1">
        <w:r w:rsidRPr="00875DE4">
          <w:rPr>
            <w:rStyle w:val="Hyperlink"/>
            <w:rFonts w:ascii="Arial" w:hAnsi="Arial" w:cs="Arial"/>
            <w:sz w:val="22"/>
            <w:szCs w:val="22"/>
          </w:rPr>
          <w:t>https://doi.org/10.1108/MD-11-2024-2545</w:t>
        </w:r>
      </w:hyperlink>
    </w:p>
    <w:p w14:paraId="4D44E6C8" w14:textId="77777777" w:rsidR="004E00EB" w:rsidRPr="00875DE4" w:rsidRDefault="004E00EB" w:rsidP="004E00EB">
      <w:pPr>
        <w:spacing w:before="240" w:line="360" w:lineRule="auto"/>
        <w:ind w:left="720" w:hanging="720"/>
        <w:jc w:val="both"/>
        <w:rPr>
          <w:rFonts w:ascii="Arial" w:hAnsi="Arial" w:cs="Arial"/>
          <w:sz w:val="22"/>
          <w:szCs w:val="22"/>
        </w:rPr>
      </w:pPr>
      <w:r w:rsidRPr="00875DE4">
        <w:rPr>
          <w:rFonts w:ascii="Arial" w:hAnsi="Arial" w:cs="Arial"/>
          <w:sz w:val="22"/>
          <w:szCs w:val="22"/>
        </w:rPr>
        <w:t xml:space="preserve">Farag, M.I.H., 2025. Bridging Inequality: Contemporary Challenges to Achieve Sustainable Development Goals Across and Within Nations. </w:t>
      </w:r>
      <w:r w:rsidRPr="00875DE4">
        <w:rPr>
          <w:rFonts w:ascii="Arial" w:hAnsi="Arial" w:cs="Arial"/>
          <w:i/>
          <w:iCs/>
          <w:sz w:val="22"/>
          <w:szCs w:val="22"/>
        </w:rPr>
        <w:t>International Journal of Sustainable Development Goals</w:t>
      </w:r>
      <w:r w:rsidRPr="00875DE4">
        <w:rPr>
          <w:rFonts w:ascii="Arial" w:hAnsi="Arial" w:cs="Arial"/>
          <w:sz w:val="22"/>
          <w:szCs w:val="22"/>
        </w:rPr>
        <w:t>, </w:t>
      </w:r>
      <w:r w:rsidRPr="00875DE4">
        <w:rPr>
          <w:rFonts w:ascii="Arial" w:hAnsi="Arial" w:cs="Arial"/>
          <w:i/>
          <w:iCs/>
          <w:sz w:val="22"/>
          <w:szCs w:val="22"/>
        </w:rPr>
        <w:t>1</w:t>
      </w:r>
      <w:r w:rsidRPr="00875DE4">
        <w:rPr>
          <w:rFonts w:ascii="Arial" w:hAnsi="Arial" w:cs="Arial"/>
          <w:sz w:val="22"/>
          <w:szCs w:val="22"/>
        </w:rPr>
        <w:t xml:space="preserve">, pp. 333-352. </w:t>
      </w:r>
      <w:hyperlink r:id="rId8" w:tgtFrame="_blank" w:history="1">
        <w:r w:rsidRPr="00875DE4">
          <w:rPr>
            <w:rStyle w:val="Hyperlink"/>
            <w:rFonts w:ascii="Arial" w:hAnsi="Arial" w:cs="Arial"/>
            <w:sz w:val="22"/>
            <w:szCs w:val="22"/>
          </w:rPr>
          <w:t>https://doi.org/10.59543/ijsdg.v1i.16131</w:t>
        </w:r>
      </w:hyperlink>
    </w:p>
    <w:p w14:paraId="67567686" w14:textId="77777777" w:rsidR="004E00EB" w:rsidRPr="00875DE4" w:rsidRDefault="004E00EB" w:rsidP="004E00EB">
      <w:pPr>
        <w:spacing w:before="240" w:line="360" w:lineRule="auto"/>
        <w:ind w:left="720" w:hanging="720"/>
        <w:jc w:val="both"/>
        <w:rPr>
          <w:rFonts w:ascii="Arial" w:hAnsi="Arial" w:cs="Arial"/>
          <w:sz w:val="22"/>
          <w:szCs w:val="22"/>
        </w:rPr>
      </w:pPr>
      <w:r w:rsidRPr="00875DE4">
        <w:rPr>
          <w:rFonts w:ascii="Arial" w:hAnsi="Arial" w:cs="Arial"/>
          <w:sz w:val="22"/>
          <w:szCs w:val="22"/>
        </w:rPr>
        <w:t xml:space="preserve">Freedman, S. and Wolf, R., 2023. The NHS productivity puzzle. </w:t>
      </w:r>
      <w:r w:rsidRPr="00875DE4">
        <w:rPr>
          <w:rFonts w:ascii="Arial" w:hAnsi="Arial" w:cs="Arial"/>
          <w:i/>
          <w:iCs/>
          <w:sz w:val="22"/>
          <w:szCs w:val="22"/>
        </w:rPr>
        <w:t>Why has hospital activity not increased in line with funding and staffing?</w:t>
      </w:r>
      <w:r w:rsidRPr="00875DE4">
        <w:rPr>
          <w:rFonts w:ascii="Arial" w:hAnsi="Arial" w:cs="Arial"/>
          <w:sz w:val="22"/>
          <w:szCs w:val="22"/>
        </w:rPr>
        <w:t xml:space="preserve"> </w:t>
      </w:r>
      <w:hyperlink r:id="rId9" w:tgtFrame="_blank" w:history="1">
        <w:r w:rsidRPr="00875DE4">
          <w:rPr>
            <w:rStyle w:val="Hyperlink"/>
            <w:rFonts w:ascii="Arial" w:hAnsi="Arial" w:cs="Arial"/>
            <w:sz w:val="22"/>
            <w:szCs w:val="22"/>
          </w:rPr>
          <w:t>https://www.instituteforgovernment.org.uk/sites/default/files/2023-06/nhs-productivity-puzzle.pdf</w:t>
        </w:r>
      </w:hyperlink>
    </w:p>
    <w:p w14:paraId="7B0DD3C9" w14:textId="77777777" w:rsidR="004E00EB" w:rsidRPr="00875DE4" w:rsidRDefault="004E00EB" w:rsidP="004E00EB">
      <w:pPr>
        <w:spacing w:before="240" w:line="360" w:lineRule="auto"/>
        <w:ind w:left="720" w:hanging="720"/>
        <w:jc w:val="both"/>
        <w:rPr>
          <w:rFonts w:ascii="Arial" w:hAnsi="Arial" w:cs="Arial"/>
          <w:sz w:val="22"/>
          <w:szCs w:val="22"/>
        </w:rPr>
      </w:pPr>
      <w:r w:rsidRPr="00875DE4">
        <w:rPr>
          <w:rFonts w:ascii="Arial" w:hAnsi="Arial" w:cs="Arial"/>
          <w:sz w:val="22"/>
          <w:szCs w:val="22"/>
        </w:rPr>
        <w:t>Holt, F., 2025. </w:t>
      </w:r>
      <w:r w:rsidRPr="00875DE4">
        <w:rPr>
          <w:rFonts w:ascii="Arial" w:hAnsi="Arial" w:cs="Arial"/>
          <w:i/>
          <w:iCs/>
          <w:sz w:val="22"/>
          <w:szCs w:val="22"/>
        </w:rPr>
        <w:t>Evaluation of the ‘Ward, Area, and Service Projects Module' within a Digital Audit Management and Tracking System Implemented Throughout Swansea Bay University Health Boards (SBUHB) Wards and Areas</w:t>
      </w:r>
      <w:r w:rsidRPr="00875DE4">
        <w:rPr>
          <w:rFonts w:ascii="Arial" w:hAnsi="Arial" w:cs="Arial"/>
          <w:sz w:val="22"/>
          <w:szCs w:val="22"/>
        </w:rPr>
        <w:t xml:space="preserve"> (Doctoral dissertation, University of Wales Trinity Saint David). </w:t>
      </w:r>
      <w:hyperlink r:id="rId10" w:tgtFrame="_blank" w:history="1">
        <w:r w:rsidRPr="00875DE4">
          <w:rPr>
            <w:rStyle w:val="Hyperlink"/>
            <w:rFonts w:ascii="Arial" w:hAnsi="Arial" w:cs="Arial"/>
            <w:sz w:val="22"/>
            <w:szCs w:val="22"/>
          </w:rPr>
          <w:t>https://repository.uwtsd.ac.uk/id/eprint/3809</w:t>
        </w:r>
      </w:hyperlink>
    </w:p>
    <w:p w14:paraId="5C82AF71" w14:textId="77777777" w:rsidR="004E00EB" w:rsidRPr="00875DE4" w:rsidRDefault="004E00EB" w:rsidP="004E00EB">
      <w:pPr>
        <w:spacing w:before="240" w:line="360" w:lineRule="auto"/>
        <w:ind w:left="720" w:hanging="720"/>
        <w:jc w:val="both"/>
        <w:rPr>
          <w:rFonts w:ascii="Arial" w:hAnsi="Arial" w:cs="Arial"/>
          <w:sz w:val="22"/>
          <w:szCs w:val="22"/>
        </w:rPr>
      </w:pPr>
      <w:r w:rsidRPr="00875DE4">
        <w:rPr>
          <w:rFonts w:ascii="Arial" w:hAnsi="Arial" w:cs="Arial"/>
          <w:sz w:val="22"/>
          <w:szCs w:val="22"/>
        </w:rPr>
        <w:t>Islam, K.F., Awal, A., Mazumder, H., Munni, U.R., Majumder, K., Afroz, K., Tabassum, M.N., and Hossain, M.M., 2023. Social cognitive theory-based health promotion in primary care practice: A scoping review. </w:t>
      </w:r>
      <w:proofErr w:type="spellStart"/>
      <w:r w:rsidRPr="00875DE4">
        <w:rPr>
          <w:rFonts w:ascii="Arial" w:hAnsi="Arial" w:cs="Arial"/>
          <w:i/>
          <w:iCs/>
          <w:sz w:val="22"/>
          <w:szCs w:val="22"/>
        </w:rPr>
        <w:t>Heliyon</w:t>
      </w:r>
      <w:proofErr w:type="spellEnd"/>
      <w:r w:rsidRPr="00875DE4">
        <w:rPr>
          <w:rFonts w:ascii="Arial" w:hAnsi="Arial" w:cs="Arial"/>
          <w:sz w:val="22"/>
          <w:szCs w:val="22"/>
        </w:rPr>
        <w:t>, </w:t>
      </w:r>
      <w:r w:rsidRPr="00875DE4">
        <w:rPr>
          <w:rFonts w:ascii="Arial" w:hAnsi="Arial" w:cs="Arial"/>
          <w:i/>
          <w:iCs/>
          <w:sz w:val="22"/>
          <w:szCs w:val="22"/>
        </w:rPr>
        <w:t>9</w:t>
      </w:r>
      <w:r w:rsidRPr="00875DE4">
        <w:rPr>
          <w:rFonts w:ascii="Arial" w:hAnsi="Arial" w:cs="Arial"/>
          <w:sz w:val="22"/>
          <w:szCs w:val="22"/>
        </w:rPr>
        <w:t xml:space="preserve">(4). </w:t>
      </w:r>
      <w:hyperlink r:id="rId11" w:tgtFrame="_blank" w:history="1">
        <w:r w:rsidRPr="00875DE4">
          <w:rPr>
            <w:rStyle w:val="Hyperlink"/>
            <w:rFonts w:ascii="Arial" w:hAnsi="Arial" w:cs="Arial"/>
            <w:sz w:val="22"/>
            <w:szCs w:val="22"/>
          </w:rPr>
          <w:t>https://doi.org/10.1016/j.heliyon.2023.e14889</w:t>
        </w:r>
      </w:hyperlink>
    </w:p>
    <w:p w14:paraId="1C9171C5" w14:textId="77777777" w:rsidR="004E00EB" w:rsidRPr="00875DE4" w:rsidRDefault="004E00EB" w:rsidP="004E00EB">
      <w:pPr>
        <w:spacing w:before="240" w:line="360" w:lineRule="auto"/>
        <w:ind w:left="720" w:hanging="720"/>
        <w:jc w:val="both"/>
        <w:rPr>
          <w:rFonts w:ascii="Arial" w:hAnsi="Arial" w:cs="Arial"/>
          <w:sz w:val="22"/>
          <w:szCs w:val="22"/>
        </w:rPr>
      </w:pPr>
      <w:r w:rsidRPr="00875DE4">
        <w:rPr>
          <w:rFonts w:ascii="Arial" w:hAnsi="Arial" w:cs="Arial"/>
          <w:sz w:val="22"/>
          <w:szCs w:val="22"/>
        </w:rPr>
        <w:lastRenderedPageBreak/>
        <w:t xml:space="preserve">Kodali, P. B. 2023. Achieving universal health coverage in low-and middle-income countries: challenges for policy post-pandemic and beyond. </w:t>
      </w:r>
      <w:r w:rsidRPr="00875DE4">
        <w:rPr>
          <w:rFonts w:ascii="Arial" w:hAnsi="Arial" w:cs="Arial"/>
          <w:i/>
          <w:iCs/>
          <w:sz w:val="22"/>
          <w:szCs w:val="22"/>
        </w:rPr>
        <w:t>Risk management and healthcare policy</w:t>
      </w:r>
      <w:r w:rsidRPr="00875DE4">
        <w:rPr>
          <w:rFonts w:ascii="Arial" w:hAnsi="Arial" w:cs="Arial"/>
          <w:sz w:val="22"/>
          <w:szCs w:val="22"/>
        </w:rPr>
        <w:t xml:space="preserve">, 607-621. </w:t>
      </w:r>
      <w:hyperlink r:id="rId12" w:tgtFrame="_blank" w:history="1">
        <w:r w:rsidRPr="00875DE4">
          <w:rPr>
            <w:rStyle w:val="Hyperlink"/>
            <w:rFonts w:ascii="Arial" w:hAnsi="Arial" w:cs="Arial"/>
            <w:sz w:val="22"/>
            <w:szCs w:val="22"/>
          </w:rPr>
          <w:t>https://doi.org/10.2147/RMHP.S366759</w:t>
        </w:r>
      </w:hyperlink>
    </w:p>
    <w:p w14:paraId="12C665BD" w14:textId="77777777" w:rsidR="004E00EB" w:rsidRPr="00875DE4" w:rsidRDefault="004E00EB" w:rsidP="004E00EB">
      <w:pPr>
        <w:spacing w:before="240" w:line="360" w:lineRule="auto"/>
        <w:ind w:left="720" w:hanging="720"/>
        <w:jc w:val="both"/>
        <w:rPr>
          <w:rFonts w:ascii="Arial" w:hAnsi="Arial" w:cs="Arial"/>
          <w:sz w:val="22"/>
          <w:szCs w:val="22"/>
        </w:rPr>
      </w:pPr>
      <w:r w:rsidRPr="00875DE4">
        <w:rPr>
          <w:rFonts w:ascii="Arial" w:hAnsi="Arial" w:cs="Arial"/>
          <w:sz w:val="22"/>
          <w:szCs w:val="22"/>
        </w:rPr>
        <w:t xml:space="preserve">Li, A., Toll, M., Chapman, R., Howden-Chapman, P., Hernández, D., Samuelson, H., Woodward, A., and Bentley, R., 2025. Housing </w:t>
      </w:r>
      <w:proofErr w:type="gramStart"/>
      <w:r w:rsidRPr="00875DE4">
        <w:rPr>
          <w:rFonts w:ascii="Arial" w:hAnsi="Arial" w:cs="Arial"/>
          <w:sz w:val="22"/>
          <w:szCs w:val="22"/>
        </w:rPr>
        <w:t>at</w:t>
      </w:r>
      <w:proofErr w:type="gramEnd"/>
      <w:r w:rsidRPr="00875DE4">
        <w:rPr>
          <w:rFonts w:ascii="Arial" w:hAnsi="Arial" w:cs="Arial"/>
          <w:sz w:val="22"/>
          <w:szCs w:val="22"/>
        </w:rPr>
        <w:t xml:space="preserve"> the intersection of health and climate change. </w:t>
      </w:r>
      <w:r w:rsidRPr="00875DE4">
        <w:rPr>
          <w:rFonts w:ascii="Arial" w:hAnsi="Arial" w:cs="Arial"/>
          <w:i/>
          <w:iCs/>
          <w:sz w:val="22"/>
          <w:szCs w:val="22"/>
        </w:rPr>
        <w:t>The Lancet Public Health</w:t>
      </w:r>
      <w:r w:rsidRPr="00875DE4">
        <w:rPr>
          <w:rFonts w:ascii="Arial" w:hAnsi="Arial" w:cs="Arial"/>
          <w:sz w:val="22"/>
          <w:szCs w:val="22"/>
        </w:rPr>
        <w:t>, </w:t>
      </w:r>
      <w:r w:rsidRPr="00875DE4">
        <w:rPr>
          <w:rFonts w:ascii="Arial" w:hAnsi="Arial" w:cs="Arial"/>
          <w:i/>
          <w:iCs/>
          <w:sz w:val="22"/>
          <w:szCs w:val="22"/>
        </w:rPr>
        <w:t>10</w:t>
      </w:r>
      <w:r w:rsidRPr="00875DE4">
        <w:rPr>
          <w:rFonts w:ascii="Arial" w:hAnsi="Arial" w:cs="Arial"/>
          <w:sz w:val="22"/>
          <w:szCs w:val="22"/>
        </w:rPr>
        <w:t xml:space="preserve">(10), </w:t>
      </w:r>
      <w:proofErr w:type="gramStart"/>
      <w:r w:rsidRPr="00875DE4">
        <w:rPr>
          <w:rFonts w:ascii="Arial" w:hAnsi="Arial" w:cs="Arial"/>
          <w:sz w:val="22"/>
          <w:szCs w:val="22"/>
        </w:rPr>
        <w:t>pp.e</w:t>
      </w:r>
      <w:proofErr w:type="gramEnd"/>
      <w:r w:rsidRPr="00875DE4">
        <w:rPr>
          <w:rFonts w:ascii="Arial" w:hAnsi="Arial" w:cs="Arial"/>
          <w:sz w:val="22"/>
          <w:szCs w:val="22"/>
        </w:rPr>
        <w:t xml:space="preserve">865-e873. </w:t>
      </w:r>
      <w:hyperlink r:id="rId13" w:tgtFrame="_blank" w:history="1">
        <w:r w:rsidRPr="00875DE4">
          <w:rPr>
            <w:rStyle w:val="Hyperlink"/>
            <w:rFonts w:ascii="Arial" w:hAnsi="Arial" w:cs="Arial"/>
            <w:sz w:val="22"/>
            <w:szCs w:val="22"/>
          </w:rPr>
          <w:t>https://doi.org/10.1016/S2468-2667(25)00141-0</w:t>
        </w:r>
      </w:hyperlink>
    </w:p>
    <w:p w14:paraId="6039CEF6" w14:textId="77777777" w:rsidR="004E00EB" w:rsidRPr="00875DE4" w:rsidRDefault="004E00EB" w:rsidP="004E00EB">
      <w:pPr>
        <w:spacing w:before="240" w:line="360" w:lineRule="auto"/>
        <w:ind w:left="720" w:hanging="720"/>
        <w:jc w:val="both"/>
        <w:rPr>
          <w:rFonts w:ascii="Arial" w:hAnsi="Arial" w:cs="Arial"/>
          <w:sz w:val="22"/>
          <w:szCs w:val="22"/>
        </w:rPr>
      </w:pPr>
      <w:r w:rsidRPr="00875DE4">
        <w:rPr>
          <w:rFonts w:ascii="Arial" w:hAnsi="Arial" w:cs="Arial"/>
          <w:sz w:val="22"/>
          <w:szCs w:val="22"/>
        </w:rPr>
        <w:t xml:space="preserve">Maini, R., Lunan, C., Strang, E., </w:t>
      </w:r>
      <w:proofErr w:type="spellStart"/>
      <w:r w:rsidRPr="00875DE4">
        <w:rPr>
          <w:rFonts w:ascii="Arial" w:hAnsi="Arial" w:cs="Arial"/>
          <w:sz w:val="22"/>
          <w:szCs w:val="22"/>
        </w:rPr>
        <w:t>Katikreddi</w:t>
      </w:r>
      <w:proofErr w:type="spellEnd"/>
      <w:r w:rsidRPr="00875DE4">
        <w:rPr>
          <w:rFonts w:ascii="Arial" w:hAnsi="Arial" w:cs="Arial"/>
          <w:sz w:val="22"/>
          <w:szCs w:val="22"/>
        </w:rPr>
        <w:t xml:space="preserve">, V., Brown, A., Beeston, C., Ford, J., Mercer, S.W., and </w:t>
      </w:r>
      <w:proofErr w:type="spellStart"/>
      <w:r w:rsidRPr="00875DE4">
        <w:rPr>
          <w:rFonts w:ascii="Arial" w:hAnsi="Arial" w:cs="Arial"/>
          <w:sz w:val="22"/>
          <w:szCs w:val="22"/>
        </w:rPr>
        <w:t>Paranjothy</w:t>
      </w:r>
      <w:proofErr w:type="spellEnd"/>
      <w:r w:rsidRPr="00875DE4">
        <w:rPr>
          <w:rFonts w:ascii="Arial" w:hAnsi="Arial" w:cs="Arial"/>
          <w:sz w:val="22"/>
          <w:szCs w:val="22"/>
        </w:rPr>
        <w:t xml:space="preserve">, S., 2025. ‘Proportionate Universalism’: What Is It, and How Do We Apply </w:t>
      </w:r>
      <w:proofErr w:type="gramStart"/>
      <w:r w:rsidRPr="00875DE4">
        <w:rPr>
          <w:rFonts w:ascii="Arial" w:hAnsi="Arial" w:cs="Arial"/>
          <w:sz w:val="22"/>
          <w:szCs w:val="22"/>
        </w:rPr>
        <w:t>It?:</w:t>
      </w:r>
      <w:proofErr w:type="gramEnd"/>
      <w:r w:rsidRPr="00875DE4">
        <w:rPr>
          <w:rFonts w:ascii="Arial" w:hAnsi="Arial" w:cs="Arial"/>
          <w:sz w:val="22"/>
          <w:szCs w:val="22"/>
        </w:rPr>
        <w:t xml:space="preserve"> An overview and guide on how to implement proportionate universalism approaches. </w:t>
      </w:r>
      <w:hyperlink r:id="rId14" w:tgtFrame="_blank" w:history="1">
        <w:r w:rsidRPr="00875DE4">
          <w:rPr>
            <w:rStyle w:val="Hyperlink"/>
            <w:rFonts w:ascii="Arial" w:hAnsi="Arial" w:cs="Arial"/>
            <w:sz w:val="22"/>
            <w:szCs w:val="22"/>
          </w:rPr>
          <w:t>https://www.pure.ed.ac.uk/ws/portalfiles/portal/511722348/Proportionate_Universalism_Final.pdf</w:t>
        </w:r>
      </w:hyperlink>
    </w:p>
    <w:p w14:paraId="24C5A243" w14:textId="77777777" w:rsidR="004E00EB" w:rsidRPr="00875DE4" w:rsidRDefault="004E00EB" w:rsidP="004E00EB">
      <w:pPr>
        <w:spacing w:before="240" w:line="360" w:lineRule="auto"/>
        <w:ind w:left="720" w:hanging="720"/>
        <w:jc w:val="both"/>
        <w:rPr>
          <w:rFonts w:ascii="Arial" w:hAnsi="Arial" w:cs="Arial"/>
          <w:sz w:val="22"/>
          <w:szCs w:val="22"/>
        </w:rPr>
      </w:pPr>
      <w:proofErr w:type="spellStart"/>
      <w:r w:rsidRPr="00875DE4">
        <w:rPr>
          <w:rFonts w:ascii="Arial" w:hAnsi="Arial" w:cs="Arial"/>
          <w:sz w:val="22"/>
          <w:szCs w:val="22"/>
        </w:rPr>
        <w:t>Mansori</w:t>
      </w:r>
      <w:proofErr w:type="spellEnd"/>
      <w:r w:rsidRPr="00875DE4">
        <w:rPr>
          <w:rFonts w:ascii="Arial" w:hAnsi="Arial" w:cs="Arial"/>
          <w:sz w:val="22"/>
          <w:szCs w:val="22"/>
        </w:rPr>
        <w:t xml:space="preserve">, S., Tendulkar, A., and Rostamzadeh, M. 2025. Gynecologic cancer screening: Understanding barriers through social cognitive theory and the health belief model. </w:t>
      </w:r>
      <w:r w:rsidRPr="00875DE4">
        <w:rPr>
          <w:rFonts w:ascii="Arial" w:hAnsi="Arial" w:cs="Arial"/>
          <w:i/>
          <w:iCs/>
          <w:sz w:val="22"/>
          <w:szCs w:val="22"/>
        </w:rPr>
        <w:t>Health Education &amp; Behavior</w:t>
      </w:r>
      <w:r w:rsidRPr="00875DE4">
        <w:rPr>
          <w:rFonts w:ascii="Arial" w:hAnsi="Arial" w:cs="Arial"/>
          <w:sz w:val="22"/>
          <w:szCs w:val="22"/>
        </w:rPr>
        <w:t>, </w:t>
      </w:r>
      <w:r w:rsidRPr="00875DE4">
        <w:rPr>
          <w:rFonts w:ascii="Arial" w:hAnsi="Arial" w:cs="Arial"/>
          <w:i/>
          <w:iCs/>
          <w:sz w:val="22"/>
          <w:szCs w:val="22"/>
        </w:rPr>
        <w:t>52</w:t>
      </w:r>
      <w:r w:rsidRPr="00875DE4">
        <w:rPr>
          <w:rFonts w:ascii="Arial" w:hAnsi="Arial" w:cs="Arial"/>
          <w:sz w:val="22"/>
          <w:szCs w:val="22"/>
        </w:rPr>
        <w:t xml:space="preserve">(5), pp.561-571. </w:t>
      </w:r>
      <w:hyperlink r:id="rId15" w:tgtFrame="_blank" w:history="1">
        <w:r w:rsidRPr="00875DE4">
          <w:rPr>
            <w:rStyle w:val="Hyperlink"/>
            <w:rFonts w:ascii="Arial" w:hAnsi="Arial" w:cs="Arial"/>
            <w:sz w:val="22"/>
            <w:szCs w:val="22"/>
          </w:rPr>
          <w:t>https://doi.org/10.1177/10901981251328590</w:t>
        </w:r>
      </w:hyperlink>
    </w:p>
    <w:p w14:paraId="4CEEB796" w14:textId="77777777" w:rsidR="004E00EB" w:rsidRPr="00875DE4" w:rsidRDefault="004E00EB" w:rsidP="004E00EB">
      <w:pPr>
        <w:spacing w:before="240" w:line="360" w:lineRule="auto"/>
        <w:ind w:left="720" w:hanging="720"/>
        <w:jc w:val="both"/>
        <w:rPr>
          <w:rFonts w:ascii="Arial" w:hAnsi="Arial" w:cs="Arial"/>
          <w:sz w:val="22"/>
          <w:szCs w:val="22"/>
        </w:rPr>
      </w:pPr>
      <w:r w:rsidRPr="00875DE4">
        <w:rPr>
          <w:rFonts w:ascii="Arial" w:hAnsi="Arial" w:cs="Arial"/>
          <w:sz w:val="22"/>
          <w:szCs w:val="22"/>
        </w:rPr>
        <w:t>Marmot, M., 2022. Capabilities, human flourishing, and the health gap. In </w:t>
      </w:r>
      <w:r w:rsidRPr="00875DE4">
        <w:rPr>
          <w:rFonts w:ascii="Arial" w:hAnsi="Arial" w:cs="Arial"/>
          <w:i/>
          <w:iCs/>
          <w:sz w:val="22"/>
          <w:szCs w:val="22"/>
        </w:rPr>
        <w:t>The Routledge Handbook of Philosophy of Public Health</w:t>
      </w:r>
      <w:r w:rsidRPr="00875DE4">
        <w:rPr>
          <w:rFonts w:ascii="Arial" w:hAnsi="Arial" w:cs="Arial"/>
          <w:sz w:val="22"/>
          <w:szCs w:val="22"/>
        </w:rPr>
        <w:t xml:space="preserve"> (pp. 207-222). Routledge. </w:t>
      </w:r>
      <w:hyperlink r:id="rId16" w:tgtFrame="_blank" w:history="1">
        <w:r w:rsidRPr="00875DE4">
          <w:rPr>
            <w:rStyle w:val="Hyperlink"/>
            <w:rFonts w:ascii="Arial" w:hAnsi="Arial" w:cs="Arial"/>
            <w:sz w:val="22"/>
            <w:szCs w:val="22"/>
          </w:rPr>
          <w:t>https://discovery.ucl.ac.uk/id/eprint/10052424/1/Marmot%20Capabilities%20human%20Flourishing%20and%20the%20Health%20Gap.pdf</w:t>
        </w:r>
      </w:hyperlink>
    </w:p>
    <w:p w14:paraId="7D05C7C3" w14:textId="77777777" w:rsidR="004E00EB" w:rsidRPr="00875DE4" w:rsidRDefault="004E00EB" w:rsidP="004E00EB">
      <w:pPr>
        <w:spacing w:before="240" w:line="360" w:lineRule="auto"/>
        <w:ind w:left="720" w:hanging="720"/>
        <w:jc w:val="both"/>
        <w:rPr>
          <w:rFonts w:ascii="Arial" w:hAnsi="Arial" w:cs="Arial"/>
          <w:sz w:val="22"/>
          <w:szCs w:val="22"/>
        </w:rPr>
      </w:pPr>
      <w:r w:rsidRPr="00875DE4">
        <w:rPr>
          <w:rFonts w:ascii="Arial" w:hAnsi="Arial" w:cs="Arial"/>
          <w:sz w:val="22"/>
          <w:szCs w:val="22"/>
        </w:rPr>
        <w:t xml:space="preserve">Office for National Statistics. 2026. </w:t>
      </w:r>
      <w:r w:rsidRPr="00875DE4">
        <w:rPr>
          <w:rFonts w:ascii="Arial" w:hAnsi="Arial" w:cs="Arial"/>
          <w:i/>
          <w:iCs/>
          <w:sz w:val="22"/>
          <w:szCs w:val="22"/>
        </w:rPr>
        <w:t>Healthy life expectancy by national area deprivation, England and Wales: between 2013 and 2015 and 2022 and 2024.</w:t>
      </w:r>
      <w:r w:rsidRPr="00875DE4">
        <w:rPr>
          <w:rFonts w:ascii="Arial" w:hAnsi="Arial" w:cs="Arial"/>
          <w:sz w:val="22"/>
          <w:szCs w:val="22"/>
        </w:rPr>
        <w:t xml:space="preserve"> </w:t>
      </w:r>
      <w:hyperlink r:id="rId17" w:tgtFrame="_blank" w:history="1">
        <w:r w:rsidRPr="00875DE4">
          <w:rPr>
            <w:rStyle w:val="Hyperlink"/>
            <w:rFonts w:ascii="Arial" w:hAnsi="Arial" w:cs="Arial"/>
            <w:sz w:val="22"/>
            <w:szCs w:val="22"/>
          </w:rPr>
          <w:t>https://www.ons.gov.uk/peoplepopulationandcommunity/healthandsocialcare/healthinequalities/bulletins/healthylifeexpectancybynationalareadeprivationenglandandwales/between2013to2015and2022to2024</w:t>
        </w:r>
      </w:hyperlink>
    </w:p>
    <w:p w14:paraId="61CD6E9C" w14:textId="77777777" w:rsidR="004E00EB" w:rsidRPr="00875DE4" w:rsidRDefault="004E00EB" w:rsidP="004E00EB">
      <w:pPr>
        <w:spacing w:before="240" w:line="360" w:lineRule="auto"/>
        <w:ind w:left="720" w:hanging="720"/>
        <w:jc w:val="both"/>
        <w:rPr>
          <w:rFonts w:ascii="Arial" w:hAnsi="Arial" w:cs="Arial"/>
          <w:sz w:val="22"/>
          <w:szCs w:val="22"/>
        </w:rPr>
      </w:pPr>
      <w:r w:rsidRPr="00875DE4">
        <w:rPr>
          <w:rFonts w:ascii="Arial" w:hAnsi="Arial" w:cs="Arial"/>
          <w:sz w:val="22"/>
          <w:szCs w:val="22"/>
        </w:rPr>
        <w:t xml:space="preserve">Pascale, F., Tabakov, P., and Bhutta, M.F., 2025. Decarbonizing the Healthcare Estate: Lessons Learned from NHS Trust Green Plans in England. </w:t>
      </w:r>
      <w:r w:rsidRPr="00875DE4">
        <w:rPr>
          <w:rFonts w:ascii="Arial" w:hAnsi="Arial" w:cs="Arial"/>
          <w:i/>
          <w:iCs/>
          <w:sz w:val="22"/>
          <w:szCs w:val="22"/>
        </w:rPr>
        <w:t>Sustainability</w:t>
      </w:r>
      <w:r w:rsidRPr="00875DE4">
        <w:rPr>
          <w:rFonts w:ascii="Arial" w:hAnsi="Arial" w:cs="Arial"/>
          <w:sz w:val="22"/>
          <w:szCs w:val="22"/>
        </w:rPr>
        <w:t>, </w:t>
      </w:r>
      <w:r w:rsidRPr="00875DE4">
        <w:rPr>
          <w:rFonts w:ascii="Arial" w:hAnsi="Arial" w:cs="Arial"/>
          <w:i/>
          <w:iCs/>
          <w:sz w:val="22"/>
          <w:szCs w:val="22"/>
        </w:rPr>
        <w:t>17</w:t>
      </w:r>
      <w:r w:rsidRPr="00875DE4">
        <w:rPr>
          <w:rFonts w:ascii="Arial" w:hAnsi="Arial" w:cs="Arial"/>
          <w:sz w:val="22"/>
          <w:szCs w:val="22"/>
        </w:rPr>
        <w:t xml:space="preserve">(18), p.8375. </w:t>
      </w:r>
      <w:hyperlink r:id="rId18" w:tgtFrame="_blank" w:history="1">
        <w:r w:rsidRPr="00875DE4">
          <w:rPr>
            <w:rStyle w:val="Hyperlink"/>
            <w:rFonts w:ascii="Arial" w:hAnsi="Arial" w:cs="Arial"/>
            <w:sz w:val="22"/>
            <w:szCs w:val="22"/>
          </w:rPr>
          <w:t>https://doi.org/10.3390/su17188375</w:t>
        </w:r>
      </w:hyperlink>
    </w:p>
    <w:p w14:paraId="211950BB" w14:textId="77777777" w:rsidR="004E00EB" w:rsidRPr="00875DE4" w:rsidRDefault="004E00EB" w:rsidP="004E00EB">
      <w:pPr>
        <w:spacing w:before="240" w:line="360" w:lineRule="auto"/>
        <w:ind w:left="720" w:hanging="720"/>
        <w:jc w:val="both"/>
        <w:rPr>
          <w:rFonts w:ascii="Arial" w:hAnsi="Arial" w:cs="Arial"/>
          <w:sz w:val="22"/>
          <w:szCs w:val="22"/>
        </w:rPr>
      </w:pPr>
      <w:r w:rsidRPr="00875DE4">
        <w:rPr>
          <w:rFonts w:ascii="Arial" w:hAnsi="Arial" w:cs="Arial"/>
          <w:sz w:val="22"/>
          <w:szCs w:val="22"/>
        </w:rPr>
        <w:t xml:space="preserve">Romanello, M., Di Napoli, C., Drummond, P., Green, C., Kennard, H., Lampard, P., Scamman, D., Arnell, N., </w:t>
      </w:r>
      <w:proofErr w:type="spellStart"/>
      <w:r w:rsidRPr="00875DE4">
        <w:rPr>
          <w:rFonts w:ascii="Arial" w:hAnsi="Arial" w:cs="Arial"/>
          <w:sz w:val="22"/>
          <w:szCs w:val="22"/>
        </w:rPr>
        <w:t>Ayeb</w:t>
      </w:r>
      <w:proofErr w:type="spellEnd"/>
      <w:r w:rsidRPr="00875DE4">
        <w:rPr>
          <w:rFonts w:ascii="Arial" w:hAnsi="Arial" w:cs="Arial"/>
          <w:sz w:val="22"/>
          <w:szCs w:val="22"/>
        </w:rPr>
        <w:t xml:space="preserve">-Karlsson, S., Ford, L.B., and </w:t>
      </w:r>
      <w:proofErr w:type="spellStart"/>
      <w:r w:rsidRPr="00875DE4">
        <w:rPr>
          <w:rFonts w:ascii="Arial" w:hAnsi="Arial" w:cs="Arial"/>
          <w:sz w:val="22"/>
          <w:szCs w:val="22"/>
        </w:rPr>
        <w:t>Belesova</w:t>
      </w:r>
      <w:proofErr w:type="spellEnd"/>
      <w:r w:rsidRPr="00875DE4">
        <w:rPr>
          <w:rFonts w:ascii="Arial" w:hAnsi="Arial" w:cs="Arial"/>
          <w:sz w:val="22"/>
          <w:szCs w:val="22"/>
        </w:rPr>
        <w:t xml:space="preserve">, K., 2022. The 2022 report of the Lancet Countdown on health and climate change: health at the mercy of fossil fuels. </w:t>
      </w:r>
      <w:r w:rsidRPr="00875DE4">
        <w:rPr>
          <w:rFonts w:ascii="Arial" w:hAnsi="Arial" w:cs="Arial"/>
          <w:i/>
          <w:iCs/>
          <w:sz w:val="22"/>
          <w:szCs w:val="22"/>
        </w:rPr>
        <w:t xml:space="preserve">The </w:t>
      </w:r>
      <w:r w:rsidRPr="00875DE4">
        <w:rPr>
          <w:rFonts w:ascii="Arial" w:hAnsi="Arial" w:cs="Arial"/>
          <w:i/>
          <w:iCs/>
          <w:sz w:val="22"/>
          <w:szCs w:val="22"/>
        </w:rPr>
        <w:lastRenderedPageBreak/>
        <w:t>Lancet</w:t>
      </w:r>
      <w:r w:rsidRPr="00875DE4">
        <w:rPr>
          <w:rFonts w:ascii="Arial" w:hAnsi="Arial" w:cs="Arial"/>
          <w:sz w:val="22"/>
          <w:szCs w:val="22"/>
        </w:rPr>
        <w:t>, </w:t>
      </w:r>
      <w:r w:rsidRPr="00875DE4">
        <w:rPr>
          <w:rFonts w:ascii="Arial" w:hAnsi="Arial" w:cs="Arial"/>
          <w:i/>
          <w:iCs/>
          <w:sz w:val="22"/>
          <w:szCs w:val="22"/>
        </w:rPr>
        <w:t>400</w:t>
      </w:r>
      <w:r w:rsidRPr="00875DE4">
        <w:rPr>
          <w:rFonts w:ascii="Arial" w:hAnsi="Arial" w:cs="Arial"/>
          <w:sz w:val="22"/>
          <w:szCs w:val="22"/>
        </w:rPr>
        <w:t xml:space="preserve">(10363), pp.1619-1654. </w:t>
      </w:r>
      <w:hyperlink r:id="rId19" w:tgtFrame="_blank" w:history="1">
        <w:r w:rsidRPr="00875DE4">
          <w:rPr>
            <w:rStyle w:val="Hyperlink"/>
            <w:rFonts w:ascii="Arial" w:hAnsi="Arial" w:cs="Arial"/>
            <w:sz w:val="22"/>
            <w:szCs w:val="22"/>
          </w:rPr>
          <w:t>https://www.thelancet.com/journals/lancet/article/PIIS0140-6736(22)01540-9/fulltext?ref\x3dlite.improvethenews.org</w:t>
        </w:r>
      </w:hyperlink>
    </w:p>
    <w:p w14:paraId="633AEBA6" w14:textId="77777777" w:rsidR="004E00EB" w:rsidRPr="00875DE4" w:rsidRDefault="004E00EB" w:rsidP="004E00EB">
      <w:pPr>
        <w:spacing w:before="240" w:line="360" w:lineRule="auto"/>
        <w:ind w:left="720" w:hanging="720"/>
        <w:jc w:val="both"/>
        <w:rPr>
          <w:rFonts w:ascii="Arial" w:hAnsi="Arial" w:cs="Arial"/>
          <w:sz w:val="22"/>
          <w:szCs w:val="22"/>
        </w:rPr>
      </w:pPr>
      <w:r w:rsidRPr="00875DE4">
        <w:rPr>
          <w:rFonts w:ascii="Arial" w:hAnsi="Arial" w:cs="Arial"/>
          <w:sz w:val="22"/>
          <w:szCs w:val="22"/>
        </w:rPr>
        <w:t xml:space="preserve">Smyth, C., 2023. Legislating for culture change: the Wellbeing of Future Generations Act 2015 and planning in Wales. </w:t>
      </w:r>
      <w:r w:rsidRPr="00875DE4">
        <w:rPr>
          <w:rFonts w:ascii="Arial" w:hAnsi="Arial" w:cs="Arial"/>
          <w:i/>
          <w:iCs/>
          <w:sz w:val="22"/>
          <w:szCs w:val="22"/>
        </w:rPr>
        <w:t>Environmental Liability—Law, Policy, and Practice</w:t>
      </w:r>
      <w:r w:rsidRPr="00875DE4">
        <w:rPr>
          <w:rFonts w:ascii="Arial" w:hAnsi="Arial" w:cs="Arial"/>
          <w:sz w:val="22"/>
          <w:szCs w:val="22"/>
        </w:rPr>
        <w:t>, </w:t>
      </w:r>
      <w:r w:rsidRPr="00875DE4">
        <w:rPr>
          <w:rFonts w:ascii="Arial" w:hAnsi="Arial" w:cs="Arial"/>
          <w:i/>
          <w:iCs/>
          <w:sz w:val="22"/>
          <w:szCs w:val="22"/>
        </w:rPr>
        <w:t>27</w:t>
      </w:r>
      <w:r w:rsidRPr="00875DE4">
        <w:rPr>
          <w:rFonts w:ascii="Arial" w:hAnsi="Arial" w:cs="Arial"/>
          <w:sz w:val="22"/>
          <w:szCs w:val="22"/>
        </w:rPr>
        <w:t xml:space="preserve">(5/6), pp. 170-180. </w:t>
      </w:r>
      <w:hyperlink r:id="rId20" w:tgtFrame="_blank" w:history="1">
        <w:r w:rsidRPr="00875DE4">
          <w:rPr>
            <w:rStyle w:val="Hyperlink"/>
            <w:rFonts w:ascii="Arial" w:hAnsi="Arial" w:cs="Arial"/>
            <w:sz w:val="22"/>
            <w:szCs w:val="22"/>
          </w:rPr>
          <w:t>https://www.lawtext.com/publication/environmental-liability-law-policy-and-practice/contents/volume-27/issue-5</w:t>
        </w:r>
      </w:hyperlink>
    </w:p>
    <w:p w14:paraId="666F37B6" w14:textId="77777777" w:rsidR="004E00EB" w:rsidRPr="00875DE4" w:rsidRDefault="004E00EB" w:rsidP="004E00EB">
      <w:pPr>
        <w:spacing w:before="240" w:line="360" w:lineRule="auto"/>
        <w:ind w:left="720" w:hanging="720"/>
        <w:jc w:val="both"/>
        <w:rPr>
          <w:rFonts w:ascii="Arial" w:hAnsi="Arial" w:cs="Arial"/>
          <w:sz w:val="22"/>
          <w:szCs w:val="22"/>
        </w:rPr>
      </w:pPr>
      <w:r w:rsidRPr="00875DE4">
        <w:rPr>
          <w:rFonts w:ascii="Arial" w:hAnsi="Arial" w:cs="Arial"/>
          <w:sz w:val="22"/>
          <w:szCs w:val="22"/>
        </w:rPr>
        <w:t xml:space="preserve">Swansea Bay UHB. 2024. </w:t>
      </w:r>
      <w:r w:rsidRPr="00875DE4">
        <w:rPr>
          <w:rFonts w:ascii="Arial" w:hAnsi="Arial" w:cs="Arial"/>
          <w:i/>
          <w:iCs/>
          <w:sz w:val="22"/>
          <w:szCs w:val="22"/>
        </w:rPr>
        <w:t>One Bay Way: Climate Action Plan 2024-26, Swansea Bay University Health Board</w:t>
      </w:r>
      <w:r w:rsidRPr="00875DE4">
        <w:rPr>
          <w:rFonts w:ascii="Arial" w:hAnsi="Arial" w:cs="Arial"/>
          <w:sz w:val="22"/>
          <w:szCs w:val="22"/>
        </w:rPr>
        <w:t xml:space="preserve">. </w:t>
      </w:r>
      <w:hyperlink r:id="rId21" w:tgtFrame="_blank" w:history="1">
        <w:r w:rsidRPr="00875DE4">
          <w:rPr>
            <w:rStyle w:val="Hyperlink"/>
            <w:rFonts w:ascii="Arial" w:hAnsi="Arial" w:cs="Arial"/>
            <w:sz w:val="22"/>
            <w:szCs w:val="22"/>
          </w:rPr>
          <w:t>https://sbuhb.nhs.wales/files/freedom-of-information-disclosure-log-2025/february/25-b-051-sbuhb-climate-action-plan-final-pdf/</w:t>
        </w:r>
      </w:hyperlink>
    </w:p>
    <w:p w14:paraId="53B93D59" w14:textId="77777777" w:rsidR="004E00EB" w:rsidRPr="00875DE4" w:rsidRDefault="004E00EB" w:rsidP="004E00EB">
      <w:pPr>
        <w:spacing w:before="240" w:line="360" w:lineRule="auto"/>
        <w:ind w:left="720" w:hanging="720"/>
        <w:jc w:val="both"/>
        <w:rPr>
          <w:rFonts w:ascii="Arial" w:hAnsi="Arial" w:cs="Arial"/>
          <w:sz w:val="22"/>
          <w:szCs w:val="22"/>
        </w:rPr>
      </w:pPr>
      <w:r w:rsidRPr="00875DE4">
        <w:rPr>
          <w:rFonts w:ascii="Arial" w:hAnsi="Arial" w:cs="Arial"/>
          <w:sz w:val="22"/>
          <w:szCs w:val="22"/>
        </w:rPr>
        <w:t xml:space="preserve">Swansea Bay UHB. 2025. Public accountability meeting evidence paper. </w:t>
      </w:r>
      <w:r w:rsidRPr="00875DE4">
        <w:rPr>
          <w:rFonts w:ascii="Arial" w:hAnsi="Arial" w:cs="Arial"/>
          <w:i/>
          <w:iCs/>
          <w:sz w:val="22"/>
          <w:szCs w:val="22"/>
        </w:rPr>
        <w:t>NHS</w:t>
      </w:r>
      <w:r w:rsidRPr="00875DE4">
        <w:rPr>
          <w:rFonts w:ascii="Arial" w:hAnsi="Arial" w:cs="Arial"/>
          <w:sz w:val="22"/>
          <w:szCs w:val="22"/>
        </w:rPr>
        <w:t xml:space="preserve">. </w:t>
      </w:r>
      <w:hyperlink r:id="rId22" w:tgtFrame="_blank" w:history="1">
        <w:r w:rsidRPr="00875DE4">
          <w:rPr>
            <w:rStyle w:val="Hyperlink"/>
            <w:rFonts w:ascii="Arial" w:hAnsi="Arial" w:cs="Arial"/>
            <w:sz w:val="22"/>
            <w:szCs w:val="22"/>
          </w:rPr>
          <w:t>https://www.gov.wales/sites/default/files/publications/2026-03/public-accountability-meeting-evidence-from-swansea-bay-uhb.pdf</w:t>
        </w:r>
      </w:hyperlink>
    </w:p>
    <w:p w14:paraId="04735F52" w14:textId="77777777" w:rsidR="004E00EB" w:rsidRPr="00875DE4" w:rsidRDefault="004E00EB" w:rsidP="004E00EB">
      <w:pPr>
        <w:spacing w:before="240" w:line="360" w:lineRule="auto"/>
        <w:ind w:left="720" w:hanging="720"/>
        <w:jc w:val="both"/>
        <w:rPr>
          <w:rFonts w:ascii="Arial" w:hAnsi="Arial" w:cs="Arial"/>
          <w:sz w:val="22"/>
          <w:szCs w:val="22"/>
        </w:rPr>
      </w:pPr>
      <w:r w:rsidRPr="00875DE4">
        <w:rPr>
          <w:rFonts w:ascii="Arial" w:hAnsi="Arial" w:cs="Arial"/>
          <w:sz w:val="22"/>
          <w:szCs w:val="22"/>
        </w:rPr>
        <w:t xml:space="preserve">UK Health Security Agency. 2019. The NHS Long Term Plan: 10 key public health points. </w:t>
      </w:r>
      <w:hyperlink r:id="rId23" w:tgtFrame="_blank" w:history="1">
        <w:r w:rsidRPr="00875DE4">
          <w:rPr>
            <w:rStyle w:val="Hyperlink"/>
            <w:rFonts w:ascii="Arial" w:hAnsi="Arial" w:cs="Arial"/>
            <w:i/>
            <w:iCs/>
            <w:sz w:val="22"/>
            <w:szCs w:val="22"/>
          </w:rPr>
          <w:t>Gov.uk.</w:t>
        </w:r>
      </w:hyperlink>
      <w:r w:rsidRPr="00875DE4">
        <w:rPr>
          <w:rFonts w:ascii="Arial" w:hAnsi="Arial" w:cs="Arial"/>
          <w:sz w:val="22"/>
          <w:szCs w:val="22"/>
        </w:rPr>
        <w:t xml:space="preserve"> </w:t>
      </w:r>
      <w:hyperlink r:id="rId24" w:tgtFrame="_blank" w:history="1">
        <w:r w:rsidRPr="00875DE4">
          <w:rPr>
            <w:rStyle w:val="Hyperlink"/>
            <w:rFonts w:ascii="Arial" w:hAnsi="Arial" w:cs="Arial"/>
            <w:sz w:val="22"/>
            <w:szCs w:val="22"/>
          </w:rPr>
          <w:t>https://ukhsa.blog.gov.uk/2019/01/08/the-nhs-long-term-plan-10-key-public-health-points/</w:t>
        </w:r>
      </w:hyperlink>
    </w:p>
    <w:p w14:paraId="591C740D" w14:textId="77777777" w:rsidR="004E00EB" w:rsidRPr="00875DE4" w:rsidRDefault="004E00EB" w:rsidP="004E00EB">
      <w:pPr>
        <w:spacing w:before="240" w:line="360" w:lineRule="auto"/>
        <w:ind w:left="720" w:hanging="720"/>
        <w:jc w:val="both"/>
        <w:rPr>
          <w:rFonts w:ascii="Arial" w:hAnsi="Arial" w:cs="Arial"/>
          <w:sz w:val="22"/>
          <w:szCs w:val="22"/>
        </w:rPr>
      </w:pPr>
      <w:r w:rsidRPr="00875DE4">
        <w:rPr>
          <w:rFonts w:ascii="Arial" w:hAnsi="Arial" w:cs="Arial"/>
          <w:sz w:val="22"/>
          <w:szCs w:val="22"/>
        </w:rPr>
        <w:t xml:space="preserve">UNEP. 2025. </w:t>
      </w:r>
      <w:r w:rsidRPr="00875DE4">
        <w:rPr>
          <w:rFonts w:ascii="Arial" w:hAnsi="Arial" w:cs="Arial"/>
          <w:i/>
          <w:iCs/>
          <w:sz w:val="22"/>
          <w:szCs w:val="22"/>
        </w:rPr>
        <w:t>Emissions gap report 2025</w:t>
      </w:r>
      <w:r w:rsidRPr="00875DE4">
        <w:rPr>
          <w:rFonts w:ascii="Arial" w:hAnsi="Arial" w:cs="Arial"/>
          <w:sz w:val="22"/>
          <w:szCs w:val="22"/>
        </w:rPr>
        <w:t xml:space="preserve">. </w:t>
      </w:r>
      <w:hyperlink r:id="rId25" w:tgtFrame="_blank" w:history="1">
        <w:r w:rsidRPr="00875DE4">
          <w:rPr>
            <w:rStyle w:val="Hyperlink"/>
            <w:rFonts w:ascii="Arial" w:hAnsi="Arial" w:cs="Arial"/>
            <w:sz w:val="22"/>
            <w:szCs w:val="22"/>
          </w:rPr>
          <w:t>https://www.unep.org/resources/emissions-gap-report-2025</w:t>
        </w:r>
      </w:hyperlink>
    </w:p>
    <w:p w14:paraId="339CF775" w14:textId="77777777" w:rsidR="004E00EB" w:rsidRPr="00875DE4" w:rsidRDefault="004E00EB" w:rsidP="004E00EB">
      <w:pPr>
        <w:spacing w:before="240" w:line="360" w:lineRule="auto"/>
        <w:ind w:left="720" w:hanging="720"/>
        <w:jc w:val="both"/>
        <w:rPr>
          <w:rFonts w:ascii="Arial" w:hAnsi="Arial" w:cs="Arial"/>
          <w:sz w:val="22"/>
          <w:szCs w:val="22"/>
        </w:rPr>
      </w:pPr>
      <w:r w:rsidRPr="00875DE4">
        <w:rPr>
          <w:rFonts w:ascii="Arial" w:hAnsi="Arial" w:cs="Arial"/>
          <w:sz w:val="22"/>
          <w:szCs w:val="22"/>
        </w:rPr>
        <w:t xml:space="preserve">United Nations. 2025. Goal 13: Take urgent action to combat climate change and its impacts. Sustainable Development Goals. </w:t>
      </w:r>
      <w:hyperlink r:id="rId26" w:tgtFrame="_blank" w:history="1">
        <w:r w:rsidRPr="00875DE4">
          <w:rPr>
            <w:rStyle w:val="Hyperlink"/>
            <w:rFonts w:ascii="Arial" w:hAnsi="Arial" w:cs="Arial"/>
            <w:sz w:val="22"/>
            <w:szCs w:val="22"/>
          </w:rPr>
          <w:t>https://www.un.org/sustainabledevelopment/climate-change/</w:t>
        </w:r>
      </w:hyperlink>
    </w:p>
    <w:p w14:paraId="27CE0A17" w14:textId="77777777" w:rsidR="004E00EB" w:rsidRPr="00875DE4" w:rsidRDefault="004E00EB" w:rsidP="004E00EB">
      <w:pPr>
        <w:spacing w:before="240" w:line="360" w:lineRule="auto"/>
        <w:ind w:left="720" w:hanging="720"/>
        <w:jc w:val="both"/>
        <w:rPr>
          <w:rFonts w:ascii="Arial" w:hAnsi="Arial" w:cs="Arial"/>
          <w:sz w:val="22"/>
          <w:szCs w:val="22"/>
        </w:rPr>
      </w:pPr>
      <w:r w:rsidRPr="00875DE4">
        <w:rPr>
          <w:rFonts w:ascii="Arial" w:hAnsi="Arial" w:cs="Arial"/>
          <w:sz w:val="22"/>
          <w:szCs w:val="22"/>
        </w:rPr>
        <w:t xml:space="preserve">United Nations. 2026. </w:t>
      </w:r>
      <w:r w:rsidRPr="00875DE4">
        <w:rPr>
          <w:rFonts w:ascii="Arial" w:hAnsi="Arial" w:cs="Arial"/>
          <w:i/>
          <w:iCs/>
          <w:sz w:val="22"/>
          <w:szCs w:val="22"/>
        </w:rPr>
        <w:t>The Sustainable Development Goals have improved millions of lives over the past decade, but progress remains insufficient, a UN report finds.</w:t>
      </w:r>
      <w:r w:rsidRPr="00875DE4">
        <w:rPr>
          <w:rFonts w:ascii="Arial" w:hAnsi="Arial" w:cs="Arial"/>
          <w:sz w:val="22"/>
          <w:szCs w:val="22"/>
        </w:rPr>
        <w:t xml:space="preserve"> </w:t>
      </w:r>
      <w:hyperlink r:id="rId27" w:tgtFrame="_blank" w:history="1">
        <w:r w:rsidRPr="00875DE4">
          <w:rPr>
            <w:rStyle w:val="Hyperlink"/>
            <w:rFonts w:ascii="Arial" w:hAnsi="Arial" w:cs="Arial"/>
            <w:sz w:val="22"/>
            <w:szCs w:val="22"/>
          </w:rPr>
          <w:t>https://www.un.org/en/unis-nairobi/sustainable-development-goals-have-improved-millions-lives-over-past-decade-progress</w:t>
        </w:r>
      </w:hyperlink>
    </w:p>
    <w:p w14:paraId="2665CBE1" w14:textId="77777777" w:rsidR="004E00EB" w:rsidRPr="00875DE4" w:rsidRDefault="004E00EB" w:rsidP="004E00EB">
      <w:pPr>
        <w:spacing w:before="240" w:line="360" w:lineRule="auto"/>
        <w:ind w:left="720" w:hanging="720"/>
        <w:jc w:val="both"/>
        <w:rPr>
          <w:rFonts w:ascii="Arial" w:hAnsi="Arial" w:cs="Arial"/>
          <w:sz w:val="22"/>
          <w:szCs w:val="22"/>
        </w:rPr>
      </w:pPr>
      <w:r w:rsidRPr="00875DE4">
        <w:rPr>
          <w:rFonts w:ascii="Arial" w:hAnsi="Arial" w:cs="Arial"/>
          <w:sz w:val="22"/>
          <w:szCs w:val="22"/>
        </w:rPr>
        <w:t xml:space="preserve">Welsh Government. 2021. </w:t>
      </w:r>
      <w:proofErr w:type="gramStart"/>
      <w:r w:rsidRPr="00875DE4">
        <w:rPr>
          <w:rFonts w:ascii="Arial" w:hAnsi="Arial" w:cs="Arial"/>
          <w:i/>
          <w:iCs/>
          <w:sz w:val="22"/>
          <w:szCs w:val="22"/>
        </w:rPr>
        <w:t>A Healthier</w:t>
      </w:r>
      <w:proofErr w:type="gramEnd"/>
      <w:r w:rsidRPr="00875DE4">
        <w:rPr>
          <w:rFonts w:ascii="Arial" w:hAnsi="Arial" w:cs="Arial"/>
          <w:i/>
          <w:iCs/>
          <w:sz w:val="22"/>
          <w:szCs w:val="22"/>
        </w:rPr>
        <w:t xml:space="preserve"> Wales: Our plan for health and social care.</w:t>
      </w:r>
      <w:r w:rsidRPr="00875DE4">
        <w:rPr>
          <w:rFonts w:ascii="Arial" w:hAnsi="Arial" w:cs="Arial"/>
          <w:sz w:val="22"/>
          <w:szCs w:val="22"/>
        </w:rPr>
        <w:t xml:space="preserve"> </w:t>
      </w:r>
      <w:hyperlink r:id="rId28" w:tgtFrame="_blank" w:history="1">
        <w:r w:rsidRPr="00875DE4">
          <w:rPr>
            <w:rStyle w:val="Hyperlink"/>
            <w:rFonts w:ascii="Arial" w:hAnsi="Arial" w:cs="Arial"/>
            <w:sz w:val="22"/>
            <w:szCs w:val="22"/>
          </w:rPr>
          <w:t>https://www.gov.wales/sites/default/files/publications/2021-09/a-healthier-wales-our-plan-for-health-and-social-care.pdf</w:t>
        </w:r>
      </w:hyperlink>
    </w:p>
    <w:p w14:paraId="2A4B4112" w14:textId="77777777" w:rsidR="004E00EB" w:rsidRPr="00875DE4" w:rsidRDefault="004E00EB" w:rsidP="004E00EB">
      <w:pPr>
        <w:spacing w:before="240" w:line="360" w:lineRule="auto"/>
        <w:ind w:left="720" w:hanging="720"/>
        <w:jc w:val="both"/>
        <w:rPr>
          <w:rFonts w:ascii="Arial" w:hAnsi="Arial" w:cs="Arial"/>
          <w:sz w:val="22"/>
          <w:szCs w:val="22"/>
        </w:rPr>
      </w:pPr>
      <w:r w:rsidRPr="00875DE4">
        <w:rPr>
          <w:rFonts w:ascii="Arial" w:hAnsi="Arial" w:cs="Arial"/>
          <w:sz w:val="22"/>
          <w:szCs w:val="22"/>
        </w:rPr>
        <w:lastRenderedPageBreak/>
        <w:t xml:space="preserve">Welsh Government. 2025. </w:t>
      </w:r>
      <w:r w:rsidRPr="00875DE4">
        <w:rPr>
          <w:rFonts w:ascii="Arial" w:hAnsi="Arial" w:cs="Arial"/>
          <w:i/>
          <w:iCs/>
          <w:sz w:val="22"/>
          <w:szCs w:val="22"/>
        </w:rPr>
        <w:t>Wellbeing of Wales 2025</w:t>
      </w:r>
      <w:r w:rsidRPr="00875DE4">
        <w:rPr>
          <w:rFonts w:ascii="Arial" w:hAnsi="Arial" w:cs="Arial"/>
          <w:sz w:val="22"/>
          <w:szCs w:val="22"/>
        </w:rPr>
        <w:t xml:space="preserve">. </w:t>
      </w:r>
      <w:hyperlink r:id="rId29" w:tgtFrame="_blank" w:history="1">
        <w:r w:rsidRPr="00875DE4">
          <w:rPr>
            <w:rStyle w:val="Hyperlink"/>
            <w:rFonts w:ascii="Arial" w:hAnsi="Arial" w:cs="Arial"/>
            <w:sz w:val="22"/>
            <w:szCs w:val="22"/>
          </w:rPr>
          <w:t>https://www.gov.wales/wellbeing-wales-2025-progress-towards-national-milestones-html</w:t>
        </w:r>
      </w:hyperlink>
    </w:p>
    <w:p w14:paraId="240C0A36" w14:textId="77777777" w:rsidR="004E00EB" w:rsidRPr="00875DE4" w:rsidRDefault="004E00EB" w:rsidP="004E00EB">
      <w:pPr>
        <w:spacing w:before="240" w:line="360" w:lineRule="auto"/>
        <w:ind w:left="720" w:hanging="720"/>
        <w:jc w:val="both"/>
        <w:rPr>
          <w:rFonts w:ascii="Arial" w:hAnsi="Arial" w:cs="Arial"/>
          <w:sz w:val="22"/>
          <w:szCs w:val="22"/>
        </w:rPr>
      </w:pPr>
      <w:r w:rsidRPr="00875DE4">
        <w:rPr>
          <w:rFonts w:ascii="Arial" w:hAnsi="Arial" w:cs="Arial"/>
          <w:sz w:val="22"/>
          <w:szCs w:val="22"/>
        </w:rPr>
        <w:t xml:space="preserve">WHO. (2025). </w:t>
      </w:r>
      <w:r w:rsidRPr="00875DE4">
        <w:rPr>
          <w:rFonts w:ascii="Arial" w:hAnsi="Arial" w:cs="Arial"/>
          <w:i/>
          <w:iCs/>
          <w:sz w:val="22"/>
          <w:szCs w:val="22"/>
        </w:rPr>
        <w:t>Maternal mortality</w:t>
      </w:r>
      <w:r w:rsidRPr="00875DE4">
        <w:rPr>
          <w:rFonts w:ascii="Arial" w:hAnsi="Arial" w:cs="Arial"/>
          <w:sz w:val="22"/>
          <w:szCs w:val="22"/>
        </w:rPr>
        <w:t xml:space="preserve">. </w:t>
      </w:r>
      <w:hyperlink r:id="rId30" w:tgtFrame="_blank" w:history="1">
        <w:r w:rsidRPr="00875DE4">
          <w:rPr>
            <w:rStyle w:val="Hyperlink"/>
            <w:rFonts w:ascii="Arial" w:hAnsi="Arial" w:cs="Arial"/>
            <w:sz w:val="22"/>
            <w:szCs w:val="22"/>
          </w:rPr>
          <w:t>https://www.who.int/news-room/fact-sheets/detail/maternal-mortality</w:t>
        </w:r>
      </w:hyperlink>
    </w:p>
    <w:p w14:paraId="7CF075B5" w14:textId="77777777" w:rsidR="004E00EB" w:rsidRPr="00875DE4" w:rsidRDefault="004E00EB" w:rsidP="004E00EB">
      <w:pPr>
        <w:spacing w:before="240" w:line="360" w:lineRule="auto"/>
        <w:ind w:left="720" w:hanging="720"/>
        <w:jc w:val="both"/>
        <w:rPr>
          <w:rFonts w:ascii="Arial" w:hAnsi="Arial" w:cs="Arial"/>
          <w:sz w:val="22"/>
          <w:szCs w:val="22"/>
        </w:rPr>
      </w:pPr>
      <w:r w:rsidRPr="00875DE4">
        <w:rPr>
          <w:rFonts w:ascii="Arial" w:hAnsi="Arial" w:cs="Arial"/>
          <w:sz w:val="22"/>
          <w:szCs w:val="22"/>
        </w:rPr>
        <w:t xml:space="preserve">WMO. 2025. The WMO confirms 2024 as the warmest year on record at about 1.55°C above the pre-industrial level. </w:t>
      </w:r>
      <w:hyperlink r:id="rId31" w:tgtFrame="_blank" w:history="1">
        <w:r w:rsidRPr="00875DE4">
          <w:rPr>
            <w:rStyle w:val="Hyperlink"/>
            <w:rFonts w:ascii="Arial" w:hAnsi="Arial" w:cs="Arial"/>
            <w:sz w:val="22"/>
            <w:szCs w:val="22"/>
          </w:rPr>
          <w:t>https://wmo.int/news/media-centre/wmo-confirms-2024-warmest-year-record-about-155degc-above-pre-industrial-level</w:t>
        </w:r>
      </w:hyperlink>
    </w:p>
    <w:p w14:paraId="2FE09485" w14:textId="77777777" w:rsidR="004E00EB" w:rsidRPr="00875DE4" w:rsidRDefault="004E00EB" w:rsidP="004E00EB">
      <w:pPr>
        <w:spacing w:before="240" w:line="360" w:lineRule="auto"/>
        <w:ind w:firstLine="0"/>
        <w:jc w:val="both"/>
        <w:rPr>
          <w:rFonts w:ascii="Arial" w:hAnsi="Arial" w:cs="Arial"/>
          <w:sz w:val="22"/>
          <w:szCs w:val="22"/>
        </w:rPr>
      </w:pPr>
      <w:r w:rsidRPr="00875DE4">
        <w:rPr>
          <w:rFonts w:ascii="Arial" w:hAnsi="Arial" w:cs="Arial"/>
          <w:sz w:val="22"/>
          <w:szCs w:val="22"/>
        </w:rPr>
        <w:t> </w:t>
      </w:r>
    </w:p>
    <w:p w14:paraId="55AE7E38" w14:textId="77777777" w:rsidR="004E00EB" w:rsidRPr="00875DE4" w:rsidRDefault="004E00EB" w:rsidP="004E00EB">
      <w:pPr>
        <w:spacing w:before="240" w:line="360" w:lineRule="auto"/>
        <w:ind w:firstLine="0"/>
        <w:jc w:val="both"/>
        <w:rPr>
          <w:rFonts w:ascii="Arial" w:hAnsi="Arial" w:cs="Arial"/>
          <w:sz w:val="22"/>
          <w:szCs w:val="22"/>
        </w:rPr>
      </w:pPr>
      <w:r w:rsidRPr="00875DE4">
        <w:rPr>
          <w:rFonts w:ascii="Arial" w:hAnsi="Arial" w:cs="Arial"/>
          <w:sz w:val="22"/>
          <w:szCs w:val="22"/>
        </w:rPr>
        <w:t> </w:t>
      </w:r>
    </w:p>
    <w:p w14:paraId="222D0443" w14:textId="77777777" w:rsidR="004E00EB" w:rsidRPr="00875DE4" w:rsidRDefault="004E00EB" w:rsidP="004E00EB">
      <w:pPr>
        <w:spacing w:before="240" w:line="360" w:lineRule="auto"/>
        <w:ind w:firstLine="0"/>
        <w:jc w:val="both"/>
        <w:rPr>
          <w:rFonts w:ascii="Arial" w:hAnsi="Arial" w:cs="Arial"/>
          <w:sz w:val="22"/>
          <w:szCs w:val="22"/>
        </w:rPr>
      </w:pPr>
      <w:r w:rsidRPr="00875DE4">
        <w:rPr>
          <w:rFonts w:ascii="Arial" w:hAnsi="Arial" w:cs="Arial"/>
          <w:sz w:val="22"/>
          <w:szCs w:val="22"/>
        </w:rPr>
        <w:t> </w:t>
      </w:r>
    </w:p>
    <w:p w14:paraId="3409309E" w14:textId="77777777" w:rsidR="004E00EB" w:rsidRPr="00875DE4" w:rsidRDefault="004E00EB" w:rsidP="004E00EB">
      <w:pPr>
        <w:spacing w:before="240" w:line="360" w:lineRule="auto"/>
        <w:ind w:firstLine="0"/>
        <w:jc w:val="both"/>
        <w:rPr>
          <w:rFonts w:ascii="Arial" w:hAnsi="Arial" w:cs="Arial"/>
          <w:sz w:val="22"/>
          <w:szCs w:val="22"/>
        </w:rPr>
      </w:pPr>
      <w:r w:rsidRPr="00875DE4">
        <w:rPr>
          <w:rFonts w:ascii="Arial" w:hAnsi="Arial" w:cs="Arial"/>
          <w:sz w:val="22"/>
          <w:szCs w:val="22"/>
        </w:rPr>
        <w:t> </w:t>
      </w:r>
    </w:p>
    <w:p w14:paraId="5F9AF2AA" w14:textId="77777777" w:rsidR="004E00EB" w:rsidRPr="00875DE4" w:rsidRDefault="004E00EB" w:rsidP="004E00EB">
      <w:pPr>
        <w:spacing w:before="240" w:line="360" w:lineRule="auto"/>
        <w:ind w:firstLine="0"/>
        <w:jc w:val="both"/>
        <w:rPr>
          <w:rFonts w:ascii="Arial" w:hAnsi="Arial" w:cs="Arial"/>
          <w:sz w:val="22"/>
          <w:szCs w:val="22"/>
        </w:rPr>
      </w:pPr>
      <w:r w:rsidRPr="00875DE4">
        <w:rPr>
          <w:rFonts w:ascii="Arial" w:hAnsi="Arial" w:cs="Arial"/>
          <w:sz w:val="22"/>
          <w:szCs w:val="22"/>
        </w:rPr>
        <w:t> </w:t>
      </w:r>
    </w:p>
    <w:p w14:paraId="565C58B8" w14:textId="77777777" w:rsidR="004E00EB" w:rsidRPr="00875DE4" w:rsidRDefault="004E00EB" w:rsidP="004E00EB">
      <w:pPr>
        <w:spacing w:before="240" w:line="360" w:lineRule="auto"/>
        <w:ind w:firstLine="0"/>
        <w:jc w:val="both"/>
        <w:rPr>
          <w:rFonts w:ascii="Arial" w:hAnsi="Arial" w:cs="Arial"/>
          <w:sz w:val="22"/>
          <w:szCs w:val="22"/>
        </w:rPr>
      </w:pPr>
      <w:r w:rsidRPr="00875DE4">
        <w:rPr>
          <w:rFonts w:ascii="Arial" w:hAnsi="Arial" w:cs="Arial"/>
          <w:sz w:val="22"/>
          <w:szCs w:val="22"/>
        </w:rPr>
        <w:t> </w:t>
      </w:r>
    </w:p>
    <w:p w14:paraId="2FC47970" w14:textId="77777777" w:rsidR="004E00EB" w:rsidRPr="00875DE4" w:rsidRDefault="004E00EB" w:rsidP="004E00EB">
      <w:pPr>
        <w:spacing w:before="240" w:line="360" w:lineRule="auto"/>
        <w:ind w:firstLine="0"/>
        <w:jc w:val="both"/>
        <w:rPr>
          <w:rFonts w:ascii="Arial" w:hAnsi="Arial" w:cs="Arial"/>
          <w:sz w:val="22"/>
          <w:szCs w:val="22"/>
        </w:rPr>
      </w:pPr>
      <w:r w:rsidRPr="00875DE4">
        <w:rPr>
          <w:rFonts w:ascii="Arial" w:hAnsi="Arial" w:cs="Arial"/>
          <w:sz w:val="22"/>
          <w:szCs w:val="22"/>
        </w:rPr>
        <w:t> </w:t>
      </w:r>
    </w:p>
    <w:p w14:paraId="1F739B6D" w14:textId="77777777" w:rsidR="004E00EB" w:rsidRPr="00875DE4" w:rsidRDefault="004E00EB" w:rsidP="004E00EB">
      <w:pPr>
        <w:spacing w:before="240" w:line="360" w:lineRule="auto"/>
        <w:ind w:firstLine="0"/>
        <w:jc w:val="both"/>
        <w:rPr>
          <w:rFonts w:ascii="Arial" w:hAnsi="Arial" w:cs="Arial"/>
          <w:sz w:val="22"/>
          <w:szCs w:val="22"/>
        </w:rPr>
      </w:pPr>
      <w:r w:rsidRPr="00875DE4">
        <w:rPr>
          <w:rFonts w:ascii="Arial" w:hAnsi="Arial" w:cs="Arial"/>
          <w:sz w:val="22"/>
          <w:szCs w:val="22"/>
        </w:rPr>
        <w:t>.</w:t>
      </w:r>
    </w:p>
    <w:p w14:paraId="311E60FE" w14:textId="77777777" w:rsidR="004E00EB" w:rsidRPr="00875DE4" w:rsidRDefault="004E00EB" w:rsidP="004E00EB">
      <w:pPr>
        <w:spacing w:before="240" w:line="360" w:lineRule="auto"/>
        <w:ind w:firstLine="0"/>
        <w:jc w:val="both"/>
        <w:rPr>
          <w:rFonts w:ascii="Arial" w:hAnsi="Arial" w:cs="Arial"/>
          <w:sz w:val="22"/>
          <w:szCs w:val="22"/>
        </w:rPr>
      </w:pPr>
      <w:r w:rsidRPr="00875DE4">
        <w:rPr>
          <w:rFonts w:ascii="Arial" w:hAnsi="Arial" w:cs="Arial"/>
          <w:sz w:val="22"/>
          <w:szCs w:val="22"/>
        </w:rPr>
        <w:t> </w:t>
      </w:r>
    </w:p>
    <w:p w14:paraId="757BB32E" w14:textId="77777777" w:rsidR="004E00EB" w:rsidRPr="00875DE4" w:rsidRDefault="004E00EB" w:rsidP="004E00EB">
      <w:pPr>
        <w:spacing w:before="240" w:line="360" w:lineRule="auto"/>
        <w:ind w:firstLine="0"/>
        <w:jc w:val="both"/>
        <w:rPr>
          <w:rFonts w:ascii="Arial" w:hAnsi="Arial" w:cs="Arial"/>
          <w:sz w:val="22"/>
          <w:szCs w:val="22"/>
        </w:rPr>
      </w:pPr>
    </w:p>
    <w:p w14:paraId="6C7073D5" w14:textId="77777777" w:rsidR="00CB5CA4" w:rsidRDefault="00CB5CA4"/>
    <w:sectPr w:rsidR="00CB5CA4" w:rsidSect="004E00EB">
      <w:headerReference w:type="default" r:id="rId3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22"/>
        <w:szCs w:val="22"/>
      </w:rPr>
      <w:id w:val="1994826076"/>
      <w:docPartObj>
        <w:docPartGallery w:val="Page Numbers (Top of Page)"/>
        <w:docPartUnique/>
      </w:docPartObj>
    </w:sdtPr>
    <w:sdtEndPr>
      <w:rPr>
        <w:noProof/>
      </w:rPr>
    </w:sdtEndPr>
    <w:sdtContent>
      <w:p w14:paraId="2595F3C8" w14:textId="77777777" w:rsidR="004E00EB" w:rsidRPr="00875DE4" w:rsidRDefault="004E00EB">
        <w:pPr>
          <w:pStyle w:val="Header"/>
          <w:jc w:val="right"/>
          <w:rPr>
            <w:rFonts w:ascii="Arial" w:hAnsi="Arial" w:cs="Arial"/>
            <w:sz w:val="22"/>
            <w:szCs w:val="22"/>
          </w:rPr>
        </w:pPr>
        <w:r w:rsidRPr="00875DE4">
          <w:rPr>
            <w:rFonts w:ascii="Arial" w:hAnsi="Arial" w:cs="Arial"/>
            <w:sz w:val="22"/>
            <w:szCs w:val="22"/>
          </w:rPr>
          <w:t xml:space="preserve">Policies, Health, Well-being, and Sustainability </w:t>
        </w:r>
        <w:r w:rsidRPr="00875DE4">
          <w:rPr>
            <w:rFonts w:ascii="Arial" w:hAnsi="Arial" w:cs="Arial"/>
            <w:sz w:val="22"/>
            <w:szCs w:val="22"/>
          </w:rPr>
          <w:fldChar w:fldCharType="begin"/>
        </w:r>
        <w:r w:rsidRPr="00875DE4">
          <w:rPr>
            <w:rFonts w:ascii="Arial" w:hAnsi="Arial" w:cs="Arial"/>
            <w:sz w:val="22"/>
            <w:szCs w:val="22"/>
          </w:rPr>
          <w:instrText xml:space="preserve"> PAGE   \* MERGEFORMAT </w:instrText>
        </w:r>
        <w:r w:rsidRPr="00875DE4">
          <w:rPr>
            <w:rFonts w:ascii="Arial" w:hAnsi="Arial" w:cs="Arial"/>
            <w:sz w:val="22"/>
            <w:szCs w:val="22"/>
          </w:rPr>
          <w:fldChar w:fldCharType="separate"/>
        </w:r>
        <w:r w:rsidRPr="00875DE4">
          <w:rPr>
            <w:rFonts w:ascii="Arial" w:hAnsi="Arial" w:cs="Arial"/>
            <w:noProof/>
            <w:sz w:val="22"/>
            <w:szCs w:val="22"/>
          </w:rPr>
          <w:t>2</w:t>
        </w:r>
        <w:r w:rsidRPr="00875DE4">
          <w:rPr>
            <w:rFonts w:ascii="Arial" w:hAnsi="Arial" w:cs="Arial"/>
            <w:noProof/>
            <w:sz w:val="22"/>
            <w:szCs w:val="22"/>
          </w:rPr>
          <w:fldChar w:fldCharType="end"/>
        </w:r>
      </w:p>
    </w:sdtContent>
  </w:sdt>
  <w:p w14:paraId="04B6141B" w14:textId="77777777" w:rsidR="004E00EB" w:rsidRPr="00875DE4" w:rsidRDefault="004E00EB">
    <w:pPr>
      <w:pStyle w:val="Header"/>
      <w:rPr>
        <w:rFonts w:ascii="Arial" w:hAnsi="Arial" w:cs="Arial"/>
        <w:sz w:val="22"/>
        <w:szCs w:val="2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00EB"/>
    <w:rsid w:val="004E00EB"/>
    <w:rsid w:val="00C91296"/>
    <w:rsid w:val="00CB5CA4"/>
    <w:rsid w:val="00F25A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720BF3"/>
  <w15:chartTrackingRefBased/>
  <w15:docId w15:val="{93C2E489-5D05-4785-AAD7-7F2659C6DA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00EB"/>
    <w:pPr>
      <w:spacing w:after="0" w:line="480" w:lineRule="auto"/>
      <w:ind w:firstLine="720"/>
    </w:pPr>
    <w:rPr>
      <w:sz w:val="24"/>
      <w:szCs w:val="24"/>
      <w:lang w:val="en-US"/>
    </w:rPr>
  </w:style>
  <w:style w:type="paragraph" w:styleId="Heading1">
    <w:name w:val="heading 1"/>
    <w:basedOn w:val="Normal"/>
    <w:next w:val="Normal"/>
    <w:link w:val="Heading1Char"/>
    <w:uiPriority w:val="9"/>
    <w:qFormat/>
    <w:rsid w:val="004E00EB"/>
    <w:pPr>
      <w:keepNext/>
      <w:keepLines/>
      <w:spacing w:before="360" w:after="80" w:line="259" w:lineRule="auto"/>
      <w:ind w:firstLine="0"/>
      <w:outlineLvl w:val="0"/>
    </w:pPr>
    <w:rPr>
      <w:rFonts w:asciiTheme="majorHAnsi" w:eastAsiaTheme="majorEastAsia" w:hAnsiTheme="majorHAnsi" w:cstheme="majorBidi"/>
      <w:color w:val="0F4761" w:themeColor="accent1" w:themeShade="BF"/>
      <w:sz w:val="40"/>
      <w:szCs w:val="40"/>
      <w:lang w:val="en-GB"/>
    </w:rPr>
  </w:style>
  <w:style w:type="paragraph" w:styleId="Heading2">
    <w:name w:val="heading 2"/>
    <w:basedOn w:val="Normal"/>
    <w:next w:val="Normal"/>
    <w:link w:val="Heading2Char"/>
    <w:uiPriority w:val="9"/>
    <w:semiHidden/>
    <w:unhideWhenUsed/>
    <w:qFormat/>
    <w:rsid w:val="004E00EB"/>
    <w:pPr>
      <w:keepNext/>
      <w:keepLines/>
      <w:spacing w:before="160" w:after="80" w:line="259" w:lineRule="auto"/>
      <w:ind w:firstLine="0"/>
      <w:outlineLvl w:val="1"/>
    </w:pPr>
    <w:rPr>
      <w:rFonts w:asciiTheme="majorHAnsi" w:eastAsiaTheme="majorEastAsia" w:hAnsiTheme="majorHAnsi" w:cstheme="majorBidi"/>
      <w:color w:val="0F4761" w:themeColor="accent1" w:themeShade="BF"/>
      <w:sz w:val="32"/>
      <w:szCs w:val="32"/>
      <w:lang w:val="en-GB"/>
    </w:rPr>
  </w:style>
  <w:style w:type="paragraph" w:styleId="Heading3">
    <w:name w:val="heading 3"/>
    <w:basedOn w:val="Normal"/>
    <w:next w:val="Normal"/>
    <w:link w:val="Heading3Char"/>
    <w:uiPriority w:val="9"/>
    <w:semiHidden/>
    <w:unhideWhenUsed/>
    <w:qFormat/>
    <w:rsid w:val="004E00EB"/>
    <w:pPr>
      <w:keepNext/>
      <w:keepLines/>
      <w:spacing w:before="160" w:after="80" w:line="259" w:lineRule="auto"/>
      <w:ind w:firstLine="0"/>
      <w:outlineLvl w:val="2"/>
    </w:pPr>
    <w:rPr>
      <w:rFonts w:eastAsiaTheme="majorEastAsia" w:cstheme="majorBidi"/>
      <w:color w:val="0F4761" w:themeColor="accent1" w:themeShade="BF"/>
      <w:sz w:val="28"/>
      <w:szCs w:val="28"/>
      <w:lang w:val="en-GB"/>
    </w:rPr>
  </w:style>
  <w:style w:type="paragraph" w:styleId="Heading4">
    <w:name w:val="heading 4"/>
    <w:basedOn w:val="Normal"/>
    <w:next w:val="Normal"/>
    <w:link w:val="Heading4Char"/>
    <w:uiPriority w:val="9"/>
    <w:semiHidden/>
    <w:unhideWhenUsed/>
    <w:qFormat/>
    <w:rsid w:val="004E00EB"/>
    <w:pPr>
      <w:keepNext/>
      <w:keepLines/>
      <w:spacing w:before="80" w:after="40" w:line="259" w:lineRule="auto"/>
      <w:ind w:firstLine="0"/>
      <w:outlineLvl w:val="3"/>
    </w:pPr>
    <w:rPr>
      <w:rFonts w:eastAsiaTheme="majorEastAsia" w:cstheme="majorBidi"/>
      <w:i/>
      <w:iCs/>
      <w:color w:val="0F4761" w:themeColor="accent1" w:themeShade="BF"/>
      <w:sz w:val="22"/>
      <w:szCs w:val="22"/>
      <w:lang w:val="en-GB"/>
    </w:rPr>
  </w:style>
  <w:style w:type="paragraph" w:styleId="Heading5">
    <w:name w:val="heading 5"/>
    <w:basedOn w:val="Normal"/>
    <w:next w:val="Normal"/>
    <w:link w:val="Heading5Char"/>
    <w:uiPriority w:val="9"/>
    <w:semiHidden/>
    <w:unhideWhenUsed/>
    <w:qFormat/>
    <w:rsid w:val="004E00EB"/>
    <w:pPr>
      <w:keepNext/>
      <w:keepLines/>
      <w:spacing w:before="80" w:after="40" w:line="259" w:lineRule="auto"/>
      <w:ind w:firstLine="0"/>
      <w:outlineLvl w:val="4"/>
    </w:pPr>
    <w:rPr>
      <w:rFonts w:eastAsiaTheme="majorEastAsia" w:cstheme="majorBidi"/>
      <w:color w:val="0F4761" w:themeColor="accent1" w:themeShade="BF"/>
      <w:sz w:val="22"/>
      <w:szCs w:val="22"/>
      <w:lang w:val="en-GB"/>
    </w:rPr>
  </w:style>
  <w:style w:type="paragraph" w:styleId="Heading6">
    <w:name w:val="heading 6"/>
    <w:basedOn w:val="Normal"/>
    <w:next w:val="Normal"/>
    <w:link w:val="Heading6Char"/>
    <w:uiPriority w:val="9"/>
    <w:semiHidden/>
    <w:unhideWhenUsed/>
    <w:qFormat/>
    <w:rsid w:val="004E00EB"/>
    <w:pPr>
      <w:keepNext/>
      <w:keepLines/>
      <w:spacing w:before="40" w:line="259" w:lineRule="auto"/>
      <w:ind w:firstLine="0"/>
      <w:outlineLvl w:val="5"/>
    </w:pPr>
    <w:rPr>
      <w:rFonts w:eastAsiaTheme="majorEastAsia" w:cstheme="majorBidi"/>
      <w:i/>
      <w:iCs/>
      <w:color w:val="595959" w:themeColor="text1" w:themeTint="A6"/>
      <w:sz w:val="22"/>
      <w:szCs w:val="22"/>
      <w:lang w:val="en-GB"/>
    </w:rPr>
  </w:style>
  <w:style w:type="paragraph" w:styleId="Heading7">
    <w:name w:val="heading 7"/>
    <w:basedOn w:val="Normal"/>
    <w:next w:val="Normal"/>
    <w:link w:val="Heading7Char"/>
    <w:uiPriority w:val="9"/>
    <w:semiHidden/>
    <w:unhideWhenUsed/>
    <w:qFormat/>
    <w:rsid w:val="004E00EB"/>
    <w:pPr>
      <w:keepNext/>
      <w:keepLines/>
      <w:spacing w:before="40" w:line="259" w:lineRule="auto"/>
      <w:ind w:firstLine="0"/>
      <w:outlineLvl w:val="6"/>
    </w:pPr>
    <w:rPr>
      <w:rFonts w:eastAsiaTheme="majorEastAsia" w:cstheme="majorBidi"/>
      <w:color w:val="595959" w:themeColor="text1" w:themeTint="A6"/>
      <w:sz w:val="22"/>
      <w:szCs w:val="22"/>
      <w:lang w:val="en-GB"/>
    </w:rPr>
  </w:style>
  <w:style w:type="paragraph" w:styleId="Heading8">
    <w:name w:val="heading 8"/>
    <w:basedOn w:val="Normal"/>
    <w:next w:val="Normal"/>
    <w:link w:val="Heading8Char"/>
    <w:uiPriority w:val="9"/>
    <w:semiHidden/>
    <w:unhideWhenUsed/>
    <w:qFormat/>
    <w:rsid w:val="004E00EB"/>
    <w:pPr>
      <w:keepNext/>
      <w:keepLines/>
      <w:spacing w:line="259" w:lineRule="auto"/>
      <w:ind w:firstLine="0"/>
      <w:outlineLvl w:val="7"/>
    </w:pPr>
    <w:rPr>
      <w:rFonts w:eastAsiaTheme="majorEastAsia" w:cstheme="majorBidi"/>
      <w:i/>
      <w:iCs/>
      <w:color w:val="272727" w:themeColor="text1" w:themeTint="D8"/>
      <w:sz w:val="22"/>
      <w:szCs w:val="22"/>
      <w:lang w:val="en-GB"/>
    </w:rPr>
  </w:style>
  <w:style w:type="paragraph" w:styleId="Heading9">
    <w:name w:val="heading 9"/>
    <w:basedOn w:val="Normal"/>
    <w:next w:val="Normal"/>
    <w:link w:val="Heading9Char"/>
    <w:uiPriority w:val="9"/>
    <w:semiHidden/>
    <w:unhideWhenUsed/>
    <w:qFormat/>
    <w:rsid w:val="004E00EB"/>
    <w:pPr>
      <w:keepNext/>
      <w:keepLines/>
      <w:spacing w:line="259" w:lineRule="auto"/>
      <w:ind w:firstLine="0"/>
      <w:outlineLvl w:val="8"/>
    </w:pPr>
    <w:rPr>
      <w:rFonts w:eastAsiaTheme="majorEastAsia" w:cstheme="majorBidi"/>
      <w:color w:val="272727" w:themeColor="text1" w:themeTint="D8"/>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00E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E00E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E00E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E00E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E00E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E00E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E00E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E00E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E00EB"/>
    <w:rPr>
      <w:rFonts w:eastAsiaTheme="majorEastAsia" w:cstheme="majorBidi"/>
      <w:color w:val="272727" w:themeColor="text1" w:themeTint="D8"/>
    </w:rPr>
  </w:style>
  <w:style w:type="paragraph" w:styleId="Title">
    <w:name w:val="Title"/>
    <w:basedOn w:val="Normal"/>
    <w:next w:val="Normal"/>
    <w:link w:val="TitleChar"/>
    <w:uiPriority w:val="10"/>
    <w:qFormat/>
    <w:rsid w:val="004E00EB"/>
    <w:pPr>
      <w:spacing w:after="80" w:line="240" w:lineRule="auto"/>
      <w:ind w:firstLine="0"/>
      <w:contextualSpacing/>
    </w:pPr>
    <w:rPr>
      <w:rFonts w:asciiTheme="majorHAnsi" w:eastAsiaTheme="majorEastAsia" w:hAnsiTheme="majorHAnsi" w:cstheme="majorBidi"/>
      <w:spacing w:val="-10"/>
      <w:kern w:val="28"/>
      <w:sz w:val="56"/>
      <w:szCs w:val="56"/>
      <w:lang w:val="en-GB"/>
    </w:rPr>
  </w:style>
  <w:style w:type="character" w:customStyle="1" w:styleId="TitleChar">
    <w:name w:val="Title Char"/>
    <w:basedOn w:val="DefaultParagraphFont"/>
    <w:link w:val="Title"/>
    <w:uiPriority w:val="10"/>
    <w:rsid w:val="004E00E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E00EB"/>
    <w:pPr>
      <w:numPr>
        <w:ilvl w:val="1"/>
      </w:numPr>
      <w:spacing w:after="160" w:line="259" w:lineRule="auto"/>
    </w:pPr>
    <w:rPr>
      <w:rFonts w:eastAsiaTheme="majorEastAsia" w:cstheme="majorBidi"/>
      <w:color w:val="595959" w:themeColor="text1" w:themeTint="A6"/>
      <w:spacing w:val="15"/>
      <w:sz w:val="28"/>
      <w:szCs w:val="28"/>
      <w:lang w:val="en-GB"/>
    </w:rPr>
  </w:style>
  <w:style w:type="character" w:customStyle="1" w:styleId="SubtitleChar">
    <w:name w:val="Subtitle Char"/>
    <w:basedOn w:val="DefaultParagraphFont"/>
    <w:link w:val="Subtitle"/>
    <w:uiPriority w:val="11"/>
    <w:rsid w:val="004E00E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E00EB"/>
    <w:pPr>
      <w:spacing w:before="160" w:after="160" w:line="259" w:lineRule="auto"/>
      <w:ind w:firstLine="0"/>
      <w:jc w:val="center"/>
    </w:pPr>
    <w:rPr>
      <w:i/>
      <w:iCs/>
      <w:color w:val="404040" w:themeColor="text1" w:themeTint="BF"/>
      <w:sz w:val="22"/>
      <w:szCs w:val="22"/>
      <w:lang w:val="en-GB"/>
    </w:rPr>
  </w:style>
  <w:style w:type="character" w:customStyle="1" w:styleId="QuoteChar">
    <w:name w:val="Quote Char"/>
    <w:basedOn w:val="DefaultParagraphFont"/>
    <w:link w:val="Quote"/>
    <w:uiPriority w:val="29"/>
    <w:rsid w:val="004E00EB"/>
    <w:rPr>
      <w:i/>
      <w:iCs/>
      <w:color w:val="404040" w:themeColor="text1" w:themeTint="BF"/>
    </w:rPr>
  </w:style>
  <w:style w:type="paragraph" w:styleId="ListParagraph">
    <w:name w:val="List Paragraph"/>
    <w:basedOn w:val="Normal"/>
    <w:uiPriority w:val="34"/>
    <w:qFormat/>
    <w:rsid w:val="004E00EB"/>
    <w:pPr>
      <w:spacing w:after="160" w:line="259" w:lineRule="auto"/>
      <w:ind w:left="720" w:firstLine="0"/>
      <w:contextualSpacing/>
    </w:pPr>
    <w:rPr>
      <w:sz w:val="22"/>
      <w:szCs w:val="22"/>
      <w:lang w:val="en-GB"/>
    </w:rPr>
  </w:style>
  <w:style w:type="character" w:styleId="IntenseEmphasis">
    <w:name w:val="Intense Emphasis"/>
    <w:basedOn w:val="DefaultParagraphFont"/>
    <w:uiPriority w:val="21"/>
    <w:qFormat/>
    <w:rsid w:val="004E00EB"/>
    <w:rPr>
      <w:i/>
      <w:iCs/>
      <w:color w:val="0F4761" w:themeColor="accent1" w:themeShade="BF"/>
    </w:rPr>
  </w:style>
  <w:style w:type="paragraph" w:styleId="IntenseQuote">
    <w:name w:val="Intense Quote"/>
    <w:basedOn w:val="Normal"/>
    <w:next w:val="Normal"/>
    <w:link w:val="IntenseQuoteChar"/>
    <w:uiPriority w:val="30"/>
    <w:qFormat/>
    <w:rsid w:val="004E00EB"/>
    <w:pPr>
      <w:pBdr>
        <w:top w:val="single" w:sz="4" w:space="10" w:color="0F4761" w:themeColor="accent1" w:themeShade="BF"/>
        <w:bottom w:val="single" w:sz="4" w:space="10" w:color="0F4761" w:themeColor="accent1" w:themeShade="BF"/>
      </w:pBdr>
      <w:spacing w:before="360" w:after="360" w:line="259" w:lineRule="auto"/>
      <w:ind w:left="864" w:right="864" w:firstLine="0"/>
      <w:jc w:val="center"/>
    </w:pPr>
    <w:rPr>
      <w:i/>
      <w:iCs/>
      <w:color w:val="0F4761" w:themeColor="accent1" w:themeShade="BF"/>
      <w:sz w:val="22"/>
      <w:szCs w:val="22"/>
      <w:lang w:val="en-GB"/>
    </w:rPr>
  </w:style>
  <w:style w:type="character" w:customStyle="1" w:styleId="IntenseQuoteChar">
    <w:name w:val="Intense Quote Char"/>
    <w:basedOn w:val="DefaultParagraphFont"/>
    <w:link w:val="IntenseQuote"/>
    <w:uiPriority w:val="30"/>
    <w:rsid w:val="004E00EB"/>
    <w:rPr>
      <w:i/>
      <w:iCs/>
      <w:color w:val="0F4761" w:themeColor="accent1" w:themeShade="BF"/>
    </w:rPr>
  </w:style>
  <w:style w:type="character" w:styleId="IntenseReference">
    <w:name w:val="Intense Reference"/>
    <w:basedOn w:val="DefaultParagraphFont"/>
    <w:uiPriority w:val="32"/>
    <w:qFormat/>
    <w:rsid w:val="004E00EB"/>
    <w:rPr>
      <w:b/>
      <w:bCs/>
      <w:smallCaps/>
      <w:color w:val="0F4761" w:themeColor="accent1" w:themeShade="BF"/>
      <w:spacing w:val="5"/>
    </w:rPr>
  </w:style>
  <w:style w:type="character" w:styleId="Hyperlink">
    <w:name w:val="Hyperlink"/>
    <w:basedOn w:val="DefaultParagraphFont"/>
    <w:uiPriority w:val="99"/>
    <w:unhideWhenUsed/>
    <w:rsid w:val="004E00EB"/>
    <w:rPr>
      <w:color w:val="467886" w:themeColor="hyperlink"/>
      <w:u w:val="single"/>
    </w:rPr>
  </w:style>
  <w:style w:type="paragraph" w:styleId="Header">
    <w:name w:val="header"/>
    <w:basedOn w:val="Normal"/>
    <w:link w:val="HeaderChar"/>
    <w:uiPriority w:val="99"/>
    <w:unhideWhenUsed/>
    <w:rsid w:val="004E00EB"/>
    <w:pPr>
      <w:tabs>
        <w:tab w:val="center" w:pos="4680"/>
        <w:tab w:val="right" w:pos="9360"/>
      </w:tabs>
      <w:spacing w:line="240" w:lineRule="auto"/>
    </w:pPr>
  </w:style>
  <w:style w:type="character" w:customStyle="1" w:styleId="HeaderChar">
    <w:name w:val="Header Char"/>
    <w:basedOn w:val="DefaultParagraphFont"/>
    <w:link w:val="Header"/>
    <w:uiPriority w:val="99"/>
    <w:rsid w:val="004E00EB"/>
    <w:rPr>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16/S2468-2667(25)00141-0" TargetMode="External"/><Relationship Id="rId18" Type="http://schemas.openxmlformats.org/officeDocument/2006/relationships/hyperlink" Target="https://doi.org/10.3390/su17188375" TargetMode="External"/><Relationship Id="rId26" Type="http://schemas.openxmlformats.org/officeDocument/2006/relationships/hyperlink" Target="https://www.un.org/sustainabledevelopment/climate-change/" TargetMode="External"/><Relationship Id="rId3" Type="http://schemas.openxmlformats.org/officeDocument/2006/relationships/webSettings" Target="webSettings.xml"/><Relationship Id="rId21" Type="http://schemas.openxmlformats.org/officeDocument/2006/relationships/hyperlink" Target="https://sbuhb.nhs.wales/files/freedom-of-information-disclosure-log-2025/february/25-b-051-sbuhb-climate-action-plan-final-pdf/" TargetMode="External"/><Relationship Id="rId34" Type="http://schemas.openxmlformats.org/officeDocument/2006/relationships/theme" Target="theme/theme1.xml"/><Relationship Id="rId7" Type="http://schemas.openxmlformats.org/officeDocument/2006/relationships/hyperlink" Target="https://doi.org/10.1108/MD-11-2024-2545" TargetMode="External"/><Relationship Id="rId12" Type="http://schemas.openxmlformats.org/officeDocument/2006/relationships/hyperlink" Target="https://doi.org/10.2147/RMHP.S366759" TargetMode="External"/><Relationship Id="rId17" Type="http://schemas.openxmlformats.org/officeDocument/2006/relationships/hyperlink" Target="https://www.ons.gov.uk/peoplepopulationandcommunity/healthandsocialcare/healthinequalities/bulletins/healthylifeexpectancybynationalareadeprivationenglandandwales/between2013to2015and2022to2024" TargetMode="External"/><Relationship Id="rId25" Type="http://schemas.openxmlformats.org/officeDocument/2006/relationships/hyperlink" Target="https://www.unep.org/resources/emissions-gap-report-2025" TargetMode="External"/><Relationship Id="rId33"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discovery.ucl.ac.uk/id/eprint/10052424/1/Marmot%20Capabilities%20human%20Flourishing%20and%20the%20Health%20Gap.pdf" TargetMode="External"/><Relationship Id="rId20" Type="http://schemas.openxmlformats.org/officeDocument/2006/relationships/hyperlink" Target="https://www.lawtext.com/publication/environmental-liability-law-policy-and-practice/contents/volume-27/issue-5" TargetMode="External"/><Relationship Id="rId29" Type="http://schemas.openxmlformats.org/officeDocument/2006/relationships/hyperlink" Target="https://www.gov.wales/wellbeing-wales-2025-progress-towards-national-milestones-html" TargetMode="External"/><Relationship Id="rId1" Type="http://schemas.openxmlformats.org/officeDocument/2006/relationships/styles" Target="styles.xml"/><Relationship Id="rId6" Type="http://schemas.openxmlformats.org/officeDocument/2006/relationships/hyperlink" Target="https://www.theccc.org.uk/publication/progress-in-reducing-emissions-2025-report-to-parliament/" TargetMode="External"/><Relationship Id="rId11" Type="http://schemas.openxmlformats.org/officeDocument/2006/relationships/hyperlink" Target="https://doi.org/10.1016/j.heliyon.2023.e14889" TargetMode="External"/><Relationship Id="rId24" Type="http://schemas.openxmlformats.org/officeDocument/2006/relationships/hyperlink" Target="https://ukhsa.blog.gov.uk/2019/01/08/the-nhs-long-term-plan-10-key-public-health-points/" TargetMode="External"/><Relationship Id="rId32" Type="http://schemas.openxmlformats.org/officeDocument/2006/relationships/header" Target="header1.xml"/><Relationship Id="rId5" Type="http://schemas.openxmlformats.org/officeDocument/2006/relationships/hyperlink" Target="https://www.unwomen.org/en/news/in-focus/women-and-the-sdgs/sdg-3-good-health-well-being" TargetMode="External"/><Relationship Id="rId15" Type="http://schemas.openxmlformats.org/officeDocument/2006/relationships/hyperlink" Target="https://doi.org/10.1177/10901981251328590" TargetMode="External"/><Relationship Id="rId23" Type="http://schemas.openxmlformats.org/officeDocument/2006/relationships/hyperlink" Target="http://Gov.UK" TargetMode="External"/><Relationship Id="rId28" Type="http://schemas.openxmlformats.org/officeDocument/2006/relationships/hyperlink" Target="https://www.gov.wales/sites/default/files/publications/2021-09/a-healthier-wales-our-plan-for-health-and-social-care.pdf" TargetMode="External"/><Relationship Id="rId10" Type="http://schemas.openxmlformats.org/officeDocument/2006/relationships/hyperlink" Target="https://repository.uwtsd.ac.uk/id/eprint/3809" TargetMode="External"/><Relationship Id="rId19" Type="http://schemas.openxmlformats.org/officeDocument/2006/relationships/hyperlink" Target="https://www.thelancet.com/journals/lancet/article/PIIS0140-6736(22)01540-9/fulltext?ref\x3dlite.improvethenews.org" TargetMode="External"/><Relationship Id="rId31" Type="http://schemas.openxmlformats.org/officeDocument/2006/relationships/hyperlink" Target="https://wmo.int/news/media-centre/wmo-confirms-2024-warmest-year-record-about-155degc-above-pre-industrial-level" TargetMode="External"/><Relationship Id="rId4" Type="http://schemas.openxmlformats.org/officeDocument/2006/relationships/hyperlink" Target="https://doi.org/10.1186/s12939-022-01780-8" TargetMode="External"/><Relationship Id="rId9" Type="http://schemas.openxmlformats.org/officeDocument/2006/relationships/hyperlink" Target="https://www.instituteforgovernment.org.uk/sites/default/files/2023-06/nhs-productivity-puzzle.pdf" TargetMode="External"/><Relationship Id="rId14" Type="http://schemas.openxmlformats.org/officeDocument/2006/relationships/hyperlink" Target="https://www.pure.ed.ac.uk/ws/portalfiles/portal/511722348/Proportionate_Universalism_Final.pdf" TargetMode="External"/><Relationship Id="rId22" Type="http://schemas.openxmlformats.org/officeDocument/2006/relationships/hyperlink" Target="https://www.gov.wales/sites/default/files/publications/2026-03/public-accountability-meeting-evidence-from-swansea-bay-uhb.pdf" TargetMode="External"/><Relationship Id="rId27" Type="http://schemas.openxmlformats.org/officeDocument/2006/relationships/hyperlink" Target="https://www.un.org/en/unis-nairobi/sustainable-development-goals-have-improved-millions-lives-over-past-decade-progress" TargetMode="External"/><Relationship Id="rId30" Type="http://schemas.openxmlformats.org/officeDocument/2006/relationships/hyperlink" Target="https://www.who.int/news-room/fact-sheets/detail/maternal-mortality" TargetMode="External"/><Relationship Id="rId8" Type="http://schemas.openxmlformats.org/officeDocument/2006/relationships/hyperlink" Target="https://doi.org/10.59543/ijsdg.v1i.1613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10</Pages>
  <Words>3481</Words>
  <Characters>19842</Characters>
  <Application>Microsoft Office Word</Application>
  <DocSecurity>0</DocSecurity>
  <Lines>165</Lines>
  <Paragraphs>46</Paragraphs>
  <ScaleCrop>false</ScaleCrop>
  <Company/>
  <LinksUpToDate>false</LinksUpToDate>
  <CharactersWithSpaces>23277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Fadumo Omar</dc:creator>
  <cp:keywords/>
  <dc:description/>
  <cp:lastModifiedBy>Fadumo Omar</cp:lastModifiedBy>
  <cp:revision>2</cp:revision>
  <dcterms:created xsi:type="dcterms:W3CDTF">2026-07-14T18:43:00Z</dcterms:created>
  <dcterms:modified xsi:type="dcterms:W3CDTF">2026-07-14T18:46:00Z</dcterms:modified>
</cp:coreProperties>
</file>