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CEE83" w14:textId="23E20B29" w:rsidR="00120F70" w:rsidRPr="000E68AB" w:rsidRDefault="00CB5C07" w:rsidP="0061798A">
      <w:pPr>
        <w:spacing w:line="360" w:lineRule="auto"/>
        <w:rPr>
          <w:rFonts w:eastAsia="Arial"/>
          <w:sz w:val="28"/>
          <w:szCs w:val="28"/>
        </w:rPr>
      </w:pPr>
      <w:r w:rsidRPr="000E68AB">
        <w:rPr>
          <w:rFonts w:eastAsia="Arial"/>
          <w:sz w:val="28"/>
          <w:szCs w:val="28"/>
        </w:rPr>
        <w:t>The</w:t>
      </w:r>
      <w:r w:rsidR="00120F70" w:rsidRPr="000E68AB">
        <w:rPr>
          <w:rFonts w:eastAsia="Arial"/>
          <w:sz w:val="28"/>
          <w:szCs w:val="28"/>
        </w:rPr>
        <w:t xml:space="preserve"> Problem with Diagnoses</w:t>
      </w:r>
    </w:p>
    <w:p w14:paraId="35E021F7" w14:textId="77777777" w:rsidR="00120F70" w:rsidRPr="000E68AB" w:rsidRDefault="00120F70" w:rsidP="0061798A">
      <w:pPr>
        <w:spacing w:line="360" w:lineRule="auto"/>
        <w:rPr>
          <w:rFonts w:eastAsia="Arial"/>
          <w:sz w:val="24"/>
          <w:szCs w:val="24"/>
        </w:rPr>
      </w:pPr>
    </w:p>
    <w:p w14:paraId="5C7D7A3D" w14:textId="13B9BC55" w:rsidR="00476B08" w:rsidRPr="000E68AB" w:rsidRDefault="00120F70" w:rsidP="0061798A">
      <w:pPr>
        <w:spacing w:line="360" w:lineRule="auto"/>
        <w:rPr>
          <w:rFonts w:eastAsia="Arial"/>
          <w:sz w:val="24"/>
          <w:szCs w:val="24"/>
        </w:rPr>
      </w:pPr>
      <w:r w:rsidRPr="000E68AB">
        <w:rPr>
          <w:rFonts w:eastAsia="Arial"/>
          <w:sz w:val="24"/>
          <w:szCs w:val="24"/>
        </w:rPr>
        <w:t>Th</w:t>
      </w:r>
      <w:r w:rsidR="006D1A98" w:rsidRPr="000E68AB">
        <w:rPr>
          <w:rFonts w:eastAsia="Arial"/>
          <w:sz w:val="24"/>
          <w:szCs w:val="24"/>
        </w:rPr>
        <w:t>is submission outline</w:t>
      </w:r>
      <w:r w:rsidR="00493759" w:rsidRPr="000E68AB">
        <w:rPr>
          <w:rFonts w:eastAsia="Arial"/>
          <w:sz w:val="24"/>
          <w:szCs w:val="24"/>
        </w:rPr>
        <w:t>s</w:t>
      </w:r>
      <w:r w:rsidR="006D1A98" w:rsidRPr="000E68AB">
        <w:rPr>
          <w:rFonts w:eastAsia="Arial"/>
          <w:sz w:val="24"/>
          <w:szCs w:val="24"/>
        </w:rPr>
        <w:t xml:space="preserve"> the common, less common, and critical </w:t>
      </w:r>
      <w:r w:rsidR="0085014B" w:rsidRPr="000E68AB">
        <w:rPr>
          <w:rFonts w:eastAsia="Arial"/>
          <w:sz w:val="24"/>
          <w:szCs w:val="24"/>
        </w:rPr>
        <w:t>‘</w:t>
      </w:r>
      <w:r w:rsidR="006D1A98" w:rsidRPr="000E68AB">
        <w:rPr>
          <w:rFonts w:eastAsia="Arial"/>
          <w:sz w:val="24"/>
          <w:szCs w:val="24"/>
        </w:rPr>
        <w:t xml:space="preserve">not-to-be-missed’ clinical presentations of an anterior cruciate ligament (ACL) sprain, incorporating both subjective and objective assessment findings. An ACL sprain, frequently </w:t>
      </w:r>
      <w:r w:rsidR="0044120F" w:rsidRPr="000E68AB">
        <w:rPr>
          <w:rFonts w:eastAsia="Arial"/>
          <w:sz w:val="24"/>
          <w:szCs w:val="24"/>
        </w:rPr>
        <w:t>referred to</w:t>
      </w:r>
      <w:r w:rsidR="006D1A98" w:rsidRPr="000E68AB">
        <w:rPr>
          <w:rFonts w:eastAsia="Arial"/>
          <w:sz w:val="24"/>
          <w:szCs w:val="24"/>
        </w:rPr>
        <w:t xml:space="preserve"> an ACL tear</w:t>
      </w:r>
      <w:r w:rsidR="00E759A7" w:rsidRPr="000E68AB">
        <w:rPr>
          <w:rFonts w:eastAsia="Arial"/>
          <w:sz w:val="24"/>
          <w:szCs w:val="24"/>
        </w:rPr>
        <w:t>,</w:t>
      </w:r>
      <w:r w:rsidR="00677CAA" w:rsidRPr="000E68AB">
        <w:rPr>
          <w:rFonts w:eastAsia="Arial"/>
          <w:sz w:val="24"/>
          <w:szCs w:val="24"/>
        </w:rPr>
        <w:t xml:space="preserve"> </w:t>
      </w:r>
      <w:r w:rsidR="00C909C7" w:rsidRPr="000E68AB">
        <w:rPr>
          <w:rFonts w:eastAsia="Arial"/>
          <w:sz w:val="24"/>
          <w:szCs w:val="24"/>
        </w:rPr>
        <w:t>(with both terms used interchangeably</w:t>
      </w:r>
      <w:r w:rsidR="009D59AA" w:rsidRPr="000E68AB">
        <w:rPr>
          <w:rFonts w:eastAsia="Arial"/>
          <w:sz w:val="24"/>
          <w:szCs w:val="24"/>
        </w:rPr>
        <w:t xml:space="preserve"> throughout this submission)</w:t>
      </w:r>
      <w:r w:rsidR="006D1A98" w:rsidRPr="000E68AB">
        <w:rPr>
          <w:rFonts w:eastAsia="Arial"/>
          <w:sz w:val="24"/>
          <w:szCs w:val="24"/>
        </w:rPr>
        <w:t xml:space="preserve">, represents one of the </w:t>
      </w:r>
      <w:r w:rsidR="00597873" w:rsidRPr="000E68AB">
        <w:rPr>
          <w:rFonts w:eastAsia="Arial"/>
          <w:sz w:val="24"/>
          <w:szCs w:val="24"/>
        </w:rPr>
        <w:t>most diagnosed</w:t>
      </w:r>
      <w:r w:rsidR="006D1A98" w:rsidRPr="000E68AB">
        <w:rPr>
          <w:rFonts w:eastAsia="Arial"/>
          <w:sz w:val="24"/>
          <w:szCs w:val="24"/>
        </w:rPr>
        <w:t xml:space="preserve"> peripheral musculoskeletal injuries within sports and exercise settings</w:t>
      </w:r>
      <w:r w:rsidR="00C76641" w:rsidRPr="000E68AB">
        <w:rPr>
          <w:rFonts w:eastAsia="Arial"/>
          <w:sz w:val="24"/>
          <w:szCs w:val="24"/>
        </w:rPr>
        <w:t xml:space="preserve"> (</w:t>
      </w:r>
      <w:r w:rsidR="00F4411A" w:rsidRPr="000E68AB">
        <w:rPr>
          <w:rFonts w:eastAsia="Arial"/>
          <w:sz w:val="24"/>
          <w:szCs w:val="24"/>
        </w:rPr>
        <w:t>Alanazi</w:t>
      </w:r>
      <w:r w:rsidR="00C569AE" w:rsidRPr="000E68AB">
        <w:rPr>
          <w:rFonts w:eastAsia="Arial"/>
          <w:sz w:val="24"/>
          <w:szCs w:val="24"/>
        </w:rPr>
        <w:t xml:space="preserve"> </w:t>
      </w:r>
      <w:r w:rsidR="00C76641" w:rsidRPr="000E68AB">
        <w:rPr>
          <w:rFonts w:eastAsia="Arial"/>
          <w:i/>
          <w:iCs/>
          <w:sz w:val="24"/>
          <w:szCs w:val="24"/>
        </w:rPr>
        <w:t>et al</w:t>
      </w:r>
      <w:r w:rsidR="00C569AE" w:rsidRPr="000E68AB">
        <w:rPr>
          <w:rFonts w:eastAsia="Arial"/>
          <w:sz w:val="24"/>
          <w:szCs w:val="24"/>
        </w:rPr>
        <w:t>.,</w:t>
      </w:r>
      <w:r w:rsidR="009B1363" w:rsidRPr="000E68AB">
        <w:rPr>
          <w:rFonts w:eastAsia="Arial"/>
          <w:sz w:val="24"/>
          <w:szCs w:val="24"/>
        </w:rPr>
        <w:t xml:space="preserve"> 20</w:t>
      </w:r>
      <w:r w:rsidR="00510B30" w:rsidRPr="000E68AB">
        <w:rPr>
          <w:rFonts w:eastAsia="Arial"/>
          <w:sz w:val="24"/>
          <w:szCs w:val="24"/>
        </w:rPr>
        <w:t>25)</w:t>
      </w:r>
      <w:r w:rsidR="006D1A98" w:rsidRPr="000E68AB">
        <w:rPr>
          <w:rFonts w:eastAsia="Arial"/>
          <w:sz w:val="24"/>
          <w:szCs w:val="24"/>
        </w:rPr>
        <w:t>.</w:t>
      </w:r>
    </w:p>
    <w:p w14:paraId="044EDEA4" w14:textId="77777777" w:rsidR="00120F70" w:rsidRPr="000E68AB" w:rsidRDefault="00120F70" w:rsidP="0061798A">
      <w:pPr>
        <w:spacing w:line="360" w:lineRule="auto"/>
        <w:rPr>
          <w:rFonts w:eastAsia="Arial"/>
          <w:sz w:val="24"/>
          <w:szCs w:val="24"/>
        </w:rPr>
      </w:pPr>
    </w:p>
    <w:p w14:paraId="3BEDBB2B" w14:textId="499C793B" w:rsidR="00120F70" w:rsidRPr="000E68AB" w:rsidRDefault="00120F70" w:rsidP="0061798A">
      <w:pPr>
        <w:spacing w:line="360" w:lineRule="auto"/>
        <w:rPr>
          <w:rFonts w:eastAsia="Arial"/>
          <w:sz w:val="28"/>
          <w:szCs w:val="28"/>
        </w:rPr>
      </w:pPr>
      <w:r w:rsidRPr="000E68AB">
        <w:rPr>
          <w:rFonts w:eastAsia="Arial"/>
          <w:sz w:val="28"/>
          <w:szCs w:val="28"/>
        </w:rPr>
        <w:t>Introduction</w:t>
      </w:r>
    </w:p>
    <w:p w14:paraId="1E0943F4" w14:textId="77777777" w:rsidR="00F3150D" w:rsidRPr="000E68AB" w:rsidRDefault="00F3150D" w:rsidP="0061798A">
      <w:pPr>
        <w:spacing w:line="360" w:lineRule="auto"/>
        <w:rPr>
          <w:rFonts w:eastAsia="Arial"/>
          <w:sz w:val="24"/>
          <w:szCs w:val="24"/>
        </w:rPr>
      </w:pPr>
    </w:p>
    <w:p w14:paraId="3F29F42D" w14:textId="6195675E" w:rsidR="00C27D5C" w:rsidRPr="000E68AB" w:rsidRDefault="00F3150D" w:rsidP="0061798A">
      <w:pPr>
        <w:spacing w:line="360" w:lineRule="auto"/>
        <w:rPr>
          <w:rFonts w:eastAsia="Arial"/>
          <w:sz w:val="24"/>
          <w:szCs w:val="24"/>
        </w:rPr>
      </w:pPr>
      <w:r w:rsidRPr="000E68AB">
        <w:rPr>
          <w:rFonts w:eastAsia="Arial"/>
          <w:sz w:val="24"/>
          <w:szCs w:val="24"/>
        </w:rPr>
        <w:t>The ACL is one of the two cruciate ligaments that stabilise the knee. It is a strong connective tissue band running from the anteromedial intercondylar region of the tibial plateau to the medial surface of the lateral femoral condyle.</w:t>
      </w:r>
      <w:r w:rsidR="006A7502" w:rsidRPr="000E68AB">
        <w:rPr>
          <w:rFonts w:eastAsia="Arial"/>
          <w:sz w:val="24"/>
          <w:szCs w:val="24"/>
        </w:rPr>
        <w:t xml:space="preserve"> The ACL is approximately 32mm long and 7</w:t>
      </w:r>
      <w:r w:rsidR="0025605E" w:rsidRPr="000E68AB">
        <w:rPr>
          <w:rFonts w:eastAsia="Arial"/>
          <w:sz w:val="24"/>
          <w:szCs w:val="24"/>
        </w:rPr>
        <w:t>-</w:t>
      </w:r>
      <w:r w:rsidR="006A7502" w:rsidRPr="000E68AB">
        <w:rPr>
          <w:rFonts w:eastAsia="Arial"/>
          <w:sz w:val="24"/>
          <w:szCs w:val="24"/>
        </w:rPr>
        <w:t>12mm wide (</w:t>
      </w:r>
      <w:r w:rsidR="00104F4D" w:rsidRPr="000E68AB">
        <w:rPr>
          <w:rFonts w:eastAsia="Arial"/>
          <w:sz w:val="24"/>
          <w:szCs w:val="24"/>
        </w:rPr>
        <w:t xml:space="preserve">Giuliani </w:t>
      </w:r>
      <w:r w:rsidR="00FE106D" w:rsidRPr="000E68AB">
        <w:rPr>
          <w:rFonts w:eastAsia="Arial"/>
          <w:i/>
          <w:iCs/>
          <w:sz w:val="24"/>
          <w:szCs w:val="24"/>
        </w:rPr>
        <w:t>et al</w:t>
      </w:r>
      <w:r w:rsidR="00FE106D" w:rsidRPr="000E68AB">
        <w:rPr>
          <w:rFonts w:eastAsia="Arial"/>
          <w:sz w:val="24"/>
          <w:szCs w:val="24"/>
        </w:rPr>
        <w:t>., 20</w:t>
      </w:r>
      <w:r w:rsidR="00104F4D" w:rsidRPr="000E68AB">
        <w:rPr>
          <w:rFonts w:eastAsia="Arial"/>
          <w:sz w:val="24"/>
          <w:szCs w:val="24"/>
        </w:rPr>
        <w:t>09</w:t>
      </w:r>
      <w:r w:rsidR="00FE106D" w:rsidRPr="000E68AB">
        <w:rPr>
          <w:rFonts w:eastAsia="Arial"/>
          <w:sz w:val="24"/>
          <w:szCs w:val="24"/>
        </w:rPr>
        <w:t>).</w:t>
      </w:r>
      <w:r w:rsidR="000165F5" w:rsidRPr="000E68AB">
        <w:rPr>
          <w:rFonts w:eastAsia="Arial"/>
          <w:sz w:val="24"/>
          <w:szCs w:val="24"/>
        </w:rPr>
        <w:t xml:space="preserve"> </w:t>
      </w:r>
      <w:r w:rsidR="00BB2608" w:rsidRPr="000E68AB">
        <w:rPr>
          <w:rFonts w:eastAsia="Arial"/>
          <w:sz w:val="24"/>
          <w:szCs w:val="24"/>
        </w:rPr>
        <w:t>An ACL sprain refers to damage affecting the anterior cruciate ligament</w:t>
      </w:r>
      <w:r w:rsidR="007942DC" w:rsidRPr="000E68AB">
        <w:rPr>
          <w:rFonts w:eastAsia="Arial"/>
          <w:sz w:val="24"/>
          <w:szCs w:val="24"/>
        </w:rPr>
        <w:t xml:space="preserve">. </w:t>
      </w:r>
      <w:r w:rsidR="00BB2608" w:rsidRPr="000E68AB">
        <w:rPr>
          <w:rFonts w:eastAsia="Arial"/>
          <w:sz w:val="24"/>
          <w:szCs w:val="24"/>
        </w:rPr>
        <w:t>This injury occurs when the ligament fibres are overstretched or torn. While the term “sprain” may suggest a minor issue, ACL sprains vary widely in severity</w:t>
      </w:r>
      <w:r w:rsidR="0070364B" w:rsidRPr="000E68AB">
        <w:rPr>
          <w:rFonts w:eastAsia="Arial"/>
          <w:sz w:val="24"/>
          <w:szCs w:val="24"/>
        </w:rPr>
        <w:t xml:space="preserve">, </w:t>
      </w:r>
      <w:r w:rsidR="00BB2608" w:rsidRPr="000E68AB">
        <w:rPr>
          <w:rFonts w:eastAsia="Arial"/>
          <w:sz w:val="24"/>
          <w:szCs w:val="24"/>
        </w:rPr>
        <w:t xml:space="preserve">from slight fibre irritation to a full rupture. </w:t>
      </w:r>
      <w:r w:rsidR="005E2417" w:rsidRPr="000E68AB">
        <w:rPr>
          <w:rFonts w:eastAsia="Arial"/>
          <w:sz w:val="24"/>
          <w:szCs w:val="24"/>
        </w:rPr>
        <w:t>Clinically, ACL sprains are categorised into three grades based on the extent of fibre damage</w:t>
      </w:r>
      <w:r w:rsidR="005E1ADD" w:rsidRPr="000E68AB">
        <w:rPr>
          <w:rFonts w:eastAsia="Arial"/>
          <w:sz w:val="24"/>
          <w:szCs w:val="24"/>
        </w:rPr>
        <w:t>. E</w:t>
      </w:r>
      <w:r w:rsidR="005E2417" w:rsidRPr="000E68AB">
        <w:rPr>
          <w:rFonts w:eastAsia="Arial"/>
          <w:sz w:val="24"/>
          <w:szCs w:val="24"/>
        </w:rPr>
        <w:t xml:space="preserve">ach grade </w:t>
      </w:r>
      <w:r w:rsidR="00EE07F4" w:rsidRPr="000E68AB">
        <w:rPr>
          <w:rFonts w:eastAsia="Arial"/>
          <w:sz w:val="24"/>
          <w:szCs w:val="24"/>
        </w:rPr>
        <w:t xml:space="preserve">is </w:t>
      </w:r>
      <w:r w:rsidR="005E2417" w:rsidRPr="000E68AB">
        <w:rPr>
          <w:rFonts w:eastAsia="Arial"/>
          <w:sz w:val="24"/>
          <w:szCs w:val="24"/>
        </w:rPr>
        <w:t>outlined in more detail later in this submission.</w:t>
      </w:r>
    </w:p>
    <w:p w14:paraId="6C08E9EB" w14:textId="77777777" w:rsidR="006D1A98" w:rsidRPr="000E68AB" w:rsidRDefault="006D1A98" w:rsidP="0061798A">
      <w:pPr>
        <w:spacing w:line="360" w:lineRule="auto"/>
        <w:rPr>
          <w:rFonts w:eastAsia="Arial"/>
          <w:sz w:val="24"/>
          <w:szCs w:val="24"/>
        </w:rPr>
      </w:pPr>
    </w:p>
    <w:p w14:paraId="35CE0189" w14:textId="4066D15E" w:rsidR="00476B08" w:rsidRPr="000E68AB" w:rsidRDefault="002D4EB4" w:rsidP="0061798A">
      <w:pPr>
        <w:spacing w:line="360" w:lineRule="auto"/>
        <w:rPr>
          <w:rFonts w:eastAsia="Arial"/>
          <w:sz w:val="28"/>
          <w:szCs w:val="28"/>
        </w:rPr>
      </w:pPr>
      <w:r w:rsidRPr="000E68AB">
        <w:rPr>
          <w:rFonts w:eastAsia="Arial"/>
          <w:sz w:val="28"/>
          <w:szCs w:val="28"/>
        </w:rPr>
        <w:t>Mechanism of injury</w:t>
      </w:r>
      <w:r w:rsidR="002C099C" w:rsidRPr="000E68AB">
        <w:rPr>
          <w:rFonts w:eastAsia="Arial"/>
          <w:sz w:val="28"/>
          <w:szCs w:val="28"/>
        </w:rPr>
        <w:t xml:space="preserve">, intrinsic and extrinsic </w:t>
      </w:r>
      <w:r w:rsidR="00F77CD9" w:rsidRPr="000E68AB">
        <w:rPr>
          <w:rFonts w:eastAsia="Arial"/>
          <w:sz w:val="28"/>
          <w:szCs w:val="28"/>
        </w:rPr>
        <w:t>risk factors</w:t>
      </w:r>
    </w:p>
    <w:p w14:paraId="5B1ACCE9" w14:textId="77777777" w:rsidR="006D1A98" w:rsidRPr="000E68AB" w:rsidRDefault="006D1A98" w:rsidP="0061798A">
      <w:pPr>
        <w:spacing w:line="360" w:lineRule="auto"/>
        <w:rPr>
          <w:rFonts w:eastAsia="Arial"/>
          <w:sz w:val="24"/>
          <w:szCs w:val="24"/>
        </w:rPr>
      </w:pPr>
    </w:p>
    <w:p w14:paraId="0823DE6F" w14:textId="28C603D8" w:rsidR="002D4EB4" w:rsidRPr="000E68AB" w:rsidRDefault="002D4EB4" w:rsidP="0061798A">
      <w:pPr>
        <w:spacing w:line="360" w:lineRule="auto"/>
        <w:rPr>
          <w:rFonts w:eastAsia="Arial"/>
          <w:sz w:val="24"/>
          <w:szCs w:val="24"/>
        </w:rPr>
      </w:pPr>
      <w:r w:rsidRPr="000E68AB">
        <w:rPr>
          <w:rFonts w:eastAsia="Arial"/>
          <w:sz w:val="24"/>
          <w:szCs w:val="24"/>
        </w:rPr>
        <w:t xml:space="preserve">An ACL </w:t>
      </w:r>
      <w:r w:rsidR="004E052C" w:rsidRPr="000E68AB">
        <w:rPr>
          <w:rFonts w:eastAsia="Arial"/>
          <w:sz w:val="24"/>
          <w:szCs w:val="24"/>
        </w:rPr>
        <w:t xml:space="preserve">sprain </w:t>
      </w:r>
      <w:r w:rsidRPr="000E68AB">
        <w:rPr>
          <w:rFonts w:eastAsia="Arial"/>
          <w:sz w:val="24"/>
          <w:szCs w:val="24"/>
        </w:rPr>
        <w:t>typically occurs during non-contact mechanisms such as a rapid change of direction, cutting or pivoting with the foot planted, sudden deceleration, or landing from a jump with inadequate knee control</w:t>
      </w:r>
      <w:r w:rsidR="00FD2910" w:rsidRPr="000E68AB">
        <w:rPr>
          <w:rFonts w:eastAsia="Arial"/>
          <w:sz w:val="24"/>
          <w:szCs w:val="24"/>
        </w:rPr>
        <w:t xml:space="preserve"> (</w:t>
      </w:r>
      <w:r w:rsidR="00126AE8" w:rsidRPr="000E68AB">
        <w:rPr>
          <w:rFonts w:eastAsia="Arial"/>
          <w:sz w:val="24"/>
          <w:szCs w:val="24"/>
        </w:rPr>
        <w:t xml:space="preserve">Sundberg </w:t>
      </w:r>
      <w:r w:rsidR="00126AE8" w:rsidRPr="000E68AB">
        <w:rPr>
          <w:rFonts w:eastAsia="Arial"/>
          <w:i/>
          <w:iCs/>
          <w:sz w:val="24"/>
          <w:szCs w:val="24"/>
        </w:rPr>
        <w:t>et al</w:t>
      </w:r>
      <w:r w:rsidR="00126AE8" w:rsidRPr="000E68AB">
        <w:rPr>
          <w:rFonts w:eastAsia="Arial"/>
          <w:sz w:val="24"/>
          <w:szCs w:val="24"/>
        </w:rPr>
        <w:t>., 2025</w:t>
      </w:r>
      <w:r w:rsidR="00955657" w:rsidRPr="000E68AB">
        <w:rPr>
          <w:rFonts w:eastAsia="Arial"/>
          <w:sz w:val="24"/>
          <w:szCs w:val="24"/>
        </w:rPr>
        <w:t>)</w:t>
      </w:r>
      <w:r w:rsidRPr="000E68AB">
        <w:rPr>
          <w:rFonts w:eastAsia="Arial"/>
          <w:sz w:val="24"/>
          <w:szCs w:val="24"/>
        </w:rPr>
        <w:t>. It may also occur through contact mechanisms that produce a valgus load or forceful hyperextension of the knee</w:t>
      </w:r>
      <w:r w:rsidR="00411F75" w:rsidRPr="000E68AB">
        <w:rPr>
          <w:rFonts w:eastAsia="Arial"/>
          <w:sz w:val="24"/>
          <w:szCs w:val="24"/>
        </w:rPr>
        <w:t xml:space="preserve"> (Boden </w:t>
      </w:r>
      <w:r w:rsidR="00411F75" w:rsidRPr="000E68AB">
        <w:rPr>
          <w:rFonts w:eastAsia="Arial"/>
          <w:i/>
          <w:iCs/>
          <w:sz w:val="24"/>
          <w:szCs w:val="24"/>
        </w:rPr>
        <w:t>et al</w:t>
      </w:r>
      <w:r w:rsidR="00411F75" w:rsidRPr="000E68AB">
        <w:rPr>
          <w:rFonts w:eastAsia="Arial"/>
          <w:sz w:val="24"/>
          <w:szCs w:val="24"/>
        </w:rPr>
        <w:t>., 2000)</w:t>
      </w:r>
      <w:r w:rsidRPr="000E68AB">
        <w:rPr>
          <w:rFonts w:eastAsia="Arial"/>
          <w:sz w:val="24"/>
          <w:szCs w:val="24"/>
        </w:rPr>
        <w:t>. Less common mechanisms include direct blows to the knee</w:t>
      </w:r>
      <w:r w:rsidR="00E214B2" w:rsidRPr="000E68AB">
        <w:rPr>
          <w:rFonts w:eastAsia="Arial"/>
          <w:sz w:val="24"/>
          <w:szCs w:val="24"/>
        </w:rPr>
        <w:t xml:space="preserve"> and</w:t>
      </w:r>
      <w:r w:rsidRPr="000E68AB">
        <w:rPr>
          <w:rFonts w:eastAsia="Arial"/>
          <w:sz w:val="24"/>
          <w:szCs w:val="24"/>
        </w:rPr>
        <w:t xml:space="preserve"> hyperflexion injuries</w:t>
      </w:r>
      <w:r w:rsidR="00E214B2" w:rsidRPr="000E68AB">
        <w:rPr>
          <w:rFonts w:eastAsia="Arial"/>
          <w:sz w:val="24"/>
          <w:szCs w:val="24"/>
        </w:rPr>
        <w:t xml:space="preserve"> (Sundberg </w:t>
      </w:r>
      <w:r w:rsidR="00E214B2" w:rsidRPr="000E68AB">
        <w:rPr>
          <w:rFonts w:eastAsia="Arial"/>
          <w:i/>
          <w:iCs/>
          <w:sz w:val="24"/>
          <w:szCs w:val="24"/>
        </w:rPr>
        <w:t>et al</w:t>
      </w:r>
      <w:r w:rsidR="00E214B2" w:rsidRPr="000E68AB">
        <w:rPr>
          <w:rFonts w:eastAsia="Arial"/>
          <w:sz w:val="24"/>
          <w:szCs w:val="24"/>
        </w:rPr>
        <w:t>., 2025).</w:t>
      </w:r>
      <w:r w:rsidR="0060738C" w:rsidRPr="000E68AB">
        <w:rPr>
          <w:rFonts w:eastAsia="Arial"/>
          <w:sz w:val="24"/>
          <w:szCs w:val="24"/>
        </w:rPr>
        <w:t xml:space="preserve"> Females have an increased risk of ACL sprains, which is thought to result from hormonal influences (notably </w:t>
      </w:r>
      <w:proofErr w:type="spellStart"/>
      <w:r w:rsidR="0060738C" w:rsidRPr="000E68AB">
        <w:rPr>
          <w:rFonts w:eastAsia="Arial"/>
          <w:sz w:val="24"/>
          <w:szCs w:val="24"/>
        </w:rPr>
        <w:t>estrogen</w:t>
      </w:r>
      <w:proofErr w:type="spellEnd"/>
      <w:r w:rsidR="0060738C" w:rsidRPr="000E68AB">
        <w:rPr>
          <w:rFonts w:eastAsia="Arial"/>
          <w:sz w:val="24"/>
          <w:szCs w:val="24"/>
        </w:rPr>
        <w:t xml:space="preserve"> and </w:t>
      </w:r>
      <w:proofErr w:type="spellStart"/>
      <w:r w:rsidR="0060738C" w:rsidRPr="000E68AB">
        <w:rPr>
          <w:rFonts w:eastAsia="Arial"/>
          <w:sz w:val="24"/>
          <w:szCs w:val="24"/>
        </w:rPr>
        <w:t>relaxin</w:t>
      </w:r>
      <w:proofErr w:type="spellEnd"/>
      <w:r w:rsidR="0060738C" w:rsidRPr="000E68AB">
        <w:rPr>
          <w:rFonts w:eastAsia="Arial"/>
          <w:sz w:val="24"/>
          <w:szCs w:val="24"/>
        </w:rPr>
        <w:t>), differences in neuromuscular control, and a wider pelvis that is associated with greater knee valgus angles</w:t>
      </w:r>
      <w:r w:rsidR="0017487F" w:rsidRPr="000E68AB">
        <w:rPr>
          <w:rFonts w:eastAsia="Arial"/>
          <w:sz w:val="24"/>
          <w:szCs w:val="24"/>
        </w:rPr>
        <w:t xml:space="preserve"> (Parker </w:t>
      </w:r>
      <w:r w:rsidR="0017487F" w:rsidRPr="000E68AB">
        <w:rPr>
          <w:rFonts w:eastAsia="Arial"/>
          <w:i/>
          <w:iCs/>
          <w:sz w:val="24"/>
          <w:szCs w:val="24"/>
        </w:rPr>
        <w:t>et al</w:t>
      </w:r>
      <w:r w:rsidR="0017487F" w:rsidRPr="000E68AB">
        <w:rPr>
          <w:rFonts w:eastAsia="Arial"/>
          <w:sz w:val="24"/>
          <w:szCs w:val="24"/>
        </w:rPr>
        <w:t>., 2024).</w:t>
      </w:r>
      <w:r w:rsidR="007313C6" w:rsidRPr="000E68AB">
        <w:rPr>
          <w:rFonts w:eastAsia="Arial"/>
          <w:sz w:val="24"/>
          <w:szCs w:val="24"/>
        </w:rPr>
        <w:t xml:space="preserve"> </w:t>
      </w:r>
      <w:r w:rsidR="00C92083" w:rsidRPr="000E68AB">
        <w:rPr>
          <w:rFonts w:eastAsia="Arial"/>
          <w:sz w:val="24"/>
          <w:szCs w:val="24"/>
        </w:rPr>
        <w:t>Myer (2012) concluded that women exhibiting greater knee laxity, including joint hyperextension and side-to-side differences, have an elevated risk of sustaining an ACL injury.</w:t>
      </w:r>
      <w:r w:rsidR="00573AB3" w:rsidRPr="000E68AB">
        <w:rPr>
          <w:rFonts w:eastAsia="Arial"/>
          <w:sz w:val="24"/>
          <w:szCs w:val="24"/>
        </w:rPr>
        <w:t xml:space="preserve"> Additional risk factors may include playing surface, footwear, fatigue, and the type of sport. Hard or artificial turf can increase shear forces on the knee</w:t>
      </w:r>
      <w:r w:rsidR="004B46F2" w:rsidRPr="000E68AB">
        <w:rPr>
          <w:rFonts w:eastAsia="Arial"/>
          <w:sz w:val="24"/>
          <w:szCs w:val="24"/>
        </w:rPr>
        <w:t xml:space="preserve"> (</w:t>
      </w:r>
      <w:r w:rsidR="004C06E0" w:rsidRPr="000E68AB">
        <w:rPr>
          <w:rFonts w:eastAsia="Arial"/>
          <w:sz w:val="24"/>
          <w:szCs w:val="24"/>
        </w:rPr>
        <w:t xml:space="preserve">Balazs </w:t>
      </w:r>
      <w:r w:rsidR="004C06E0" w:rsidRPr="000E68AB">
        <w:rPr>
          <w:rFonts w:eastAsia="Arial"/>
          <w:i/>
          <w:iCs/>
          <w:sz w:val="24"/>
          <w:szCs w:val="24"/>
        </w:rPr>
        <w:t>et al.</w:t>
      </w:r>
      <w:r w:rsidR="00573AB3" w:rsidRPr="000E68AB">
        <w:rPr>
          <w:rFonts w:eastAsia="Arial"/>
          <w:sz w:val="24"/>
          <w:szCs w:val="24"/>
        </w:rPr>
        <w:t>,</w:t>
      </w:r>
      <w:r w:rsidR="004C06E0" w:rsidRPr="000E68AB">
        <w:rPr>
          <w:rFonts w:eastAsia="Arial"/>
          <w:sz w:val="24"/>
          <w:szCs w:val="24"/>
        </w:rPr>
        <w:t xml:space="preserve"> </w:t>
      </w:r>
      <w:r w:rsidR="002E152B" w:rsidRPr="000E68AB">
        <w:rPr>
          <w:rFonts w:eastAsia="Arial"/>
          <w:sz w:val="24"/>
          <w:szCs w:val="24"/>
        </w:rPr>
        <w:t>2015)</w:t>
      </w:r>
      <w:r w:rsidR="00573AB3" w:rsidRPr="000E68AB">
        <w:rPr>
          <w:rFonts w:eastAsia="Arial"/>
          <w:sz w:val="24"/>
          <w:szCs w:val="24"/>
        </w:rPr>
        <w:t xml:space="preserve"> high-traction shoes can elevate rotational torque, fatigue can reduce neuromuscular control and alter knee mechanics</w:t>
      </w:r>
      <w:r w:rsidR="00F27926" w:rsidRPr="000E68AB">
        <w:rPr>
          <w:rFonts w:eastAsia="Arial"/>
          <w:sz w:val="24"/>
          <w:szCs w:val="24"/>
        </w:rPr>
        <w:t>. S</w:t>
      </w:r>
      <w:r w:rsidR="00573AB3" w:rsidRPr="000E68AB">
        <w:rPr>
          <w:rFonts w:eastAsia="Arial"/>
          <w:sz w:val="24"/>
          <w:szCs w:val="24"/>
        </w:rPr>
        <w:t xml:space="preserve">ports that involve jumping, </w:t>
      </w:r>
      <w:r w:rsidR="00573AB3" w:rsidRPr="000E68AB">
        <w:rPr>
          <w:rFonts w:eastAsia="Arial"/>
          <w:sz w:val="24"/>
          <w:szCs w:val="24"/>
        </w:rPr>
        <w:lastRenderedPageBreak/>
        <w:t>pivoting, or sudden stops are associated with higher rates of ACL injury</w:t>
      </w:r>
      <w:r w:rsidR="009C7D97" w:rsidRPr="000E68AB">
        <w:rPr>
          <w:rFonts w:eastAsia="Arial"/>
          <w:sz w:val="24"/>
          <w:szCs w:val="24"/>
        </w:rPr>
        <w:t xml:space="preserve"> (Martinez-Calderon</w:t>
      </w:r>
      <w:r w:rsidR="00C82045" w:rsidRPr="000E68AB">
        <w:rPr>
          <w:rFonts w:eastAsia="Arial"/>
          <w:sz w:val="24"/>
          <w:szCs w:val="24"/>
        </w:rPr>
        <w:t xml:space="preserve"> </w:t>
      </w:r>
      <w:r w:rsidR="00C82045" w:rsidRPr="000E68AB">
        <w:rPr>
          <w:rFonts w:eastAsia="Arial"/>
          <w:i/>
          <w:iCs/>
          <w:sz w:val="24"/>
          <w:szCs w:val="24"/>
        </w:rPr>
        <w:t>et al.,</w:t>
      </w:r>
      <w:r w:rsidR="00C82045" w:rsidRPr="000E68AB">
        <w:rPr>
          <w:rFonts w:eastAsia="Arial"/>
          <w:sz w:val="24"/>
          <w:szCs w:val="24"/>
        </w:rPr>
        <w:t xml:space="preserve"> 2025).</w:t>
      </w:r>
    </w:p>
    <w:p w14:paraId="34ACCC9D" w14:textId="77777777" w:rsidR="00C630F1" w:rsidRPr="000E68AB" w:rsidRDefault="00C630F1" w:rsidP="0061798A">
      <w:pPr>
        <w:spacing w:line="360" w:lineRule="auto"/>
        <w:rPr>
          <w:rFonts w:eastAsia="Arial"/>
          <w:sz w:val="24"/>
          <w:szCs w:val="24"/>
        </w:rPr>
      </w:pPr>
    </w:p>
    <w:p w14:paraId="7D32EE78" w14:textId="79A1A815" w:rsidR="00C630F1" w:rsidRPr="000E68AB" w:rsidRDefault="00C630F1" w:rsidP="0061798A">
      <w:pPr>
        <w:spacing w:line="360" w:lineRule="auto"/>
        <w:rPr>
          <w:rFonts w:eastAsia="Arial"/>
          <w:sz w:val="28"/>
          <w:szCs w:val="28"/>
        </w:rPr>
      </w:pPr>
      <w:r w:rsidRPr="000E68AB">
        <w:rPr>
          <w:rFonts w:eastAsia="Arial"/>
          <w:sz w:val="28"/>
          <w:szCs w:val="28"/>
        </w:rPr>
        <w:t>Classification of ACL sprains</w:t>
      </w:r>
    </w:p>
    <w:p w14:paraId="3AF2A630" w14:textId="77777777" w:rsidR="00F80BBD" w:rsidRPr="000E68AB" w:rsidRDefault="00F80BBD" w:rsidP="0061798A">
      <w:pPr>
        <w:spacing w:line="360" w:lineRule="auto"/>
        <w:rPr>
          <w:rFonts w:eastAsia="Arial"/>
          <w:sz w:val="24"/>
          <w:szCs w:val="24"/>
        </w:rPr>
      </w:pPr>
    </w:p>
    <w:p w14:paraId="41AC2A26" w14:textId="41F3BCF0" w:rsidR="0027656F" w:rsidRPr="000E68AB" w:rsidRDefault="00D420CE" w:rsidP="0061798A">
      <w:pPr>
        <w:spacing w:line="360" w:lineRule="auto"/>
        <w:rPr>
          <w:rFonts w:eastAsia="Arial"/>
          <w:sz w:val="24"/>
          <w:szCs w:val="24"/>
        </w:rPr>
      </w:pPr>
      <w:r w:rsidRPr="000E68AB">
        <w:rPr>
          <w:rFonts w:eastAsia="Arial"/>
          <w:sz w:val="24"/>
          <w:szCs w:val="24"/>
        </w:rPr>
        <w:t>ACL injuries are commonly classified into three grades</w:t>
      </w:r>
      <w:r w:rsidR="00AD243F" w:rsidRPr="000E68AB">
        <w:rPr>
          <w:rFonts w:eastAsia="Arial"/>
          <w:sz w:val="24"/>
          <w:szCs w:val="24"/>
        </w:rPr>
        <w:t xml:space="preserve"> (</w:t>
      </w:r>
      <w:r w:rsidR="00EE7167" w:rsidRPr="000E68AB">
        <w:rPr>
          <w:rFonts w:eastAsia="Arial"/>
          <w:sz w:val="24"/>
          <w:szCs w:val="24"/>
        </w:rPr>
        <w:t>detailed</w:t>
      </w:r>
      <w:r w:rsidR="00B90C49" w:rsidRPr="000E68AB">
        <w:rPr>
          <w:rFonts w:eastAsia="Arial"/>
          <w:sz w:val="24"/>
          <w:szCs w:val="24"/>
        </w:rPr>
        <w:t xml:space="preserve"> below)</w:t>
      </w:r>
      <w:r w:rsidRPr="000E68AB">
        <w:rPr>
          <w:rFonts w:eastAsia="Arial"/>
          <w:sz w:val="24"/>
          <w:szCs w:val="24"/>
        </w:rPr>
        <w:t>, reflecting the extent of ligament fibre d</w:t>
      </w:r>
      <w:r w:rsidR="00664278" w:rsidRPr="000E68AB">
        <w:rPr>
          <w:rFonts w:eastAsia="Arial"/>
          <w:sz w:val="24"/>
          <w:szCs w:val="24"/>
        </w:rPr>
        <w:t>amage</w:t>
      </w:r>
      <w:r w:rsidRPr="000E68AB">
        <w:rPr>
          <w:rFonts w:eastAsia="Arial"/>
          <w:sz w:val="24"/>
          <w:szCs w:val="24"/>
        </w:rPr>
        <w:t xml:space="preserve"> and the resulting functional impairment.</w:t>
      </w:r>
    </w:p>
    <w:p w14:paraId="333FDE47" w14:textId="77777777" w:rsidR="0027656F" w:rsidRPr="000E68AB" w:rsidRDefault="0027656F" w:rsidP="0061798A">
      <w:pPr>
        <w:spacing w:line="360" w:lineRule="auto"/>
        <w:rPr>
          <w:rFonts w:eastAsia="Arial"/>
          <w:sz w:val="24"/>
          <w:szCs w:val="24"/>
        </w:rPr>
      </w:pPr>
    </w:p>
    <w:p w14:paraId="4C16722D" w14:textId="48B823BD" w:rsidR="0027656F" w:rsidRPr="000E68AB" w:rsidRDefault="0027656F" w:rsidP="00B614ED">
      <w:pPr>
        <w:ind w:left="720"/>
        <w:rPr>
          <w:rFonts w:eastAsia="Arial"/>
          <w:sz w:val="24"/>
          <w:szCs w:val="24"/>
        </w:rPr>
      </w:pPr>
      <w:r w:rsidRPr="000E68AB">
        <w:rPr>
          <w:rFonts w:eastAsia="Arial"/>
          <w:sz w:val="24"/>
          <w:szCs w:val="24"/>
        </w:rPr>
        <w:t xml:space="preserve">Grade I sprain - Stretching but no tearing of the ligament, local tenderness, minimal </w:t>
      </w:r>
      <w:proofErr w:type="spellStart"/>
      <w:r w:rsidRPr="000E68AB">
        <w:rPr>
          <w:rFonts w:eastAsia="Arial"/>
          <w:sz w:val="24"/>
          <w:szCs w:val="24"/>
        </w:rPr>
        <w:t>edema</w:t>
      </w:r>
      <w:proofErr w:type="spellEnd"/>
      <w:r w:rsidRPr="000E68AB">
        <w:rPr>
          <w:rFonts w:eastAsia="Arial"/>
          <w:sz w:val="24"/>
          <w:szCs w:val="24"/>
        </w:rPr>
        <w:t>, no gross instability with stress testing, firm end point</w:t>
      </w:r>
      <w:r w:rsidR="006A42CA" w:rsidRPr="000E68AB">
        <w:rPr>
          <w:rFonts w:eastAsia="Arial"/>
          <w:sz w:val="24"/>
          <w:szCs w:val="24"/>
        </w:rPr>
        <w:t xml:space="preserve">. </w:t>
      </w:r>
      <w:r w:rsidRPr="000E68AB">
        <w:rPr>
          <w:rFonts w:eastAsia="Arial"/>
          <w:sz w:val="24"/>
          <w:szCs w:val="24"/>
        </w:rPr>
        <w:t>Grade II sprain - Partial tears of the ligaments, moderate local tenderness, mild instability with stress testing (but firm end point), moderately incapacitating</w:t>
      </w:r>
      <w:r w:rsidR="006A42CA" w:rsidRPr="000E68AB">
        <w:rPr>
          <w:rFonts w:eastAsia="Arial"/>
          <w:sz w:val="24"/>
          <w:szCs w:val="24"/>
        </w:rPr>
        <w:t xml:space="preserve">. </w:t>
      </w:r>
      <w:r w:rsidRPr="000E68AB">
        <w:rPr>
          <w:rFonts w:eastAsia="Arial"/>
          <w:sz w:val="24"/>
          <w:szCs w:val="24"/>
        </w:rPr>
        <w:t xml:space="preserve">Grade III sprain - Complete tear, discomfort with manipulation but less than expected for degree of injury, variable amount of </w:t>
      </w:r>
      <w:proofErr w:type="spellStart"/>
      <w:r w:rsidRPr="000E68AB">
        <w:rPr>
          <w:rFonts w:eastAsia="Arial"/>
          <w:sz w:val="24"/>
          <w:szCs w:val="24"/>
        </w:rPr>
        <w:t>edema</w:t>
      </w:r>
      <w:proofErr w:type="spellEnd"/>
      <w:r w:rsidRPr="000E68AB">
        <w:rPr>
          <w:rFonts w:eastAsia="Arial"/>
          <w:sz w:val="24"/>
          <w:szCs w:val="24"/>
        </w:rPr>
        <w:t xml:space="preserve"> (ranging from negligible to grossly conspicuous), clear instability with stress testing (expressing a mushy end point), severe disability</w:t>
      </w:r>
      <w:r w:rsidR="0028422A" w:rsidRPr="000E68AB">
        <w:rPr>
          <w:rFonts w:eastAsia="Arial"/>
          <w:sz w:val="24"/>
          <w:szCs w:val="24"/>
        </w:rPr>
        <w:t xml:space="preserve"> (</w:t>
      </w:r>
      <w:r w:rsidR="00D6250C" w:rsidRPr="000E68AB">
        <w:rPr>
          <w:rFonts w:eastAsia="Arial"/>
          <w:sz w:val="24"/>
          <w:szCs w:val="24"/>
        </w:rPr>
        <w:t xml:space="preserve">Levy </w:t>
      </w:r>
      <w:r w:rsidR="00D6250C" w:rsidRPr="000E68AB">
        <w:rPr>
          <w:rFonts w:eastAsia="Arial"/>
          <w:i/>
          <w:iCs/>
          <w:sz w:val="24"/>
          <w:szCs w:val="24"/>
        </w:rPr>
        <w:t>et al.,</w:t>
      </w:r>
      <w:r w:rsidR="00D6250C" w:rsidRPr="000E68AB">
        <w:rPr>
          <w:rFonts w:eastAsia="Arial"/>
          <w:sz w:val="24"/>
          <w:szCs w:val="24"/>
        </w:rPr>
        <w:t xml:space="preserve"> 2025)</w:t>
      </w:r>
      <w:r w:rsidR="006A42CA" w:rsidRPr="000E68AB">
        <w:rPr>
          <w:rFonts w:eastAsia="Arial"/>
          <w:sz w:val="24"/>
          <w:szCs w:val="24"/>
        </w:rPr>
        <w:t>.</w:t>
      </w:r>
    </w:p>
    <w:p w14:paraId="73B181C1" w14:textId="77777777" w:rsidR="0027656F" w:rsidRPr="000E68AB" w:rsidRDefault="0027656F" w:rsidP="0061798A">
      <w:pPr>
        <w:spacing w:line="360" w:lineRule="auto"/>
        <w:rPr>
          <w:rFonts w:eastAsia="Arial"/>
          <w:sz w:val="24"/>
          <w:szCs w:val="24"/>
        </w:rPr>
      </w:pPr>
    </w:p>
    <w:p w14:paraId="258AD65E" w14:textId="5C6FAF51" w:rsidR="002D4EB4" w:rsidRPr="000E68AB" w:rsidRDefault="00D420CE" w:rsidP="0061798A">
      <w:pPr>
        <w:spacing w:line="360" w:lineRule="auto"/>
        <w:rPr>
          <w:rFonts w:eastAsia="Arial"/>
          <w:sz w:val="24"/>
          <w:szCs w:val="24"/>
        </w:rPr>
      </w:pPr>
      <w:r w:rsidRPr="000E68AB">
        <w:rPr>
          <w:rFonts w:eastAsia="Arial"/>
          <w:sz w:val="24"/>
          <w:szCs w:val="24"/>
        </w:rPr>
        <w:t>This grading system helps clinicians evaluate injury severity and determine whether conservative rehabilitation or surgical intervention is most appropriate.</w:t>
      </w:r>
      <w:r w:rsidR="008651D7" w:rsidRPr="000E68AB">
        <w:rPr>
          <w:rFonts w:eastAsia="Arial"/>
          <w:sz w:val="24"/>
          <w:szCs w:val="24"/>
        </w:rPr>
        <w:t xml:space="preserve"> The injury grade is typically identified using a series of tests, which </w:t>
      </w:r>
      <w:r w:rsidR="00493759" w:rsidRPr="000E68AB">
        <w:rPr>
          <w:rFonts w:eastAsia="Arial"/>
          <w:sz w:val="24"/>
          <w:szCs w:val="24"/>
        </w:rPr>
        <w:t>is</w:t>
      </w:r>
      <w:r w:rsidR="008651D7" w:rsidRPr="000E68AB">
        <w:rPr>
          <w:rFonts w:eastAsia="Arial"/>
          <w:sz w:val="24"/>
          <w:szCs w:val="24"/>
        </w:rPr>
        <w:t xml:space="preserve"> discussed in a later section.</w:t>
      </w:r>
    </w:p>
    <w:p w14:paraId="09C46C61" w14:textId="77777777" w:rsidR="00D420CE" w:rsidRPr="000E68AB" w:rsidRDefault="00D420CE" w:rsidP="0061798A">
      <w:pPr>
        <w:spacing w:line="360" w:lineRule="auto"/>
        <w:rPr>
          <w:rFonts w:eastAsia="Arial"/>
          <w:sz w:val="24"/>
          <w:szCs w:val="24"/>
        </w:rPr>
      </w:pPr>
    </w:p>
    <w:p w14:paraId="23E4824E" w14:textId="3C6285EE" w:rsidR="002D4EB4" w:rsidRPr="000E68AB" w:rsidRDefault="002D4EB4" w:rsidP="0061798A">
      <w:pPr>
        <w:spacing w:line="360" w:lineRule="auto"/>
        <w:rPr>
          <w:rFonts w:eastAsia="Arial"/>
          <w:sz w:val="28"/>
          <w:szCs w:val="28"/>
        </w:rPr>
      </w:pPr>
      <w:r w:rsidRPr="000E68AB">
        <w:rPr>
          <w:rFonts w:eastAsia="Arial"/>
          <w:sz w:val="28"/>
          <w:szCs w:val="28"/>
        </w:rPr>
        <w:t xml:space="preserve">Pain quality, quantity and location </w:t>
      </w:r>
      <w:r w:rsidR="006D1A98" w:rsidRPr="000E68AB">
        <w:rPr>
          <w:rFonts w:eastAsia="Arial"/>
          <w:sz w:val="28"/>
          <w:szCs w:val="28"/>
        </w:rPr>
        <w:t>with a</w:t>
      </w:r>
      <w:r w:rsidRPr="000E68AB">
        <w:rPr>
          <w:rFonts w:eastAsia="Arial"/>
          <w:sz w:val="28"/>
          <w:szCs w:val="28"/>
        </w:rPr>
        <w:t xml:space="preserve">ggravating and easing factors </w:t>
      </w:r>
    </w:p>
    <w:p w14:paraId="616CA4E2" w14:textId="77777777" w:rsidR="00974634" w:rsidRPr="000E68AB" w:rsidRDefault="00974634" w:rsidP="0061798A">
      <w:pPr>
        <w:spacing w:line="360" w:lineRule="auto"/>
        <w:rPr>
          <w:rFonts w:eastAsia="Arial"/>
          <w:sz w:val="24"/>
          <w:szCs w:val="24"/>
        </w:rPr>
      </w:pPr>
    </w:p>
    <w:p w14:paraId="340F2A8F" w14:textId="301346B9" w:rsidR="00974634" w:rsidRPr="000E68AB" w:rsidRDefault="00974634" w:rsidP="0061798A">
      <w:pPr>
        <w:spacing w:line="360" w:lineRule="auto"/>
        <w:rPr>
          <w:rFonts w:eastAsia="Arial"/>
          <w:sz w:val="24"/>
          <w:szCs w:val="24"/>
        </w:rPr>
      </w:pPr>
      <w:r w:rsidRPr="000E68AB">
        <w:rPr>
          <w:rFonts w:eastAsia="Arial"/>
          <w:sz w:val="24"/>
          <w:szCs w:val="24"/>
        </w:rPr>
        <w:t>Individuals sustaining an ACL sprain commonly report immediate, deep intra-articular or joint-line pain at the time of trauma. This initial pain may subside within minutes but typically re-emerges with weight-bearing activities. Frequently cited aggravating factors include ambulation, changes in direction, end-range knee extension, stair descent, and rotational movements such as pivoting or twisting</w:t>
      </w:r>
      <w:r w:rsidR="00501BD2" w:rsidRPr="000E68AB">
        <w:rPr>
          <w:rFonts w:eastAsia="Arial"/>
          <w:sz w:val="24"/>
          <w:szCs w:val="24"/>
        </w:rPr>
        <w:t xml:space="preserve"> (Bohn</w:t>
      </w:r>
      <w:r w:rsidR="009767BF" w:rsidRPr="000E68AB">
        <w:rPr>
          <w:rFonts w:eastAsia="Arial"/>
          <w:sz w:val="24"/>
          <w:szCs w:val="24"/>
        </w:rPr>
        <w:t xml:space="preserve"> </w:t>
      </w:r>
      <w:r w:rsidR="009767BF" w:rsidRPr="000E68AB">
        <w:rPr>
          <w:rFonts w:eastAsia="Arial"/>
          <w:i/>
          <w:iCs/>
          <w:sz w:val="24"/>
          <w:szCs w:val="24"/>
        </w:rPr>
        <w:t>et al</w:t>
      </w:r>
      <w:r w:rsidR="009767BF" w:rsidRPr="000E68AB">
        <w:rPr>
          <w:rFonts w:eastAsia="Arial"/>
          <w:sz w:val="24"/>
          <w:szCs w:val="24"/>
        </w:rPr>
        <w:t>., 2016)</w:t>
      </w:r>
      <w:r w:rsidRPr="000E68AB">
        <w:rPr>
          <w:rFonts w:eastAsia="Arial"/>
          <w:sz w:val="24"/>
          <w:szCs w:val="24"/>
        </w:rPr>
        <w:t xml:space="preserve">. Less common clinical presentations include posterior knee pain, potentially indicative of posterior capsular or </w:t>
      </w:r>
      <w:r w:rsidR="00546B22" w:rsidRPr="000E68AB">
        <w:rPr>
          <w:rFonts w:eastAsia="Arial"/>
          <w:sz w:val="24"/>
          <w:szCs w:val="24"/>
        </w:rPr>
        <w:t>posterior cruciate ligament</w:t>
      </w:r>
      <w:r w:rsidRPr="000E68AB">
        <w:rPr>
          <w:rFonts w:eastAsia="Arial"/>
          <w:sz w:val="24"/>
          <w:szCs w:val="24"/>
        </w:rPr>
        <w:t xml:space="preserve"> involvement, and medial or lateral knee pain associated with concomitant ligamentous injury</w:t>
      </w:r>
      <w:r w:rsidR="00F554A0" w:rsidRPr="000E68AB">
        <w:rPr>
          <w:rFonts w:eastAsia="Arial"/>
          <w:sz w:val="24"/>
          <w:szCs w:val="24"/>
        </w:rPr>
        <w:t xml:space="preserve"> (Vittone </w:t>
      </w:r>
      <w:r w:rsidR="00F554A0" w:rsidRPr="000E68AB">
        <w:rPr>
          <w:rFonts w:eastAsia="Arial"/>
          <w:i/>
          <w:iCs/>
          <w:sz w:val="24"/>
          <w:szCs w:val="24"/>
        </w:rPr>
        <w:t>et al</w:t>
      </w:r>
      <w:r w:rsidR="00F554A0" w:rsidRPr="000E68AB">
        <w:rPr>
          <w:rFonts w:eastAsia="Arial"/>
          <w:sz w:val="24"/>
          <w:szCs w:val="24"/>
        </w:rPr>
        <w:t>., 2023)</w:t>
      </w:r>
      <w:r w:rsidRPr="000E68AB">
        <w:rPr>
          <w:rFonts w:eastAsia="Arial"/>
          <w:sz w:val="24"/>
          <w:szCs w:val="24"/>
        </w:rPr>
        <w:t>. Additional, less frequently reported aggravating factors include stiffness following prolonged sitting and episodes of mild instability occurring in the absence of substantial swelling</w:t>
      </w:r>
      <w:r w:rsidR="003E7302" w:rsidRPr="000E68AB">
        <w:rPr>
          <w:rFonts w:eastAsia="Arial"/>
          <w:sz w:val="24"/>
          <w:szCs w:val="24"/>
        </w:rPr>
        <w:t xml:space="preserve"> </w:t>
      </w:r>
      <w:r w:rsidR="00E77523" w:rsidRPr="000E68AB">
        <w:rPr>
          <w:rFonts w:eastAsia="Arial"/>
          <w:sz w:val="24"/>
          <w:szCs w:val="24"/>
        </w:rPr>
        <w:t xml:space="preserve">which is </w:t>
      </w:r>
      <w:r w:rsidR="003E7302" w:rsidRPr="000E68AB">
        <w:rPr>
          <w:rFonts w:eastAsia="Arial"/>
          <w:sz w:val="24"/>
          <w:szCs w:val="24"/>
        </w:rPr>
        <w:t xml:space="preserve">commonly associated with meniscal </w:t>
      </w:r>
      <w:r w:rsidR="00E77523" w:rsidRPr="000E68AB">
        <w:rPr>
          <w:rFonts w:eastAsia="Arial"/>
          <w:sz w:val="24"/>
          <w:szCs w:val="24"/>
        </w:rPr>
        <w:t>or</w:t>
      </w:r>
      <w:r w:rsidR="003E7302" w:rsidRPr="000E68AB">
        <w:rPr>
          <w:rFonts w:eastAsia="Arial"/>
          <w:sz w:val="24"/>
          <w:szCs w:val="24"/>
        </w:rPr>
        <w:t xml:space="preserve"> cartilage damage</w:t>
      </w:r>
      <w:r w:rsidR="00E77523" w:rsidRPr="000E68AB">
        <w:rPr>
          <w:rFonts w:eastAsia="Arial"/>
          <w:sz w:val="24"/>
          <w:szCs w:val="24"/>
        </w:rPr>
        <w:t xml:space="preserve"> (</w:t>
      </w:r>
      <w:r w:rsidR="00CA59F4" w:rsidRPr="000E68AB">
        <w:rPr>
          <w:rFonts w:eastAsia="Arial"/>
          <w:sz w:val="24"/>
          <w:szCs w:val="24"/>
        </w:rPr>
        <w:t xml:space="preserve">Sommerfeldt </w:t>
      </w:r>
      <w:r w:rsidR="00CA59F4" w:rsidRPr="000E68AB">
        <w:rPr>
          <w:rFonts w:eastAsia="Arial"/>
          <w:i/>
          <w:iCs/>
          <w:sz w:val="24"/>
          <w:szCs w:val="24"/>
        </w:rPr>
        <w:t>et al</w:t>
      </w:r>
      <w:r w:rsidR="00CA59F4" w:rsidRPr="000E68AB">
        <w:rPr>
          <w:rFonts w:eastAsia="Arial"/>
          <w:sz w:val="24"/>
          <w:szCs w:val="24"/>
        </w:rPr>
        <w:t>., 2025</w:t>
      </w:r>
      <w:r w:rsidR="00B23B6D" w:rsidRPr="000E68AB">
        <w:rPr>
          <w:rFonts w:eastAsia="Arial"/>
          <w:sz w:val="24"/>
          <w:szCs w:val="24"/>
        </w:rPr>
        <w:t>)</w:t>
      </w:r>
      <w:r w:rsidRPr="000E68AB">
        <w:rPr>
          <w:rFonts w:eastAsia="Arial"/>
          <w:sz w:val="24"/>
          <w:szCs w:val="24"/>
        </w:rPr>
        <w:t>.</w:t>
      </w:r>
      <w:r w:rsidR="006D1A98" w:rsidRPr="000E68AB">
        <w:rPr>
          <w:rFonts w:eastAsia="Arial"/>
          <w:sz w:val="24"/>
          <w:szCs w:val="24"/>
        </w:rPr>
        <w:t xml:space="preserve"> </w:t>
      </w:r>
      <w:r w:rsidRPr="000E68AB">
        <w:rPr>
          <w:rFonts w:eastAsia="Arial"/>
          <w:sz w:val="24"/>
          <w:szCs w:val="24"/>
        </w:rPr>
        <w:t>Easing factors commonly include rest, application of ice, limb elevation</w:t>
      </w:r>
      <w:r w:rsidR="00B07CA8" w:rsidRPr="000E68AB">
        <w:rPr>
          <w:rFonts w:eastAsia="Arial"/>
          <w:sz w:val="24"/>
          <w:szCs w:val="24"/>
        </w:rPr>
        <w:t xml:space="preserve"> and </w:t>
      </w:r>
      <w:r w:rsidRPr="000E68AB">
        <w:rPr>
          <w:rFonts w:eastAsia="Arial"/>
          <w:sz w:val="24"/>
          <w:szCs w:val="24"/>
        </w:rPr>
        <w:t>avoidance of weight-bearing activities</w:t>
      </w:r>
      <w:r w:rsidR="00B07CA8" w:rsidRPr="000E68AB">
        <w:rPr>
          <w:rFonts w:eastAsia="Arial"/>
          <w:sz w:val="24"/>
          <w:szCs w:val="24"/>
        </w:rPr>
        <w:t xml:space="preserve"> (Bleakley and Davi</w:t>
      </w:r>
      <w:r w:rsidR="00F62B63" w:rsidRPr="000E68AB">
        <w:rPr>
          <w:rFonts w:eastAsia="Arial"/>
          <w:sz w:val="24"/>
          <w:szCs w:val="24"/>
        </w:rPr>
        <w:t>son</w:t>
      </w:r>
      <w:r w:rsidR="00D22300" w:rsidRPr="000E68AB">
        <w:rPr>
          <w:rFonts w:eastAsia="Arial"/>
          <w:sz w:val="24"/>
          <w:szCs w:val="24"/>
        </w:rPr>
        <w:t xml:space="preserve"> 2010)</w:t>
      </w:r>
      <w:r w:rsidR="00727523" w:rsidRPr="000E68AB">
        <w:rPr>
          <w:rFonts w:eastAsia="Arial"/>
          <w:sz w:val="24"/>
          <w:szCs w:val="24"/>
        </w:rPr>
        <w:t xml:space="preserve">. </w:t>
      </w:r>
      <w:r w:rsidR="0055276C" w:rsidRPr="000E68AB">
        <w:rPr>
          <w:rFonts w:eastAsia="Arial"/>
          <w:sz w:val="24"/>
          <w:szCs w:val="24"/>
        </w:rPr>
        <w:t>It is important to note that ACL sprains and tears present with a range of symptoms, from classic instability and anterior knee pain to less common manifestations such as posterior or medial/lateral discomfort. Aggravating factors typically include dynamic activities</w:t>
      </w:r>
      <w:r w:rsidR="00FF0847" w:rsidRPr="000E68AB">
        <w:rPr>
          <w:rFonts w:eastAsia="Arial"/>
          <w:sz w:val="24"/>
          <w:szCs w:val="24"/>
        </w:rPr>
        <w:t xml:space="preserve">, </w:t>
      </w:r>
      <w:r w:rsidR="0055276C" w:rsidRPr="000E68AB">
        <w:rPr>
          <w:rFonts w:eastAsia="Arial"/>
          <w:sz w:val="24"/>
          <w:szCs w:val="24"/>
        </w:rPr>
        <w:t>while easing strategies commonly involve rest, ice, elevation</w:t>
      </w:r>
      <w:r w:rsidR="002319E1" w:rsidRPr="000E68AB">
        <w:rPr>
          <w:rFonts w:eastAsia="Arial"/>
          <w:sz w:val="24"/>
          <w:szCs w:val="24"/>
        </w:rPr>
        <w:t xml:space="preserve"> and </w:t>
      </w:r>
      <w:r w:rsidR="0055276C" w:rsidRPr="000E68AB">
        <w:rPr>
          <w:rFonts w:eastAsia="Arial"/>
          <w:sz w:val="24"/>
          <w:szCs w:val="24"/>
        </w:rPr>
        <w:t>protected weight-bearing</w:t>
      </w:r>
      <w:r w:rsidR="002319E1" w:rsidRPr="000E68AB">
        <w:rPr>
          <w:rFonts w:eastAsia="Arial"/>
          <w:sz w:val="24"/>
          <w:szCs w:val="24"/>
        </w:rPr>
        <w:t>. B</w:t>
      </w:r>
      <w:r w:rsidR="0055276C" w:rsidRPr="000E68AB">
        <w:rPr>
          <w:rFonts w:eastAsia="Arial"/>
          <w:sz w:val="24"/>
          <w:szCs w:val="24"/>
        </w:rPr>
        <w:t xml:space="preserve">oth </w:t>
      </w:r>
      <w:r w:rsidR="0055276C" w:rsidRPr="000E68AB">
        <w:rPr>
          <w:rFonts w:eastAsia="Arial"/>
          <w:sz w:val="24"/>
          <w:szCs w:val="24"/>
        </w:rPr>
        <w:lastRenderedPageBreak/>
        <w:t>typical and atypical presentations, as well as effective early management strategies, is essential for accurate assessment, symptom relief, and the prevention of further injury.</w:t>
      </w:r>
    </w:p>
    <w:p w14:paraId="1173EA49" w14:textId="77777777" w:rsidR="006D1A98" w:rsidRPr="000E68AB" w:rsidRDefault="006D1A98" w:rsidP="0061798A">
      <w:pPr>
        <w:spacing w:line="360" w:lineRule="auto"/>
        <w:rPr>
          <w:rFonts w:eastAsia="Arial"/>
          <w:sz w:val="24"/>
          <w:szCs w:val="24"/>
        </w:rPr>
      </w:pPr>
    </w:p>
    <w:p w14:paraId="51390AE5" w14:textId="117DADB6" w:rsidR="006D1A98" w:rsidRPr="000E68AB" w:rsidRDefault="00597873" w:rsidP="0061798A">
      <w:pPr>
        <w:spacing w:line="360" w:lineRule="auto"/>
        <w:rPr>
          <w:rFonts w:eastAsia="Arial"/>
          <w:sz w:val="28"/>
          <w:szCs w:val="28"/>
        </w:rPr>
      </w:pPr>
      <w:r w:rsidRPr="000E68AB">
        <w:rPr>
          <w:rFonts w:eastAsia="Arial"/>
          <w:sz w:val="28"/>
          <w:szCs w:val="28"/>
        </w:rPr>
        <w:t>24-hour</w:t>
      </w:r>
      <w:r w:rsidR="006D1A98" w:rsidRPr="000E68AB">
        <w:rPr>
          <w:rFonts w:eastAsia="Arial"/>
          <w:sz w:val="28"/>
          <w:szCs w:val="28"/>
        </w:rPr>
        <w:t xml:space="preserve"> pain patterns</w:t>
      </w:r>
    </w:p>
    <w:p w14:paraId="6EA20F07" w14:textId="77777777" w:rsidR="00243A3D" w:rsidRPr="000E68AB" w:rsidRDefault="00243A3D" w:rsidP="0061798A">
      <w:pPr>
        <w:spacing w:line="360" w:lineRule="auto"/>
        <w:rPr>
          <w:rFonts w:eastAsia="Arial"/>
          <w:sz w:val="24"/>
          <w:szCs w:val="24"/>
        </w:rPr>
      </w:pPr>
    </w:p>
    <w:p w14:paraId="6F4ECF0A" w14:textId="7939169B" w:rsidR="00EA3BC2" w:rsidRPr="000E68AB" w:rsidRDefault="000A6E66" w:rsidP="0061798A">
      <w:pPr>
        <w:spacing w:line="360" w:lineRule="auto"/>
        <w:rPr>
          <w:rFonts w:eastAsia="Arial"/>
          <w:sz w:val="24"/>
          <w:szCs w:val="24"/>
        </w:rPr>
      </w:pPr>
      <w:r w:rsidRPr="000E68AB">
        <w:rPr>
          <w:rFonts w:eastAsia="Arial"/>
          <w:sz w:val="24"/>
          <w:szCs w:val="24"/>
        </w:rPr>
        <w:t>Following an ACL injury, pain is often associated with rapid joint effusion, which can develop within the first few hours</w:t>
      </w:r>
      <w:r w:rsidR="001D4AD9" w:rsidRPr="000E68AB">
        <w:rPr>
          <w:rFonts w:eastAsia="Arial"/>
          <w:sz w:val="24"/>
          <w:szCs w:val="24"/>
        </w:rPr>
        <w:t xml:space="preserve"> (</w:t>
      </w:r>
      <w:r w:rsidR="00B34153" w:rsidRPr="000E68AB">
        <w:rPr>
          <w:rFonts w:eastAsia="Arial"/>
          <w:sz w:val="24"/>
          <w:szCs w:val="24"/>
        </w:rPr>
        <w:t>Johnson, 2000)</w:t>
      </w:r>
      <w:r w:rsidRPr="000E68AB">
        <w:rPr>
          <w:rFonts w:eastAsia="Arial"/>
          <w:sz w:val="24"/>
          <w:szCs w:val="24"/>
        </w:rPr>
        <w:t>. This swelling contributes to stiffness, reduced range of motion, and difficulty bearing weight. While rapid hemarthrosis and immediate discomfort are well documented, some patients may experience ongoing pain or stiffness after activity, highlighting the variable clinical presentation of ACL tears</w:t>
      </w:r>
      <w:r w:rsidR="002F22C3" w:rsidRPr="000E68AB">
        <w:rPr>
          <w:rFonts w:eastAsia="Arial"/>
          <w:sz w:val="24"/>
          <w:szCs w:val="24"/>
        </w:rPr>
        <w:t xml:space="preserve"> (Binfield </w:t>
      </w:r>
      <w:r w:rsidR="002F22C3" w:rsidRPr="000E68AB">
        <w:rPr>
          <w:rFonts w:eastAsia="Arial"/>
          <w:i/>
          <w:iCs/>
          <w:sz w:val="24"/>
          <w:szCs w:val="24"/>
        </w:rPr>
        <w:t>et al</w:t>
      </w:r>
      <w:r w:rsidR="002F22C3" w:rsidRPr="000E68AB">
        <w:rPr>
          <w:rFonts w:eastAsia="Arial"/>
          <w:sz w:val="24"/>
          <w:szCs w:val="24"/>
        </w:rPr>
        <w:t>., 1993)</w:t>
      </w:r>
      <w:r w:rsidRPr="000E68AB">
        <w:rPr>
          <w:rFonts w:eastAsia="Arial"/>
          <w:sz w:val="24"/>
          <w:szCs w:val="24"/>
        </w:rPr>
        <w:t xml:space="preserve">. </w:t>
      </w:r>
      <w:r w:rsidR="001D0025" w:rsidRPr="000E68AB">
        <w:rPr>
          <w:rFonts w:eastAsia="Arial"/>
          <w:sz w:val="24"/>
          <w:szCs w:val="24"/>
        </w:rPr>
        <w:t>These characteristics highlight the need for prompt identification and timely management to alleviate pain and protect the injured knee.</w:t>
      </w:r>
    </w:p>
    <w:p w14:paraId="0EA8EBE0" w14:textId="77777777" w:rsidR="00F27F9F" w:rsidRPr="000E68AB" w:rsidRDefault="00F27F9F" w:rsidP="0061798A">
      <w:pPr>
        <w:spacing w:line="360" w:lineRule="auto"/>
        <w:rPr>
          <w:rFonts w:eastAsia="Arial"/>
          <w:sz w:val="24"/>
          <w:szCs w:val="24"/>
        </w:rPr>
      </w:pPr>
    </w:p>
    <w:p w14:paraId="1B0FCCB7" w14:textId="38BB90A5" w:rsidR="00EA3BC2" w:rsidRPr="000E68AB" w:rsidRDefault="00EA3BC2" w:rsidP="0061798A">
      <w:pPr>
        <w:spacing w:line="360" w:lineRule="auto"/>
        <w:rPr>
          <w:rFonts w:eastAsia="Arial"/>
          <w:sz w:val="28"/>
          <w:szCs w:val="28"/>
        </w:rPr>
      </w:pPr>
      <w:r w:rsidRPr="000E68AB">
        <w:rPr>
          <w:rFonts w:eastAsia="Arial"/>
          <w:sz w:val="28"/>
          <w:szCs w:val="28"/>
        </w:rPr>
        <w:t>Sleep disturbances</w:t>
      </w:r>
    </w:p>
    <w:p w14:paraId="1F7AB286" w14:textId="77777777" w:rsidR="0049068B" w:rsidRPr="000E68AB" w:rsidRDefault="0049068B" w:rsidP="0061798A">
      <w:pPr>
        <w:spacing w:line="360" w:lineRule="auto"/>
        <w:rPr>
          <w:rFonts w:eastAsia="Arial"/>
          <w:sz w:val="24"/>
          <w:szCs w:val="24"/>
        </w:rPr>
      </w:pPr>
    </w:p>
    <w:p w14:paraId="70904180" w14:textId="60FB7CDA" w:rsidR="0049068B" w:rsidRPr="000E68AB" w:rsidRDefault="0049068B" w:rsidP="0061798A">
      <w:pPr>
        <w:spacing w:line="360" w:lineRule="auto"/>
        <w:rPr>
          <w:rFonts w:eastAsia="Arial"/>
          <w:sz w:val="24"/>
          <w:szCs w:val="24"/>
        </w:rPr>
      </w:pPr>
      <w:r w:rsidRPr="000E68AB">
        <w:rPr>
          <w:rFonts w:eastAsia="Arial"/>
          <w:sz w:val="24"/>
          <w:szCs w:val="24"/>
        </w:rPr>
        <w:t>An ACL sprain can affect a patient’s sleep, as swelling and discomfort often make it difficult to find a comfortable position, particularly within the first 24–72 hours when disturbed sleep is most likely</w:t>
      </w:r>
      <w:r w:rsidR="00527CEF" w:rsidRPr="000E68AB">
        <w:rPr>
          <w:rFonts w:eastAsia="Arial"/>
          <w:sz w:val="24"/>
          <w:szCs w:val="24"/>
        </w:rPr>
        <w:t xml:space="preserve"> (</w:t>
      </w:r>
      <w:proofErr w:type="spellStart"/>
      <w:r w:rsidR="002732FB" w:rsidRPr="000E68AB">
        <w:rPr>
          <w:rFonts w:eastAsia="Arial"/>
          <w:sz w:val="24"/>
          <w:szCs w:val="24"/>
        </w:rPr>
        <w:t>Khalladi</w:t>
      </w:r>
      <w:proofErr w:type="spellEnd"/>
      <w:r w:rsidR="002732FB" w:rsidRPr="000E68AB">
        <w:rPr>
          <w:rFonts w:eastAsia="Arial"/>
          <w:sz w:val="24"/>
          <w:szCs w:val="24"/>
        </w:rPr>
        <w:t xml:space="preserve"> </w:t>
      </w:r>
      <w:r w:rsidR="002732FB" w:rsidRPr="000E68AB">
        <w:rPr>
          <w:rFonts w:eastAsia="Arial"/>
          <w:i/>
          <w:iCs/>
          <w:sz w:val="24"/>
          <w:szCs w:val="24"/>
        </w:rPr>
        <w:t>et al.,</w:t>
      </w:r>
      <w:r w:rsidR="002732FB" w:rsidRPr="000E68AB">
        <w:rPr>
          <w:rFonts w:eastAsia="Arial"/>
          <w:sz w:val="24"/>
          <w:szCs w:val="24"/>
        </w:rPr>
        <w:t xml:space="preserve"> 2021)</w:t>
      </w:r>
      <w:r w:rsidRPr="000E68AB">
        <w:rPr>
          <w:rFonts w:eastAsia="Arial"/>
          <w:sz w:val="24"/>
          <w:szCs w:val="24"/>
        </w:rPr>
        <w:t>. However, if swelling is minimal, the patient may simply experience mild discomfort when turning in bed rather than significant sleep disruption.</w:t>
      </w:r>
    </w:p>
    <w:p w14:paraId="2F5D0A59" w14:textId="77777777" w:rsidR="009675AB" w:rsidRPr="000E68AB" w:rsidRDefault="009675AB" w:rsidP="0061798A">
      <w:pPr>
        <w:spacing w:line="360" w:lineRule="auto"/>
        <w:rPr>
          <w:rFonts w:eastAsia="Arial"/>
          <w:sz w:val="24"/>
          <w:szCs w:val="24"/>
        </w:rPr>
      </w:pPr>
    </w:p>
    <w:p w14:paraId="2CC9B7CC" w14:textId="6F13A497" w:rsidR="009675AB" w:rsidRPr="000E68AB" w:rsidRDefault="009675AB" w:rsidP="0061798A">
      <w:pPr>
        <w:spacing w:line="360" w:lineRule="auto"/>
        <w:rPr>
          <w:rFonts w:eastAsia="Arial"/>
          <w:sz w:val="28"/>
          <w:szCs w:val="28"/>
        </w:rPr>
      </w:pPr>
      <w:r w:rsidRPr="000E68AB">
        <w:rPr>
          <w:rFonts w:eastAsia="Arial"/>
          <w:sz w:val="28"/>
          <w:szCs w:val="28"/>
        </w:rPr>
        <w:t>Response to initial management</w:t>
      </w:r>
    </w:p>
    <w:p w14:paraId="52ED97A0" w14:textId="77777777" w:rsidR="009675AB" w:rsidRPr="000E68AB" w:rsidRDefault="009675AB" w:rsidP="0061798A">
      <w:pPr>
        <w:spacing w:line="360" w:lineRule="auto"/>
        <w:rPr>
          <w:rFonts w:eastAsia="Arial"/>
          <w:sz w:val="24"/>
          <w:szCs w:val="24"/>
        </w:rPr>
      </w:pPr>
    </w:p>
    <w:p w14:paraId="6E6A3A3A" w14:textId="6F6E2DDF" w:rsidR="009675AB" w:rsidRPr="000E68AB" w:rsidRDefault="009675AB" w:rsidP="0061798A">
      <w:pPr>
        <w:spacing w:line="360" w:lineRule="auto"/>
        <w:rPr>
          <w:rFonts w:eastAsia="Arial"/>
          <w:sz w:val="24"/>
          <w:szCs w:val="24"/>
        </w:rPr>
      </w:pPr>
      <w:r w:rsidRPr="000E68AB">
        <w:rPr>
          <w:rFonts w:eastAsia="Arial"/>
          <w:sz w:val="24"/>
          <w:szCs w:val="24"/>
        </w:rPr>
        <w:t xml:space="preserve">In the early stages following a suspected ACL </w:t>
      </w:r>
      <w:r w:rsidR="00D33BB3" w:rsidRPr="000E68AB">
        <w:rPr>
          <w:rFonts w:eastAsia="Arial"/>
          <w:sz w:val="24"/>
          <w:szCs w:val="24"/>
        </w:rPr>
        <w:t>sprain</w:t>
      </w:r>
      <w:r w:rsidRPr="000E68AB">
        <w:rPr>
          <w:rFonts w:eastAsia="Arial"/>
          <w:sz w:val="24"/>
          <w:szCs w:val="24"/>
        </w:rPr>
        <w:t xml:space="preserve">, patients often benefit from conservative measures aimed at reducing pain, swelling, and inflammation. </w:t>
      </w:r>
      <w:r w:rsidR="00811747" w:rsidRPr="000E68AB">
        <w:rPr>
          <w:rFonts w:eastAsia="Arial"/>
          <w:sz w:val="24"/>
          <w:szCs w:val="24"/>
        </w:rPr>
        <w:t>Non-steroidal anti-inflammatory drugs</w:t>
      </w:r>
      <w:r w:rsidRPr="000E68AB">
        <w:rPr>
          <w:rFonts w:eastAsia="Arial"/>
          <w:sz w:val="24"/>
          <w:szCs w:val="24"/>
        </w:rPr>
        <w:t xml:space="preserve"> (</w:t>
      </w:r>
      <w:r w:rsidR="00AB231D" w:rsidRPr="000E68AB">
        <w:rPr>
          <w:rFonts w:eastAsia="Arial"/>
          <w:sz w:val="24"/>
          <w:szCs w:val="24"/>
        </w:rPr>
        <w:t xml:space="preserve">NSAIDs), </w:t>
      </w:r>
      <w:r w:rsidRPr="000E68AB">
        <w:rPr>
          <w:rFonts w:eastAsia="Arial"/>
          <w:sz w:val="24"/>
          <w:szCs w:val="24"/>
        </w:rPr>
        <w:t>such as ibuprofen</w:t>
      </w:r>
      <w:r w:rsidR="00AB231D" w:rsidRPr="000E68AB">
        <w:rPr>
          <w:rFonts w:eastAsia="Arial"/>
          <w:sz w:val="24"/>
          <w:szCs w:val="24"/>
        </w:rPr>
        <w:t>,</w:t>
      </w:r>
      <w:r w:rsidRPr="000E68AB">
        <w:rPr>
          <w:rFonts w:eastAsia="Arial"/>
          <w:sz w:val="24"/>
          <w:szCs w:val="24"/>
        </w:rPr>
        <w:t xml:space="preserve"> can help decrease pain and limit the inflammatory response, making the knee more comfortable at rest and during basic functional tasks</w:t>
      </w:r>
      <w:r w:rsidR="00E82BA1" w:rsidRPr="000E68AB">
        <w:rPr>
          <w:rFonts w:eastAsia="Arial"/>
          <w:sz w:val="24"/>
          <w:szCs w:val="24"/>
        </w:rPr>
        <w:t xml:space="preserve"> (</w:t>
      </w:r>
      <w:proofErr w:type="spellStart"/>
      <w:r w:rsidR="00E82BA1" w:rsidRPr="000E68AB">
        <w:rPr>
          <w:rFonts w:eastAsia="Arial"/>
          <w:sz w:val="24"/>
          <w:szCs w:val="24"/>
        </w:rPr>
        <w:t>Mehallo</w:t>
      </w:r>
      <w:proofErr w:type="spellEnd"/>
      <w:r w:rsidR="00E82BA1" w:rsidRPr="000E68AB">
        <w:rPr>
          <w:rFonts w:eastAsia="Arial"/>
          <w:sz w:val="24"/>
          <w:szCs w:val="24"/>
        </w:rPr>
        <w:t xml:space="preserve"> </w:t>
      </w:r>
      <w:r w:rsidR="00E82BA1" w:rsidRPr="000E68AB">
        <w:rPr>
          <w:rFonts w:eastAsia="Arial"/>
          <w:i/>
          <w:iCs/>
          <w:sz w:val="24"/>
          <w:szCs w:val="24"/>
        </w:rPr>
        <w:t>et al</w:t>
      </w:r>
      <w:r w:rsidR="00E82BA1" w:rsidRPr="000E68AB">
        <w:rPr>
          <w:rFonts w:eastAsia="Arial"/>
          <w:sz w:val="24"/>
          <w:szCs w:val="24"/>
        </w:rPr>
        <w:t>., 2006)</w:t>
      </w:r>
      <w:r w:rsidRPr="000E68AB">
        <w:rPr>
          <w:rFonts w:eastAsia="Arial"/>
          <w:sz w:val="24"/>
          <w:szCs w:val="24"/>
        </w:rPr>
        <w:t xml:space="preserve">. </w:t>
      </w:r>
      <w:r w:rsidR="008E7C4A" w:rsidRPr="000E68AB">
        <w:rPr>
          <w:rFonts w:eastAsia="Arial"/>
          <w:sz w:val="24"/>
          <w:szCs w:val="24"/>
        </w:rPr>
        <w:t xml:space="preserve">According to </w:t>
      </w:r>
      <w:proofErr w:type="spellStart"/>
      <w:r w:rsidR="008E7C4A" w:rsidRPr="000E68AB">
        <w:rPr>
          <w:rFonts w:eastAsia="Arial"/>
          <w:sz w:val="24"/>
          <w:szCs w:val="24"/>
        </w:rPr>
        <w:t>Mehallo</w:t>
      </w:r>
      <w:proofErr w:type="spellEnd"/>
      <w:r w:rsidR="008E7C4A" w:rsidRPr="000E68AB">
        <w:rPr>
          <w:rFonts w:eastAsia="Arial"/>
          <w:sz w:val="24"/>
          <w:szCs w:val="24"/>
        </w:rPr>
        <w:t xml:space="preserve"> (2006), </w:t>
      </w:r>
      <w:r w:rsidR="00D120B9" w:rsidRPr="000E68AB">
        <w:rPr>
          <w:rFonts w:eastAsia="Arial"/>
          <w:sz w:val="24"/>
          <w:szCs w:val="24"/>
        </w:rPr>
        <w:t xml:space="preserve">the </w:t>
      </w:r>
      <w:r w:rsidR="006261DF" w:rsidRPr="000E68AB">
        <w:rPr>
          <w:rFonts w:eastAsia="Arial"/>
          <w:sz w:val="24"/>
          <w:szCs w:val="24"/>
        </w:rPr>
        <w:t>impact</w:t>
      </w:r>
      <w:r w:rsidR="00D120B9" w:rsidRPr="000E68AB">
        <w:rPr>
          <w:rFonts w:eastAsia="Arial"/>
          <w:sz w:val="24"/>
          <w:szCs w:val="24"/>
        </w:rPr>
        <w:t xml:space="preserve"> of </w:t>
      </w:r>
      <w:r w:rsidR="00D45A7D" w:rsidRPr="000E68AB">
        <w:rPr>
          <w:rFonts w:eastAsia="Arial"/>
          <w:sz w:val="24"/>
          <w:szCs w:val="24"/>
        </w:rPr>
        <w:t>N</w:t>
      </w:r>
      <w:r w:rsidR="00820D66" w:rsidRPr="000E68AB">
        <w:rPr>
          <w:rFonts w:eastAsia="Arial"/>
          <w:sz w:val="24"/>
          <w:szCs w:val="24"/>
        </w:rPr>
        <w:t>S</w:t>
      </w:r>
      <w:r w:rsidR="00D45A7D" w:rsidRPr="000E68AB">
        <w:rPr>
          <w:rFonts w:eastAsia="Arial"/>
          <w:sz w:val="24"/>
          <w:szCs w:val="24"/>
        </w:rPr>
        <w:t xml:space="preserve">AIDs on long-term </w:t>
      </w:r>
      <w:r w:rsidR="006261DF" w:rsidRPr="000E68AB">
        <w:rPr>
          <w:rFonts w:eastAsia="Arial"/>
          <w:sz w:val="24"/>
          <w:szCs w:val="24"/>
        </w:rPr>
        <w:t xml:space="preserve">healing is unclear, with some data </w:t>
      </w:r>
      <w:r w:rsidR="00820010" w:rsidRPr="000E68AB">
        <w:rPr>
          <w:rFonts w:eastAsia="Arial"/>
          <w:sz w:val="24"/>
          <w:szCs w:val="24"/>
        </w:rPr>
        <w:t xml:space="preserve">suggesting delayed or impaired healing. </w:t>
      </w:r>
      <w:r w:rsidR="009A6BD0" w:rsidRPr="000E68AB">
        <w:rPr>
          <w:rFonts w:eastAsia="Arial"/>
          <w:sz w:val="24"/>
          <w:szCs w:val="24"/>
        </w:rPr>
        <w:t>Ice therapy is generally effective during the first 24–72 hours following injury, as it can help limit swelling, moderate excessive inflammatory responses, and provide temporary pain relief (Mac Auley, 2001). However, precautions should be considered, including the risk of ice burns, potential inhibition of muscle function, reduced range of motion, and contraindications such as Raynaud’s disease or cryoglobulinemia</w:t>
      </w:r>
      <w:r w:rsidR="003B32FD" w:rsidRPr="000E68AB">
        <w:rPr>
          <w:rFonts w:eastAsia="Arial"/>
          <w:sz w:val="24"/>
          <w:szCs w:val="24"/>
        </w:rPr>
        <w:t xml:space="preserve"> (</w:t>
      </w:r>
      <w:r w:rsidR="00123F94" w:rsidRPr="000E68AB">
        <w:rPr>
          <w:rFonts w:eastAsia="Arial"/>
          <w:sz w:val="24"/>
          <w:szCs w:val="24"/>
        </w:rPr>
        <w:t xml:space="preserve">Nadler </w:t>
      </w:r>
      <w:r w:rsidR="00123F94" w:rsidRPr="000E68AB">
        <w:rPr>
          <w:rFonts w:eastAsia="Arial"/>
          <w:i/>
          <w:iCs/>
          <w:sz w:val="24"/>
          <w:szCs w:val="24"/>
        </w:rPr>
        <w:t>et al</w:t>
      </w:r>
      <w:r w:rsidR="00123F94" w:rsidRPr="000E68AB">
        <w:rPr>
          <w:rFonts w:eastAsia="Arial"/>
          <w:sz w:val="24"/>
          <w:szCs w:val="24"/>
        </w:rPr>
        <w:t>., 2004)</w:t>
      </w:r>
      <w:r w:rsidR="009A6BD0" w:rsidRPr="000E68AB">
        <w:rPr>
          <w:rFonts w:eastAsia="Arial"/>
          <w:sz w:val="24"/>
          <w:szCs w:val="24"/>
        </w:rPr>
        <w:t>.</w:t>
      </w:r>
      <w:r w:rsidR="00F80C86" w:rsidRPr="000E68AB">
        <w:rPr>
          <w:rFonts w:eastAsia="Arial"/>
          <w:sz w:val="24"/>
          <w:szCs w:val="24"/>
        </w:rPr>
        <w:t xml:space="preserve"> </w:t>
      </w:r>
      <w:r w:rsidR="008A66AB" w:rsidRPr="000E68AB">
        <w:rPr>
          <w:rFonts w:eastAsia="Arial"/>
          <w:sz w:val="24"/>
          <w:szCs w:val="24"/>
        </w:rPr>
        <w:t xml:space="preserve">Compression </w:t>
      </w:r>
      <w:r w:rsidRPr="000E68AB">
        <w:rPr>
          <w:rFonts w:eastAsia="Arial"/>
          <w:sz w:val="24"/>
          <w:szCs w:val="24"/>
        </w:rPr>
        <w:t>can also help control effusion by promoting fluid drainage and providing mild support</w:t>
      </w:r>
      <w:r w:rsidR="001C55EF" w:rsidRPr="000E68AB">
        <w:rPr>
          <w:rFonts w:eastAsia="Arial"/>
          <w:sz w:val="24"/>
          <w:szCs w:val="24"/>
        </w:rPr>
        <w:t xml:space="preserve"> with m</w:t>
      </w:r>
      <w:r w:rsidRPr="000E68AB">
        <w:rPr>
          <w:rFonts w:eastAsia="Arial"/>
          <w:sz w:val="24"/>
          <w:szCs w:val="24"/>
        </w:rPr>
        <w:t>any patients describ</w:t>
      </w:r>
      <w:r w:rsidR="001C55EF" w:rsidRPr="000E68AB">
        <w:rPr>
          <w:rFonts w:eastAsia="Arial"/>
          <w:sz w:val="24"/>
          <w:szCs w:val="24"/>
        </w:rPr>
        <w:t>ing</w:t>
      </w:r>
      <w:r w:rsidRPr="000E68AB">
        <w:rPr>
          <w:rFonts w:eastAsia="Arial"/>
          <w:sz w:val="24"/>
          <w:szCs w:val="24"/>
        </w:rPr>
        <w:t xml:space="preserve"> an improvement in comfort and a sense of reduced swelling when </w:t>
      </w:r>
      <w:r w:rsidRPr="000E68AB">
        <w:rPr>
          <w:rFonts w:eastAsia="Arial"/>
          <w:sz w:val="24"/>
          <w:szCs w:val="24"/>
        </w:rPr>
        <w:lastRenderedPageBreak/>
        <w:t>compression is applied correctly</w:t>
      </w:r>
      <w:r w:rsidR="00A30E1A" w:rsidRPr="000E68AB">
        <w:rPr>
          <w:rFonts w:eastAsia="Arial"/>
          <w:sz w:val="24"/>
          <w:szCs w:val="24"/>
        </w:rPr>
        <w:t xml:space="preserve"> (Block, 2010).</w:t>
      </w:r>
      <w:r w:rsidR="00761872" w:rsidRPr="000E68AB">
        <w:rPr>
          <w:rFonts w:eastAsia="Arial"/>
          <w:sz w:val="24"/>
          <w:szCs w:val="24"/>
        </w:rPr>
        <w:t xml:space="preserve"> </w:t>
      </w:r>
      <w:r w:rsidRPr="000E68AB">
        <w:rPr>
          <w:rFonts w:eastAsia="Arial"/>
          <w:sz w:val="24"/>
          <w:szCs w:val="24"/>
        </w:rPr>
        <w:t>While these interventions can relieve symptoms and make the patient more comfortable initially, they</w:t>
      </w:r>
      <w:r w:rsidR="008A66AB" w:rsidRPr="000E68AB">
        <w:rPr>
          <w:rFonts w:eastAsia="Arial"/>
          <w:sz w:val="24"/>
          <w:szCs w:val="24"/>
        </w:rPr>
        <w:t xml:space="preserve"> do not restore stability</w:t>
      </w:r>
      <w:r w:rsidRPr="000E68AB">
        <w:rPr>
          <w:rFonts w:eastAsia="Arial"/>
          <w:sz w:val="24"/>
          <w:szCs w:val="24"/>
        </w:rPr>
        <w:t xml:space="preserve"> or resolve the underlying structural damage. This is why symptom improvement should not delay referral or further assessment</w:t>
      </w:r>
      <w:r w:rsidR="001604CD" w:rsidRPr="000E68AB">
        <w:rPr>
          <w:rFonts w:eastAsia="Arial"/>
          <w:sz w:val="24"/>
          <w:szCs w:val="24"/>
        </w:rPr>
        <w:t xml:space="preserve"> (</w:t>
      </w:r>
      <w:r w:rsidR="00814D8B" w:rsidRPr="000E68AB">
        <w:rPr>
          <w:rFonts w:eastAsia="Arial"/>
          <w:sz w:val="24"/>
          <w:szCs w:val="24"/>
        </w:rPr>
        <w:t>discussed later in this submission)</w:t>
      </w:r>
      <w:r w:rsidR="00206F5A" w:rsidRPr="000E68AB">
        <w:rPr>
          <w:rFonts w:eastAsia="Arial"/>
          <w:sz w:val="24"/>
          <w:szCs w:val="24"/>
        </w:rPr>
        <w:t>.</w:t>
      </w:r>
    </w:p>
    <w:p w14:paraId="6BA03490" w14:textId="77777777" w:rsidR="006C44A7" w:rsidRPr="000E68AB" w:rsidRDefault="006C44A7" w:rsidP="0061798A">
      <w:pPr>
        <w:spacing w:line="360" w:lineRule="auto"/>
        <w:rPr>
          <w:rFonts w:eastAsia="Arial"/>
          <w:sz w:val="24"/>
          <w:szCs w:val="24"/>
        </w:rPr>
      </w:pPr>
    </w:p>
    <w:p w14:paraId="2AFABB88" w14:textId="46707BD9" w:rsidR="006C44A7" w:rsidRPr="000E68AB" w:rsidRDefault="006C44A7" w:rsidP="0061798A">
      <w:pPr>
        <w:spacing w:line="360" w:lineRule="auto"/>
        <w:rPr>
          <w:rFonts w:eastAsia="Arial"/>
          <w:sz w:val="28"/>
          <w:szCs w:val="28"/>
        </w:rPr>
      </w:pPr>
      <w:r w:rsidRPr="000E68AB">
        <w:rPr>
          <w:rFonts w:eastAsia="Arial"/>
          <w:sz w:val="28"/>
          <w:szCs w:val="28"/>
        </w:rPr>
        <w:t xml:space="preserve">Response to </w:t>
      </w:r>
      <w:r w:rsidR="00421CB9" w:rsidRPr="000E68AB">
        <w:rPr>
          <w:rFonts w:eastAsia="Arial"/>
          <w:sz w:val="28"/>
          <w:szCs w:val="28"/>
        </w:rPr>
        <w:t>clinical tests</w:t>
      </w:r>
    </w:p>
    <w:p w14:paraId="1FAF817A" w14:textId="77777777" w:rsidR="006672AC" w:rsidRPr="000E68AB" w:rsidRDefault="006672AC" w:rsidP="0061798A">
      <w:pPr>
        <w:spacing w:line="360" w:lineRule="auto"/>
        <w:rPr>
          <w:rFonts w:eastAsia="Arial"/>
          <w:sz w:val="24"/>
          <w:szCs w:val="24"/>
        </w:rPr>
      </w:pPr>
    </w:p>
    <w:p w14:paraId="24B830B4" w14:textId="779069F6" w:rsidR="00E83E8D" w:rsidRPr="000E68AB" w:rsidRDefault="006672AC" w:rsidP="0061798A">
      <w:pPr>
        <w:spacing w:line="360" w:lineRule="auto"/>
        <w:rPr>
          <w:sz w:val="24"/>
          <w:szCs w:val="24"/>
        </w:rPr>
      </w:pPr>
      <w:r w:rsidRPr="000E68AB">
        <w:rPr>
          <w:sz w:val="24"/>
          <w:szCs w:val="24"/>
        </w:rPr>
        <w:t>Objective signposts for a suspected ACL sprain include a combination of clinical findings and imaging results. In terms of range of movement, patients often present with reduced knee extension due to joint effusion and pain, as well as limited flexion caused by protective muscle guarding, making full extension or bending difficult and sometimes uncomfortable</w:t>
      </w:r>
      <w:r w:rsidR="00825FC4" w:rsidRPr="000E68AB">
        <w:rPr>
          <w:sz w:val="24"/>
          <w:szCs w:val="24"/>
        </w:rPr>
        <w:t xml:space="preserve"> (Cimino </w:t>
      </w:r>
      <w:r w:rsidR="00825FC4" w:rsidRPr="000E68AB">
        <w:rPr>
          <w:i/>
          <w:iCs/>
          <w:sz w:val="24"/>
          <w:szCs w:val="24"/>
        </w:rPr>
        <w:t>et al.,</w:t>
      </w:r>
      <w:r w:rsidR="00825FC4" w:rsidRPr="000E68AB">
        <w:rPr>
          <w:sz w:val="24"/>
          <w:szCs w:val="24"/>
        </w:rPr>
        <w:t xml:space="preserve"> 2010)</w:t>
      </w:r>
      <w:r w:rsidRPr="000E68AB">
        <w:rPr>
          <w:sz w:val="24"/>
          <w:szCs w:val="24"/>
        </w:rPr>
        <w:t>. Manual muscle testing may reveal quadriceps inhibition, which reduces strength and activation, while the hamstrings may demonstrate tightness or guarding, particularly if the injury involved hyperextension or rapid deceleration</w:t>
      </w:r>
      <w:r w:rsidR="00412334" w:rsidRPr="000E68AB">
        <w:rPr>
          <w:sz w:val="24"/>
          <w:szCs w:val="24"/>
        </w:rPr>
        <w:t xml:space="preserve"> (Kim </w:t>
      </w:r>
      <w:r w:rsidR="00412334" w:rsidRPr="000E68AB">
        <w:rPr>
          <w:i/>
          <w:iCs/>
          <w:sz w:val="24"/>
          <w:szCs w:val="24"/>
        </w:rPr>
        <w:t>et al.,</w:t>
      </w:r>
      <w:r w:rsidR="00412334" w:rsidRPr="000E68AB">
        <w:rPr>
          <w:sz w:val="24"/>
          <w:szCs w:val="24"/>
        </w:rPr>
        <w:t xml:space="preserve"> 2016).</w:t>
      </w:r>
    </w:p>
    <w:p w14:paraId="4477F096" w14:textId="38074421" w:rsidR="006672AC" w:rsidRPr="000E68AB" w:rsidRDefault="006672AC" w:rsidP="0061798A">
      <w:pPr>
        <w:spacing w:line="360" w:lineRule="auto"/>
        <w:rPr>
          <w:sz w:val="24"/>
          <w:szCs w:val="24"/>
        </w:rPr>
      </w:pPr>
      <w:r w:rsidRPr="000E68AB">
        <w:rPr>
          <w:sz w:val="24"/>
          <w:szCs w:val="24"/>
        </w:rPr>
        <w:t>Ligament stress tests provide key diagnostic information, with the Lachman test being the most sensitive; increased anterior tibial translation and a soft or absent endpoint suggest an ACL rupture</w:t>
      </w:r>
      <w:r w:rsidR="00495897" w:rsidRPr="000E68AB">
        <w:rPr>
          <w:sz w:val="24"/>
          <w:szCs w:val="24"/>
        </w:rPr>
        <w:t xml:space="preserve"> (Evans </w:t>
      </w:r>
      <w:r w:rsidR="00495897" w:rsidRPr="000E68AB">
        <w:rPr>
          <w:i/>
          <w:iCs/>
          <w:sz w:val="24"/>
          <w:szCs w:val="24"/>
        </w:rPr>
        <w:t>et al.,</w:t>
      </w:r>
      <w:r w:rsidR="00495897" w:rsidRPr="000E68AB">
        <w:rPr>
          <w:sz w:val="24"/>
          <w:szCs w:val="24"/>
        </w:rPr>
        <w:t xml:space="preserve"> 2023)</w:t>
      </w:r>
      <w:r w:rsidRPr="000E68AB">
        <w:rPr>
          <w:sz w:val="24"/>
          <w:szCs w:val="24"/>
        </w:rPr>
        <w:t>. The anterior drawer test can also demonstrate anterior tibial movement, although its reliability may be limited acutely due to pain or swelling</w:t>
      </w:r>
      <w:r w:rsidR="003A798E" w:rsidRPr="000E68AB">
        <w:rPr>
          <w:sz w:val="24"/>
          <w:szCs w:val="24"/>
        </w:rPr>
        <w:t xml:space="preserve"> (Christiaan </w:t>
      </w:r>
      <w:r w:rsidR="003A798E" w:rsidRPr="000E68AB">
        <w:rPr>
          <w:i/>
          <w:iCs/>
          <w:sz w:val="24"/>
          <w:szCs w:val="24"/>
        </w:rPr>
        <w:t>et al.,</w:t>
      </w:r>
      <w:r w:rsidR="003A798E" w:rsidRPr="000E68AB">
        <w:rPr>
          <w:sz w:val="24"/>
          <w:szCs w:val="24"/>
        </w:rPr>
        <w:t xml:space="preserve"> 2018)</w:t>
      </w:r>
      <w:r w:rsidRPr="000E68AB">
        <w:rPr>
          <w:sz w:val="24"/>
          <w:szCs w:val="24"/>
        </w:rPr>
        <w:t xml:space="preserve">. The pivot shift test is highly specific for ACL </w:t>
      </w:r>
      <w:r w:rsidR="00CE2511" w:rsidRPr="000E68AB">
        <w:rPr>
          <w:sz w:val="24"/>
          <w:szCs w:val="24"/>
        </w:rPr>
        <w:t>injury</w:t>
      </w:r>
      <w:r w:rsidRPr="000E68AB">
        <w:rPr>
          <w:sz w:val="24"/>
          <w:szCs w:val="24"/>
        </w:rPr>
        <w:t xml:space="preserve"> but is often difficult to perform in the early stages because of patient discomfort</w:t>
      </w:r>
      <w:r w:rsidR="008F0988" w:rsidRPr="000E68AB">
        <w:rPr>
          <w:sz w:val="24"/>
          <w:szCs w:val="24"/>
        </w:rPr>
        <w:t xml:space="preserve"> (</w:t>
      </w:r>
      <w:r w:rsidR="00D87D89" w:rsidRPr="000E68AB">
        <w:rPr>
          <w:sz w:val="24"/>
          <w:szCs w:val="24"/>
        </w:rPr>
        <w:t xml:space="preserve">Kulwin </w:t>
      </w:r>
      <w:r w:rsidR="00D87D89" w:rsidRPr="000E68AB">
        <w:rPr>
          <w:i/>
          <w:iCs/>
          <w:sz w:val="24"/>
          <w:szCs w:val="24"/>
        </w:rPr>
        <w:t>et al.,</w:t>
      </w:r>
      <w:r w:rsidR="00D87D89" w:rsidRPr="000E68AB">
        <w:rPr>
          <w:sz w:val="24"/>
          <w:szCs w:val="24"/>
        </w:rPr>
        <w:t xml:space="preserve"> 2023)</w:t>
      </w:r>
      <w:r w:rsidRPr="000E68AB">
        <w:rPr>
          <w:sz w:val="24"/>
          <w:szCs w:val="24"/>
        </w:rPr>
        <w:t>.</w:t>
      </w:r>
      <w:r w:rsidR="00AB12B6" w:rsidRPr="000E68AB">
        <w:rPr>
          <w:sz w:val="24"/>
          <w:szCs w:val="24"/>
        </w:rPr>
        <w:t xml:space="preserve"> </w:t>
      </w:r>
      <w:r w:rsidRPr="000E68AB">
        <w:rPr>
          <w:sz w:val="24"/>
          <w:szCs w:val="24"/>
        </w:rPr>
        <w:t>Palpation is used to assess secondary signs such as joint effusion, tenderness along the joint line</w:t>
      </w:r>
      <w:r w:rsidR="00AB12B6" w:rsidRPr="000E68AB">
        <w:rPr>
          <w:sz w:val="24"/>
          <w:szCs w:val="24"/>
        </w:rPr>
        <w:t xml:space="preserve"> and</w:t>
      </w:r>
      <w:r w:rsidRPr="000E68AB">
        <w:rPr>
          <w:sz w:val="24"/>
          <w:szCs w:val="24"/>
        </w:rPr>
        <w:t xml:space="preserve"> local warmth; direct palpation of the ACL itself is not possible</w:t>
      </w:r>
      <w:r w:rsidR="00484B7A" w:rsidRPr="000E68AB">
        <w:rPr>
          <w:sz w:val="24"/>
          <w:szCs w:val="24"/>
        </w:rPr>
        <w:t xml:space="preserve"> (</w:t>
      </w:r>
      <w:r w:rsidR="00484B7A" w:rsidRPr="000E68AB">
        <w:rPr>
          <w:sz w:val="24"/>
          <w:szCs w:val="24"/>
        </w:rPr>
        <w:t xml:space="preserve">(Evans </w:t>
      </w:r>
      <w:r w:rsidR="00484B7A" w:rsidRPr="000E68AB">
        <w:rPr>
          <w:i/>
          <w:iCs/>
          <w:sz w:val="24"/>
          <w:szCs w:val="24"/>
        </w:rPr>
        <w:t>et al.,</w:t>
      </w:r>
      <w:r w:rsidR="00484B7A" w:rsidRPr="000E68AB">
        <w:rPr>
          <w:sz w:val="24"/>
          <w:szCs w:val="24"/>
        </w:rPr>
        <w:t xml:space="preserve"> 2023).</w:t>
      </w:r>
      <w:r w:rsidR="00E0588C" w:rsidRPr="000E68AB">
        <w:rPr>
          <w:sz w:val="24"/>
          <w:szCs w:val="24"/>
        </w:rPr>
        <w:t xml:space="preserve"> </w:t>
      </w:r>
      <w:r w:rsidRPr="000E68AB">
        <w:rPr>
          <w:sz w:val="24"/>
          <w:szCs w:val="24"/>
        </w:rPr>
        <w:t>Special and functional tests, including McMurray’s or Thessaly tests, may identify associated meniscal pathology</w:t>
      </w:r>
      <w:r w:rsidR="00E0588C" w:rsidRPr="000E68AB">
        <w:rPr>
          <w:sz w:val="24"/>
          <w:szCs w:val="24"/>
        </w:rPr>
        <w:t xml:space="preserve"> (Smith </w:t>
      </w:r>
      <w:r w:rsidR="00E0588C" w:rsidRPr="000E68AB">
        <w:rPr>
          <w:i/>
          <w:iCs/>
          <w:sz w:val="24"/>
          <w:szCs w:val="24"/>
        </w:rPr>
        <w:t>et al.,</w:t>
      </w:r>
      <w:r w:rsidR="00E0588C" w:rsidRPr="000E68AB">
        <w:rPr>
          <w:sz w:val="24"/>
          <w:szCs w:val="24"/>
        </w:rPr>
        <w:t xml:space="preserve"> 2015)</w:t>
      </w:r>
      <w:r w:rsidR="00511864" w:rsidRPr="000E68AB">
        <w:rPr>
          <w:sz w:val="24"/>
          <w:szCs w:val="24"/>
        </w:rPr>
        <w:t xml:space="preserve">. </w:t>
      </w:r>
      <w:r w:rsidR="00740FF4" w:rsidRPr="000E68AB">
        <w:rPr>
          <w:sz w:val="24"/>
          <w:szCs w:val="24"/>
        </w:rPr>
        <w:t>Functional tests</w:t>
      </w:r>
      <w:r w:rsidR="00740FF4" w:rsidRPr="000E68AB">
        <w:rPr>
          <w:sz w:val="24"/>
          <w:szCs w:val="24"/>
        </w:rPr>
        <w:t xml:space="preserve">, </w:t>
      </w:r>
      <w:r w:rsidR="00740FF4" w:rsidRPr="000E68AB">
        <w:rPr>
          <w:sz w:val="24"/>
          <w:szCs w:val="24"/>
        </w:rPr>
        <w:t>such as single-leg step-downs or hop variations</w:t>
      </w:r>
      <w:r w:rsidR="00740FF4" w:rsidRPr="000E68AB">
        <w:rPr>
          <w:sz w:val="24"/>
          <w:szCs w:val="24"/>
        </w:rPr>
        <w:t xml:space="preserve">, </w:t>
      </w:r>
      <w:r w:rsidR="00740FF4" w:rsidRPr="000E68AB">
        <w:rPr>
          <w:sz w:val="24"/>
          <w:szCs w:val="24"/>
        </w:rPr>
        <w:t>can highlight instability, episodes of giving way, or difficulty with weight acceptance; however, the specific tasks selected will depend on the individual’s ability and the stage of injury, as these assessments are often restricted in the acute phase due to pain and swelling.</w:t>
      </w:r>
      <w:r w:rsidR="000A790C" w:rsidRPr="000E68AB">
        <w:rPr>
          <w:sz w:val="24"/>
          <w:szCs w:val="24"/>
        </w:rPr>
        <w:t xml:space="preserve"> </w:t>
      </w:r>
      <w:r w:rsidRPr="000E68AB">
        <w:rPr>
          <w:sz w:val="24"/>
          <w:szCs w:val="24"/>
        </w:rPr>
        <w:t>Imaging plays a critical role in confirming the diagnosis, with MRI being the gold standard, capable of identifying complete or partial ACL tears</w:t>
      </w:r>
      <w:r w:rsidR="00477B47" w:rsidRPr="000E68AB">
        <w:rPr>
          <w:sz w:val="24"/>
          <w:szCs w:val="24"/>
        </w:rPr>
        <w:t xml:space="preserve"> (Zhao</w:t>
      </w:r>
      <w:r w:rsidR="00DB539E" w:rsidRPr="000E68AB">
        <w:rPr>
          <w:sz w:val="24"/>
          <w:szCs w:val="24"/>
        </w:rPr>
        <w:t xml:space="preserve"> </w:t>
      </w:r>
      <w:r w:rsidR="00DB539E" w:rsidRPr="000E68AB">
        <w:rPr>
          <w:i/>
          <w:iCs/>
          <w:sz w:val="24"/>
          <w:szCs w:val="24"/>
        </w:rPr>
        <w:t>et al.,</w:t>
      </w:r>
      <w:r w:rsidR="00DB539E" w:rsidRPr="000E68AB">
        <w:rPr>
          <w:sz w:val="24"/>
          <w:szCs w:val="24"/>
        </w:rPr>
        <w:t xml:space="preserve"> 2020)</w:t>
      </w:r>
      <w:r w:rsidR="009D0D91" w:rsidRPr="000E68AB">
        <w:rPr>
          <w:sz w:val="24"/>
          <w:szCs w:val="24"/>
        </w:rPr>
        <w:t>.</w:t>
      </w:r>
      <w:r w:rsidRPr="000E68AB">
        <w:rPr>
          <w:sz w:val="24"/>
          <w:szCs w:val="24"/>
        </w:rPr>
        <w:t xml:space="preserve"> X-rays, while unable to visualise the ligament directly, may reveal tibial plateau fractures or a </w:t>
      </w:r>
      <w:proofErr w:type="spellStart"/>
      <w:r w:rsidRPr="000E68AB">
        <w:rPr>
          <w:sz w:val="24"/>
          <w:szCs w:val="24"/>
        </w:rPr>
        <w:t>Segond</w:t>
      </w:r>
      <w:proofErr w:type="spellEnd"/>
      <w:r w:rsidRPr="000E68AB">
        <w:rPr>
          <w:sz w:val="24"/>
          <w:szCs w:val="24"/>
        </w:rPr>
        <w:t xml:space="preserve"> fracture, which is highly suggestive of an ACL rupture</w:t>
      </w:r>
      <w:r w:rsidR="00EC6503" w:rsidRPr="000E68AB">
        <w:rPr>
          <w:sz w:val="24"/>
          <w:szCs w:val="24"/>
        </w:rPr>
        <w:t xml:space="preserve"> (Evans </w:t>
      </w:r>
      <w:r w:rsidR="00EC6503" w:rsidRPr="000E68AB">
        <w:rPr>
          <w:i/>
          <w:iCs/>
          <w:sz w:val="24"/>
          <w:szCs w:val="24"/>
        </w:rPr>
        <w:t>et al.,</w:t>
      </w:r>
      <w:r w:rsidR="00EC6503" w:rsidRPr="000E68AB">
        <w:rPr>
          <w:sz w:val="24"/>
          <w:szCs w:val="24"/>
        </w:rPr>
        <w:t xml:space="preserve"> </w:t>
      </w:r>
      <w:r w:rsidR="00AB276C" w:rsidRPr="000E68AB">
        <w:rPr>
          <w:sz w:val="24"/>
          <w:szCs w:val="24"/>
        </w:rPr>
        <w:t>2023)</w:t>
      </w:r>
      <w:r w:rsidRPr="000E68AB">
        <w:rPr>
          <w:sz w:val="24"/>
          <w:szCs w:val="24"/>
        </w:rPr>
        <w:t xml:space="preserve">. </w:t>
      </w:r>
      <w:r w:rsidR="000945DC" w:rsidRPr="000E68AB">
        <w:rPr>
          <w:sz w:val="24"/>
          <w:szCs w:val="24"/>
        </w:rPr>
        <w:t xml:space="preserve">Ultrasound is not typically used to assess the ACL itself, but it can be helpful for identifying joint swelling or </w:t>
      </w:r>
      <w:r w:rsidR="00210CE5" w:rsidRPr="000E68AB">
        <w:rPr>
          <w:sz w:val="24"/>
          <w:szCs w:val="24"/>
        </w:rPr>
        <w:t>soft tissue</w:t>
      </w:r>
      <w:r w:rsidR="000945DC" w:rsidRPr="000E68AB">
        <w:rPr>
          <w:sz w:val="24"/>
          <w:szCs w:val="24"/>
        </w:rPr>
        <w:t xml:space="preserve"> changes that support the overall clinical picture.</w:t>
      </w:r>
    </w:p>
    <w:p w14:paraId="20D63E45" w14:textId="77777777" w:rsidR="009675AB" w:rsidRPr="000E68AB" w:rsidRDefault="009675AB" w:rsidP="0061798A">
      <w:pPr>
        <w:spacing w:line="360" w:lineRule="auto"/>
        <w:rPr>
          <w:rFonts w:eastAsia="Arial"/>
          <w:sz w:val="24"/>
          <w:szCs w:val="24"/>
        </w:rPr>
      </w:pPr>
    </w:p>
    <w:p w14:paraId="14C897AB" w14:textId="77777777" w:rsidR="00206F5A" w:rsidRPr="000E68AB" w:rsidRDefault="00206F5A" w:rsidP="0061798A">
      <w:pPr>
        <w:spacing w:line="360" w:lineRule="auto"/>
        <w:rPr>
          <w:sz w:val="28"/>
          <w:szCs w:val="28"/>
        </w:rPr>
      </w:pPr>
      <w:r w:rsidRPr="000E68AB">
        <w:rPr>
          <w:sz w:val="28"/>
          <w:szCs w:val="28"/>
        </w:rPr>
        <w:t>Referral</w:t>
      </w:r>
    </w:p>
    <w:p w14:paraId="6E6F25FB" w14:textId="77777777" w:rsidR="00206F5A" w:rsidRPr="000E68AB" w:rsidRDefault="00206F5A" w:rsidP="0061798A">
      <w:pPr>
        <w:spacing w:line="360" w:lineRule="auto"/>
        <w:rPr>
          <w:sz w:val="24"/>
          <w:szCs w:val="24"/>
        </w:rPr>
      </w:pPr>
    </w:p>
    <w:p w14:paraId="3910F1F4" w14:textId="1E44554D" w:rsidR="00206F5A" w:rsidRPr="000E68AB" w:rsidRDefault="00206F5A" w:rsidP="0061798A">
      <w:pPr>
        <w:spacing w:line="360" w:lineRule="auto"/>
        <w:rPr>
          <w:sz w:val="24"/>
          <w:szCs w:val="24"/>
        </w:rPr>
      </w:pPr>
      <w:r w:rsidRPr="000E68AB">
        <w:rPr>
          <w:sz w:val="24"/>
          <w:szCs w:val="24"/>
        </w:rPr>
        <w:lastRenderedPageBreak/>
        <w:t>When an ACL tear is suspected, typically indicated by symptoms such as a ‘pop’ at the time of injury, rapid swelling, instability, or positive ligament tests, it is essential to refer the patient to a medical professional who can provide a definitive diagnosis and arrange appropriate imaging or surgical assessment</w:t>
      </w:r>
      <w:r w:rsidR="00B578F0" w:rsidRPr="000E68AB">
        <w:rPr>
          <w:sz w:val="24"/>
          <w:szCs w:val="24"/>
        </w:rPr>
        <w:t xml:space="preserve"> (</w:t>
      </w:r>
      <w:proofErr w:type="spellStart"/>
      <w:r w:rsidR="00B578F0" w:rsidRPr="000E68AB">
        <w:rPr>
          <w:sz w:val="24"/>
          <w:szCs w:val="24"/>
        </w:rPr>
        <w:t>Filbay</w:t>
      </w:r>
      <w:proofErr w:type="spellEnd"/>
      <w:r w:rsidR="00B578F0" w:rsidRPr="000E68AB">
        <w:rPr>
          <w:sz w:val="24"/>
          <w:szCs w:val="24"/>
        </w:rPr>
        <w:t xml:space="preserve"> and </w:t>
      </w:r>
      <w:proofErr w:type="spellStart"/>
      <w:r w:rsidR="00B578F0" w:rsidRPr="000E68AB">
        <w:rPr>
          <w:sz w:val="24"/>
          <w:szCs w:val="24"/>
        </w:rPr>
        <w:t>Grindem</w:t>
      </w:r>
      <w:proofErr w:type="spellEnd"/>
      <w:r w:rsidR="00B578F0" w:rsidRPr="000E68AB">
        <w:rPr>
          <w:sz w:val="24"/>
          <w:szCs w:val="24"/>
        </w:rPr>
        <w:t>, 2019)</w:t>
      </w:r>
      <w:r w:rsidRPr="000E68AB">
        <w:rPr>
          <w:sz w:val="24"/>
          <w:szCs w:val="24"/>
        </w:rPr>
        <w:t>. While a sports therapist can identify these characteristic signs, only a medical clinician can confirm the injury. Without timely diagnosis and management, the patient may continue to weight-bear despite instability, increasing the risk of further knee damage. Referral can be made through a GP via the NHS pathway or directly to a private orthopaedic or sports medicine specialist.</w:t>
      </w:r>
    </w:p>
    <w:p w14:paraId="00032C56" w14:textId="77777777" w:rsidR="00206F5A" w:rsidRPr="000E68AB" w:rsidRDefault="00206F5A" w:rsidP="0061798A">
      <w:pPr>
        <w:spacing w:line="360" w:lineRule="auto"/>
        <w:rPr>
          <w:rFonts w:eastAsia="Arial"/>
          <w:sz w:val="24"/>
          <w:szCs w:val="24"/>
        </w:rPr>
      </w:pPr>
    </w:p>
    <w:p w14:paraId="50FCF96B" w14:textId="77777777" w:rsidR="00243A3D" w:rsidRPr="000E68AB" w:rsidRDefault="00243A3D" w:rsidP="0061798A">
      <w:pPr>
        <w:spacing w:line="360" w:lineRule="auto"/>
        <w:rPr>
          <w:rFonts w:eastAsia="Arial"/>
          <w:sz w:val="24"/>
          <w:szCs w:val="24"/>
        </w:rPr>
      </w:pPr>
    </w:p>
    <w:p w14:paraId="0071F278" w14:textId="7A528492" w:rsidR="00597873" w:rsidRPr="000E68AB" w:rsidRDefault="00597873" w:rsidP="0061798A">
      <w:pPr>
        <w:spacing w:line="360" w:lineRule="auto"/>
        <w:rPr>
          <w:rFonts w:eastAsia="Arial"/>
          <w:sz w:val="28"/>
          <w:szCs w:val="28"/>
        </w:rPr>
      </w:pPr>
      <w:r w:rsidRPr="000E68AB">
        <w:rPr>
          <w:rFonts w:eastAsia="Arial"/>
          <w:sz w:val="28"/>
          <w:szCs w:val="28"/>
        </w:rPr>
        <w:t>Differential diagnoses</w:t>
      </w:r>
    </w:p>
    <w:p w14:paraId="0A6BE6C1" w14:textId="77777777" w:rsidR="00086CBC" w:rsidRPr="000E68AB" w:rsidRDefault="00086CBC" w:rsidP="0061798A">
      <w:pPr>
        <w:spacing w:line="360" w:lineRule="auto"/>
        <w:rPr>
          <w:sz w:val="24"/>
          <w:szCs w:val="24"/>
        </w:rPr>
      </w:pPr>
    </w:p>
    <w:p w14:paraId="13D8FA8E" w14:textId="7E3FA85A" w:rsidR="00597873" w:rsidRPr="000E68AB" w:rsidRDefault="00B725AC" w:rsidP="0061798A">
      <w:pPr>
        <w:spacing w:line="360" w:lineRule="auto"/>
        <w:rPr>
          <w:sz w:val="24"/>
          <w:szCs w:val="24"/>
        </w:rPr>
      </w:pPr>
      <w:r w:rsidRPr="000E68AB">
        <w:rPr>
          <w:sz w:val="24"/>
          <w:szCs w:val="24"/>
        </w:rPr>
        <w:t xml:space="preserve">A suspected ACL injury can present similarly to several other conditions, so it’s important to consider a range of differential diagnoses. </w:t>
      </w:r>
      <w:r w:rsidR="00893CCB" w:rsidRPr="000E68AB">
        <w:rPr>
          <w:sz w:val="24"/>
          <w:szCs w:val="24"/>
        </w:rPr>
        <w:t>Musculoskeletal alternatives include, but are not limited to, medial collateral ligament, lateral collateral ligament, or posterior cruciate ligament sprains; meniscal tears; patellar dislocation; patellar or quadriceps tendon injuries; tibial plateau fractures; and osteochondral damage, all of which can present with similar features such as swelling, instability, or a ‘pop’ (</w:t>
      </w:r>
      <w:proofErr w:type="spellStart"/>
      <w:r w:rsidR="00893CCB" w:rsidRPr="000E68AB">
        <w:rPr>
          <w:sz w:val="24"/>
          <w:szCs w:val="24"/>
        </w:rPr>
        <w:t>Calmbach</w:t>
      </w:r>
      <w:proofErr w:type="spellEnd"/>
      <w:r w:rsidR="00893CCB" w:rsidRPr="000E68AB">
        <w:rPr>
          <w:sz w:val="24"/>
          <w:szCs w:val="24"/>
        </w:rPr>
        <w:t xml:space="preserve"> and Hutchens, 2003).</w:t>
      </w:r>
      <w:r w:rsidR="00AB57BF" w:rsidRPr="000E68AB">
        <w:rPr>
          <w:sz w:val="24"/>
          <w:szCs w:val="24"/>
        </w:rPr>
        <w:t xml:space="preserve"> </w:t>
      </w:r>
      <w:r w:rsidRPr="000E68AB">
        <w:rPr>
          <w:sz w:val="24"/>
          <w:szCs w:val="24"/>
        </w:rPr>
        <w:t xml:space="preserve">Red flags requiring urgent attention include suspected fractures, dislocations, neurovascular compromise, infection, </w:t>
      </w:r>
      <w:r w:rsidR="003A7290" w:rsidRPr="000E68AB">
        <w:rPr>
          <w:sz w:val="24"/>
          <w:szCs w:val="24"/>
        </w:rPr>
        <w:t>deep vein thrombosis</w:t>
      </w:r>
      <w:r w:rsidRPr="000E68AB">
        <w:rPr>
          <w:sz w:val="24"/>
          <w:szCs w:val="24"/>
        </w:rPr>
        <w:t xml:space="preserve"> or compartment syndrome</w:t>
      </w:r>
      <w:r w:rsidR="007F62EF" w:rsidRPr="000E68AB">
        <w:rPr>
          <w:sz w:val="24"/>
          <w:szCs w:val="24"/>
        </w:rPr>
        <w:t xml:space="preserve"> (Kim, 2019).</w:t>
      </w:r>
      <w:r w:rsidR="00D219B2" w:rsidRPr="000E68AB">
        <w:rPr>
          <w:sz w:val="24"/>
          <w:szCs w:val="24"/>
        </w:rPr>
        <w:t xml:space="preserve"> </w:t>
      </w:r>
      <w:r w:rsidR="00D219B2" w:rsidRPr="000E68AB">
        <w:rPr>
          <w:sz w:val="24"/>
          <w:szCs w:val="24"/>
        </w:rPr>
        <w:t>Kim (2019)</w:t>
      </w:r>
      <w:r w:rsidR="00D219B2" w:rsidRPr="000E68AB">
        <w:rPr>
          <w:sz w:val="24"/>
          <w:szCs w:val="24"/>
        </w:rPr>
        <w:t>,</w:t>
      </w:r>
      <w:r w:rsidR="00D219B2" w:rsidRPr="000E68AB">
        <w:rPr>
          <w:sz w:val="24"/>
          <w:szCs w:val="24"/>
        </w:rPr>
        <w:t xml:space="preserve"> describes non</w:t>
      </w:r>
      <w:r w:rsidR="00D219B2" w:rsidRPr="000E68AB">
        <w:rPr>
          <w:sz w:val="24"/>
          <w:szCs w:val="24"/>
        </w:rPr>
        <w:noBreakHyphen/>
        <w:t>musculoskeletal conditions that can present similarly to knee injuries, including hip</w:t>
      </w:r>
      <w:r w:rsidR="00D219B2" w:rsidRPr="000E68AB">
        <w:rPr>
          <w:sz w:val="24"/>
          <w:szCs w:val="24"/>
        </w:rPr>
        <w:t xml:space="preserve"> </w:t>
      </w:r>
      <w:r w:rsidR="00D219B2" w:rsidRPr="000E68AB">
        <w:rPr>
          <w:sz w:val="24"/>
          <w:szCs w:val="24"/>
        </w:rPr>
        <w:t>or lumbar spine</w:t>
      </w:r>
      <w:r w:rsidR="00D219B2" w:rsidRPr="000E68AB">
        <w:rPr>
          <w:sz w:val="24"/>
          <w:szCs w:val="24"/>
        </w:rPr>
        <w:t xml:space="preserve"> </w:t>
      </w:r>
      <w:r w:rsidR="00D219B2" w:rsidRPr="000E68AB">
        <w:rPr>
          <w:sz w:val="24"/>
          <w:szCs w:val="24"/>
        </w:rPr>
        <w:t>referred pain, peripheral nerve disorders, and systemic inflammatory diseases such as gout or rheumatoid arthritis.</w:t>
      </w:r>
    </w:p>
    <w:p w14:paraId="47A728A0" w14:textId="77777777" w:rsidR="00D219B2" w:rsidRPr="000E68AB" w:rsidRDefault="00D219B2" w:rsidP="0061798A">
      <w:pPr>
        <w:spacing w:line="360" w:lineRule="auto"/>
        <w:rPr>
          <w:sz w:val="24"/>
          <w:szCs w:val="24"/>
        </w:rPr>
      </w:pPr>
    </w:p>
    <w:p w14:paraId="0339B2E7" w14:textId="6E44275E" w:rsidR="00962E83" w:rsidRPr="000E68AB" w:rsidRDefault="00962E83" w:rsidP="0061798A">
      <w:pPr>
        <w:spacing w:line="360" w:lineRule="auto"/>
        <w:rPr>
          <w:sz w:val="28"/>
          <w:szCs w:val="28"/>
        </w:rPr>
      </w:pPr>
      <w:r w:rsidRPr="000E68AB">
        <w:rPr>
          <w:sz w:val="28"/>
          <w:szCs w:val="28"/>
        </w:rPr>
        <w:t>Conclusion</w:t>
      </w:r>
    </w:p>
    <w:p w14:paraId="6D8FA441" w14:textId="1DDC5960" w:rsidR="00B800A9" w:rsidRPr="000E68AB" w:rsidRDefault="00B800A9" w:rsidP="0061798A">
      <w:pPr>
        <w:spacing w:line="360" w:lineRule="auto"/>
        <w:rPr>
          <w:sz w:val="24"/>
          <w:szCs w:val="24"/>
        </w:rPr>
      </w:pPr>
    </w:p>
    <w:p w14:paraId="1B9B094B" w14:textId="5778B53A" w:rsidR="000B7729" w:rsidRDefault="000B7729" w:rsidP="0061798A">
      <w:pPr>
        <w:spacing w:line="360" w:lineRule="auto"/>
        <w:rPr>
          <w:sz w:val="24"/>
          <w:szCs w:val="24"/>
        </w:rPr>
      </w:pPr>
      <w:r w:rsidRPr="000E68AB">
        <w:rPr>
          <w:sz w:val="24"/>
          <w:szCs w:val="24"/>
        </w:rPr>
        <w:t xml:space="preserve">ACL sprains are common </w:t>
      </w:r>
      <w:r w:rsidR="000E68AB">
        <w:rPr>
          <w:sz w:val="24"/>
          <w:szCs w:val="24"/>
        </w:rPr>
        <w:t>but</w:t>
      </w:r>
      <w:r w:rsidRPr="000E68AB">
        <w:rPr>
          <w:sz w:val="24"/>
          <w:szCs w:val="24"/>
        </w:rPr>
        <w:t xml:space="preserve"> complex injuries that require thorough subjective and objective assessment to ensure accurate diagnosis and appropriate early management. By understanding the typical mechanisms of injury, intrinsic and extrinsic risk factors, characteristic pain patterns, and key clinical features</w:t>
      </w:r>
      <w:r w:rsidR="00A97687" w:rsidRPr="000E68AB">
        <w:rPr>
          <w:sz w:val="24"/>
          <w:szCs w:val="24"/>
        </w:rPr>
        <w:t xml:space="preserve">, </w:t>
      </w:r>
      <w:r w:rsidRPr="000E68AB">
        <w:rPr>
          <w:sz w:val="24"/>
          <w:szCs w:val="24"/>
        </w:rPr>
        <w:t>including range of motion deficits, muscle inhibition, and findings from ligament stress tests</w:t>
      </w:r>
      <w:r w:rsidR="00A97687" w:rsidRPr="000E68AB">
        <w:rPr>
          <w:sz w:val="24"/>
          <w:szCs w:val="24"/>
        </w:rPr>
        <w:t xml:space="preserve">, </w:t>
      </w:r>
      <w:r w:rsidRPr="000E68AB">
        <w:rPr>
          <w:sz w:val="24"/>
          <w:szCs w:val="24"/>
        </w:rPr>
        <w:t xml:space="preserve">clinicians can more effectively identify the severity of injury and determine the need for imaging or onward referral. Recognising both classic and less common presentations is essential, as early intervention helps minimise </w:t>
      </w:r>
      <w:r w:rsidR="00A97687" w:rsidRPr="000E68AB">
        <w:rPr>
          <w:sz w:val="24"/>
          <w:szCs w:val="24"/>
        </w:rPr>
        <w:t>further</w:t>
      </w:r>
      <w:r w:rsidRPr="000E68AB">
        <w:rPr>
          <w:sz w:val="24"/>
          <w:szCs w:val="24"/>
        </w:rPr>
        <w:t xml:space="preserve"> damage, </w:t>
      </w:r>
      <w:r w:rsidR="00A97687" w:rsidRPr="000E68AB">
        <w:rPr>
          <w:sz w:val="24"/>
          <w:szCs w:val="24"/>
        </w:rPr>
        <w:t xml:space="preserve">can </w:t>
      </w:r>
      <w:r w:rsidRPr="000E68AB">
        <w:rPr>
          <w:sz w:val="24"/>
          <w:szCs w:val="24"/>
        </w:rPr>
        <w:t xml:space="preserve">optimise patient comfort, and guide timely rehabilitation or </w:t>
      </w:r>
      <w:r w:rsidR="00A97687" w:rsidRPr="000E68AB">
        <w:rPr>
          <w:sz w:val="24"/>
          <w:szCs w:val="24"/>
        </w:rPr>
        <w:t xml:space="preserve">the need for </w:t>
      </w:r>
      <w:r w:rsidRPr="000E68AB">
        <w:rPr>
          <w:sz w:val="24"/>
          <w:szCs w:val="24"/>
        </w:rPr>
        <w:t xml:space="preserve">surgical </w:t>
      </w:r>
      <w:r w:rsidR="00A97687" w:rsidRPr="000E68AB">
        <w:rPr>
          <w:sz w:val="24"/>
          <w:szCs w:val="24"/>
        </w:rPr>
        <w:t>intervention</w:t>
      </w:r>
      <w:r w:rsidRPr="000E68AB">
        <w:rPr>
          <w:sz w:val="24"/>
          <w:szCs w:val="24"/>
        </w:rPr>
        <w:t xml:space="preserve">. </w:t>
      </w:r>
      <w:r w:rsidR="00A97687" w:rsidRPr="000E68AB">
        <w:rPr>
          <w:sz w:val="24"/>
          <w:szCs w:val="24"/>
        </w:rPr>
        <w:t>I</w:t>
      </w:r>
      <w:r w:rsidRPr="000E68AB">
        <w:rPr>
          <w:sz w:val="24"/>
          <w:szCs w:val="24"/>
        </w:rPr>
        <w:t xml:space="preserve">ntegrating clinical reasoning with </w:t>
      </w:r>
      <w:r w:rsidR="00A97687" w:rsidRPr="000E68AB">
        <w:rPr>
          <w:sz w:val="24"/>
          <w:szCs w:val="24"/>
        </w:rPr>
        <w:t>evidence-based</w:t>
      </w:r>
      <w:r w:rsidRPr="000E68AB">
        <w:rPr>
          <w:sz w:val="24"/>
          <w:szCs w:val="24"/>
        </w:rPr>
        <w:t xml:space="preserve"> assessment ensures safe, effective, and patient-centred care for individuals with suspected ACL sprains.</w:t>
      </w:r>
    </w:p>
    <w:p w14:paraId="25576C9C" w14:textId="610053D0" w:rsidR="00D2107C" w:rsidRDefault="00D2107C" w:rsidP="0061798A">
      <w:pPr>
        <w:spacing w:line="360" w:lineRule="auto"/>
        <w:rPr>
          <w:sz w:val="24"/>
          <w:szCs w:val="24"/>
        </w:rPr>
      </w:pPr>
      <w:r>
        <w:rPr>
          <w:sz w:val="24"/>
          <w:szCs w:val="24"/>
        </w:rPr>
        <w:lastRenderedPageBreak/>
        <w:t>Word count: 1881</w:t>
      </w:r>
    </w:p>
    <w:p w14:paraId="575D31B5" w14:textId="4F5D8D56" w:rsidR="00D2107C" w:rsidRDefault="00D2107C" w:rsidP="0061798A">
      <w:pPr>
        <w:spacing w:line="360" w:lineRule="auto"/>
        <w:rPr>
          <w:sz w:val="28"/>
          <w:szCs w:val="28"/>
        </w:rPr>
      </w:pPr>
      <w:r w:rsidRPr="00762F9E">
        <w:rPr>
          <w:sz w:val="28"/>
          <w:szCs w:val="28"/>
        </w:rPr>
        <w:t>Reference</w:t>
      </w:r>
      <w:r w:rsidR="00762F9E" w:rsidRPr="00762F9E">
        <w:rPr>
          <w:sz w:val="28"/>
          <w:szCs w:val="28"/>
        </w:rPr>
        <w:t xml:space="preserve"> List</w:t>
      </w:r>
    </w:p>
    <w:p w14:paraId="378202BD" w14:textId="77777777" w:rsidR="00762F9E" w:rsidRPr="00762F9E" w:rsidRDefault="00762F9E" w:rsidP="0061798A">
      <w:pPr>
        <w:spacing w:line="360" w:lineRule="auto"/>
        <w:rPr>
          <w:sz w:val="28"/>
          <w:szCs w:val="28"/>
        </w:rPr>
      </w:pPr>
    </w:p>
    <w:sectPr w:rsidR="00762F9E" w:rsidRPr="00762F9E" w:rsidSect="00F83CC8">
      <w:headerReference w:type="default" r:id="rId7"/>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69C0F" w14:textId="77777777" w:rsidR="0054222A" w:rsidRDefault="0054222A" w:rsidP="00745268">
      <w:r>
        <w:separator/>
      </w:r>
    </w:p>
  </w:endnote>
  <w:endnote w:type="continuationSeparator" w:id="0">
    <w:p w14:paraId="15AAEB6C" w14:textId="77777777" w:rsidR="0054222A" w:rsidRDefault="0054222A" w:rsidP="00745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9156909"/>
      <w:docPartObj>
        <w:docPartGallery w:val="Page Numbers (Bottom of Page)"/>
        <w:docPartUnique/>
      </w:docPartObj>
    </w:sdtPr>
    <w:sdtEndPr>
      <w:rPr>
        <w:noProof/>
      </w:rPr>
    </w:sdtEndPr>
    <w:sdtContent>
      <w:p w14:paraId="5085DD3F" w14:textId="68FF70D0" w:rsidR="00745268" w:rsidRDefault="007452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D72149" w14:textId="77777777" w:rsidR="00745268" w:rsidRDefault="007452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212A1" w14:textId="77777777" w:rsidR="0054222A" w:rsidRDefault="0054222A" w:rsidP="00745268">
      <w:r>
        <w:separator/>
      </w:r>
    </w:p>
  </w:footnote>
  <w:footnote w:type="continuationSeparator" w:id="0">
    <w:p w14:paraId="5CAC5E71" w14:textId="77777777" w:rsidR="0054222A" w:rsidRDefault="0054222A" w:rsidP="007452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9F1DD" w14:textId="4221689A" w:rsidR="00745268" w:rsidRPr="003B0C8C" w:rsidRDefault="003B0C8C">
    <w:pPr>
      <w:pStyle w:val="Header"/>
      <w:rPr>
        <w:lang w:val="en-US"/>
      </w:rPr>
    </w:pPr>
    <w:r>
      <w:rPr>
        <w:lang w:val="en-US"/>
      </w:rPr>
      <w:t xml:space="preserve">Student number: </w:t>
    </w:r>
    <w:r w:rsidR="00143BAC">
      <w:rPr>
        <w:lang w:val="en-US"/>
      </w:rPr>
      <w:t xml:space="preserve">0951194 </w:t>
    </w:r>
    <w:r w:rsidR="00C26435">
      <w:rPr>
        <w:lang w:val="en-US"/>
      </w:rPr>
      <w:tab/>
    </w:r>
    <w:r w:rsidR="00C26435">
      <w:rPr>
        <w:lang w:val="en-US"/>
      </w:rPr>
      <w:tab/>
      <w:t xml:space="preserve">   </w:t>
    </w:r>
    <w:r w:rsidR="00143BAC">
      <w:rPr>
        <w:lang w:val="en-US"/>
      </w:rPr>
      <w:t>Module code:</w:t>
    </w:r>
    <w:r w:rsidR="00C26435">
      <w:rPr>
        <w:lang w:val="en-US"/>
      </w:rPr>
      <w:t xml:space="preserve"> 5002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64D40"/>
    <w:multiLevelType w:val="multilevel"/>
    <w:tmpl w:val="A3685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963FFE"/>
    <w:multiLevelType w:val="multilevel"/>
    <w:tmpl w:val="71C8A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887FB6"/>
    <w:multiLevelType w:val="multilevel"/>
    <w:tmpl w:val="988E0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084172"/>
    <w:multiLevelType w:val="multilevel"/>
    <w:tmpl w:val="D71AA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620565"/>
    <w:multiLevelType w:val="multilevel"/>
    <w:tmpl w:val="5FA25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BB7FFD"/>
    <w:multiLevelType w:val="multilevel"/>
    <w:tmpl w:val="A5C2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6347B3"/>
    <w:multiLevelType w:val="multilevel"/>
    <w:tmpl w:val="B7E8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4578E3"/>
    <w:multiLevelType w:val="multilevel"/>
    <w:tmpl w:val="F716A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354C86"/>
    <w:multiLevelType w:val="multilevel"/>
    <w:tmpl w:val="11622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843709"/>
    <w:multiLevelType w:val="multilevel"/>
    <w:tmpl w:val="4B3E0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3C3633"/>
    <w:multiLevelType w:val="multilevel"/>
    <w:tmpl w:val="F61C5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BB632E"/>
    <w:multiLevelType w:val="multilevel"/>
    <w:tmpl w:val="336E8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FD4505"/>
    <w:multiLevelType w:val="multilevel"/>
    <w:tmpl w:val="13BC6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F417BA"/>
    <w:multiLevelType w:val="multilevel"/>
    <w:tmpl w:val="C1A0A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5537E7"/>
    <w:multiLevelType w:val="multilevel"/>
    <w:tmpl w:val="98185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592916"/>
    <w:multiLevelType w:val="multilevel"/>
    <w:tmpl w:val="B16C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3F4258"/>
    <w:multiLevelType w:val="multilevel"/>
    <w:tmpl w:val="DCB4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511027"/>
    <w:multiLevelType w:val="multilevel"/>
    <w:tmpl w:val="BB16C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454A1C"/>
    <w:multiLevelType w:val="multilevel"/>
    <w:tmpl w:val="CED42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F93C66"/>
    <w:multiLevelType w:val="multilevel"/>
    <w:tmpl w:val="CA62A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AA0CAF"/>
    <w:multiLevelType w:val="hybridMultilevel"/>
    <w:tmpl w:val="532AD70E"/>
    <w:lvl w:ilvl="0" w:tplc="C0E49506">
      <w:start w:val="1"/>
      <w:numFmt w:val="bullet"/>
      <w:lvlText w:val=""/>
      <w:lvlJc w:val="left"/>
      <w:pPr>
        <w:ind w:left="720" w:hanging="360"/>
      </w:pPr>
      <w:rPr>
        <w:rFonts w:ascii="Symbol" w:hAnsi="Symbol" w:hint="default"/>
      </w:rPr>
    </w:lvl>
    <w:lvl w:ilvl="1" w:tplc="95EC0790">
      <w:start w:val="1"/>
      <w:numFmt w:val="bullet"/>
      <w:lvlText w:val=""/>
      <w:lvlJc w:val="left"/>
      <w:pPr>
        <w:ind w:left="1440" w:hanging="360"/>
      </w:pPr>
      <w:rPr>
        <w:rFonts w:ascii="Symbol" w:hAnsi="Symbol" w:hint="default"/>
      </w:rPr>
    </w:lvl>
    <w:lvl w:ilvl="2" w:tplc="A0E60EE4">
      <w:start w:val="1"/>
      <w:numFmt w:val="bullet"/>
      <w:lvlText w:val=""/>
      <w:lvlJc w:val="left"/>
      <w:pPr>
        <w:ind w:left="2160" w:hanging="360"/>
      </w:pPr>
      <w:rPr>
        <w:rFonts w:ascii="Wingdings" w:hAnsi="Wingdings" w:hint="default"/>
      </w:rPr>
    </w:lvl>
    <w:lvl w:ilvl="3" w:tplc="ACE6A376">
      <w:start w:val="1"/>
      <w:numFmt w:val="bullet"/>
      <w:lvlText w:val=""/>
      <w:lvlJc w:val="left"/>
      <w:pPr>
        <w:ind w:left="2880" w:hanging="360"/>
      </w:pPr>
      <w:rPr>
        <w:rFonts w:ascii="Symbol" w:hAnsi="Symbol" w:hint="default"/>
      </w:rPr>
    </w:lvl>
    <w:lvl w:ilvl="4" w:tplc="949220B6">
      <w:start w:val="1"/>
      <w:numFmt w:val="bullet"/>
      <w:lvlText w:val="o"/>
      <w:lvlJc w:val="left"/>
      <w:pPr>
        <w:ind w:left="3600" w:hanging="360"/>
      </w:pPr>
      <w:rPr>
        <w:rFonts w:ascii="Courier New" w:hAnsi="Courier New" w:hint="default"/>
      </w:rPr>
    </w:lvl>
    <w:lvl w:ilvl="5" w:tplc="4148C6BE">
      <w:start w:val="1"/>
      <w:numFmt w:val="bullet"/>
      <w:lvlText w:val=""/>
      <w:lvlJc w:val="left"/>
      <w:pPr>
        <w:ind w:left="4320" w:hanging="360"/>
      </w:pPr>
      <w:rPr>
        <w:rFonts w:ascii="Wingdings" w:hAnsi="Wingdings" w:hint="default"/>
      </w:rPr>
    </w:lvl>
    <w:lvl w:ilvl="6" w:tplc="E4AE8DEE">
      <w:start w:val="1"/>
      <w:numFmt w:val="bullet"/>
      <w:lvlText w:val=""/>
      <w:lvlJc w:val="left"/>
      <w:pPr>
        <w:ind w:left="5040" w:hanging="360"/>
      </w:pPr>
      <w:rPr>
        <w:rFonts w:ascii="Symbol" w:hAnsi="Symbol" w:hint="default"/>
      </w:rPr>
    </w:lvl>
    <w:lvl w:ilvl="7" w:tplc="57F4C0A4">
      <w:start w:val="1"/>
      <w:numFmt w:val="bullet"/>
      <w:lvlText w:val="o"/>
      <w:lvlJc w:val="left"/>
      <w:pPr>
        <w:ind w:left="5760" w:hanging="360"/>
      </w:pPr>
      <w:rPr>
        <w:rFonts w:ascii="Courier New" w:hAnsi="Courier New" w:hint="default"/>
      </w:rPr>
    </w:lvl>
    <w:lvl w:ilvl="8" w:tplc="F7541602">
      <w:start w:val="1"/>
      <w:numFmt w:val="bullet"/>
      <w:lvlText w:val=""/>
      <w:lvlJc w:val="left"/>
      <w:pPr>
        <w:ind w:left="6480" w:hanging="360"/>
      </w:pPr>
      <w:rPr>
        <w:rFonts w:ascii="Wingdings" w:hAnsi="Wingdings" w:hint="default"/>
      </w:rPr>
    </w:lvl>
  </w:abstractNum>
  <w:abstractNum w:abstractNumId="21" w15:restartNumberingAfterBreak="0">
    <w:nsid w:val="7B39119C"/>
    <w:multiLevelType w:val="multilevel"/>
    <w:tmpl w:val="6DFE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3562189">
    <w:abstractNumId w:val="20"/>
  </w:num>
  <w:num w:numId="2" w16cid:durableId="1225143134">
    <w:abstractNumId w:val="21"/>
  </w:num>
  <w:num w:numId="3" w16cid:durableId="1965765206">
    <w:abstractNumId w:val="13"/>
  </w:num>
  <w:num w:numId="4" w16cid:durableId="1441995716">
    <w:abstractNumId w:val="8"/>
  </w:num>
  <w:num w:numId="5" w16cid:durableId="636648954">
    <w:abstractNumId w:val="12"/>
  </w:num>
  <w:num w:numId="6" w16cid:durableId="390929702">
    <w:abstractNumId w:val="7"/>
  </w:num>
  <w:num w:numId="7" w16cid:durableId="1110978036">
    <w:abstractNumId w:val="18"/>
  </w:num>
  <w:num w:numId="8" w16cid:durableId="304118750">
    <w:abstractNumId w:val="6"/>
  </w:num>
  <w:num w:numId="9" w16cid:durableId="1723358853">
    <w:abstractNumId w:val="10"/>
  </w:num>
  <w:num w:numId="10" w16cid:durableId="837812789">
    <w:abstractNumId w:val="16"/>
  </w:num>
  <w:num w:numId="11" w16cid:durableId="19355399">
    <w:abstractNumId w:val="14"/>
  </w:num>
  <w:num w:numId="12" w16cid:durableId="109711674">
    <w:abstractNumId w:val="15"/>
  </w:num>
  <w:num w:numId="13" w16cid:durableId="1748574384">
    <w:abstractNumId w:val="1"/>
  </w:num>
  <w:num w:numId="14" w16cid:durableId="1215434148">
    <w:abstractNumId w:val="4"/>
  </w:num>
  <w:num w:numId="15" w16cid:durableId="1107192426">
    <w:abstractNumId w:val="19"/>
  </w:num>
  <w:num w:numId="16" w16cid:durableId="1437945243">
    <w:abstractNumId w:val="5"/>
  </w:num>
  <w:num w:numId="17" w16cid:durableId="113402177">
    <w:abstractNumId w:val="17"/>
  </w:num>
  <w:num w:numId="18" w16cid:durableId="421268819">
    <w:abstractNumId w:val="9"/>
  </w:num>
  <w:num w:numId="19" w16cid:durableId="297884861">
    <w:abstractNumId w:val="11"/>
  </w:num>
  <w:num w:numId="20" w16cid:durableId="282930095">
    <w:abstractNumId w:val="0"/>
  </w:num>
  <w:num w:numId="21" w16cid:durableId="159926944">
    <w:abstractNumId w:val="2"/>
  </w:num>
  <w:num w:numId="22" w16cid:durableId="18273543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CBC"/>
    <w:rsid w:val="000165F5"/>
    <w:rsid w:val="00080544"/>
    <w:rsid w:val="00086CBC"/>
    <w:rsid w:val="000945DC"/>
    <w:rsid w:val="000954F6"/>
    <w:rsid w:val="000A6E66"/>
    <w:rsid w:val="000A790C"/>
    <w:rsid w:val="000B7729"/>
    <w:rsid w:val="000E68AB"/>
    <w:rsid w:val="00103A9D"/>
    <w:rsid w:val="00104F4D"/>
    <w:rsid w:val="00120F70"/>
    <w:rsid w:val="00123F94"/>
    <w:rsid w:val="00126AE8"/>
    <w:rsid w:val="00143BAC"/>
    <w:rsid w:val="001604CD"/>
    <w:rsid w:val="0017487F"/>
    <w:rsid w:val="001A25D6"/>
    <w:rsid w:val="001C55EF"/>
    <w:rsid w:val="001C6E16"/>
    <w:rsid w:val="001D0025"/>
    <w:rsid w:val="001D4AD9"/>
    <w:rsid w:val="00206F5A"/>
    <w:rsid w:val="00210CE5"/>
    <w:rsid w:val="002237F7"/>
    <w:rsid w:val="002319E1"/>
    <w:rsid w:val="0023572C"/>
    <w:rsid w:val="00243A3D"/>
    <w:rsid w:val="0025605E"/>
    <w:rsid w:val="002732FB"/>
    <w:rsid w:val="0027656F"/>
    <w:rsid w:val="0028422A"/>
    <w:rsid w:val="00290100"/>
    <w:rsid w:val="002C099C"/>
    <w:rsid w:val="002C71B6"/>
    <w:rsid w:val="002D4EB4"/>
    <w:rsid w:val="002D7E8D"/>
    <w:rsid w:val="002E0C1F"/>
    <w:rsid w:val="002E152B"/>
    <w:rsid w:val="002F22C3"/>
    <w:rsid w:val="003022D2"/>
    <w:rsid w:val="00336C04"/>
    <w:rsid w:val="003512EF"/>
    <w:rsid w:val="00383448"/>
    <w:rsid w:val="003A4A62"/>
    <w:rsid w:val="003A7290"/>
    <w:rsid w:val="003A798E"/>
    <w:rsid w:val="003B0C8C"/>
    <w:rsid w:val="003B32FD"/>
    <w:rsid w:val="003C4600"/>
    <w:rsid w:val="003E7302"/>
    <w:rsid w:val="003F22CD"/>
    <w:rsid w:val="003F5854"/>
    <w:rsid w:val="00411F75"/>
    <w:rsid w:val="00412334"/>
    <w:rsid w:val="00413129"/>
    <w:rsid w:val="00421CB9"/>
    <w:rsid w:val="0044120F"/>
    <w:rsid w:val="00476B08"/>
    <w:rsid w:val="00477B47"/>
    <w:rsid w:val="00484B7A"/>
    <w:rsid w:val="0049068B"/>
    <w:rsid w:val="00493759"/>
    <w:rsid w:val="00495897"/>
    <w:rsid w:val="004B1544"/>
    <w:rsid w:val="004B46F2"/>
    <w:rsid w:val="004C06E0"/>
    <w:rsid w:val="004D6828"/>
    <w:rsid w:val="004E052C"/>
    <w:rsid w:val="004E2690"/>
    <w:rsid w:val="00501BD2"/>
    <w:rsid w:val="00503942"/>
    <w:rsid w:val="00510B30"/>
    <w:rsid w:val="00511864"/>
    <w:rsid w:val="00520820"/>
    <w:rsid w:val="00527CEF"/>
    <w:rsid w:val="0053759E"/>
    <w:rsid w:val="0054222A"/>
    <w:rsid w:val="00543876"/>
    <w:rsid w:val="00546B22"/>
    <w:rsid w:val="00546DE0"/>
    <w:rsid w:val="0055276C"/>
    <w:rsid w:val="00570336"/>
    <w:rsid w:val="00573AB3"/>
    <w:rsid w:val="00597873"/>
    <w:rsid w:val="005B2422"/>
    <w:rsid w:val="005E1ADD"/>
    <w:rsid w:val="005E2417"/>
    <w:rsid w:val="0060738C"/>
    <w:rsid w:val="006132A9"/>
    <w:rsid w:val="0061798A"/>
    <w:rsid w:val="006261DF"/>
    <w:rsid w:val="006530FA"/>
    <w:rsid w:val="00653D99"/>
    <w:rsid w:val="0065465A"/>
    <w:rsid w:val="006633FB"/>
    <w:rsid w:val="00664278"/>
    <w:rsid w:val="006651A1"/>
    <w:rsid w:val="006672AC"/>
    <w:rsid w:val="00677CAA"/>
    <w:rsid w:val="006A42CA"/>
    <w:rsid w:val="006A7502"/>
    <w:rsid w:val="006B191F"/>
    <w:rsid w:val="006C32B1"/>
    <w:rsid w:val="006C44A7"/>
    <w:rsid w:val="006D1A98"/>
    <w:rsid w:val="0070364B"/>
    <w:rsid w:val="00727523"/>
    <w:rsid w:val="007313C6"/>
    <w:rsid w:val="00740FF4"/>
    <w:rsid w:val="0074324A"/>
    <w:rsid w:val="00745268"/>
    <w:rsid w:val="00761872"/>
    <w:rsid w:val="00762F9E"/>
    <w:rsid w:val="0077236C"/>
    <w:rsid w:val="00773039"/>
    <w:rsid w:val="007851A8"/>
    <w:rsid w:val="007942DC"/>
    <w:rsid w:val="007B1F33"/>
    <w:rsid w:val="007F62EF"/>
    <w:rsid w:val="00811747"/>
    <w:rsid w:val="00814D8B"/>
    <w:rsid w:val="00820010"/>
    <w:rsid w:val="00820D66"/>
    <w:rsid w:val="00825FC4"/>
    <w:rsid w:val="008372B4"/>
    <w:rsid w:val="0085014B"/>
    <w:rsid w:val="008651D7"/>
    <w:rsid w:val="00870A28"/>
    <w:rsid w:val="00893CCB"/>
    <w:rsid w:val="008A66AB"/>
    <w:rsid w:val="008B18BC"/>
    <w:rsid w:val="008E7C4A"/>
    <w:rsid w:val="008F0988"/>
    <w:rsid w:val="0092749A"/>
    <w:rsid w:val="00955657"/>
    <w:rsid w:val="00962E83"/>
    <w:rsid w:val="00963175"/>
    <w:rsid w:val="009675AB"/>
    <w:rsid w:val="00974634"/>
    <w:rsid w:val="009767BF"/>
    <w:rsid w:val="00997488"/>
    <w:rsid w:val="009A5CA5"/>
    <w:rsid w:val="009A6BD0"/>
    <w:rsid w:val="009B1363"/>
    <w:rsid w:val="009C7D97"/>
    <w:rsid w:val="009D0D91"/>
    <w:rsid w:val="009D59AA"/>
    <w:rsid w:val="00A117C8"/>
    <w:rsid w:val="00A30E1A"/>
    <w:rsid w:val="00A313C1"/>
    <w:rsid w:val="00A55A24"/>
    <w:rsid w:val="00A97687"/>
    <w:rsid w:val="00AB12B6"/>
    <w:rsid w:val="00AB231D"/>
    <w:rsid w:val="00AB276C"/>
    <w:rsid w:val="00AB57BF"/>
    <w:rsid w:val="00AD243F"/>
    <w:rsid w:val="00B0520B"/>
    <w:rsid w:val="00B07CA8"/>
    <w:rsid w:val="00B20B6D"/>
    <w:rsid w:val="00B23B6D"/>
    <w:rsid w:val="00B34153"/>
    <w:rsid w:val="00B578F0"/>
    <w:rsid w:val="00B614ED"/>
    <w:rsid w:val="00B70386"/>
    <w:rsid w:val="00B725AC"/>
    <w:rsid w:val="00B800A9"/>
    <w:rsid w:val="00B90C49"/>
    <w:rsid w:val="00BB2608"/>
    <w:rsid w:val="00BC3778"/>
    <w:rsid w:val="00BE363C"/>
    <w:rsid w:val="00C26435"/>
    <w:rsid w:val="00C27D5C"/>
    <w:rsid w:val="00C569AE"/>
    <w:rsid w:val="00C630F1"/>
    <w:rsid w:val="00C76641"/>
    <w:rsid w:val="00C82045"/>
    <w:rsid w:val="00C83C87"/>
    <w:rsid w:val="00C909C7"/>
    <w:rsid w:val="00C92083"/>
    <w:rsid w:val="00CA508D"/>
    <w:rsid w:val="00CA59F4"/>
    <w:rsid w:val="00CB2FF3"/>
    <w:rsid w:val="00CB5C07"/>
    <w:rsid w:val="00CE2511"/>
    <w:rsid w:val="00D120B9"/>
    <w:rsid w:val="00D2107C"/>
    <w:rsid w:val="00D219B2"/>
    <w:rsid w:val="00D22300"/>
    <w:rsid w:val="00D33BB3"/>
    <w:rsid w:val="00D420CE"/>
    <w:rsid w:val="00D45A7D"/>
    <w:rsid w:val="00D6250C"/>
    <w:rsid w:val="00D87D89"/>
    <w:rsid w:val="00DA2E02"/>
    <w:rsid w:val="00DB4453"/>
    <w:rsid w:val="00DB539E"/>
    <w:rsid w:val="00DF639F"/>
    <w:rsid w:val="00E0588C"/>
    <w:rsid w:val="00E214B2"/>
    <w:rsid w:val="00E22DA5"/>
    <w:rsid w:val="00E759A7"/>
    <w:rsid w:val="00E77523"/>
    <w:rsid w:val="00E82BA1"/>
    <w:rsid w:val="00E83E8D"/>
    <w:rsid w:val="00EA3BC2"/>
    <w:rsid w:val="00EC6503"/>
    <w:rsid w:val="00EE07F4"/>
    <w:rsid w:val="00EE7167"/>
    <w:rsid w:val="00F27926"/>
    <w:rsid w:val="00F27F9F"/>
    <w:rsid w:val="00F3150D"/>
    <w:rsid w:val="00F4411A"/>
    <w:rsid w:val="00F554A0"/>
    <w:rsid w:val="00F62B63"/>
    <w:rsid w:val="00F77CD9"/>
    <w:rsid w:val="00F80BBD"/>
    <w:rsid w:val="00F80C86"/>
    <w:rsid w:val="00F83CC8"/>
    <w:rsid w:val="00F90226"/>
    <w:rsid w:val="00FB73D0"/>
    <w:rsid w:val="00FC383C"/>
    <w:rsid w:val="00FD2910"/>
    <w:rsid w:val="00FE106D"/>
    <w:rsid w:val="00FF0847"/>
    <w:rsid w:val="00FF5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89C6A"/>
  <w15:chartTrackingRefBased/>
  <w15:docId w15:val="{82598105-5DF2-42A0-BCC5-3EB0E3BA0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CBC"/>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086C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6C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6C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6C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6C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6CB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6CB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6CB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6CB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C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6C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6C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6C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6C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6C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6C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6C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6CBC"/>
    <w:rPr>
      <w:rFonts w:eastAsiaTheme="majorEastAsia" w:cstheme="majorBidi"/>
      <w:color w:val="272727" w:themeColor="text1" w:themeTint="D8"/>
    </w:rPr>
  </w:style>
  <w:style w:type="paragraph" w:styleId="Title">
    <w:name w:val="Title"/>
    <w:basedOn w:val="Normal"/>
    <w:next w:val="Normal"/>
    <w:link w:val="TitleChar"/>
    <w:uiPriority w:val="10"/>
    <w:qFormat/>
    <w:rsid w:val="00086C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6C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6C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6C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6CBC"/>
    <w:pPr>
      <w:spacing w:before="160"/>
      <w:jc w:val="center"/>
    </w:pPr>
    <w:rPr>
      <w:i/>
      <w:iCs/>
      <w:color w:val="404040" w:themeColor="text1" w:themeTint="BF"/>
    </w:rPr>
  </w:style>
  <w:style w:type="character" w:customStyle="1" w:styleId="QuoteChar">
    <w:name w:val="Quote Char"/>
    <w:basedOn w:val="DefaultParagraphFont"/>
    <w:link w:val="Quote"/>
    <w:uiPriority w:val="29"/>
    <w:rsid w:val="00086CBC"/>
    <w:rPr>
      <w:i/>
      <w:iCs/>
      <w:color w:val="404040" w:themeColor="text1" w:themeTint="BF"/>
    </w:rPr>
  </w:style>
  <w:style w:type="paragraph" w:styleId="ListParagraph">
    <w:name w:val="List Paragraph"/>
    <w:basedOn w:val="Normal"/>
    <w:uiPriority w:val="34"/>
    <w:qFormat/>
    <w:rsid w:val="00086CBC"/>
    <w:pPr>
      <w:ind w:left="720"/>
      <w:contextualSpacing/>
    </w:pPr>
  </w:style>
  <w:style w:type="character" w:styleId="IntenseEmphasis">
    <w:name w:val="Intense Emphasis"/>
    <w:basedOn w:val="DefaultParagraphFont"/>
    <w:uiPriority w:val="21"/>
    <w:qFormat/>
    <w:rsid w:val="00086CBC"/>
    <w:rPr>
      <w:i/>
      <w:iCs/>
      <w:color w:val="0F4761" w:themeColor="accent1" w:themeShade="BF"/>
    </w:rPr>
  </w:style>
  <w:style w:type="paragraph" w:styleId="IntenseQuote">
    <w:name w:val="Intense Quote"/>
    <w:basedOn w:val="Normal"/>
    <w:next w:val="Normal"/>
    <w:link w:val="IntenseQuoteChar"/>
    <w:uiPriority w:val="30"/>
    <w:qFormat/>
    <w:rsid w:val="00086C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6CBC"/>
    <w:rPr>
      <w:i/>
      <w:iCs/>
      <w:color w:val="0F4761" w:themeColor="accent1" w:themeShade="BF"/>
    </w:rPr>
  </w:style>
  <w:style w:type="character" w:styleId="IntenseReference">
    <w:name w:val="Intense Reference"/>
    <w:basedOn w:val="DefaultParagraphFont"/>
    <w:uiPriority w:val="32"/>
    <w:qFormat/>
    <w:rsid w:val="00086CBC"/>
    <w:rPr>
      <w:b/>
      <w:bCs/>
      <w:smallCaps/>
      <w:color w:val="0F4761" w:themeColor="accent1" w:themeShade="BF"/>
      <w:spacing w:val="5"/>
    </w:rPr>
  </w:style>
  <w:style w:type="paragraph" w:styleId="Header">
    <w:name w:val="header"/>
    <w:basedOn w:val="Normal"/>
    <w:link w:val="HeaderChar"/>
    <w:uiPriority w:val="99"/>
    <w:unhideWhenUsed/>
    <w:rsid w:val="00745268"/>
    <w:pPr>
      <w:tabs>
        <w:tab w:val="center" w:pos="4513"/>
        <w:tab w:val="right" w:pos="9026"/>
      </w:tabs>
    </w:pPr>
  </w:style>
  <w:style w:type="character" w:customStyle="1" w:styleId="HeaderChar">
    <w:name w:val="Header Char"/>
    <w:basedOn w:val="DefaultParagraphFont"/>
    <w:link w:val="Header"/>
    <w:uiPriority w:val="99"/>
    <w:rsid w:val="00745268"/>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745268"/>
    <w:pPr>
      <w:tabs>
        <w:tab w:val="center" w:pos="4513"/>
        <w:tab w:val="right" w:pos="9026"/>
      </w:tabs>
    </w:pPr>
  </w:style>
  <w:style w:type="character" w:customStyle="1" w:styleId="FooterChar">
    <w:name w:val="Footer Char"/>
    <w:basedOn w:val="DefaultParagraphFont"/>
    <w:link w:val="Footer"/>
    <w:uiPriority w:val="99"/>
    <w:rsid w:val="00745268"/>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3964</TotalTime>
  <Pages>6</Pages>
  <Words>1954</Words>
  <Characters>11139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H</dc:creator>
  <cp:keywords/>
  <dc:description/>
  <cp:lastModifiedBy>Hannah H</cp:lastModifiedBy>
  <cp:revision>213</cp:revision>
  <dcterms:created xsi:type="dcterms:W3CDTF">2025-11-27T11:56:00Z</dcterms:created>
  <dcterms:modified xsi:type="dcterms:W3CDTF">2025-12-12T14:16:00Z</dcterms:modified>
</cp:coreProperties>
</file>