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AD258" w14:textId="77777777" w:rsidR="00F7338D" w:rsidRDefault="00F7338D">
      <w:pPr>
        <w:spacing w:line="360" w:lineRule="auto"/>
        <w:jc w:val="center"/>
        <w:rPr>
          <w:rFonts w:ascii="Times New Roman" w:eastAsia="Times New Roman" w:hAnsi="Times New Roman" w:cs="Times New Roman"/>
          <w:b/>
          <w:bCs/>
          <w:sz w:val="32"/>
          <w:szCs w:val="32"/>
        </w:rPr>
      </w:pPr>
    </w:p>
    <w:p w14:paraId="4CC4395C" w14:textId="77777777" w:rsidR="00F7338D" w:rsidRDefault="00F7338D">
      <w:pPr>
        <w:spacing w:line="360" w:lineRule="auto"/>
        <w:jc w:val="center"/>
        <w:rPr>
          <w:rFonts w:ascii="Times New Roman" w:eastAsia="Times New Roman" w:hAnsi="Times New Roman" w:cs="Times New Roman"/>
          <w:b/>
          <w:bCs/>
          <w:sz w:val="32"/>
          <w:szCs w:val="32"/>
        </w:rPr>
      </w:pPr>
    </w:p>
    <w:p w14:paraId="1ED94B87" w14:textId="7EAB9F0B" w:rsidR="00F7338D" w:rsidRDefault="007345AF">
      <w:pPr>
        <w:spacing w:line="360" w:lineRule="auto"/>
        <w:jc w:val="center"/>
        <w:rPr>
          <w:rFonts w:ascii="Times New Roman" w:eastAsia="Times New Roman" w:hAnsi="Times New Roman" w:cs="Times New Roman"/>
          <w:b/>
          <w:bCs/>
          <w:sz w:val="32"/>
          <w:szCs w:val="32"/>
        </w:rPr>
      </w:pPr>
      <w:r>
        <w:rPr>
          <w:noProof/>
          <w:lang w:val="en-IN" w:eastAsia="en-IN"/>
        </w:rPr>
        <w:drawing>
          <wp:inline distT="0" distB="0" distL="0" distR="0" wp14:anchorId="19015D4A" wp14:editId="1E69DE9E">
            <wp:extent cx="5730240" cy="2520950"/>
            <wp:effectExtent l="0" t="0" r="3810" b="0"/>
            <wp:docPr id="1395004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2521509"/>
                    </a:xfrm>
                    <a:prstGeom prst="rect">
                      <a:avLst/>
                    </a:prstGeom>
                  </pic:spPr>
                </pic:pic>
              </a:graphicData>
            </a:graphic>
          </wp:inline>
        </w:drawing>
      </w:r>
    </w:p>
    <w:p w14:paraId="11332A00" w14:textId="544F8DFE" w:rsidR="00F7338D" w:rsidRDefault="007345A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MBA INTERNATIONAL BUSINESS.</w:t>
      </w:r>
    </w:p>
    <w:p w14:paraId="5363AFB6" w14:textId="36A86C31" w:rsidR="007345AF" w:rsidRDefault="007345A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Name: Naima Nadimahmed Arab.</w:t>
      </w:r>
    </w:p>
    <w:p w14:paraId="21F8E140" w14:textId="77777777" w:rsidR="007345AF" w:rsidRDefault="007345A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Number:2503320</w:t>
      </w:r>
    </w:p>
    <w:p w14:paraId="6FEC0A70" w14:textId="77777777" w:rsidR="00F7338D" w:rsidRDefault="0019547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LCMB7035 - Dissertation</w:t>
      </w:r>
    </w:p>
    <w:p w14:paraId="4D594DD1" w14:textId="77777777" w:rsidR="00F7338D" w:rsidRDefault="0019547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Dissertation Proposal</w:t>
      </w:r>
    </w:p>
    <w:p w14:paraId="760B30C0" w14:textId="77777777" w:rsidR="00F7338D" w:rsidRDefault="0019547D">
      <w:pPr>
        <w:spacing w:line="360" w:lineRule="auto"/>
        <w:jc w:val="center"/>
        <w:rPr>
          <w:rFonts w:ascii="Times New Roman" w:eastAsia="Times New Roman" w:hAnsi="Times New Roman" w:cs="Times New Roman"/>
          <w:b/>
          <w:bCs/>
          <w:color w:val="222222"/>
          <w:sz w:val="32"/>
          <w:szCs w:val="32"/>
          <w:highlight w:val="white"/>
        </w:rPr>
      </w:pPr>
      <w:r>
        <w:rPr>
          <w:rFonts w:ascii="Times New Roman" w:eastAsia="Times New Roman" w:hAnsi="Times New Roman" w:cs="Times New Roman"/>
          <w:b/>
          <w:bCs/>
          <w:sz w:val="32"/>
          <w:szCs w:val="32"/>
        </w:rPr>
        <w:t xml:space="preserve">Topic: </w:t>
      </w:r>
      <w:r>
        <w:rPr>
          <w:rFonts w:ascii="Times New Roman" w:eastAsia="Times New Roman" w:hAnsi="Times New Roman" w:cs="Times New Roman"/>
          <w:b/>
          <w:bCs/>
          <w:color w:val="222222"/>
          <w:sz w:val="32"/>
          <w:szCs w:val="32"/>
          <w:highlight w:val="white"/>
        </w:rPr>
        <w:t>Factors Influencing Customer Acceptance of Foreign Electric Vehicle Brands in India</w:t>
      </w:r>
    </w:p>
    <w:p w14:paraId="265A302F" w14:textId="77777777" w:rsidR="00F7338D" w:rsidRDefault="0019547D">
      <w:pPr>
        <w:rPr>
          <w:rFonts w:ascii="Times New Roman" w:eastAsia="Times New Roman" w:hAnsi="Times New Roman" w:cs="Times New Roman"/>
          <w:b/>
          <w:bCs/>
          <w:color w:val="222222"/>
          <w:sz w:val="32"/>
          <w:szCs w:val="32"/>
          <w:highlight w:val="white"/>
        </w:rPr>
      </w:pPr>
      <w:r>
        <w:br w:type="page"/>
      </w:r>
    </w:p>
    <w:p w14:paraId="6CF74D6B" w14:textId="77777777" w:rsidR="00F7338D" w:rsidRDefault="0019547D">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sdt>
      <w:sdtPr>
        <w:id w:val="51689297"/>
        <w:docPartObj>
          <w:docPartGallery w:val="Table of Contents"/>
          <w:docPartUnique/>
        </w:docPartObj>
      </w:sdtPr>
      <w:sdtContent>
        <w:p w14:paraId="6661F39C"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n97omrejx4gp">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14:paraId="56CB9DAF"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er94w78h36f0">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3</w:t>
            </w:r>
          </w:hyperlink>
        </w:p>
        <w:p w14:paraId="5C6D1FA2"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xbsjfq1445qg">
            <w:r>
              <w:rPr>
                <w:rFonts w:ascii="Times New Roman" w:eastAsia="Times New Roman" w:hAnsi="Times New Roman" w:cs="Times New Roman"/>
                <w:color w:val="000000"/>
                <w:sz w:val="24"/>
                <w:szCs w:val="24"/>
              </w:rPr>
              <w:t>1.2 Aim</w:t>
            </w:r>
            <w:r>
              <w:rPr>
                <w:rFonts w:ascii="Times New Roman" w:eastAsia="Times New Roman" w:hAnsi="Times New Roman" w:cs="Times New Roman"/>
                <w:color w:val="000000"/>
                <w:sz w:val="24"/>
                <w:szCs w:val="24"/>
              </w:rPr>
              <w:tab/>
              <w:t>4</w:t>
            </w:r>
          </w:hyperlink>
        </w:p>
        <w:p w14:paraId="61637A9E"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wgbw47prgta7">
            <w:r>
              <w:rPr>
                <w:rFonts w:ascii="Times New Roman" w:eastAsia="Times New Roman" w:hAnsi="Times New Roman" w:cs="Times New Roman"/>
                <w:color w:val="000000"/>
                <w:sz w:val="24"/>
                <w:szCs w:val="24"/>
              </w:rPr>
              <w:t>1.3 Objectives</w:t>
            </w:r>
            <w:r>
              <w:rPr>
                <w:rFonts w:ascii="Times New Roman" w:eastAsia="Times New Roman" w:hAnsi="Times New Roman" w:cs="Times New Roman"/>
                <w:color w:val="000000"/>
                <w:sz w:val="24"/>
                <w:szCs w:val="24"/>
              </w:rPr>
              <w:tab/>
              <w:t>4</w:t>
            </w:r>
          </w:hyperlink>
        </w:p>
        <w:p w14:paraId="4063E766"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qsu365m6k95s">
            <w:r>
              <w:rPr>
                <w:rFonts w:ascii="Times New Roman" w:eastAsia="Times New Roman" w:hAnsi="Times New Roman" w:cs="Times New Roman"/>
                <w:color w:val="000000"/>
                <w:sz w:val="24"/>
                <w:szCs w:val="24"/>
              </w:rPr>
              <w:t>1.4 Research question</w:t>
            </w:r>
            <w:r>
              <w:rPr>
                <w:rFonts w:ascii="Times New Roman" w:eastAsia="Times New Roman" w:hAnsi="Times New Roman" w:cs="Times New Roman"/>
                <w:color w:val="000000"/>
                <w:sz w:val="24"/>
                <w:szCs w:val="24"/>
              </w:rPr>
              <w:tab/>
              <w:t>5</w:t>
            </w:r>
          </w:hyperlink>
        </w:p>
        <w:p w14:paraId="53B11263"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m6qdt9iw17ju">
            <w:r>
              <w:rPr>
                <w:rFonts w:ascii="Times New Roman" w:eastAsia="Times New Roman" w:hAnsi="Times New Roman" w:cs="Times New Roman"/>
                <w:color w:val="000000"/>
                <w:sz w:val="24"/>
                <w:szCs w:val="24"/>
              </w:rPr>
              <w:t>1.5 Significance of the research</w:t>
            </w:r>
            <w:r>
              <w:rPr>
                <w:rFonts w:ascii="Times New Roman" w:eastAsia="Times New Roman" w:hAnsi="Times New Roman" w:cs="Times New Roman"/>
                <w:color w:val="000000"/>
                <w:sz w:val="24"/>
                <w:szCs w:val="24"/>
              </w:rPr>
              <w:tab/>
              <w:t>5</w:t>
            </w:r>
          </w:hyperlink>
        </w:p>
        <w:p w14:paraId="4B1B541A"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bwlegavgjd3q">
            <w:r>
              <w:rPr>
                <w:rFonts w:ascii="Times New Roman" w:eastAsia="Times New Roman" w:hAnsi="Times New Roman" w:cs="Times New Roman"/>
                <w:color w:val="000000"/>
                <w:sz w:val="24"/>
                <w:szCs w:val="24"/>
              </w:rPr>
              <w:t>1.6 Rationale</w:t>
            </w:r>
            <w:r>
              <w:rPr>
                <w:rFonts w:ascii="Times New Roman" w:eastAsia="Times New Roman" w:hAnsi="Times New Roman" w:cs="Times New Roman"/>
                <w:color w:val="000000"/>
                <w:sz w:val="24"/>
                <w:szCs w:val="24"/>
              </w:rPr>
              <w:tab/>
              <w:t>6</w:t>
            </w:r>
          </w:hyperlink>
        </w:p>
        <w:p w14:paraId="7276581D"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exxglsx28sqh">
            <w:r>
              <w:rPr>
                <w:rFonts w:ascii="Times New Roman" w:eastAsia="Times New Roman" w:hAnsi="Times New Roman" w:cs="Times New Roman"/>
                <w:color w:val="000000"/>
                <w:sz w:val="24"/>
                <w:szCs w:val="24"/>
              </w:rPr>
              <w:t>2. Literature review</w:t>
            </w:r>
            <w:r>
              <w:rPr>
                <w:rFonts w:ascii="Times New Roman" w:eastAsia="Times New Roman" w:hAnsi="Times New Roman" w:cs="Times New Roman"/>
                <w:color w:val="000000"/>
                <w:sz w:val="24"/>
                <w:szCs w:val="24"/>
              </w:rPr>
              <w:tab/>
              <w:t>7</w:t>
            </w:r>
          </w:hyperlink>
        </w:p>
        <w:p w14:paraId="411F353D"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z6svhthqxpjc">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7</w:t>
            </w:r>
          </w:hyperlink>
        </w:p>
        <w:p w14:paraId="654A43CB"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4ergogfyy8sz">
            <w:r>
              <w:rPr>
                <w:rFonts w:ascii="Times New Roman" w:eastAsia="Times New Roman" w:hAnsi="Times New Roman" w:cs="Times New Roman"/>
                <w:color w:val="000000"/>
                <w:sz w:val="24"/>
                <w:szCs w:val="24"/>
              </w:rPr>
              <w:t>2.2 Factors influencing Indian consumers' acceptance of foreign electric vehicle brands</w:t>
            </w:r>
            <w:r>
              <w:rPr>
                <w:rFonts w:ascii="Times New Roman" w:eastAsia="Times New Roman" w:hAnsi="Times New Roman" w:cs="Times New Roman"/>
                <w:color w:val="000000"/>
                <w:sz w:val="24"/>
                <w:szCs w:val="24"/>
              </w:rPr>
              <w:tab/>
              <w:t>7</w:t>
            </w:r>
          </w:hyperlink>
        </w:p>
        <w:p w14:paraId="6D17AC64"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cuzljxvxw8hv">
            <w:r>
              <w:rPr>
                <w:rFonts w:ascii="Times New Roman" w:eastAsia="Times New Roman" w:hAnsi="Times New Roman" w:cs="Times New Roman"/>
                <w:color w:val="000000"/>
                <w:sz w:val="24"/>
                <w:szCs w:val="24"/>
              </w:rPr>
              <w:t>2.3 The issues based on penetrating into the Indian market by Foreign Electric Vehicle Brands</w:t>
            </w:r>
            <w:r>
              <w:rPr>
                <w:rFonts w:ascii="Times New Roman" w:eastAsia="Times New Roman" w:hAnsi="Times New Roman" w:cs="Times New Roman"/>
                <w:color w:val="000000"/>
                <w:sz w:val="24"/>
                <w:szCs w:val="24"/>
              </w:rPr>
              <w:tab/>
              <w:t>7</w:t>
            </w:r>
          </w:hyperlink>
        </w:p>
        <w:p w14:paraId="403D7CE0"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fycw6xg6d32y">
            <w:r>
              <w:rPr>
                <w:rFonts w:ascii="Times New Roman" w:eastAsia="Times New Roman" w:hAnsi="Times New Roman" w:cs="Times New Roman"/>
                <w:color w:val="000000"/>
                <w:sz w:val="24"/>
                <w:szCs w:val="24"/>
              </w:rPr>
              <w:t>2.4 Aligning theories and model</w:t>
            </w:r>
            <w:r>
              <w:rPr>
                <w:rFonts w:ascii="Times New Roman" w:eastAsia="Times New Roman" w:hAnsi="Times New Roman" w:cs="Times New Roman"/>
                <w:color w:val="000000"/>
                <w:sz w:val="24"/>
                <w:szCs w:val="24"/>
              </w:rPr>
              <w:tab/>
              <w:t>8</w:t>
            </w:r>
          </w:hyperlink>
        </w:p>
        <w:p w14:paraId="11EC83A8"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qp5hlqsmdv9t">
            <w:r>
              <w:rPr>
                <w:rFonts w:ascii="Times New Roman" w:eastAsia="Times New Roman" w:hAnsi="Times New Roman" w:cs="Times New Roman"/>
                <w:color w:val="000000"/>
                <w:sz w:val="24"/>
                <w:szCs w:val="24"/>
              </w:rPr>
              <w:t>2.5 Literature gap</w:t>
            </w:r>
            <w:r>
              <w:rPr>
                <w:rFonts w:ascii="Times New Roman" w:eastAsia="Times New Roman" w:hAnsi="Times New Roman" w:cs="Times New Roman"/>
                <w:color w:val="000000"/>
                <w:sz w:val="24"/>
                <w:szCs w:val="24"/>
              </w:rPr>
              <w:tab/>
              <w:t>8</w:t>
            </w:r>
          </w:hyperlink>
        </w:p>
        <w:p w14:paraId="3983752F"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l7aqvs70n9gp">
            <w:r>
              <w:rPr>
                <w:rFonts w:ascii="Times New Roman" w:eastAsia="Times New Roman" w:hAnsi="Times New Roman" w:cs="Times New Roman"/>
                <w:color w:val="000000"/>
                <w:sz w:val="24"/>
                <w:szCs w:val="24"/>
              </w:rPr>
              <w:t>2.6 Conceptual framework</w:t>
            </w:r>
            <w:r>
              <w:rPr>
                <w:rFonts w:ascii="Times New Roman" w:eastAsia="Times New Roman" w:hAnsi="Times New Roman" w:cs="Times New Roman"/>
                <w:color w:val="000000"/>
                <w:sz w:val="24"/>
                <w:szCs w:val="24"/>
              </w:rPr>
              <w:tab/>
              <w:t>9</w:t>
            </w:r>
          </w:hyperlink>
        </w:p>
        <w:p w14:paraId="03336BE9"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5v76hcxsa6tf">
            <w:r>
              <w:rPr>
                <w:rFonts w:ascii="Times New Roman" w:eastAsia="Times New Roman" w:hAnsi="Times New Roman" w:cs="Times New Roman"/>
                <w:color w:val="000000"/>
                <w:sz w:val="24"/>
                <w:szCs w:val="24"/>
              </w:rPr>
              <w:t>3. Research methodology</w:t>
            </w:r>
            <w:r>
              <w:rPr>
                <w:rFonts w:ascii="Times New Roman" w:eastAsia="Times New Roman" w:hAnsi="Times New Roman" w:cs="Times New Roman"/>
                <w:color w:val="000000"/>
                <w:sz w:val="24"/>
                <w:szCs w:val="24"/>
              </w:rPr>
              <w:tab/>
              <w:t>9</w:t>
            </w:r>
          </w:hyperlink>
        </w:p>
        <w:p w14:paraId="66BF8955"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wglym6iyyfw">
            <w:r>
              <w:rPr>
                <w:rFonts w:ascii="Times New Roman" w:eastAsia="Times New Roman" w:hAnsi="Times New Roman" w:cs="Times New Roman"/>
                <w:color w:val="000000"/>
                <w:sz w:val="24"/>
                <w:szCs w:val="24"/>
              </w:rPr>
              <w:t>3.1 Research approach</w:t>
            </w:r>
            <w:r>
              <w:rPr>
                <w:rFonts w:ascii="Times New Roman" w:eastAsia="Times New Roman" w:hAnsi="Times New Roman" w:cs="Times New Roman"/>
                <w:color w:val="000000"/>
                <w:sz w:val="24"/>
                <w:szCs w:val="24"/>
              </w:rPr>
              <w:tab/>
              <w:t>9</w:t>
            </w:r>
          </w:hyperlink>
        </w:p>
        <w:p w14:paraId="5D046ADB"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4ys1p8ig7gh9">
            <w:r>
              <w:rPr>
                <w:rFonts w:ascii="Times New Roman" w:eastAsia="Times New Roman" w:hAnsi="Times New Roman" w:cs="Times New Roman"/>
                <w:color w:val="000000"/>
                <w:sz w:val="24"/>
                <w:szCs w:val="24"/>
              </w:rPr>
              <w:t>3.2 Data collection methods</w:t>
            </w:r>
            <w:r>
              <w:rPr>
                <w:rFonts w:ascii="Times New Roman" w:eastAsia="Times New Roman" w:hAnsi="Times New Roman" w:cs="Times New Roman"/>
                <w:color w:val="000000"/>
                <w:sz w:val="24"/>
                <w:szCs w:val="24"/>
              </w:rPr>
              <w:tab/>
              <w:t>9</w:t>
            </w:r>
          </w:hyperlink>
        </w:p>
        <w:p w14:paraId="0D843066"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bbcdwbplyfr6">
            <w:r>
              <w:rPr>
                <w:rFonts w:ascii="Times New Roman" w:eastAsia="Times New Roman" w:hAnsi="Times New Roman" w:cs="Times New Roman"/>
                <w:color w:val="000000"/>
                <w:sz w:val="24"/>
                <w:szCs w:val="24"/>
              </w:rPr>
              <w:t>3.3 Source selection</w:t>
            </w:r>
            <w:r>
              <w:rPr>
                <w:rFonts w:ascii="Times New Roman" w:eastAsia="Times New Roman" w:hAnsi="Times New Roman" w:cs="Times New Roman"/>
                <w:color w:val="000000"/>
                <w:sz w:val="24"/>
                <w:szCs w:val="24"/>
              </w:rPr>
              <w:tab/>
              <w:t>10</w:t>
            </w:r>
          </w:hyperlink>
        </w:p>
        <w:p w14:paraId="23416E8E"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1ocfrle4aw1e">
            <w:r>
              <w:rPr>
                <w:rFonts w:ascii="Times New Roman" w:eastAsia="Times New Roman" w:hAnsi="Times New Roman" w:cs="Times New Roman"/>
                <w:color w:val="000000"/>
                <w:sz w:val="24"/>
                <w:szCs w:val="24"/>
              </w:rPr>
              <w:t>3.4 Sampling strategy</w:t>
            </w:r>
            <w:r>
              <w:rPr>
                <w:rFonts w:ascii="Times New Roman" w:eastAsia="Times New Roman" w:hAnsi="Times New Roman" w:cs="Times New Roman"/>
                <w:color w:val="000000"/>
                <w:sz w:val="24"/>
                <w:szCs w:val="24"/>
              </w:rPr>
              <w:tab/>
              <w:t>10</w:t>
            </w:r>
          </w:hyperlink>
        </w:p>
        <w:p w14:paraId="203B0B97"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50797uzcy6mf">
            <w:r>
              <w:rPr>
                <w:rFonts w:ascii="Times New Roman" w:eastAsia="Times New Roman" w:hAnsi="Times New Roman" w:cs="Times New Roman"/>
                <w:color w:val="000000"/>
                <w:sz w:val="24"/>
                <w:szCs w:val="24"/>
              </w:rPr>
              <w:t>3.5 Analysis techniques</w:t>
            </w:r>
            <w:r>
              <w:rPr>
                <w:rFonts w:ascii="Times New Roman" w:eastAsia="Times New Roman" w:hAnsi="Times New Roman" w:cs="Times New Roman"/>
                <w:color w:val="000000"/>
                <w:sz w:val="24"/>
                <w:szCs w:val="24"/>
              </w:rPr>
              <w:tab/>
              <w:t>10</w:t>
            </w:r>
          </w:hyperlink>
        </w:p>
        <w:p w14:paraId="143856B5" w14:textId="77777777" w:rsidR="00F7338D" w:rsidRDefault="0019547D">
          <w:pPr>
            <w:pBdr>
              <w:top w:val="nil"/>
              <w:left w:val="nil"/>
              <w:bottom w:val="nil"/>
              <w:right w:val="nil"/>
              <w:between w:val="nil"/>
            </w:pBdr>
            <w:tabs>
              <w:tab w:val="right" w:leader="dot" w:pos="9016"/>
            </w:tabs>
            <w:spacing w:after="100" w:line="360" w:lineRule="auto"/>
            <w:ind w:left="220"/>
            <w:jc w:val="both"/>
            <w:rPr>
              <w:rFonts w:ascii="Times New Roman" w:eastAsia="Times New Roman" w:hAnsi="Times New Roman" w:cs="Times New Roman"/>
              <w:color w:val="000000"/>
              <w:sz w:val="24"/>
              <w:szCs w:val="24"/>
            </w:rPr>
          </w:pPr>
          <w:hyperlink w:anchor="_heading=h.b8cyipc2c1j0">
            <w:r>
              <w:rPr>
                <w:rFonts w:ascii="Times New Roman" w:eastAsia="Times New Roman" w:hAnsi="Times New Roman" w:cs="Times New Roman"/>
                <w:color w:val="000000"/>
                <w:sz w:val="24"/>
                <w:szCs w:val="24"/>
              </w:rPr>
              <w:t>3.6 Ethical considerations</w:t>
            </w:r>
            <w:r>
              <w:rPr>
                <w:rFonts w:ascii="Times New Roman" w:eastAsia="Times New Roman" w:hAnsi="Times New Roman" w:cs="Times New Roman"/>
                <w:color w:val="000000"/>
                <w:sz w:val="24"/>
                <w:szCs w:val="24"/>
              </w:rPr>
              <w:tab/>
              <w:t>10</w:t>
            </w:r>
          </w:hyperlink>
        </w:p>
        <w:p w14:paraId="50630FBB"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ymvzzpdldelk">
            <w:r>
              <w:rPr>
                <w:rFonts w:ascii="Times New Roman" w:eastAsia="Times New Roman" w:hAnsi="Times New Roman" w:cs="Times New Roman"/>
                <w:color w:val="000000"/>
                <w:sz w:val="24"/>
                <w:szCs w:val="24"/>
              </w:rPr>
              <w:t>4. Expected findings</w:t>
            </w:r>
            <w:r>
              <w:rPr>
                <w:rFonts w:ascii="Times New Roman" w:eastAsia="Times New Roman" w:hAnsi="Times New Roman" w:cs="Times New Roman"/>
                <w:color w:val="000000"/>
                <w:sz w:val="24"/>
                <w:szCs w:val="24"/>
              </w:rPr>
              <w:tab/>
              <w:t>10</w:t>
            </w:r>
          </w:hyperlink>
        </w:p>
        <w:p w14:paraId="035F58B2"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xjvwntfgnilm">
            <w:r>
              <w:rPr>
                <w:rFonts w:ascii="Times New Roman" w:eastAsia="Times New Roman" w:hAnsi="Times New Roman" w:cs="Times New Roman"/>
                <w:color w:val="000000"/>
                <w:sz w:val="24"/>
                <w:szCs w:val="24"/>
              </w:rPr>
              <w:t>5. Limitations</w:t>
            </w:r>
            <w:r>
              <w:rPr>
                <w:rFonts w:ascii="Times New Roman" w:eastAsia="Times New Roman" w:hAnsi="Times New Roman" w:cs="Times New Roman"/>
                <w:color w:val="000000"/>
                <w:sz w:val="24"/>
                <w:szCs w:val="24"/>
              </w:rPr>
              <w:tab/>
              <w:t>11</w:t>
            </w:r>
          </w:hyperlink>
        </w:p>
        <w:p w14:paraId="7BDA5D62"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pi7ajwepyr1v">
            <w:r>
              <w:rPr>
                <w:rFonts w:ascii="Times New Roman" w:eastAsia="Times New Roman" w:hAnsi="Times New Roman" w:cs="Times New Roman"/>
                <w:color w:val="000000"/>
                <w:sz w:val="24"/>
                <w:szCs w:val="24"/>
              </w:rPr>
              <w:t>6. Timeframe</w:t>
            </w:r>
            <w:r>
              <w:rPr>
                <w:rFonts w:ascii="Times New Roman" w:eastAsia="Times New Roman" w:hAnsi="Times New Roman" w:cs="Times New Roman"/>
                <w:color w:val="000000"/>
                <w:sz w:val="24"/>
                <w:szCs w:val="24"/>
              </w:rPr>
              <w:tab/>
              <w:t>11</w:t>
            </w:r>
          </w:hyperlink>
        </w:p>
        <w:p w14:paraId="033D65B4"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qajixf4mqlzo">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t>12</w:t>
            </w:r>
          </w:hyperlink>
        </w:p>
        <w:p w14:paraId="6573497C" w14:textId="77777777" w:rsidR="00F7338D" w:rsidRDefault="0019547D">
          <w:pPr>
            <w:pBdr>
              <w:top w:val="nil"/>
              <w:left w:val="nil"/>
              <w:bottom w:val="nil"/>
              <w:right w:val="nil"/>
              <w:between w:val="nil"/>
            </w:pBdr>
            <w:tabs>
              <w:tab w:val="right" w:leader="dot" w:pos="9016"/>
            </w:tabs>
            <w:spacing w:after="100" w:line="360" w:lineRule="auto"/>
            <w:jc w:val="both"/>
            <w:rPr>
              <w:rFonts w:ascii="Times New Roman" w:eastAsia="Times New Roman" w:hAnsi="Times New Roman" w:cs="Times New Roman"/>
              <w:color w:val="000000"/>
              <w:sz w:val="24"/>
              <w:szCs w:val="24"/>
            </w:rPr>
          </w:pPr>
          <w:hyperlink w:anchor="_heading=h.8afhhu29osnv">
            <w:r>
              <w:rPr>
                <w:rFonts w:ascii="Times New Roman" w:eastAsia="Times New Roman" w:hAnsi="Times New Roman" w:cs="Times New Roman"/>
                <w:color w:val="000000"/>
                <w:sz w:val="24"/>
                <w:szCs w:val="24"/>
              </w:rPr>
              <w:t>8. References</w:t>
            </w:r>
            <w:r>
              <w:rPr>
                <w:rFonts w:ascii="Times New Roman" w:eastAsia="Times New Roman" w:hAnsi="Times New Roman" w:cs="Times New Roman"/>
                <w:color w:val="000000"/>
                <w:sz w:val="24"/>
                <w:szCs w:val="24"/>
              </w:rPr>
              <w:tab/>
              <w:t>13</w:t>
            </w:r>
          </w:hyperlink>
        </w:p>
        <w:p w14:paraId="12D70281" w14:textId="77777777" w:rsidR="00F7338D" w:rsidRDefault="0019547D">
          <w:pPr>
            <w:spacing w:line="360" w:lineRule="auto"/>
            <w:jc w:val="both"/>
          </w:pPr>
          <w:r>
            <w:fldChar w:fldCharType="end"/>
          </w:r>
        </w:p>
      </w:sdtContent>
    </w:sdt>
    <w:p w14:paraId="5D87BAEB" w14:textId="77777777" w:rsidR="00F7338D" w:rsidRDefault="0019547D">
      <w:pPr>
        <w:rPr>
          <w:rFonts w:ascii="Times New Roman" w:eastAsia="Times New Roman" w:hAnsi="Times New Roman" w:cs="Times New Roman"/>
          <w:b/>
          <w:bCs/>
          <w:color w:val="000000"/>
          <w:sz w:val="28"/>
          <w:szCs w:val="28"/>
        </w:rPr>
      </w:pPr>
      <w:r>
        <w:br w:type="page"/>
      </w:r>
    </w:p>
    <w:p w14:paraId="3B1AC215" w14:textId="77777777" w:rsidR="00F7338D" w:rsidRDefault="0019547D">
      <w:pPr>
        <w:pStyle w:val="Heading1"/>
      </w:pPr>
      <w:bookmarkStart w:id="0" w:name="_heading=h.n97omrejx4gp" w:colFirst="0" w:colLast="0"/>
      <w:bookmarkEnd w:id="0"/>
      <w:r>
        <w:lastRenderedPageBreak/>
        <w:t xml:space="preserve">1. Introduction </w:t>
      </w:r>
    </w:p>
    <w:p w14:paraId="0C946B03"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modern Indian automobile market is going through prominent changes towards electrification and it is attracting major international EV manufacturers to maintain a stable business base. However, foreign brands are operating in a highly competitive environment dominated by different domestic players, while the market is getting saturated and the gap is developed based on driving Indian customers, who are value-conscious and loyal, to focus on the foreign alternatives in terms of selecting automobiles. In this respect, this research is based on presenting a viewpoint related to the factors influencing customers' acceptance of a foreign electric vehicle brand in India.</w:t>
      </w:r>
    </w:p>
    <w:p w14:paraId="34D9FB3A" w14:textId="77777777" w:rsidR="00F7338D" w:rsidRDefault="0019547D">
      <w:pPr>
        <w:pStyle w:val="Heading2"/>
      </w:pPr>
      <w:bookmarkStart w:id="1" w:name="_heading=h.er94w78h36f0" w:colFirst="0" w:colLast="0"/>
      <w:bookmarkEnd w:id="1"/>
      <w:r>
        <w:t xml:space="preserve">1.1 Background </w:t>
      </w:r>
    </w:p>
    <w:p w14:paraId="2987AF32"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passenger vehicle industry of India is experiencing a prominent acceleration and retail sales are developing 107% year on year to 31,823 units in June 2026 (ET Auto, 2026).  However, the landscape is competed by domestic giants, such as Tata Motors and Mahindra, that have around 39% and 23% of market share respectively (Singh, 2026). Currently, the market size in India is $5.7 billion (</w:t>
      </w:r>
      <w:proofErr w:type="spellStart"/>
      <w:r>
        <w:rPr>
          <w:rFonts w:ascii="Times New Roman" w:eastAsia="Times New Roman" w:hAnsi="Times New Roman" w:cs="Times New Roman"/>
          <w:sz w:val="24"/>
          <w:szCs w:val="24"/>
        </w:rPr>
        <w:t>EVBoosters</w:t>
      </w:r>
      <w:proofErr w:type="spellEnd"/>
      <w:r>
        <w:rPr>
          <w:rFonts w:ascii="Times New Roman" w:eastAsia="Times New Roman" w:hAnsi="Times New Roman" w:cs="Times New Roman"/>
          <w:sz w:val="24"/>
          <w:szCs w:val="24"/>
        </w:rPr>
        <w:t>, 2025). Despite acute market competitiveness, different global brands have focused aggressively on entering the Indian market. The brands are named as Vietnam's VinFast and China's BYD, capturing early market shares of 3.80% and 2.22% in H1 2026 (Yen, 2026). Thus, this study will consider how the consumers’ preferences for EVs can impact on Acceptance of Foreign Electric Vehicle Brands in India.</w:t>
      </w:r>
    </w:p>
    <w:p w14:paraId="5558E3CF" w14:textId="77777777" w:rsidR="00F7338D" w:rsidRDefault="0019547D">
      <w:pPr>
        <w:spacing w:line="360" w:lineRule="auto"/>
        <w:jc w:val="both"/>
        <w:rPr>
          <w:rFonts w:ascii="Times New Roman" w:eastAsia="Times New Roman" w:hAnsi="Times New Roman" w:cs="Times New Roman"/>
          <w:sz w:val="24"/>
          <w:szCs w:val="24"/>
        </w:rPr>
      </w:pPr>
      <w:r>
        <w:rPr>
          <w:noProof/>
        </w:rPr>
        <w:lastRenderedPageBreak/>
        <w:drawing>
          <wp:inline distT="0" distB="0" distL="0" distR="0" wp14:anchorId="6B1411EF" wp14:editId="7C00EA78">
            <wp:extent cx="5731510" cy="5357276"/>
            <wp:effectExtent l="0" t="0" r="0" b="0"/>
            <wp:docPr id="2" name="image1.jpg" descr="India's Electric Vehicle market projections | EVBoosters"/>
            <wp:cNvGraphicFramePr/>
            <a:graphic xmlns:a="http://schemas.openxmlformats.org/drawingml/2006/main">
              <a:graphicData uri="http://schemas.openxmlformats.org/drawingml/2006/picture">
                <pic:pic xmlns:pic="http://schemas.openxmlformats.org/drawingml/2006/picture">
                  <pic:nvPicPr>
                    <pic:cNvPr id="0" name="image1.jpg" descr="India's Electric Vehicle market projections | EVBoosters"/>
                    <pic:cNvPicPr preferRelativeResize="0"/>
                  </pic:nvPicPr>
                  <pic:blipFill>
                    <a:blip r:embed="rId10"/>
                    <a:srcRect/>
                    <a:stretch>
                      <a:fillRect/>
                    </a:stretch>
                  </pic:blipFill>
                  <pic:spPr>
                    <a:xfrm>
                      <a:off x="0" y="0"/>
                      <a:ext cx="5731510" cy="5357276"/>
                    </a:xfrm>
                    <a:prstGeom prst="rect">
                      <a:avLst/>
                    </a:prstGeom>
                    <a:ln/>
                  </pic:spPr>
                </pic:pic>
              </a:graphicData>
            </a:graphic>
          </wp:inline>
        </w:drawing>
      </w:r>
    </w:p>
    <w:p w14:paraId="4E286373"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Future route in the Indian EV market</w:t>
      </w:r>
    </w:p>
    <w:p w14:paraId="7E7C1827" w14:textId="77777777"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EVBoosters</w:t>
      </w:r>
      <w:proofErr w:type="spellEnd"/>
      <w:r>
        <w:rPr>
          <w:rFonts w:ascii="Times New Roman" w:eastAsia="Times New Roman" w:hAnsi="Times New Roman" w:cs="Times New Roman"/>
          <w:sz w:val="24"/>
          <w:szCs w:val="24"/>
        </w:rPr>
        <w:t>, 2025)</w:t>
      </w:r>
    </w:p>
    <w:p w14:paraId="79B78727" w14:textId="77777777" w:rsidR="00F7338D" w:rsidRDefault="0019547D">
      <w:pPr>
        <w:pStyle w:val="Heading2"/>
      </w:pPr>
      <w:bookmarkStart w:id="2" w:name="_heading=h.xbsjfq1445qg" w:colFirst="0" w:colLast="0"/>
      <w:bookmarkEnd w:id="2"/>
      <w:r>
        <w:t xml:space="preserve">1.2 Aim </w:t>
      </w:r>
    </w:p>
    <w:p w14:paraId="10C8CE18"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research will be to evaluate Factors Influencing Customer Acceptance of Foreign Electric Vehicle Brands in India. </w:t>
      </w:r>
    </w:p>
    <w:p w14:paraId="029729FE" w14:textId="77777777" w:rsidR="00F7338D" w:rsidRDefault="0019547D">
      <w:pPr>
        <w:pStyle w:val="Heading2"/>
      </w:pPr>
      <w:bookmarkStart w:id="3" w:name="_heading=h.wgbw47prgta7" w:colFirst="0" w:colLast="0"/>
      <w:bookmarkEnd w:id="3"/>
      <w:r>
        <w:t xml:space="preserve">1.3 Objectives </w:t>
      </w:r>
    </w:p>
    <w:p w14:paraId="7C329C62" w14:textId="77777777" w:rsidR="00F7338D" w:rsidRDefault="0019547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To examine the factors impacting Customer Acceptance of Foreign Electric Vehicle Brands in India</w:t>
      </w:r>
    </w:p>
    <w:p w14:paraId="3CA654C3" w14:textId="77777777" w:rsidR="00F7338D" w:rsidRDefault="0019547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To analyse the reasons behind developing purchasing intentions for Foreign Electric Vehicle Brands in India</w:t>
      </w:r>
    </w:p>
    <w:p w14:paraId="540EA2AB" w14:textId="77777777" w:rsidR="00F7338D" w:rsidRDefault="0019547D">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lastRenderedPageBreak/>
        <w:t xml:space="preserve">To find out the issues based on </w:t>
      </w:r>
      <w:r>
        <w:rPr>
          <w:rFonts w:ascii="Times New Roman" w:eastAsia="Times New Roman" w:hAnsi="Times New Roman" w:cs="Times New Roman"/>
          <w:sz w:val="24"/>
          <w:szCs w:val="24"/>
        </w:rPr>
        <w:t>the penetration</w:t>
      </w:r>
      <w:r>
        <w:rPr>
          <w:rFonts w:ascii="Times New Roman" w:eastAsia="Times New Roman" w:hAnsi="Times New Roman" w:cs="Times New Roman"/>
          <w:color w:val="000000"/>
          <w:sz w:val="24"/>
          <w:szCs w:val="24"/>
        </w:rPr>
        <w:t xml:space="preserve"> into the Indian market by Foreign Electric Vehicle Brands </w:t>
      </w:r>
    </w:p>
    <w:p w14:paraId="50834E31" w14:textId="77777777" w:rsidR="00F7338D" w:rsidRDefault="0019547D">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To recommend feasible strategies through which the acceptance </w:t>
      </w:r>
      <w:r>
        <w:rPr>
          <w:rFonts w:ascii="Times New Roman" w:eastAsia="Times New Roman" w:hAnsi="Times New Roman" w:cs="Times New Roman"/>
          <w:sz w:val="24"/>
          <w:szCs w:val="24"/>
        </w:rPr>
        <w:t>of foreign electric vehicle brands</w:t>
      </w:r>
      <w:r>
        <w:rPr>
          <w:rFonts w:ascii="Times New Roman" w:eastAsia="Times New Roman" w:hAnsi="Times New Roman" w:cs="Times New Roman"/>
          <w:color w:val="000000"/>
          <w:sz w:val="24"/>
          <w:szCs w:val="24"/>
        </w:rPr>
        <w:t xml:space="preserve"> can be developed in India</w:t>
      </w:r>
    </w:p>
    <w:p w14:paraId="585B7FFF" w14:textId="77777777" w:rsidR="00F7338D" w:rsidRDefault="0019547D">
      <w:pPr>
        <w:pStyle w:val="Heading2"/>
      </w:pPr>
      <w:bookmarkStart w:id="4" w:name="_heading=h.qsu365m6k95s" w:colFirst="0" w:colLast="0"/>
      <w:bookmarkEnd w:id="4"/>
      <w:r>
        <w:t xml:space="preserve">1.4 Research question </w:t>
      </w:r>
    </w:p>
    <w:p w14:paraId="494A3D71" w14:textId="77777777" w:rsidR="00F7338D" w:rsidRDefault="0019547D">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factors influence Indian consumers' acceptance of foreign electric vehicle brands?</w:t>
      </w:r>
    </w:p>
    <w:p w14:paraId="4023EFCB" w14:textId="77777777" w:rsidR="00F7338D" w:rsidRDefault="0019547D">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reasons behind developing purchasing intentions for Foreign Electric Vehicle Brands in India?</w:t>
      </w:r>
    </w:p>
    <w:p w14:paraId="3DB30D1F" w14:textId="77777777" w:rsidR="00F7338D" w:rsidRDefault="0019547D">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are the issues based on penetrating into the Indian market by Foreign Electric Vehicle Brands?</w:t>
      </w:r>
    </w:p>
    <w:p w14:paraId="190B37F4" w14:textId="77777777" w:rsidR="00F7338D" w:rsidRDefault="0019547D">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Which can be the feasible strategies through which the acceptance for Foreign Electric Vehicle Brands can be developed in India?</w:t>
      </w:r>
    </w:p>
    <w:p w14:paraId="5E6E4F60" w14:textId="77777777" w:rsidR="00F7338D" w:rsidRDefault="0019547D">
      <w:pPr>
        <w:pStyle w:val="Heading2"/>
      </w:pPr>
      <w:bookmarkStart w:id="5" w:name="_heading=h.m6qdt9iw17ju" w:colFirst="0" w:colLast="0"/>
      <w:bookmarkEnd w:id="5"/>
      <w:r>
        <w:t xml:space="preserve">1.5 Significance of the research </w:t>
      </w:r>
    </w:p>
    <w:p w14:paraId="48E7F782"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may have effective academic and practical significance in terms of understanding how the electric vehicle market in India is experiencing a prominent development in recent era. The valuation is projected to range from $18.79 billion in 2025 to $31.09 billion in 2026 (Singh, 2026). In Western India, the dominance of foreign EVs is highest. In terms of understanding how the price and brand value are playing crucial roles in drawing consumer attention for foreign electric vehicles, this research will bridge a vital literature gap based on which international market entity strategy is followed by the foreign brands in highly cost-conscious economies. </w:t>
      </w:r>
    </w:p>
    <w:p w14:paraId="060F03B5" w14:textId="77777777"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A2FE61E" wp14:editId="2A9BF5BA">
            <wp:extent cx="4368952" cy="2232396"/>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68952" cy="2232396"/>
                    </a:xfrm>
                    <a:prstGeom prst="rect">
                      <a:avLst/>
                    </a:prstGeom>
                    <a:ln/>
                  </pic:spPr>
                </pic:pic>
              </a:graphicData>
            </a:graphic>
          </wp:inline>
        </w:drawing>
      </w:r>
    </w:p>
    <w:p w14:paraId="090DE331"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Growth of EV market in Indian regions </w:t>
      </w:r>
    </w:p>
    <w:p w14:paraId="74D17742" w14:textId="77777777"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proofErr w:type="spellStart"/>
      <w:r>
        <w:rPr>
          <w:rFonts w:ascii="Times New Roman" w:eastAsia="Times New Roman" w:hAnsi="Times New Roman" w:cs="Times New Roman"/>
          <w:sz w:val="24"/>
          <w:szCs w:val="24"/>
        </w:rPr>
        <w:t>Marketresearchfuture</w:t>
      </w:r>
      <w:proofErr w:type="spellEnd"/>
      <w:r>
        <w:rPr>
          <w:rFonts w:ascii="Times New Roman" w:eastAsia="Times New Roman" w:hAnsi="Times New Roman" w:cs="Times New Roman"/>
          <w:sz w:val="24"/>
          <w:szCs w:val="24"/>
        </w:rPr>
        <w:t>, 2026)</w:t>
      </w:r>
    </w:p>
    <w:p w14:paraId="22D9227A" w14:textId="77777777" w:rsidR="00F7338D" w:rsidRDefault="0019547D">
      <w:pPr>
        <w:pStyle w:val="Heading2"/>
      </w:pPr>
      <w:bookmarkStart w:id="6" w:name="_heading=h.bwlegavgjd3q" w:colFirst="0" w:colLast="0"/>
      <w:bookmarkEnd w:id="6"/>
      <w:r>
        <w:t xml:space="preserve">1.6 Rationale </w:t>
      </w:r>
    </w:p>
    <w:p w14:paraId="7F0C73C4"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rapid expansion of India’s electric vehicle market has led to a structural shift for foreign brands, though the entry barriers are steep.  The core issue is based on showing the electric passenger vehicles market in India had a 4.5% market penetration from 2025 to 2026 (EV reporter, 2026), when the volume is highly consolidated. On the other hand, competitors such as Tata Motors exhibited a prominent market share of 38% and as a result, the manufacturers may face a highly competitive market barrier in India while maintaining consumer trust and operational feasibility. The issue is critical if the global brand decides to invest in the Indian EV market and the projected $61.15 billion EV market valuation in 2026 will also be affected (</w:t>
      </w:r>
      <w:proofErr w:type="spellStart"/>
      <w:r>
        <w:rPr>
          <w:rFonts w:ascii="Times New Roman" w:eastAsia="Times New Roman" w:hAnsi="Times New Roman" w:cs="Times New Roman"/>
          <w:sz w:val="24"/>
          <w:szCs w:val="24"/>
        </w:rPr>
        <w:t>Marketresearchfuture</w:t>
      </w:r>
      <w:proofErr w:type="spellEnd"/>
      <w:r>
        <w:rPr>
          <w:rFonts w:ascii="Times New Roman" w:eastAsia="Times New Roman" w:hAnsi="Times New Roman" w:cs="Times New Roman"/>
          <w:sz w:val="24"/>
          <w:szCs w:val="24"/>
        </w:rPr>
        <w:t xml:space="preserve">, 2025). The problem needs critical investigation because the Indian market has reached an economic inflexion point. Furthermore, cumulative allocations may cross ₹25,000 crore under Production-Linked Incentive (PLI) schemes, which are forcing international automakers to choose between local manufacturing commitments or losing market accessibility. </w:t>
      </w:r>
    </w:p>
    <w:p w14:paraId="1BC2110E" w14:textId="77777777"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C2E9878" wp14:editId="629BFA66">
            <wp:extent cx="5731510" cy="285940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510" cy="2859405"/>
                    </a:xfrm>
                    <a:prstGeom prst="rect">
                      <a:avLst/>
                    </a:prstGeom>
                    <a:ln/>
                  </pic:spPr>
                </pic:pic>
              </a:graphicData>
            </a:graphic>
          </wp:inline>
        </w:drawing>
      </w:r>
    </w:p>
    <w:p w14:paraId="7F14FA75"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Growth of the Indian EV market</w:t>
      </w:r>
    </w:p>
    <w:p w14:paraId="62D9596E" w14:textId="77777777"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Marketresearchfuture</w:t>
      </w:r>
      <w:proofErr w:type="spellEnd"/>
      <w:r>
        <w:rPr>
          <w:rFonts w:ascii="Times New Roman" w:eastAsia="Times New Roman" w:hAnsi="Times New Roman" w:cs="Times New Roman"/>
          <w:sz w:val="24"/>
          <w:szCs w:val="24"/>
        </w:rPr>
        <w:t>, 2025)</w:t>
      </w:r>
    </w:p>
    <w:p w14:paraId="4748C5C6"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this research will shed light on this issue for understanding different variables, such as price hike, the infrastructural gap as well as brand trust, can impact consumers’ buying habits in India. Additionally, understanding the socioeconomic impacts will cover an academic gap </w:t>
      </w:r>
      <w:r>
        <w:rPr>
          <w:rFonts w:ascii="Times New Roman" w:eastAsia="Times New Roman" w:hAnsi="Times New Roman" w:cs="Times New Roman"/>
          <w:sz w:val="24"/>
          <w:szCs w:val="24"/>
        </w:rPr>
        <w:lastRenderedPageBreak/>
        <w:t xml:space="preserve">by highlighting the usefulness of the technology acceptance model for supporting the market entry by automobile manufacturers. </w:t>
      </w:r>
    </w:p>
    <w:p w14:paraId="4DD81D96" w14:textId="77777777" w:rsidR="00F7338D" w:rsidRDefault="0019547D">
      <w:pPr>
        <w:pStyle w:val="Heading1"/>
      </w:pPr>
      <w:bookmarkStart w:id="7" w:name="_heading=h.exxglsx28sqh" w:colFirst="0" w:colLast="0"/>
      <w:bookmarkEnd w:id="7"/>
      <w:r>
        <w:t xml:space="preserve">2. Literature review </w:t>
      </w:r>
    </w:p>
    <w:p w14:paraId="76F3E977" w14:textId="77777777" w:rsidR="00F7338D" w:rsidRDefault="0019547D">
      <w:pPr>
        <w:pStyle w:val="Heading2"/>
      </w:pPr>
      <w:bookmarkStart w:id="8" w:name="_heading=h.z6svhthqxpjc" w:colFirst="0" w:colLast="0"/>
      <w:bookmarkEnd w:id="8"/>
      <w:r>
        <w:t>2.1 Introduction</w:t>
      </w:r>
    </w:p>
    <w:p w14:paraId="0650829B"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is critically focused on understanding the opinions of previous researchers based on consumer decisions regarding particular technology and brand usefulness. It is evident that for understanding the market penetration mode of companies, assessment of psychological and socioeconomic variables is important. Therefore, considering the opinions of different researchers, this literature review has established a theoretical framework to analyse how Indian consumers evaluate and accept foreign electric vehicle (EV) brands.</w:t>
      </w:r>
    </w:p>
    <w:p w14:paraId="59AF17E6" w14:textId="77777777" w:rsidR="00F7338D" w:rsidRDefault="0019547D">
      <w:pPr>
        <w:pStyle w:val="Heading2"/>
      </w:pPr>
      <w:bookmarkStart w:id="9" w:name="_heading=h.4ergogfyy8sz" w:colFirst="0" w:colLast="0"/>
      <w:bookmarkEnd w:id="9"/>
      <w:r>
        <w:t xml:space="preserve">2.2 Factors influencing Indian consumers' acceptance of foreign electric vehicle brands </w:t>
      </w:r>
    </w:p>
    <w:p w14:paraId="2D34B71C"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Consumers’ acceptance towards foreign automotive technology is based on some distinct psychological and behavioural aspects. In this regard, Kwesi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mentioned that the primary driver is consumer brand equity awareness that is directly linked with product choice in a highly competitive market. Additionally, it is also evident that if brand awareness, perceived quality, and brand trust are high, the consumers’ buying intentions are automatically developed (Kumar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Apart from that, </w:t>
      </w:r>
      <w:proofErr w:type="spellStart"/>
      <w:r>
        <w:rPr>
          <w:rFonts w:ascii="Times New Roman" w:eastAsia="Times New Roman" w:hAnsi="Times New Roman" w:cs="Times New Roman"/>
          <w:sz w:val="24"/>
          <w:szCs w:val="24"/>
        </w:rPr>
        <w:t>Alsmadi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noted that the usability of the incorporated technology plays a key role in determining how buyers filter information and select technology. Different psychological elements, such as the usefulness and longevity of products, the marketing channel and customers’ reviews, also act to impact on consumers’ buying patterns of EVs (Ngo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Additionally, consumer engagement with advanced systems acts as a mediating variable, which transforms initial consumer curiosity into a concrete willingness to adopt international technological brands (Sahoo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p w14:paraId="5A617DDE" w14:textId="77777777" w:rsidR="00F7338D" w:rsidRDefault="0019547D">
      <w:pPr>
        <w:pStyle w:val="Heading2"/>
      </w:pPr>
      <w:bookmarkStart w:id="10" w:name="_heading=h.cuzljxvxw8hv" w:colFirst="0" w:colLast="0"/>
      <w:bookmarkEnd w:id="10"/>
      <w:r>
        <w:t xml:space="preserve">2.3 The issues based on penetrating into the Indian market by Foreign Electric Vehicle Brands </w:t>
      </w:r>
    </w:p>
    <w:p w14:paraId="69269F8A"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foreign EV brands may face different types of market friction due to structural consumer scepticism regarding post-purchase security. As mentioned by Srivastava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(2026), the main challenge is maintaining consumer trust post purchase that is directly linked with product quality and after-sales service. At the time of entering into a foreign market, different </w:t>
      </w:r>
      <w:r>
        <w:rPr>
          <w:rFonts w:ascii="Times New Roman" w:eastAsia="Times New Roman" w:hAnsi="Times New Roman" w:cs="Times New Roman"/>
          <w:sz w:val="24"/>
          <w:szCs w:val="24"/>
        </w:rPr>
        <w:lastRenderedPageBreak/>
        <w:t xml:space="preserve">international brands have to overcome local preferences and this creates a barrier for them to impact the local customers, overcoming the domestic identity alignment issues (Bizuneh, 2025). It is also evident that local dealership networks, robust battery warranties, and visible servicing infrastructure- all factors act as necessary for the foreign brands to attain customers’ trust in the wider Indian market. </w:t>
      </w:r>
    </w:p>
    <w:p w14:paraId="09C34E92" w14:textId="77777777" w:rsidR="00F7338D" w:rsidRDefault="0019547D">
      <w:pPr>
        <w:pStyle w:val="Heading2"/>
      </w:pPr>
      <w:bookmarkStart w:id="11" w:name="_heading=h.fycw6xg6d32y" w:colFirst="0" w:colLast="0"/>
      <w:bookmarkEnd w:id="11"/>
      <w:r>
        <w:t>2.4 Aligning theories and model</w:t>
      </w:r>
    </w:p>
    <w:p w14:paraId="24A9FDEC"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understand the consumers’ purchasing habits for foreign EV brands, it is important to incorporate academic frameworks that can shed light on personal utility and social and motivational factors. In this aspect, Jayawardena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described that technology adoption is greatly impacted by social motivation and based on this, individuals can choose or reject advanced and smart innovation. These aspects can be linked directly with the Unified Theory of Acceptance and Use of Technology framework. Through this framework, the price, social influence as well as facilitating conditions of the brands can dictate consumers’ purchasing behaviour. In support of this, Simonetti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stated that in the recent era, the consumer brand choice is directly impacted by their personal buying habits and external social factors in the changing business environment. </w:t>
      </w:r>
    </w:p>
    <w:p w14:paraId="287F1A22" w14:textId="77777777" w:rsidR="00F7338D" w:rsidRDefault="0019547D">
      <w:pPr>
        <w:pStyle w:val="Heading2"/>
      </w:pPr>
      <w:bookmarkStart w:id="12" w:name="_heading=h.qp5hlqsmdv9t" w:colFirst="0" w:colLast="0"/>
      <w:bookmarkEnd w:id="12"/>
      <w:r>
        <w:t>2.5 Literature gap</w:t>
      </w:r>
    </w:p>
    <w:p w14:paraId="2F1A4433"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literature study has critically considered the aspects of technology acceptance and brand equity across the emerging economies. However, a prominent gap exists in terms of how behavioural buying patterns of the customers can be linked with the large-scale automotive transition. Moreover, a data gap is seen in terms of mapping foreign EV market entry strategies against the price consciousness and infrastructure-based psychology of Indian consumers. </w:t>
      </w:r>
    </w:p>
    <w:p w14:paraId="1DB714B2" w14:textId="77777777" w:rsidR="00F7338D" w:rsidRDefault="0019547D">
      <w:pPr>
        <w:pStyle w:val="Heading2"/>
      </w:pPr>
      <w:bookmarkStart w:id="13" w:name="_heading=h.l7aqvs70n9gp" w:colFirst="0" w:colLast="0"/>
      <w:bookmarkEnd w:id="13"/>
      <w:r>
        <w:lastRenderedPageBreak/>
        <w:t xml:space="preserve">2.6 Conceptual framework </w:t>
      </w:r>
    </w:p>
    <w:p w14:paraId="13A1C509" w14:textId="77777777" w:rsidR="00F7338D" w:rsidRDefault="0019547D">
      <w:pPr>
        <w:jc w:val="center"/>
      </w:pPr>
      <w:r>
        <w:rPr>
          <w:noProof/>
        </w:rPr>
        <mc:AlternateContent>
          <mc:Choice Requires="wpg">
            <w:drawing>
              <wp:inline distT="0" distB="0" distL="0" distR="0" wp14:anchorId="14E20DD9" wp14:editId="3F39FBCC">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0" y="0"/>
                          <a:chExt cx="5486400" cy="3200425"/>
                        </a:xfrm>
                      </wpg:grpSpPr>
                      <wpg:grpSp>
                        <wpg:cNvPr id="5" name="Group 5"/>
                        <wpg:cNvGrpSpPr/>
                        <wpg:grpSpPr>
                          <a:xfrm>
                            <a:off x="0" y="0"/>
                            <a:ext cx="5486400" cy="3200400"/>
                            <a:chOff x="0" y="0"/>
                            <a:chExt cx="5486400" cy="3200400"/>
                          </a:xfrm>
                        </wpg:grpSpPr>
                        <wps:wsp>
                          <wps:cNvPr id="6" name="Rectangle 6"/>
                          <wps:cNvSpPr/>
                          <wps:spPr>
                            <a:xfrm>
                              <a:off x="0" y="0"/>
                              <a:ext cx="5486400" cy="3200400"/>
                            </a:xfrm>
                            <a:prstGeom prst="rect">
                              <a:avLst/>
                            </a:prstGeom>
                            <a:noFill/>
                            <a:ln>
                              <a:noFill/>
                            </a:ln>
                          </wps:spPr>
                          <wps:txbx>
                            <w:txbxContent>
                              <w:p w14:paraId="5924F226"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7" name="Rounded Rectangle 7"/>
                          <wps:cNvSpPr/>
                          <wps:spPr>
                            <a:xfrm>
                              <a:off x="5377" y="1447098"/>
                              <a:ext cx="1440959" cy="720479"/>
                            </a:xfrm>
                            <a:prstGeom prst="roundRect">
                              <a:avLst>
                                <a:gd name="adj" fmla="val 10000"/>
                              </a:avLst>
                            </a:prstGeom>
                            <a:gradFill>
                              <a:gsLst>
                                <a:gs pos="0">
                                  <a:srgbClr val="EE8954"/>
                                </a:gs>
                                <a:gs pos="50000">
                                  <a:srgbClr val="F47926"/>
                                </a:gs>
                                <a:gs pos="100000">
                                  <a:srgbClr val="E16817"/>
                                </a:gs>
                              </a:gsLst>
                              <a:lin ang="5400000" scaled="0"/>
                            </a:gradFill>
                            <a:ln>
                              <a:noFill/>
                            </a:ln>
                          </wps:spPr>
                          <wps:txbx>
                            <w:txbxContent>
                              <w:p w14:paraId="03B7520D"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8" name="Text Box 8"/>
                          <wps:cNvSpPr txBox="1"/>
                          <wps:spPr>
                            <a:xfrm>
                              <a:off x="26479" y="1468200"/>
                              <a:ext cx="1398755" cy="678275"/>
                            </a:xfrm>
                            <a:prstGeom prst="rect">
                              <a:avLst/>
                            </a:prstGeom>
                            <a:noFill/>
                            <a:ln>
                              <a:noFill/>
                            </a:ln>
                          </wps:spPr>
                          <wps:txbx>
                            <w:txbxContent>
                              <w:p w14:paraId="09A4474F" w14:textId="77777777" w:rsidR="00F7338D" w:rsidRDefault="0019547D">
                                <w:pPr>
                                  <w:spacing w:after="0" w:line="215" w:lineRule="auto"/>
                                  <w:jc w:val="center"/>
                                  <w:textDirection w:val="btLr"/>
                                </w:pPr>
                                <w:r>
                                  <w:rPr>
                                    <w:rFonts w:ascii="Times New Roman" w:eastAsia="Times New Roman" w:hAnsi="Times New Roman" w:cs="Times New Roman"/>
                                    <w:b/>
                                    <w:color w:val="000000"/>
                                  </w:rPr>
                                  <w:t>Factors Influencing Customer Acceptance of Foreign Electric Vehicle Brands in India</w:t>
                                </w:r>
                              </w:p>
                            </w:txbxContent>
                          </wps:txbx>
                          <wps:bodyPr spcFirstLastPara="1" wrap="square" lIns="6975" tIns="6975" rIns="6975" bIns="6975" anchor="ctr" anchorCtr="0">
                            <a:noAutofit/>
                          </wps:bodyPr>
                        </wps:wsp>
                        <wps:wsp>
                          <wps:cNvPr id="9" name="Freeform 9"/>
                          <wps:cNvSpPr/>
                          <wps:spPr>
                            <a:xfrm rot="-2829178">
                              <a:off x="1310744" y="1476370"/>
                              <a:ext cx="847568" cy="40521"/>
                            </a:xfrm>
                            <a:custGeom>
                              <a:avLst/>
                              <a:gdLst/>
                              <a:ahLst/>
                              <a:cxnLst/>
                              <a:rect l="l" t="t" r="r" b="b"/>
                              <a:pathLst>
                                <a:path w="120000" h="120000" extrusionOk="0">
                                  <a:moveTo>
                                    <a:pt x="0" y="59999"/>
                                  </a:moveTo>
                                  <a:lnTo>
                                    <a:pt x="120000" y="59999"/>
                                  </a:lnTo>
                                </a:path>
                              </a:pathLst>
                            </a:custGeom>
                            <a:noFill/>
                            <a:ln w="12700" cap="flat" cmpd="sng">
                              <a:solidFill>
                                <a:schemeClr val="accent4"/>
                              </a:solidFill>
                              <a:prstDash val="solid"/>
                              <a:miter lim="8000"/>
                              <a:headEnd type="none" w="sm" len="sm"/>
                              <a:tailEnd type="none" w="sm" len="sm"/>
                            </a:ln>
                          </wps:spPr>
                          <wps:txbx>
                            <w:txbxContent>
                              <w:p w14:paraId="6DAF10B0"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0" name="Text Box 10"/>
                          <wps:cNvSpPr txBox="1"/>
                          <wps:spPr>
                            <a:xfrm rot="-2829178">
                              <a:off x="1713339" y="1475441"/>
                              <a:ext cx="42378" cy="42378"/>
                            </a:xfrm>
                            <a:prstGeom prst="rect">
                              <a:avLst/>
                            </a:prstGeom>
                            <a:noFill/>
                            <a:ln>
                              <a:noFill/>
                            </a:ln>
                          </wps:spPr>
                          <wps:txbx>
                            <w:txbxContent>
                              <w:p w14:paraId="18E76040" w14:textId="77777777"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11" name="Rounded Rectangle 11"/>
                          <wps:cNvSpPr/>
                          <wps:spPr>
                            <a:xfrm>
                              <a:off x="2022720" y="825684"/>
                              <a:ext cx="1440959" cy="720479"/>
                            </a:xfrm>
                            <a:prstGeom prst="roundRect">
                              <a:avLst>
                                <a:gd name="adj" fmla="val 10000"/>
                              </a:avLst>
                            </a:prstGeom>
                            <a:gradFill>
                              <a:gsLst>
                                <a:gs pos="0">
                                  <a:srgbClr val="FFC647"/>
                                </a:gs>
                                <a:gs pos="50000">
                                  <a:srgbClr val="FFC600"/>
                                </a:gs>
                                <a:gs pos="100000">
                                  <a:srgbClr val="E3B400"/>
                                </a:gs>
                              </a:gsLst>
                              <a:lin ang="5400000" scaled="0"/>
                            </a:gradFill>
                            <a:ln>
                              <a:noFill/>
                            </a:ln>
                          </wps:spPr>
                          <wps:txbx>
                            <w:txbxContent>
                              <w:p w14:paraId="40047C09"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2" name="Text Box 12"/>
                          <wps:cNvSpPr txBox="1"/>
                          <wps:spPr>
                            <a:xfrm>
                              <a:off x="2043822" y="846786"/>
                              <a:ext cx="1398755" cy="678275"/>
                            </a:xfrm>
                            <a:prstGeom prst="rect">
                              <a:avLst/>
                            </a:prstGeom>
                            <a:noFill/>
                            <a:ln>
                              <a:noFill/>
                            </a:ln>
                          </wps:spPr>
                          <wps:txbx>
                            <w:txbxContent>
                              <w:p w14:paraId="2391D330" w14:textId="77777777" w:rsidR="00F7338D" w:rsidRDefault="0019547D">
                                <w:pPr>
                                  <w:spacing w:after="0" w:line="215" w:lineRule="auto"/>
                                  <w:jc w:val="center"/>
                                  <w:textDirection w:val="btLr"/>
                                </w:pPr>
                                <w:r>
                                  <w:rPr>
                                    <w:rFonts w:ascii="Times New Roman" w:eastAsia="Times New Roman" w:hAnsi="Times New Roman" w:cs="Times New Roman"/>
                                    <w:b/>
                                    <w:color w:val="000000"/>
                                  </w:rPr>
                                  <w:t xml:space="preserve">The issues based on penetrating into the Indian market by Foreign Electric Vehicle Brands </w:t>
                                </w:r>
                              </w:p>
                            </w:txbxContent>
                          </wps:txbx>
                          <wps:bodyPr spcFirstLastPara="1" wrap="square" lIns="6975" tIns="6975" rIns="6975" bIns="6975" anchor="ctr" anchorCtr="0">
                            <a:noAutofit/>
                          </wps:bodyPr>
                        </wps:wsp>
                        <wps:wsp>
                          <wps:cNvPr id="13" name="Freeform 13"/>
                          <wps:cNvSpPr/>
                          <wps:spPr>
                            <a:xfrm rot="-2142401">
                              <a:off x="3396962" y="958525"/>
                              <a:ext cx="709818" cy="40521"/>
                            </a:xfrm>
                            <a:custGeom>
                              <a:avLst/>
                              <a:gdLst/>
                              <a:ahLst/>
                              <a:cxnLst/>
                              <a:rect l="l" t="t" r="r" b="b"/>
                              <a:pathLst>
                                <a:path w="120000" h="120000" extrusionOk="0">
                                  <a:moveTo>
                                    <a:pt x="0" y="59999"/>
                                  </a:moveTo>
                                  <a:lnTo>
                                    <a:pt x="120000" y="59999"/>
                                  </a:lnTo>
                                </a:path>
                              </a:pathLst>
                            </a:custGeom>
                            <a:noFill/>
                            <a:ln w="12700" cap="flat" cmpd="sng">
                              <a:solidFill>
                                <a:srgbClr val="4270C3"/>
                              </a:solidFill>
                              <a:prstDash val="solid"/>
                              <a:miter lim="8000"/>
                              <a:headEnd type="none" w="sm" len="sm"/>
                              <a:tailEnd type="none" w="sm" len="sm"/>
                            </a:ln>
                          </wps:spPr>
                          <wps:txbx>
                            <w:txbxContent>
                              <w:p w14:paraId="6C52F5F7"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4" name="Text Box 14"/>
                          <wps:cNvSpPr txBox="1"/>
                          <wps:spPr>
                            <a:xfrm rot="-2142401">
                              <a:off x="3734125" y="961040"/>
                              <a:ext cx="35490" cy="35490"/>
                            </a:xfrm>
                            <a:prstGeom prst="rect">
                              <a:avLst/>
                            </a:prstGeom>
                            <a:noFill/>
                            <a:ln>
                              <a:noFill/>
                            </a:ln>
                          </wps:spPr>
                          <wps:txbx>
                            <w:txbxContent>
                              <w:p w14:paraId="7DF9ABC7" w14:textId="77777777"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15" name="Rounded Rectangle 15"/>
                          <wps:cNvSpPr/>
                          <wps:spPr>
                            <a:xfrm>
                              <a:off x="4040063" y="411408"/>
                              <a:ext cx="1440959" cy="720479"/>
                            </a:xfrm>
                            <a:prstGeom prst="roundRect">
                              <a:avLst>
                                <a:gd name="adj" fmla="val 10000"/>
                              </a:avLst>
                            </a:prstGeom>
                            <a:gradFill>
                              <a:gsLst>
                                <a:gs pos="0">
                                  <a:srgbClr val="5D7FC9"/>
                                </a:gs>
                                <a:gs pos="50000">
                                  <a:srgbClr val="3A6EC9"/>
                                </a:gs>
                                <a:gs pos="100000">
                                  <a:srgbClr val="2C5EB8"/>
                                </a:gs>
                              </a:gsLst>
                              <a:lin ang="5400000" scaled="0"/>
                            </a:gradFill>
                            <a:ln>
                              <a:noFill/>
                            </a:ln>
                          </wps:spPr>
                          <wps:txbx>
                            <w:txbxContent>
                              <w:p w14:paraId="24E7150F"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6" name="Text Box 16"/>
                          <wps:cNvSpPr txBox="1"/>
                          <wps:spPr>
                            <a:xfrm>
                              <a:off x="4061165" y="432510"/>
                              <a:ext cx="1398755" cy="678275"/>
                            </a:xfrm>
                            <a:prstGeom prst="rect">
                              <a:avLst/>
                            </a:prstGeom>
                            <a:noFill/>
                            <a:ln>
                              <a:noFill/>
                            </a:ln>
                          </wps:spPr>
                          <wps:txbx>
                            <w:txbxContent>
                              <w:p w14:paraId="66D6B8A1" w14:textId="77777777" w:rsidR="00F7338D" w:rsidRDefault="0019547D">
                                <w:pPr>
                                  <w:spacing w:after="0" w:line="215" w:lineRule="auto"/>
                                  <w:jc w:val="center"/>
                                  <w:textDirection w:val="btLr"/>
                                </w:pPr>
                                <w:r>
                                  <w:rPr>
                                    <w:rFonts w:ascii="Times New Roman" w:eastAsia="Times New Roman" w:hAnsi="Times New Roman" w:cs="Times New Roman"/>
                                    <w:b/>
                                    <w:color w:val="000000"/>
                                  </w:rPr>
                                  <w:t xml:space="preserve">Unified theory of acceptance </w:t>
                                </w:r>
                              </w:p>
                            </w:txbxContent>
                          </wps:txbx>
                          <wps:bodyPr spcFirstLastPara="1" wrap="square" lIns="6975" tIns="6975" rIns="6975" bIns="6975" anchor="ctr" anchorCtr="0">
                            <a:noAutofit/>
                          </wps:bodyPr>
                        </wps:wsp>
                        <wps:wsp>
                          <wps:cNvPr id="17" name="Freeform 17"/>
                          <wps:cNvSpPr/>
                          <wps:spPr>
                            <a:xfrm rot="2142401">
                              <a:off x="3396962" y="1372801"/>
                              <a:ext cx="709818" cy="40521"/>
                            </a:xfrm>
                            <a:custGeom>
                              <a:avLst/>
                              <a:gdLst/>
                              <a:ahLst/>
                              <a:cxnLst/>
                              <a:rect l="l" t="t" r="r" b="b"/>
                              <a:pathLst>
                                <a:path w="120000" h="120000" extrusionOk="0">
                                  <a:moveTo>
                                    <a:pt x="0" y="59999"/>
                                  </a:moveTo>
                                  <a:lnTo>
                                    <a:pt x="120000" y="59999"/>
                                  </a:lnTo>
                                </a:path>
                              </a:pathLst>
                            </a:custGeom>
                            <a:noFill/>
                            <a:ln w="12700" cap="flat" cmpd="sng">
                              <a:solidFill>
                                <a:srgbClr val="4270C3"/>
                              </a:solidFill>
                              <a:prstDash val="solid"/>
                              <a:miter lim="8000"/>
                              <a:headEnd type="none" w="sm" len="sm"/>
                              <a:tailEnd type="none" w="sm" len="sm"/>
                            </a:ln>
                          </wps:spPr>
                          <wps:txbx>
                            <w:txbxContent>
                              <w:p w14:paraId="043D4DB9"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18" name="Text Box 18"/>
                          <wps:cNvSpPr txBox="1"/>
                          <wps:spPr>
                            <a:xfrm rot="2142401">
                              <a:off x="3734125" y="1375316"/>
                              <a:ext cx="35490" cy="35490"/>
                            </a:xfrm>
                            <a:prstGeom prst="rect">
                              <a:avLst/>
                            </a:prstGeom>
                            <a:noFill/>
                            <a:ln>
                              <a:noFill/>
                            </a:ln>
                          </wps:spPr>
                          <wps:txbx>
                            <w:txbxContent>
                              <w:p w14:paraId="0018506D" w14:textId="77777777"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19" name="Rounded Rectangle 19"/>
                          <wps:cNvSpPr/>
                          <wps:spPr>
                            <a:xfrm>
                              <a:off x="4040063" y="1239960"/>
                              <a:ext cx="1440959" cy="720479"/>
                            </a:xfrm>
                            <a:prstGeom prst="roundRect">
                              <a:avLst>
                                <a:gd name="adj" fmla="val 10000"/>
                              </a:avLst>
                            </a:prstGeom>
                            <a:gradFill>
                              <a:gsLst>
                                <a:gs pos="0">
                                  <a:srgbClr val="5D7FC9"/>
                                </a:gs>
                                <a:gs pos="50000">
                                  <a:srgbClr val="3A6EC9"/>
                                </a:gs>
                                <a:gs pos="100000">
                                  <a:srgbClr val="2C5EB8"/>
                                </a:gs>
                              </a:gsLst>
                              <a:lin ang="5400000" scaled="0"/>
                            </a:gradFill>
                            <a:ln>
                              <a:noFill/>
                            </a:ln>
                          </wps:spPr>
                          <wps:txbx>
                            <w:txbxContent>
                              <w:p w14:paraId="78A31063"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0" name="Text Box 20"/>
                          <wps:cNvSpPr txBox="1"/>
                          <wps:spPr>
                            <a:xfrm>
                              <a:off x="4061165" y="1261062"/>
                              <a:ext cx="1398755" cy="678275"/>
                            </a:xfrm>
                            <a:prstGeom prst="rect">
                              <a:avLst/>
                            </a:prstGeom>
                            <a:noFill/>
                            <a:ln>
                              <a:noFill/>
                            </a:ln>
                          </wps:spPr>
                          <wps:txbx>
                            <w:txbxContent>
                              <w:p w14:paraId="1CD1FF27" w14:textId="77777777" w:rsidR="00F7338D" w:rsidRDefault="0019547D">
                                <w:pPr>
                                  <w:spacing w:after="0" w:line="215" w:lineRule="auto"/>
                                  <w:jc w:val="center"/>
                                  <w:textDirection w:val="btLr"/>
                                </w:pPr>
                                <w:r>
                                  <w:rPr>
                                    <w:rFonts w:ascii="Times New Roman" w:eastAsia="Times New Roman" w:hAnsi="Times New Roman" w:cs="Times New Roman"/>
                                    <w:b/>
                                    <w:color w:val="000000"/>
                                  </w:rPr>
                                  <w:t>Technology acceptance model</w:t>
                                </w:r>
                              </w:p>
                            </w:txbxContent>
                          </wps:txbx>
                          <wps:bodyPr spcFirstLastPara="1" wrap="square" lIns="6975" tIns="6975" rIns="6975" bIns="6975" anchor="ctr" anchorCtr="0">
                            <a:noAutofit/>
                          </wps:bodyPr>
                        </wps:wsp>
                        <wps:wsp>
                          <wps:cNvPr id="21" name="Freeform 21"/>
                          <wps:cNvSpPr/>
                          <wps:spPr>
                            <a:xfrm rot="2829178">
                              <a:off x="1310744" y="2097783"/>
                              <a:ext cx="847568" cy="40521"/>
                            </a:xfrm>
                            <a:custGeom>
                              <a:avLst/>
                              <a:gdLst/>
                              <a:ahLst/>
                              <a:cxnLst/>
                              <a:rect l="l" t="t" r="r" b="b"/>
                              <a:pathLst>
                                <a:path w="120000" h="120000" extrusionOk="0">
                                  <a:moveTo>
                                    <a:pt x="0" y="59999"/>
                                  </a:moveTo>
                                  <a:lnTo>
                                    <a:pt x="120000" y="59999"/>
                                  </a:lnTo>
                                </a:path>
                              </a:pathLst>
                            </a:custGeom>
                            <a:noFill/>
                            <a:ln w="12700" cap="flat" cmpd="sng">
                              <a:solidFill>
                                <a:schemeClr val="accent4"/>
                              </a:solidFill>
                              <a:prstDash val="solid"/>
                              <a:miter lim="8000"/>
                              <a:headEnd type="none" w="sm" len="sm"/>
                              <a:tailEnd type="none" w="sm" len="sm"/>
                            </a:ln>
                          </wps:spPr>
                          <wps:txbx>
                            <w:txbxContent>
                              <w:p w14:paraId="1DCA948E"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2" name="Text Box 22"/>
                          <wps:cNvSpPr txBox="1"/>
                          <wps:spPr>
                            <a:xfrm rot="2829178">
                              <a:off x="1713339" y="2096855"/>
                              <a:ext cx="42378" cy="42378"/>
                            </a:xfrm>
                            <a:prstGeom prst="rect">
                              <a:avLst/>
                            </a:prstGeom>
                            <a:noFill/>
                            <a:ln>
                              <a:noFill/>
                            </a:ln>
                          </wps:spPr>
                          <wps:txbx>
                            <w:txbxContent>
                              <w:p w14:paraId="61C7B14D" w14:textId="77777777"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23" name="Rounded Rectangle 23"/>
                          <wps:cNvSpPr/>
                          <wps:spPr>
                            <a:xfrm>
                              <a:off x="2022720" y="2068511"/>
                              <a:ext cx="1440959" cy="720479"/>
                            </a:xfrm>
                            <a:prstGeom prst="roundRect">
                              <a:avLst>
                                <a:gd name="adj" fmla="val 10000"/>
                              </a:avLst>
                            </a:prstGeom>
                            <a:gradFill>
                              <a:gsLst>
                                <a:gs pos="0">
                                  <a:srgbClr val="FFC647"/>
                                </a:gs>
                                <a:gs pos="50000">
                                  <a:srgbClr val="FFC600"/>
                                </a:gs>
                                <a:gs pos="100000">
                                  <a:srgbClr val="E3B400"/>
                                </a:gs>
                              </a:gsLst>
                              <a:lin ang="5400000" scaled="0"/>
                            </a:gradFill>
                            <a:ln>
                              <a:noFill/>
                            </a:ln>
                          </wps:spPr>
                          <wps:txbx>
                            <w:txbxContent>
                              <w:p w14:paraId="5647952E"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4" name="Text Box 24"/>
                          <wps:cNvSpPr txBox="1"/>
                          <wps:spPr>
                            <a:xfrm>
                              <a:off x="2043822" y="2089613"/>
                              <a:ext cx="1398755" cy="678275"/>
                            </a:xfrm>
                            <a:prstGeom prst="rect">
                              <a:avLst/>
                            </a:prstGeom>
                            <a:noFill/>
                            <a:ln>
                              <a:noFill/>
                            </a:ln>
                          </wps:spPr>
                          <wps:txbx>
                            <w:txbxContent>
                              <w:p w14:paraId="21C27561" w14:textId="77777777" w:rsidR="00F7338D" w:rsidRDefault="0019547D">
                                <w:pPr>
                                  <w:spacing w:after="0" w:line="215" w:lineRule="auto"/>
                                  <w:jc w:val="center"/>
                                  <w:textDirection w:val="btLr"/>
                                </w:pPr>
                                <w:r>
                                  <w:rPr>
                                    <w:rFonts w:ascii="Times New Roman" w:eastAsia="Times New Roman" w:hAnsi="Times New Roman" w:cs="Times New Roman"/>
                                    <w:b/>
                                    <w:color w:val="000000"/>
                                  </w:rPr>
                                  <w:t xml:space="preserve">Factors influencing Indian consumers' acceptance of foreign electric vehicle brands </w:t>
                                </w:r>
                              </w:p>
                            </w:txbxContent>
                          </wps:txbx>
                          <wps:bodyPr spcFirstLastPara="1" wrap="square" lIns="6975" tIns="6975" rIns="6975" bIns="6975" anchor="ctr" anchorCtr="0">
                            <a:noAutofit/>
                          </wps:bodyPr>
                        </wps:wsp>
                        <wps:wsp>
                          <wps:cNvPr id="25" name="Freeform 25"/>
                          <wps:cNvSpPr/>
                          <wps:spPr>
                            <a:xfrm>
                              <a:off x="3463679" y="2408490"/>
                              <a:ext cx="576383" cy="40521"/>
                            </a:xfrm>
                            <a:custGeom>
                              <a:avLst/>
                              <a:gdLst/>
                              <a:ahLst/>
                              <a:cxnLst/>
                              <a:rect l="l" t="t" r="r" b="b"/>
                              <a:pathLst>
                                <a:path w="120000" h="120000" extrusionOk="0">
                                  <a:moveTo>
                                    <a:pt x="0" y="59999"/>
                                  </a:moveTo>
                                  <a:lnTo>
                                    <a:pt x="120000" y="59999"/>
                                  </a:lnTo>
                                </a:path>
                              </a:pathLst>
                            </a:custGeom>
                            <a:noFill/>
                            <a:ln w="12700" cap="flat" cmpd="sng">
                              <a:solidFill>
                                <a:srgbClr val="4270C3"/>
                              </a:solidFill>
                              <a:prstDash val="solid"/>
                              <a:miter lim="8000"/>
                              <a:headEnd type="none" w="sm" len="sm"/>
                              <a:tailEnd type="none" w="sm" len="sm"/>
                            </a:ln>
                          </wps:spPr>
                          <wps:txbx>
                            <w:txbxContent>
                              <w:p w14:paraId="5F3A022A"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6" name="Text Box 26"/>
                          <wps:cNvSpPr txBox="1"/>
                          <wps:spPr>
                            <a:xfrm>
                              <a:off x="3737461" y="2414341"/>
                              <a:ext cx="28819" cy="28819"/>
                            </a:xfrm>
                            <a:prstGeom prst="rect">
                              <a:avLst/>
                            </a:prstGeom>
                            <a:noFill/>
                            <a:ln>
                              <a:noFill/>
                            </a:ln>
                          </wps:spPr>
                          <wps:txbx>
                            <w:txbxContent>
                              <w:p w14:paraId="600F822A" w14:textId="77777777" w:rsidR="00F7338D" w:rsidRDefault="00F7338D">
                                <w:pPr>
                                  <w:spacing w:after="0" w:line="215" w:lineRule="auto"/>
                                  <w:jc w:val="center"/>
                                  <w:textDirection w:val="btLr"/>
                                </w:pPr>
                              </w:p>
                            </w:txbxContent>
                          </wps:txbx>
                          <wps:bodyPr spcFirstLastPara="1" wrap="square" lIns="12700" tIns="0" rIns="12700" bIns="0" anchor="ctr" anchorCtr="0">
                            <a:noAutofit/>
                          </wps:bodyPr>
                        </wps:wsp>
                        <wps:wsp>
                          <wps:cNvPr id="27" name="Rounded Rectangle 27"/>
                          <wps:cNvSpPr/>
                          <wps:spPr>
                            <a:xfrm>
                              <a:off x="4040063" y="2068511"/>
                              <a:ext cx="1440959" cy="720479"/>
                            </a:xfrm>
                            <a:prstGeom prst="roundRect">
                              <a:avLst>
                                <a:gd name="adj" fmla="val 10000"/>
                              </a:avLst>
                            </a:prstGeom>
                            <a:gradFill>
                              <a:gsLst>
                                <a:gs pos="0">
                                  <a:srgbClr val="5D7FC9"/>
                                </a:gs>
                                <a:gs pos="50000">
                                  <a:srgbClr val="3A6EC9"/>
                                </a:gs>
                                <a:gs pos="100000">
                                  <a:srgbClr val="2C5EB8"/>
                                </a:gs>
                              </a:gsLst>
                              <a:lin ang="5400000" scaled="0"/>
                            </a:gradFill>
                            <a:ln>
                              <a:noFill/>
                            </a:ln>
                          </wps:spPr>
                          <wps:txbx>
                            <w:txbxContent>
                              <w:p w14:paraId="27D7BAAB" w14:textId="77777777" w:rsidR="00F7338D" w:rsidRDefault="00F7338D">
                                <w:pPr>
                                  <w:spacing w:after="0" w:line="240" w:lineRule="auto"/>
                                  <w:textDirection w:val="btLr"/>
                                </w:pPr>
                              </w:p>
                            </w:txbxContent>
                          </wps:txbx>
                          <wps:bodyPr spcFirstLastPara="1" wrap="square" lIns="91425" tIns="91425" rIns="91425" bIns="91425" anchor="ctr" anchorCtr="0">
                            <a:noAutofit/>
                          </wps:bodyPr>
                        </wps:wsp>
                        <wps:wsp>
                          <wps:cNvPr id="28" name="Text Box 28"/>
                          <wps:cNvSpPr txBox="1"/>
                          <wps:spPr>
                            <a:xfrm>
                              <a:off x="4061165" y="2089613"/>
                              <a:ext cx="1398755" cy="678275"/>
                            </a:xfrm>
                            <a:prstGeom prst="rect">
                              <a:avLst/>
                            </a:prstGeom>
                            <a:noFill/>
                            <a:ln>
                              <a:noFill/>
                            </a:ln>
                          </wps:spPr>
                          <wps:txbx>
                            <w:txbxContent>
                              <w:p w14:paraId="7BEF666C" w14:textId="77777777" w:rsidR="00F7338D" w:rsidRDefault="0019547D">
                                <w:pPr>
                                  <w:spacing w:after="0" w:line="215" w:lineRule="auto"/>
                                  <w:jc w:val="center"/>
                                  <w:textDirection w:val="btLr"/>
                                </w:pPr>
                                <w:r>
                                  <w:rPr>
                                    <w:rFonts w:ascii="Times New Roman" w:eastAsia="Times New Roman" w:hAnsi="Times New Roman" w:cs="Times New Roman"/>
                                    <w:b/>
                                    <w:color w:val="000000"/>
                                  </w:rPr>
                                  <w:t>Strategies to manage EV market in International countries</w:t>
                                </w:r>
                              </w:p>
                            </w:txbxContent>
                          </wps:txbx>
                          <wps:bodyPr spcFirstLastPara="1" wrap="square" lIns="6975" tIns="6975" rIns="6975" bIns="6975" anchor="ctr" anchorCtr="0">
                            <a:noAutofit/>
                          </wps:bodyPr>
                        </wps:wsp>
                      </wpg:grpSp>
                    </wpg:wgp>
                  </a:graphicData>
                </a:graphic>
              </wp:inline>
            </w:drawing>
          </mc:Choice>
          <mc:Fallback>
            <w:pict>
              <v:group w14:anchorId="14E20DD9" id="Group 1" o:spid="_x0000_s1026"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">
                <v:group id="Group 5"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5924F226" w14:textId="77777777" w:rsidR="00F7338D" w:rsidRDefault="00F7338D">
                          <w:pPr>
                            <w:spacing w:after="0" w:line="240" w:lineRule="auto"/>
                            <w:textDirection w:val="btLr"/>
                          </w:pPr>
                        </w:p>
                      </w:txbxContent>
                    </v:textbox>
                  </v:rect>
                  <v:roundrect id="Rounded Rectangle 7" o:spid="_x0000_s1029" style="position:absolute;left:53;top:14470;width:14410;height:720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" fillcolor="#ee8954" stroked="f">
                    <v:fill color2="#e16817" colors="0 #ee8954;.5 #f47926;1 #e16817" focus="100%" type="gradient">
                      <o:fill v:ext="view" type="gradientUnscaled"/>
                    </v:fill>
                    <v:textbox inset="2.53958mm,2.53958mm,2.53958mm,2.53958mm">
                      <w:txbxContent>
                        <w:p w14:paraId="03B7520D" w14:textId="77777777" w:rsidR="00F7338D" w:rsidRDefault="00F7338D">
                          <w:pPr>
                            <w:spacing w:after="0" w:line="240" w:lineRule="auto"/>
                            <w:textDirection w:val="btLr"/>
                          </w:pPr>
                        </w:p>
                      </w:txbxContent>
                    </v:textbox>
                  </v:roundrect>
                  <v:shapetype id="_x0000_t202" coordsize="21600,21600" o:spt="202" path="m,l,21600r21600,l21600,xe">
                    <v:stroke joinstyle="miter"/>
                    <v:path gradientshapeok="t" o:connecttype="rect"/>
                  </v:shapetype>
                  <v:shape id="Text Box 8" o:spid="_x0000_s1030" type="#_x0000_t202" style="position:absolute;left:264;top:14682;width:13988;height:6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" filled="f" stroked="f">
                    <v:textbox inset=".19375mm,.19375mm,.19375mm,.19375mm">
                      <w:txbxContent>
                        <w:p w14:paraId="09A4474F" w14:textId="77777777" w:rsidR="00F7338D" w:rsidRDefault="0019547D">
                          <w:pPr>
                            <w:spacing w:after="0" w:line="215" w:lineRule="auto"/>
                            <w:jc w:val="center"/>
                            <w:textDirection w:val="btLr"/>
                          </w:pPr>
                          <w:r>
                            <w:rPr>
                              <w:rFonts w:ascii="Times New Roman" w:eastAsia="Times New Roman" w:hAnsi="Times New Roman" w:cs="Times New Roman"/>
                              <w:b/>
                              <w:color w:val="000000"/>
                            </w:rPr>
                            <w:t>Factors Influencing Customer Acceptance of Foreign Electric Vehicle Brands in India</w:t>
                          </w:r>
                        </w:p>
                      </w:txbxContent>
                    </v:textbox>
                  </v:shape>
                  <v:shape id="Freeform 9" o:spid="_x0000_s1031" style="position:absolute;left:13107;top:14763;width:8476;height:405;rotation:-3090217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" adj="-11796480,,5400" path="m,59999r120000,e" filled="f" strokecolor="#8064a2 [3207]" strokeweight="1pt">
                    <v:stroke startarrowwidth="narrow" startarrowlength="short" endarrowwidth="narrow" endarrowlength="short" miterlimit="5243f" joinstyle="miter"/>
                    <v:formulas/>
                    <v:path arrowok="t" o:extrusionok="f" o:connecttype="custom" textboxrect="0,0,120000,120000"/>
                    <v:textbox inset="2.53958mm,2.53958mm,2.53958mm,2.53958mm">
                      <w:txbxContent>
                        <w:p w14:paraId="6DAF10B0" w14:textId="77777777" w:rsidR="00F7338D" w:rsidRDefault="00F7338D">
                          <w:pPr>
                            <w:spacing w:after="0" w:line="240" w:lineRule="auto"/>
                            <w:textDirection w:val="btLr"/>
                          </w:pPr>
                        </w:p>
                      </w:txbxContent>
                    </v:textbox>
                  </v:shape>
                  <v:shape id="Text Box 10" o:spid="_x0000_s1032" type="#_x0000_t202" style="position:absolute;left:17133;top:14754;width:424;height:424;rotation:-309021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" filled="f" stroked="f">
                    <v:textbox inset="1pt,0,1pt,0">
                      <w:txbxContent>
                        <w:p w14:paraId="18E76040" w14:textId="77777777" w:rsidR="00F7338D" w:rsidRDefault="00F7338D">
                          <w:pPr>
                            <w:spacing w:after="0" w:line="215" w:lineRule="auto"/>
                            <w:jc w:val="center"/>
                            <w:textDirection w:val="btLr"/>
                          </w:pPr>
                        </w:p>
                      </w:txbxContent>
                    </v:textbox>
                  </v:shape>
                  <v:roundrect id="Rounded Rectangle 11" o:spid="_x0000_s1033" style="position:absolute;left:20227;top:8256;width:14409;height:720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" fillcolor="#ffc647" stroked="f">
                    <v:fill color2="#e3b400" colors="0 #ffc647;.5 #ffc600;1 #e3b400" focus="100%" type="gradient">
                      <o:fill v:ext="view" type="gradientUnscaled"/>
                    </v:fill>
                    <v:textbox inset="2.53958mm,2.53958mm,2.53958mm,2.53958mm">
                      <w:txbxContent>
                        <w:p w14:paraId="40047C09" w14:textId="77777777" w:rsidR="00F7338D" w:rsidRDefault="00F7338D">
                          <w:pPr>
                            <w:spacing w:after="0" w:line="240" w:lineRule="auto"/>
                            <w:textDirection w:val="btLr"/>
                          </w:pPr>
                        </w:p>
                      </w:txbxContent>
                    </v:textbox>
                  </v:roundrect>
                  <v:shape id="Text Box 12" o:spid="_x0000_s1034" type="#_x0000_t202" style="position:absolute;left:20438;top:8467;width:13987;height:6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" filled="f" stroked="f">
                    <v:textbox inset=".19375mm,.19375mm,.19375mm,.19375mm">
                      <w:txbxContent>
                        <w:p w14:paraId="2391D330" w14:textId="77777777" w:rsidR="00F7338D" w:rsidRDefault="0019547D">
                          <w:pPr>
                            <w:spacing w:after="0" w:line="215" w:lineRule="auto"/>
                            <w:jc w:val="center"/>
                            <w:textDirection w:val="btLr"/>
                          </w:pPr>
                          <w:r>
                            <w:rPr>
                              <w:rFonts w:ascii="Times New Roman" w:eastAsia="Times New Roman" w:hAnsi="Times New Roman" w:cs="Times New Roman"/>
                              <w:b/>
                              <w:color w:val="000000"/>
                            </w:rPr>
                            <w:t xml:space="preserve">The issues based on penetrating into the Indian market by Foreign Electric Vehicle Brands </w:t>
                          </w:r>
                        </w:p>
                      </w:txbxContent>
                    </v:textbox>
                  </v:shape>
                  <v:shape id="Freeform 13" o:spid="_x0000_s1035" style="position:absolute;left:33969;top:9585;width:7098;height:405;rotation:-2340073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" adj="-11796480,,5400" path="m,59999r120000,e" filled="f" strokecolor="#4270c3" strokeweight="1pt">
                    <v:stroke startarrowwidth="narrow" startarrowlength="short" endarrowwidth="narrow" endarrowlength="short" miterlimit="5243f" joinstyle="miter"/>
                    <v:formulas/>
                    <v:path arrowok="t" o:extrusionok="f" o:connecttype="custom" textboxrect="0,0,120000,120000"/>
                    <v:textbox inset="2.53958mm,2.53958mm,2.53958mm,2.53958mm">
                      <w:txbxContent>
                        <w:p w14:paraId="6C52F5F7" w14:textId="77777777" w:rsidR="00F7338D" w:rsidRDefault="00F7338D">
                          <w:pPr>
                            <w:spacing w:after="0" w:line="240" w:lineRule="auto"/>
                            <w:textDirection w:val="btLr"/>
                          </w:pPr>
                        </w:p>
                      </w:txbxContent>
                    </v:textbox>
                  </v:shape>
                  <v:shape id="Text Box 14" o:spid="_x0000_s1036" type="#_x0000_t202" style="position:absolute;left:37341;top:9610;width:355;height:355;rotation:-23400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" filled="f" stroked="f">
                    <v:textbox inset="1pt,0,1pt,0">
                      <w:txbxContent>
                        <w:p w14:paraId="7DF9ABC7" w14:textId="77777777" w:rsidR="00F7338D" w:rsidRDefault="00F7338D">
                          <w:pPr>
                            <w:spacing w:after="0" w:line="215" w:lineRule="auto"/>
                            <w:jc w:val="center"/>
                            <w:textDirection w:val="btLr"/>
                          </w:pPr>
                        </w:p>
                      </w:txbxContent>
                    </v:textbox>
                  </v:shape>
                  <v:roundrect id="Rounded Rectangle 15" o:spid="_x0000_s1037" style="position:absolute;left:40400;top:4114;width:14410;height:720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" fillcolor="#5d7fc9" stroked="f">
                    <v:fill color2="#2c5eb8" colors="0 #5d7fc9;.5 #3a6ec9;1 #2c5eb8" focus="100%" type="gradient">
                      <o:fill v:ext="view" type="gradientUnscaled"/>
                    </v:fill>
                    <v:textbox inset="2.53958mm,2.53958mm,2.53958mm,2.53958mm">
                      <w:txbxContent>
                        <w:p w14:paraId="24E7150F" w14:textId="77777777" w:rsidR="00F7338D" w:rsidRDefault="00F7338D">
                          <w:pPr>
                            <w:spacing w:after="0" w:line="240" w:lineRule="auto"/>
                            <w:textDirection w:val="btLr"/>
                          </w:pPr>
                        </w:p>
                      </w:txbxContent>
                    </v:textbox>
                  </v:roundrect>
                  <v:shape id="Text Box 16" o:spid="_x0000_s1038" type="#_x0000_t202" style="position:absolute;left:40611;top:4325;width:13988;height:6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" filled="f" stroked="f">
                    <v:textbox inset=".19375mm,.19375mm,.19375mm,.19375mm">
                      <w:txbxContent>
                        <w:p w14:paraId="66D6B8A1" w14:textId="77777777" w:rsidR="00F7338D" w:rsidRDefault="0019547D">
                          <w:pPr>
                            <w:spacing w:after="0" w:line="215" w:lineRule="auto"/>
                            <w:jc w:val="center"/>
                            <w:textDirection w:val="btLr"/>
                          </w:pPr>
                          <w:r>
                            <w:rPr>
                              <w:rFonts w:ascii="Times New Roman" w:eastAsia="Times New Roman" w:hAnsi="Times New Roman" w:cs="Times New Roman"/>
                              <w:b/>
                              <w:color w:val="000000"/>
                            </w:rPr>
                            <w:t xml:space="preserve">Unified theory of acceptance </w:t>
                          </w:r>
                        </w:p>
                      </w:txbxContent>
                    </v:textbox>
                  </v:shape>
                  <v:shape id="Freeform 17" o:spid="_x0000_s1039" style="position:absolute;left:33969;top:13728;width:7098;height:405;rotation:2340073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" adj="-11796480,,5400" path="m,59999r120000,e" filled="f" strokecolor="#4270c3" strokeweight="1pt">
                    <v:stroke startarrowwidth="narrow" startarrowlength="short" endarrowwidth="narrow" endarrowlength="short" miterlimit="5243f" joinstyle="miter"/>
                    <v:formulas/>
                    <v:path arrowok="t" o:extrusionok="f" o:connecttype="custom" textboxrect="0,0,120000,120000"/>
                    <v:textbox inset="2.53958mm,2.53958mm,2.53958mm,2.53958mm">
                      <w:txbxContent>
                        <w:p w14:paraId="043D4DB9" w14:textId="77777777" w:rsidR="00F7338D" w:rsidRDefault="00F7338D">
                          <w:pPr>
                            <w:spacing w:after="0" w:line="240" w:lineRule="auto"/>
                            <w:textDirection w:val="btLr"/>
                          </w:pPr>
                        </w:p>
                      </w:txbxContent>
                    </v:textbox>
                  </v:shape>
                  <v:shape id="Text Box 18" o:spid="_x0000_s1040" type="#_x0000_t202" style="position:absolute;left:37341;top:13753;width:355;height:355;rotation:23400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" filled="f" stroked="f">
                    <v:textbox inset="1pt,0,1pt,0">
                      <w:txbxContent>
                        <w:p w14:paraId="0018506D" w14:textId="77777777" w:rsidR="00F7338D" w:rsidRDefault="00F7338D">
                          <w:pPr>
                            <w:spacing w:after="0" w:line="215" w:lineRule="auto"/>
                            <w:jc w:val="center"/>
                            <w:textDirection w:val="btLr"/>
                          </w:pPr>
                        </w:p>
                      </w:txbxContent>
                    </v:textbox>
                  </v:shape>
                  <v:roundrect id="Rounded Rectangle 19" o:spid="_x0000_s1041" style="position:absolute;left:40400;top:12399;width:14410;height:7205;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" fillcolor="#5d7fc9" stroked="f">
                    <v:fill color2="#2c5eb8" colors="0 #5d7fc9;.5 #3a6ec9;1 #2c5eb8" focus="100%" type="gradient">
                      <o:fill v:ext="view" type="gradientUnscaled"/>
                    </v:fill>
                    <v:textbox inset="2.53958mm,2.53958mm,2.53958mm,2.53958mm">
                      <w:txbxContent>
                        <w:p w14:paraId="78A31063" w14:textId="77777777" w:rsidR="00F7338D" w:rsidRDefault="00F7338D">
                          <w:pPr>
                            <w:spacing w:after="0" w:line="240" w:lineRule="auto"/>
                            <w:textDirection w:val="btLr"/>
                          </w:pPr>
                        </w:p>
                      </w:txbxContent>
                    </v:textbox>
                  </v:roundrect>
                  <v:shape id="Text Box 20" o:spid="_x0000_s1042" type="#_x0000_t202" style="position:absolute;left:40611;top:12610;width:13988;height:6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" filled="f" stroked="f">
                    <v:textbox inset=".19375mm,.19375mm,.19375mm,.19375mm">
                      <w:txbxContent>
                        <w:p w14:paraId="1CD1FF27" w14:textId="77777777" w:rsidR="00F7338D" w:rsidRDefault="0019547D">
                          <w:pPr>
                            <w:spacing w:after="0" w:line="215" w:lineRule="auto"/>
                            <w:jc w:val="center"/>
                            <w:textDirection w:val="btLr"/>
                          </w:pPr>
                          <w:r>
                            <w:rPr>
                              <w:rFonts w:ascii="Times New Roman" w:eastAsia="Times New Roman" w:hAnsi="Times New Roman" w:cs="Times New Roman"/>
                              <w:b/>
                              <w:color w:val="000000"/>
                            </w:rPr>
                            <w:t>Technology acceptance model</w:t>
                          </w:r>
                        </w:p>
                      </w:txbxContent>
                    </v:textbox>
                  </v:shape>
                  <v:shape id="Freeform 21" o:spid="_x0000_s1043" style="position:absolute;left:13107;top:20977;width:8476;height:405;rotation:3090217fd;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" adj="-11796480,,5400" path="m,59999r120000,e" filled="f" strokecolor="#8064a2 [3207]" strokeweight="1pt">
                    <v:stroke startarrowwidth="narrow" startarrowlength="short" endarrowwidth="narrow" endarrowlength="short" miterlimit="5243f" joinstyle="miter"/>
                    <v:formulas/>
                    <v:path arrowok="t" o:extrusionok="f" o:connecttype="custom" textboxrect="0,0,120000,120000"/>
                    <v:textbox inset="2.53958mm,2.53958mm,2.53958mm,2.53958mm">
                      <w:txbxContent>
                        <w:p w14:paraId="1DCA948E" w14:textId="77777777" w:rsidR="00F7338D" w:rsidRDefault="00F7338D">
                          <w:pPr>
                            <w:spacing w:after="0" w:line="240" w:lineRule="auto"/>
                            <w:textDirection w:val="btLr"/>
                          </w:pPr>
                        </w:p>
                      </w:txbxContent>
                    </v:textbox>
                  </v:shape>
                  <v:shape id="Text Box 22" o:spid="_x0000_s1044" type="#_x0000_t202" style="position:absolute;left:17133;top:20968;width:424;height:424;rotation:309021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" filled="f" stroked="f">
                    <v:textbox inset="1pt,0,1pt,0">
                      <w:txbxContent>
                        <w:p w14:paraId="61C7B14D" w14:textId="77777777" w:rsidR="00F7338D" w:rsidRDefault="00F7338D">
                          <w:pPr>
                            <w:spacing w:after="0" w:line="215" w:lineRule="auto"/>
                            <w:jc w:val="center"/>
                            <w:textDirection w:val="btLr"/>
                          </w:pPr>
                        </w:p>
                      </w:txbxContent>
                    </v:textbox>
                  </v:shape>
                  <v:roundrect id="Rounded Rectangle 23" o:spid="_x0000_s1045" style="position:absolute;left:20227;top:20685;width:14409;height:720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" fillcolor="#ffc647" stroked="f">
                    <v:fill color2="#e3b400" colors="0 #ffc647;.5 #ffc600;1 #e3b400" focus="100%" type="gradient">
                      <o:fill v:ext="view" type="gradientUnscaled"/>
                    </v:fill>
                    <v:textbox inset="2.53958mm,2.53958mm,2.53958mm,2.53958mm">
                      <w:txbxContent>
                        <w:p w14:paraId="5647952E" w14:textId="77777777" w:rsidR="00F7338D" w:rsidRDefault="00F7338D">
                          <w:pPr>
                            <w:spacing w:after="0" w:line="240" w:lineRule="auto"/>
                            <w:textDirection w:val="btLr"/>
                          </w:pPr>
                        </w:p>
                      </w:txbxContent>
                    </v:textbox>
                  </v:roundrect>
                  <v:shape id="Text Box 24" o:spid="_x0000_s1046" type="#_x0000_t202" style="position:absolute;left:20438;top:20896;width:13987;height:6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" filled="f" stroked="f">
                    <v:textbox inset=".19375mm,.19375mm,.19375mm,.19375mm">
                      <w:txbxContent>
                        <w:p w14:paraId="21C27561" w14:textId="77777777" w:rsidR="00F7338D" w:rsidRDefault="0019547D">
                          <w:pPr>
                            <w:spacing w:after="0" w:line="215" w:lineRule="auto"/>
                            <w:jc w:val="center"/>
                            <w:textDirection w:val="btLr"/>
                          </w:pPr>
                          <w:r>
                            <w:rPr>
                              <w:rFonts w:ascii="Times New Roman" w:eastAsia="Times New Roman" w:hAnsi="Times New Roman" w:cs="Times New Roman"/>
                              <w:b/>
                              <w:color w:val="000000"/>
                            </w:rPr>
                            <w:t xml:space="preserve">Factors influencing Indian consumers' acceptance of foreign electric vehicle brands </w:t>
                          </w:r>
                        </w:p>
                      </w:txbxContent>
                    </v:textbox>
                  </v:shape>
                  <v:shape id="Freeform 25" o:spid="_x0000_s1047" style="position:absolute;left:34636;top:24084;width:5764;height:406;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" adj="-11796480,,5400" path="m,59999r120000,e" filled="f" strokecolor="#4270c3" strokeweight="1pt">
                    <v:stroke startarrowwidth="narrow" startarrowlength="short" endarrowwidth="narrow" endarrowlength="short" miterlimit="5243f" joinstyle="miter"/>
                    <v:formulas/>
                    <v:path arrowok="t" o:extrusionok="f" o:connecttype="custom" textboxrect="0,0,120000,120000"/>
                    <v:textbox inset="2.53958mm,2.53958mm,2.53958mm,2.53958mm">
                      <w:txbxContent>
                        <w:p w14:paraId="5F3A022A" w14:textId="77777777" w:rsidR="00F7338D" w:rsidRDefault="00F7338D">
                          <w:pPr>
                            <w:spacing w:after="0" w:line="240" w:lineRule="auto"/>
                            <w:textDirection w:val="btLr"/>
                          </w:pPr>
                        </w:p>
                      </w:txbxContent>
                    </v:textbox>
                  </v:shape>
                  <v:shape id="Text Box 26" o:spid="_x0000_s1048" type="#_x0000_t202" style="position:absolute;left:37374;top:24143;width:288;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" filled="f" stroked="f">
                    <v:textbox inset="1pt,0,1pt,0">
                      <w:txbxContent>
                        <w:p w14:paraId="600F822A" w14:textId="77777777" w:rsidR="00F7338D" w:rsidRDefault="00F7338D">
                          <w:pPr>
                            <w:spacing w:after="0" w:line="215" w:lineRule="auto"/>
                            <w:jc w:val="center"/>
                            <w:textDirection w:val="btLr"/>
                          </w:pPr>
                        </w:p>
                      </w:txbxContent>
                    </v:textbox>
                  </v:shape>
                  <v:roundrect id="Rounded Rectangle 27" o:spid="_x0000_s1049" style="position:absolute;left:40400;top:20685;width:14410;height:7204;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" fillcolor="#5d7fc9" stroked="f">
                    <v:fill color2="#2c5eb8" colors="0 #5d7fc9;.5 #3a6ec9;1 #2c5eb8" focus="100%" type="gradient">
                      <o:fill v:ext="view" type="gradientUnscaled"/>
                    </v:fill>
                    <v:textbox inset="2.53958mm,2.53958mm,2.53958mm,2.53958mm">
                      <w:txbxContent>
                        <w:p w14:paraId="27D7BAAB" w14:textId="77777777" w:rsidR="00F7338D" w:rsidRDefault="00F7338D">
                          <w:pPr>
                            <w:spacing w:after="0" w:line="240" w:lineRule="auto"/>
                            <w:textDirection w:val="btLr"/>
                          </w:pPr>
                        </w:p>
                      </w:txbxContent>
                    </v:textbox>
                  </v:roundrect>
                  <v:shape id="Text Box 28" o:spid="_x0000_s1050" type="#_x0000_t202" style="position:absolute;left:40611;top:20896;width:13988;height:6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" filled="f" stroked="f">
                    <v:textbox inset=".19375mm,.19375mm,.19375mm,.19375mm">
                      <w:txbxContent>
                        <w:p w14:paraId="7BEF666C" w14:textId="77777777" w:rsidR="00F7338D" w:rsidRDefault="0019547D">
                          <w:pPr>
                            <w:spacing w:after="0" w:line="215" w:lineRule="auto"/>
                            <w:jc w:val="center"/>
                            <w:textDirection w:val="btLr"/>
                          </w:pPr>
                          <w:r>
                            <w:rPr>
                              <w:rFonts w:ascii="Times New Roman" w:eastAsia="Times New Roman" w:hAnsi="Times New Roman" w:cs="Times New Roman"/>
                              <w:b/>
                              <w:color w:val="000000"/>
                            </w:rPr>
                            <w:t>Strategies to manage EV market in International countries</w:t>
                          </w:r>
                        </w:p>
                      </w:txbxContent>
                    </v:textbox>
                  </v:shape>
                </v:group>
                <w10:anchorlock/>
              </v:group>
            </w:pict>
          </mc:Fallback>
        </mc:AlternateContent>
      </w:r>
    </w:p>
    <w:p w14:paraId="4010B1FA"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Conceptual framework</w:t>
      </w:r>
    </w:p>
    <w:p w14:paraId="5B889724" w14:textId="77777777" w:rsidR="00F7338D" w:rsidRDefault="0019547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21B1952" w14:textId="77777777" w:rsidR="00F7338D" w:rsidRDefault="0019547D">
      <w:pPr>
        <w:pStyle w:val="Heading1"/>
      </w:pPr>
      <w:bookmarkStart w:id="14" w:name="_heading=h.5v76hcxsa6tf" w:colFirst="0" w:colLast="0"/>
      <w:bookmarkEnd w:id="14"/>
      <w:r>
        <w:t xml:space="preserve">3. Research methodology </w:t>
      </w:r>
    </w:p>
    <w:p w14:paraId="04A71F15" w14:textId="77777777" w:rsidR="00F7338D" w:rsidRDefault="0019547D">
      <w:pPr>
        <w:pStyle w:val="Heading2"/>
      </w:pPr>
      <w:bookmarkStart w:id="15" w:name="_heading=h.wglym6iyyfw" w:colFirst="0" w:colLast="0"/>
      <w:bookmarkEnd w:id="15"/>
      <w:r>
        <w:t>3.1 Research approach</w:t>
      </w:r>
    </w:p>
    <w:p w14:paraId="1A601643"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proposal will consider inductive research. Besides, the consideration of an inductive approach will be helpful to gather theoretical results based on the topic. Moreover, the research objectives will be met critically by linking between theoretical evidence and the numerical aspects related to the topic. </w:t>
      </w:r>
    </w:p>
    <w:p w14:paraId="7342D391" w14:textId="77777777" w:rsidR="00F7338D" w:rsidRDefault="0019547D">
      <w:pPr>
        <w:pStyle w:val="Heading2"/>
      </w:pPr>
      <w:bookmarkStart w:id="16" w:name="_heading=h.4ys1p8ig7gh9" w:colFirst="0" w:colLast="0"/>
      <w:bookmarkEnd w:id="16"/>
      <w:r>
        <w:t>3.2 Data collection methods</w:t>
      </w:r>
    </w:p>
    <w:p w14:paraId="65BB4999"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mainly two types of data collection methods, such as primary and secondary (Ganesha and Aithal, 2022). In this research, the secondary data collection method will be followed to collect adequate theoretical insights based on the aspects through which consumers’ purchasing habits are impacted in India for foreign EV brands. Mainly Science Direct will be used, but Google Scholar will also be considered for the collection of peer-reviewed journal articles. </w:t>
      </w:r>
    </w:p>
    <w:p w14:paraId="5D037063" w14:textId="77777777" w:rsidR="00F7338D" w:rsidRDefault="0019547D">
      <w:pPr>
        <w:pStyle w:val="Heading2"/>
      </w:pPr>
      <w:bookmarkStart w:id="17" w:name="_heading=h.bbcdwbplyfr6" w:colFirst="0" w:colLast="0"/>
      <w:bookmarkEnd w:id="17"/>
      <w:r>
        <w:lastRenderedPageBreak/>
        <w:t xml:space="preserve">3.3 Source selection </w:t>
      </w:r>
    </w:p>
    <w:p w14:paraId="67FB5ED4"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complete this study, 10 prime sources will be chosen along with 10 supporting materials. The sources will include journal articles, online articles, corporate websites, company websites, industry reports, and newspaper articles. </w:t>
      </w:r>
    </w:p>
    <w:p w14:paraId="3171D531" w14:textId="77777777" w:rsidR="00F7338D" w:rsidRDefault="0019547D">
      <w:pPr>
        <w:pStyle w:val="Heading2"/>
      </w:pPr>
      <w:bookmarkStart w:id="18" w:name="_heading=h.1ocfrle4aw1e" w:colFirst="0" w:colLast="0"/>
      <w:bookmarkEnd w:id="18"/>
      <w:r>
        <w:t>3.4 Sampling strategy</w:t>
      </w:r>
    </w:p>
    <w:p w14:paraId="770C7B09"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stratified random sampling technique will be used for selecting the theoretical sources for this research. The sources within the time frame of 2020 to 2026 will be focused and the rest will be rejected. Initially, around 100 sources will be separated and only 20 will be finalised as the main and support sources for this research. </w:t>
      </w:r>
    </w:p>
    <w:p w14:paraId="34D8F7FD" w14:textId="77777777" w:rsidR="00F7338D" w:rsidRDefault="0019547D">
      <w:pPr>
        <w:pStyle w:val="Heading2"/>
      </w:pPr>
      <w:bookmarkStart w:id="19" w:name="_heading=h.50797uzcy6mf" w:colFirst="0" w:colLast="0"/>
      <w:bookmarkEnd w:id="19"/>
      <w:r>
        <w:t>3.5 Analysis techniques</w:t>
      </w:r>
    </w:p>
    <w:p w14:paraId="02AE7829"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two main types of data analysis, such as qualitative and quantitative (</w:t>
      </w:r>
      <w:proofErr w:type="spellStart"/>
      <w:r>
        <w:rPr>
          <w:rFonts w:ascii="Times New Roman" w:eastAsia="Times New Roman" w:hAnsi="Times New Roman" w:cs="Times New Roman"/>
          <w:sz w:val="24"/>
          <w:szCs w:val="24"/>
        </w:rPr>
        <w:t>Schoonenboom</w:t>
      </w:r>
      <w:proofErr w:type="spellEnd"/>
      <w:r>
        <w:rPr>
          <w:rFonts w:ascii="Times New Roman" w:eastAsia="Times New Roman" w:hAnsi="Times New Roman" w:cs="Times New Roman"/>
          <w:sz w:val="24"/>
          <w:szCs w:val="24"/>
        </w:rPr>
        <w:t>, 2023), the research will focus on qualitative data analysis through the Thematic Codebook approach. The coding will be done through the development of categories, sub-themes, as well as final themes. Around 5 themes will be developed based on the topic and the real-world data collected will be applied to those themes to meet the research objective critically.</w:t>
      </w:r>
    </w:p>
    <w:p w14:paraId="7A4468CD" w14:textId="77777777" w:rsidR="00F7338D" w:rsidRDefault="0019547D">
      <w:pPr>
        <w:pStyle w:val="Heading2"/>
      </w:pPr>
      <w:bookmarkStart w:id="20" w:name="_heading=h.b8cyipc2c1j0" w:colFirst="0" w:colLast="0"/>
      <w:bookmarkEnd w:id="20"/>
      <w:r>
        <w:t xml:space="preserve">3.6 Ethical considerations </w:t>
      </w:r>
    </w:p>
    <w:p w14:paraId="2D756B40"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consider key ethics such as maintaining data confidentiality and data anonymity while applying to the context of the research. Along with this, no third-party involvement will be entertained and plagiarism will be avoided. </w:t>
      </w:r>
    </w:p>
    <w:p w14:paraId="0CA03A83" w14:textId="77777777" w:rsidR="00F7338D" w:rsidRDefault="0019547D">
      <w:pPr>
        <w:pStyle w:val="Heading1"/>
      </w:pPr>
      <w:bookmarkStart w:id="21" w:name="_heading=h.ymvzzpdldelk" w:colFirst="0" w:colLast="0"/>
      <w:bookmarkEnd w:id="21"/>
      <w:r>
        <w:t xml:space="preserve">4. Expected findings </w:t>
      </w:r>
    </w:p>
    <w:p w14:paraId="79F17945"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recent study will focus on understanding the factors that have a prominent impact on Indian consumers’ acceptance of foreign EV brands. Based on the preliminary understanding of the scenario, consumers’ brand trust is based on after-sales support and the battery warranty frameworks (</w:t>
      </w:r>
      <w:proofErr w:type="spellStart"/>
      <w:r>
        <w:rPr>
          <w:rFonts w:ascii="Times New Roman" w:eastAsia="Times New Roman" w:hAnsi="Times New Roman" w:cs="Times New Roman"/>
          <w:sz w:val="24"/>
          <w:szCs w:val="24"/>
        </w:rPr>
        <w:t>Harnaningrum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These are effective in dictating the purchasing intention of consumers in emerging markets. Furthermore, the involvement of numerical data and linking them with the theoretical aspects will be helpful to present a significant effect of Foreign EV brands on the psychology of Indian consumers. Practically, the anticipated outcomes can be helpful to present strategic implications, highlighting that global automakers can adjust their pricing model and infrastructure development to align with the value-conscious </w:t>
      </w:r>
      <w:r>
        <w:rPr>
          <w:rFonts w:ascii="Times New Roman" w:eastAsia="Times New Roman" w:hAnsi="Times New Roman" w:cs="Times New Roman"/>
          <w:sz w:val="24"/>
          <w:szCs w:val="24"/>
        </w:rPr>
        <w:lastRenderedPageBreak/>
        <w:t xml:space="preserve">Indian consumers. In short, the research will present a practical roadmap for successful international market entry by foreign EV brands </w:t>
      </w:r>
    </w:p>
    <w:p w14:paraId="3FC6496C" w14:textId="77777777" w:rsidR="00F7338D" w:rsidRDefault="0019547D">
      <w:pPr>
        <w:pStyle w:val="Heading1"/>
      </w:pPr>
      <w:bookmarkStart w:id="22" w:name="_heading=h.xjvwntfgnilm" w:colFirst="0" w:colLast="0"/>
      <w:bookmarkEnd w:id="22"/>
      <w:r>
        <w:t>5. Limitations</w:t>
      </w:r>
    </w:p>
    <w:p w14:paraId="34FB89BB"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may encounter limitations, such as a shortage of time and a lack of credible theoretical sources that will require paid access. In order to manage the shortage of time, it will be necessary to develop a proper time plan at the initiation of the research and follow it throughout the completion. Apart from that, it will be necessary to check which sources need paid access for analysis; therefore, in place of those sources, credible online articles can be considered to minimise the impact of the limitation. </w:t>
      </w:r>
    </w:p>
    <w:p w14:paraId="30DF8814" w14:textId="77777777" w:rsidR="00F7338D" w:rsidRDefault="0019547D">
      <w:pPr>
        <w:pStyle w:val="Heading1"/>
      </w:pPr>
      <w:bookmarkStart w:id="23" w:name="_heading=h.pi7ajwepyr1v" w:colFirst="0" w:colLast="0"/>
      <w:bookmarkEnd w:id="23"/>
      <w:r>
        <w:t>6. Timeframe</w:t>
      </w:r>
    </w:p>
    <w:tbl>
      <w:tblPr>
        <w:tblStyle w:val="a"/>
        <w:tblW w:w="9016"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78"/>
        <w:gridCol w:w="782"/>
        <w:gridCol w:w="782"/>
        <w:gridCol w:w="782"/>
        <w:gridCol w:w="782"/>
        <w:gridCol w:w="782"/>
        <w:gridCol w:w="782"/>
        <w:gridCol w:w="782"/>
        <w:gridCol w:w="782"/>
        <w:gridCol w:w="782"/>
      </w:tblGrid>
      <w:tr w:rsidR="00F7338D" w14:paraId="34EB8D9B" w14:textId="77777777">
        <w:tc>
          <w:tcPr>
            <w:tcW w:w="1978" w:type="dxa"/>
          </w:tcPr>
          <w:p w14:paraId="0A742323"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Activities</w:t>
            </w:r>
          </w:p>
        </w:tc>
        <w:tc>
          <w:tcPr>
            <w:tcW w:w="782" w:type="dxa"/>
          </w:tcPr>
          <w:p w14:paraId="2474AE36"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w:t>
            </w:r>
          </w:p>
        </w:tc>
        <w:tc>
          <w:tcPr>
            <w:tcW w:w="782" w:type="dxa"/>
          </w:tcPr>
          <w:p w14:paraId="2B4C25CF"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2- Week 3</w:t>
            </w:r>
          </w:p>
        </w:tc>
        <w:tc>
          <w:tcPr>
            <w:tcW w:w="782" w:type="dxa"/>
          </w:tcPr>
          <w:p w14:paraId="23534806"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4- week 5</w:t>
            </w:r>
          </w:p>
        </w:tc>
        <w:tc>
          <w:tcPr>
            <w:tcW w:w="782" w:type="dxa"/>
          </w:tcPr>
          <w:p w14:paraId="4CFECF24"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6</w:t>
            </w:r>
          </w:p>
        </w:tc>
        <w:tc>
          <w:tcPr>
            <w:tcW w:w="782" w:type="dxa"/>
          </w:tcPr>
          <w:p w14:paraId="665D846C"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7- week 8</w:t>
            </w:r>
          </w:p>
        </w:tc>
        <w:tc>
          <w:tcPr>
            <w:tcW w:w="782" w:type="dxa"/>
          </w:tcPr>
          <w:p w14:paraId="2CAE161A"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9-10</w:t>
            </w:r>
          </w:p>
        </w:tc>
        <w:tc>
          <w:tcPr>
            <w:tcW w:w="782" w:type="dxa"/>
          </w:tcPr>
          <w:p w14:paraId="2D92A861"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11- week 12</w:t>
            </w:r>
          </w:p>
        </w:tc>
        <w:tc>
          <w:tcPr>
            <w:tcW w:w="782" w:type="dxa"/>
          </w:tcPr>
          <w:p w14:paraId="6E526F45"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13- week 14</w:t>
            </w:r>
          </w:p>
        </w:tc>
        <w:tc>
          <w:tcPr>
            <w:tcW w:w="782" w:type="dxa"/>
          </w:tcPr>
          <w:p w14:paraId="6B83A8B1"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15</w:t>
            </w:r>
          </w:p>
        </w:tc>
      </w:tr>
      <w:tr w:rsidR="00F7338D" w14:paraId="63D96E63" w14:textId="77777777">
        <w:tc>
          <w:tcPr>
            <w:tcW w:w="1978" w:type="dxa"/>
          </w:tcPr>
          <w:p w14:paraId="4BA43E29"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Selection of research topic</w:t>
            </w:r>
          </w:p>
        </w:tc>
        <w:tc>
          <w:tcPr>
            <w:tcW w:w="782" w:type="dxa"/>
            <w:shd w:val="clear" w:color="auto" w:fill="F7CAAC"/>
          </w:tcPr>
          <w:p w14:paraId="76F19657"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D217394"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775BC4DC"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69C32CC"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1556DCA"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561A245"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D9AFA4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D802021"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75D5D84"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06DEA2AA" w14:textId="77777777">
        <w:tc>
          <w:tcPr>
            <w:tcW w:w="1978" w:type="dxa"/>
          </w:tcPr>
          <w:p w14:paraId="276CB936"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Setting a literature review </w:t>
            </w:r>
          </w:p>
        </w:tc>
        <w:tc>
          <w:tcPr>
            <w:tcW w:w="782" w:type="dxa"/>
          </w:tcPr>
          <w:p w14:paraId="110A2004"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D965"/>
          </w:tcPr>
          <w:p w14:paraId="4C7AF34C"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3D48D24"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C377273"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662E6D7B"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E2B015F"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72E04C63"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1DF589E"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057798C"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21C0B51B" w14:textId="77777777">
        <w:tc>
          <w:tcPr>
            <w:tcW w:w="1978" w:type="dxa"/>
          </w:tcPr>
          <w:p w14:paraId="26130D14"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Setting the data collection method</w:t>
            </w:r>
          </w:p>
        </w:tc>
        <w:tc>
          <w:tcPr>
            <w:tcW w:w="782" w:type="dxa"/>
          </w:tcPr>
          <w:p w14:paraId="43E99062"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7254CA74"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00B0F0"/>
          </w:tcPr>
          <w:p w14:paraId="39E7AF97"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847F99E"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C3FD9FF"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89ADCEF"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781A99BB"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F88A421"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80D4FF2"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4D149CAF" w14:textId="77777777">
        <w:tc>
          <w:tcPr>
            <w:tcW w:w="1978" w:type="dxa"/>
          </w:tcPr>
          <w:p w14:paraId="78F09D81"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Collection of secondary sources</w:t>
            </w:r>
          </w:p>
        </w:tc>
        <w:tc>
          <w:tcPr>
            <w:tcW w:w="782" w:type="dxa"/>
          </w:tcPr>
          <w:p w14:paraId="41D74FC1"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7C1B7C8C"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585F41B"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A8D08D"/>
          </w:tcPr>
          <w:p w14:paraId="3EF2835B"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A8D08D"/>
          </w:tcPr>
          <w:p w14:paraId="78A601D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3A16F6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33B4AE3"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4B4AE1A"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287C170"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29222256" w14:textId="77777777">
        <w:tc>
          <w:tcPr>
            <w:tcW w:w="1978" w:type="dxa"/>
          </w:tcPr>
          <w:p w14:paraId="2ACBCBDA"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Final screening </w:t>
            </w:r>
          </w:p>
        </w:tc>
        <w:tc>
          <w:tcPr>
            <w:tcW w:w="782" w:type="dxa"/>
          </w:tcPr>
          <w:p w14:paraId="675841B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FDDC2F3"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98CCA55"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693AE17D"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2E9649C"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0000"/>
          </w:tcPr>
          <w:p w14:paraId="1EC5733D"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7E2B857"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6FC6988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0D6525A"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438A8DFB" w14:textId="77777777">
        <w:tc>
          <w:tcPr>
            <w:tcW w:w="1978" w:type="dxa"/>
          </w:tcPr>
          <w:p w14:paraId="1D8BF657"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Data analysis </w:t>
            </w:r>
          </w:p>
        </w:tc>
        <w:tc>
          <w:tcPr>
            <w:tcW w:w="782" w:type="dxa"/>
          </w:tcPr>
          <w:p w14:paraId="1D762AD2"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59556B24"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CFC2E67"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18CF598"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7B6895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0BF55CE"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D0CECE"/>
          </w:tcPr>
          <w:p w14:paraId="474B5DBB"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D0CECE"/>
          </w:tcPr>
          <w:p w14:paraId="3157BAFC"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DAD11A5"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412B84FF" w14:textId="77777777">
        <w:tc>
          <w:tcPr>
            <w:tcW w:w="1978" w:type="dxa"/>
          </w:tcPr>
          <w:p w14:paraId="3575A203" w14:textId="77777777" w:rsidR="00F7338D" w:rsidRDefault="0019547D">
            <w:pPr>
              <w:spacing w:line="276"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Developing conclusion and recommendations </w:t>
            </w:r>
          </w:p>
        </w:tc>
        <w:tc>
          <w:tcPr>
            <w:tcW w:w="782" w:type="dxa"/>
          </w:tcPr>
          <w:p w14:paraId="7CD52008"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73AD609"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4731C5F3"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5B83DB5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6C8246D5"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5CE45C5A"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14:paraId="3FB7D604"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14:paraId="0A9A31D2"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0070C0"/>
          </w:tcPr>
          <w:p w14:paraId="5875FB03" w14:textId="77777777" w:rsidR="00F7338D" w:rsidRDefault="00F7338D">
            <w:pPr>
              <w:spacing w:line="276" w:lineRule="auto"/>
              <w:jc w:val="both"/>
              <w:rPr>
                <w:rFonts w:ascii="Times New Roman" w:eastAsia="Times New Roman" w:hAnsi="Times New Roman" w:cs="Times New Roman"/>
                <w:b/>
                <w:bCs/>
                <w:sz w:val="24"/>
                <w:szCs w:val="24"/>
              </w:rPr>
            </w:pPr>
          </w:p>
        </w:tc>
      </w:tr>
      <w:tr w:rsidR="00F7338D" w14:paraId="516D3623" w14:textId="77777777">
        <w:tc>
          <w:tcPr>
            <w:tcW w:w="1978" w:type="dxa"/>
          </w:tcPr>
          <w:p w14:paraId="3D99FB7C" w14:textId="77777777" w:rsidR="00F7338D" w:rsidRDefault="0019547D">
            <w:pPr>
              <w:spacing w:line="276"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sz w:val="24"/>
                <w:szCs w:val="24"/>
              </w:rPr>
              <w:t>Final editing and submission</w:t>
            </w:r>
          </w:p>
        </w:tc>
        <w:tc>
          <w:tcPr>
            <w:tcW w:w="782" w:type="dxa"/>
          </w:tcPr>
          <w:p w14:paraId="57519D83"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71147FC8"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3A7709A7"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03BA1806"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1538552E"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tcPr>
          <w:p w14:paraId="2D2885A0"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14:paraId="069B22A5"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FFFFFF"/>
          </w:tcPr>
          <w:p w14:paraId="088CCD6A" w14:textId="77777777" w:rsidR="00F7338D" w:rsidRDefault="00F7338D">
            <w:pPr>
              <w:spacing w:line="276" w:lineRule="auto"/>
              <w:jc w:val="both"/>
              <w:rPr>
                <w:rFonts w:ascii="Times New Roman" w:eastAsia="Times New Roman" w:hAnsi="Times New Roman" w:cs="Times New Roman"/>
                <w:b/>
                <w:bCs/>
                <w:sz w:val="24"/>
                <w:szCs w:val="24"/>
              </w:rPr>
            </w:pPr>
          </w:p>
        </w:tc>
        <w:tc>
          <w:tcPr>
            <w:tcW w:w="782" w:type="dxa"/>
            <w:shd w:val="clear" w:color="auto" w:fill="0070C0"/>
          </w:tcPr>
          <w:p w14:paraId="1CB11B33" w14:textId="77777777" w:rsidR="00F7338D" w:rsidRDefault="00F7338D">
            <w:pPr>
              <w:spacing w:line="276" w:lineRule="auto"/>
              <w:jc w:val="both"/>
              <w:rPr>
                <w:rFonts w:ascii="Times New Roman" w:eastAsia="Times New Roman" w:hAnsi="Times New Roman" w:cs="Times New Roman"/>
                <w:b/>
                <w:bCs/>
                <w:sz w:val="24"/>
                <w:szCs w:val="24"/>
              </w:rPr>
            </w:pPr>
          </w:p>
        </w:tc>
      </w:tr>
    </w:tbl>
    <w:p w14:paraId="65C2C8E9" w14:textId="77777777" w:rsidR="00F7338D" w:rsidRDefault="0019547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Timeframe</w:t>
      </w:r>
    </w:p>
    <w:p w14:paraId="7CA27792" w14:textId="77777777" w:rsidR="00F7338D" w:rsidRDefault="0019547D">
      <w:pPr>
        <w:tabs>
          <w:tab w:val="left" w:pos="3156"/>
          <w:tab w:val="center" w:pos="4513"/>
        </w:tabs>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b/>
      </w:r>
      <w:r>
        <w:rPr>
          <w:rFonts w:ascii="Times New Roman" w:eastAsia="Times New Roman" w:hAnsi="Times New Roman" w:cs="Times New Roman"/>
          <w:sz w:val="24"/>
          <w:szCs w:val="24"/>
        </w:rPr>
        <w:tab/>
        <w:t>(Source: Self-created)</w:t>
      </w:r>
    </w:p>
    <w:p w14:paraId="7FD20F93" w14:textId="77777777" w:rsidR="00F7338D" w:rsidRDefault="0019547D">
      <w:pPr>
        <w:pStyle w:val="Heading1"/>
      </w:pPr>
      <w:bookmarkStart w:id="24" w:name="_heading=h.qajixf4mqlzo" w:colFirst="0" w:colLast="0"/>
      <w:bookmarkEnd w:id="24"/>
      <w:r>
        <w:lastRenderedPageBreak/>
        <w:t>7. Conclusion</w:t>
      </w:r>
    </w:p>
    <w:p w14:paraId="38AC7E34"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can be concluded that this research can be effective in understanding modern perspectives of Technology Adoption, along with the level of acceptance among Indian consumers. The foreign EV brands can focus on consumer psychology to establish brand trust and thus, they can be able to overcome the international market entry barriers. The proposal has included a critical discussion over the research method, expected outcome as well as the probable limitations of the study. Maintaining a succinct Gantt chart and following it throughout the research will be effective in maintaining the quality and completing the research within the due schedule. </w:t>
      </w:r>
    </w:p>
    <w:p w14:paraId="4C7257D9" w14:textId="77777777" w:rsidR="00F7338D" w:rsidRDefault="0019547D">
      <w:pPr>
        <w:rPr>
          <w:rFonts w:ascii="Times New Roman" w:eastAsia="Times New Roman" w:hAnsi="Times New Roman" w:cs="Times New Roman"/>
          <w:b/>
          <w:bCs/>
          <w:sz w:val="24"/>
          <w:szCs w:val="24"/>
        </w:rPr>
      </w:pPr>
      <w:r>
        <w:br w:type="page"/>
      </w:r>
    </w:p>
    <w:p w14:paraId="59A0FA32" w14:textId="77777777" w:rsidR="00F7338D" w:rsidRDefault="0019547D">
      <w:pPr>
        <w:pStyle w:val="Heading1"/>
      </w:pPr>
      <w:bookmarkStart w:id="25" w:name="_heading=h.8afhhu29osnv" w:colFirst="0" w:colLast="0"/>
      <w:bookmarkEnd w:id="25"/>
      <w:r>
        <w:lastRenderedPageBreak/>
        <w:t xml:space="preserve">8. References </w:t>
      </w:r>
    </w:p>
    <w:p w14:paraId="0FAB2C41" w14:textId="77777777" w:rsidR="00F7338D" w:rsidRDefault="0019547D">
      <w:pPr>
        <w:spacing w:line="360" w:lineRule="auto"/>
        <w:jc w:val="both"/>
        <w:rPr>
          <w:rFonts w:ascii="Times New Roman" w:eastAsia="Times New Roman" w:hAnsi="Times New Roman" w:cs="Times New Roman"/>
          <w:color w:val="0563C1"/>
          <w:sz w:val="24"/>
          <w:szCs w:val="24"/>
          <w:u w:val="single"/>
        </w:rPr>
      </w:pPr>
      <w:proofErr w:type="spellStart"/>
      <w:r>
        <w:rPr>
          <w:rFonts w:ascii="Times New Roman" w:eastAsia="Times New Roman" w:hAnsi="Times New Roman" w:cs="Times New Roman"/>
          <w:sz w:val="24"/>
          <w:szCs w:val="24"/>
        </w:rPr>
        <w:t>Alsmadi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Hailat</w:t>
      </w:r>
      <w:proofErr w:type="spellEnd"/>
      <w:r>
        <w:rPr>
          <w:rFonts w:ascii="Times New Roman" w:eastAsia="Times New Roman" w:hAnsi="Times New Roman" w:cs="Times New Roman"/>
          <w:sz w:val="24"/>
          <w:szCs w:val="24"/>
        </w:rPr>
        <w:t>, K.Q., Bazi, S. and Al-Haddad, H.B., 2024. The influence of consumer awareness in the digital era on the selection of smartphones: A study among Jordanian university students. </w:t>
      </w:r>
      <w:proofErr w:type="spellStart"/>
      <w:r>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 xml:space="preserve">(4). </w:t>
      </w:r>
      <w:hyperlink r:id="rId13">
        <w:r>
          <w:rPr>
            <w:rFonts w:ascii="Times New Roman" w:eastAsia="Times New Roman" w:hAnsi="Times New Roman" w:cs="Times New Roman"/>
            <w:color w:val="0563C1"/>
            <w:sz w:val="24"/>
            <w:szCs w:val="24"/>
            <w:u w:val="single"/>
          </w:rPr>
          <w:t>https://www.sciencedirect.com/science/article/pii/S2405844024016669/pdfft?pid=1-s2.0-S2405844024016669-mainext.pdf</w:t>
        </w:r>
      </w:hyperlink>
    </w:p>
    <w:p w14:paraId="34CD7628"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Bizuneh, B., 2025. Factors influencing the purchasing intentions of young </w:t>
      </w:r>
      <w:proofErr w:type="spellStart"/>
      <w:r>
        <w:rPr>
          <w:rFonts w:ascii="Times New Roman" w:eastAsia="Times New Roman" w:hAnsi="Times New Roman" w:cs="Times New Roman"/>
          <w:sz w:val="24"/>
          <w:szCs w:val="24"/>
        </w:rPr>
        <w:t>ethiopian</w:t>
      </w:r>
      <w:proofErr w:type="spellEnd"/>
      <w:r>
        <w:rPr>
          <w:rFonts w:ascii="Times New Roman" w:eastAsia="Times New Roman" w:hAnsi="Times New Roman" w:cs="Times New Roman"/>
          <w:sz w:val="24"/>
          <w:szCs w:val="24"/>
        </w:rPr>
        <w:t xml:space="preserve"> consumers toward locally made fashion apparel. </w:t>
      </w:r>
      <w:r>
        <w:rPr>
          <w:rFonts w:ascii="Times New Roman" w:eastAsia="Times New Roman" w:hAnsi="Times New Roman" w:cs="Times New Roman"/>
          <w:i/>
          <w:iCs/>
          <w:sz w:val="24"/>
          <w:szCs w:val="24"/>
        </w:rPr>
        <w:t>Social Sciences &amp; Humanities Open</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 p.101860. </w:t>
      </w:r>
      <w:hyperlink r:id="rId14">
        <w:r>
          <w:rPr>
            <w:rFonts w:ascii="Times New Roman" w:eastAsia="Times New Roman" w:hAnsi="Times New Roman" w:cs="Times New Roman"/>
            <w:color w:val="0563C1"/>
            <w:sz w:val="24"/>
            <w:szCs w:val="24"/>
            <w:u w:val="single"/>
          </w:rPr>
          <w:t>https://www.sciencedirect.com/science/article/pii/S2590291125005881</w:t>
        </w:r>
      </w:hyperlink>
    </w:p>
    <w:p w14:paraId="493AAD61" w14:textId="77777777"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ET Auto (2026). </w:t>
      </w:r>
      <w:r>
        <w:rPr>
          <w:rFonts w:ascii="Times New Roman" w:eastAsia="Times New Roman" w:hAnsi="Times New Roman" w:cs="Times New Roman"/>
          <w:i/>
          <w:iCs/>
          <w:color w:val="000000"/>
          <w:sz w:val="24"/>
          <w:szCs w:val="24"/>
        </w:rPr>
        <w:t>Electric passenger vehicle retail sales jump 108% to 31,823 units in June: FADA</w:t>
      </w:r>
      <w:r>
        <w:rPr>
          <w:rFonts w:ascii="Times New Roman" w:eastAsia="Times New Roman" w:hAnsi="Times New Roman" w:cs="Times New Roman"/>
          <w:color w:val="000000"/>
          <w:sz w:val="24"/>
          <w:szCs w:val="24"/>
        </w:rPr>
        <w:t>. [Online] ETAuto.com. Available at: https://auto.economictimes.indiatimes.com/news/passenger-vehicle/electric-passenger-vehicle-retail-sales-jump-108-to-31823-units-in-june-fada/132235971 [Accessed 9 July 2026]</w:t>
      </w:r>
    </w:p>
    <w:p w14:paraId="6B1A3BB3" w14:textId="77777777"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 reporter (2026). </w:t>
      </w:r>
      <w:r>
        <w:rPr>
          <w:rFonts w:ascii="Times New Roman" w:eastAsia="Times New Roman" w:hAnsi="Times New Roman" w:cs="Times New Roman"/>
          <w:i/>
          <w:iCs/>
          <w:color w:val="000000"/>
          <w:sz w:val="24"/>
          <w:szCs w:val="24"/>
        </w:rPr>
        <w:t xml:space="preserve">State-wise electric car penetration in India in FY 2025-26 • </w:t>
      </w:r>
      <w:proofErr w:type="spellStart"/>
      <w:r>
        <w:rPr>
          <w:rFonts w:ascii="Times New Roman" w:eastAsia="Times New Roman" w:hAnsi="Times New Roman" w:cs="Times New Roman"/>
          <w:i/>
          <w:iCs/>
          <w:color w:val="000000"/>
          <w:sz w:val="24"/>
          <w:szCs w:val="24"/>
        </w:rPr>
        <w:t>EVreporter</w:t>
      </w:r>
      <w:proofErr w:type="spellEnd"/>
      <w:r>
        <w:rPr>
          <w:rFonts w:ascii="Times New Roman" w:eastAsia="Times New Roman" w:hAnsi="Times New Roman" w:cs="Times New Roman"/>
          <w:color w:val="000000"/>
          <w:sz w:val="24"/>
          <w:szCs w:val="24"/>
        </w:rPr>
        <w:t xml:space="preserve">. [Online] </w:t>
      </w:r>
      <w:proofErr w:type="spellStart"/>
      <w:r>
        <w:rPr>
          <w:rFonts w:ascii="Times New Roman" w:eastAsia="Times New Roman" w:hAnsi="Times New Roman" w:cs="Times New Roman"/>
          <w:color w:val="000000"/>
          <w:sz w:val="24"/>
          <w:szCs w:val="24"/>
        </w:rPr>
        <w:t>EVreporter</w:t>
      </w:r>
      <w:proofErr w:type="spellEnd"/>
      <w:r>
        <w:rPr>
          <w:rFonts w:ascii="Times New Roman" w:eastAsia="Times New Roman" w:hAnsi="Times New Roman" w:cs="Times New Roman"/>
          <w:color w:val="000000"/>
          <w:sz w:val="24"/>
          <w:szCs w:val="24"/>
        </w:rPr>
        <w:t>. Available at: https://evreporter.com/state-wise-electric-car-penetration-in-india-in-fy-2025-26/ [Accessed 9 July 2026].</w:t>
      </w:r>
    </w:p>
    <w:p w14:paraId="68713D95" w14:textId="77777777"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EVBoosters</w:t>
      </w:r>
      <w:proofErr w:type="spellEnd"/>
      <w:r>
        <w:rPr>
          <w:rFonts w:ascii="Times New Roman" w:eastAsia="Times New Roman" w:hAnsi="Times New Roman" w:cs="Times New Roman"/>
          <w:color w:val="000000"/>
          <w:sz w:val="24"/>
          <w:szCs w:val="24"/>
        </w:rPr>
        <w:t xml:space="preserve"> (2025). </w:t>
      </w:r>
      <w:r>
        <w:rPr>
          <w:rFonts w:ascii="Times New Roman" w:eastAsia="Times New Roman" w:hAnsi="Times New Roman" w:cs="Times New Roman"/>
          <w:i/>
          <w:iCs/>
          <w:color w:val="000000"/>
          <w:sz w:val="24"/>
          <w:szCs w:val="24"/>
        </w:rPr>
        <w:t>India’s Electric Vehicle market projections</w:t>
      </w:r>
      <w:r>
        <w:rPr>
          <w:rFonts w:ascii="Times New Roman" w:eastAsia="Times New Roman" w:hAnsi="Times New Roman" w:cs="Times New Roman"/>
          <w:color w:val="000000"/>
          <w:sz w:val="24"/>
          <w:szCs w:val="24"/>
        </w:rPr>
        <w:t xml:space="preserve">. [Online] </w:t>
      </w:r>
      <w:proofErr w:type="spellStart"/>
      <w:r>
        <w:rPr>
          <w:rFonts w:ascii="Times New Roman" w:eastAsia="Times New Roman" w:hAnsi="Times New Roman" w:cs="Times New Roman"/>
          <w:color w:val="000000"/>
          <w:sz w:val="24"/>
          <w:szCs w:val="24"/>
        </w:rPr>
        <w:t>EVBoosters</w:t>
      </w:r>
      <w:proofErr w:type="spellEnd"/>
      <w:r>
        <w:rPr>
          <w:rFonts w:ascii="Times New Roman" w:eastAsia="Times New Roman" w:hAnsi="Times New Roman" w:cs="Times New Roman"/>
          <w:color w:val="000000"/>
          <w:sz w:val="24"/>
          <w:szCs w:val="24"/>
        </w:rPr>
        <w:t>. Available at: https://evboosters.com/ev-charging-news/indias-electric-vehicle-market-projections/ [Accessed 9 July 2026]</w:t>
      </w:r>
    </w:p>
    <w:p w14:paraId="5B546B32" w14:textId="77777777"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Ganesha, H.R. and Aithal, P.S., 2022. How to choose an appropriate research data collection method and method choice among various research data collection methods and method choices during Ph. D. program in India. </w:t>
      </w:r>
      <w:r>
        <w:rPr>
          <w:rFonts w:ascii="Times New Roman" w:eastAsia="Times New Roman" w:hAnsi="Times New Roman" w:cs="Times New Roman"/>
          <w:i/>
          <w:iCs/>
          <w:color w:val="222222"/>
          <w:sz w:val="24"/>
          <w:szCs w:val="24"/>
          <w:highlight w:val="white"/>
        </w:rPr>
        <w:t>International Journal of Management, Technology, and Social Sciences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 xml:space="preserve">(2), pp.455-489. </w:t>
      </w:r>
      <w:hyperlink r:id="rId15">
        <w:r>
          <w:rPr>
            <w:rFonts w:ascii="Times New Roman" w:eastAsia="Times New Roman" w:hAnsi="Times New Roman" w:cs="Times New Roman"/>
            <w:color w:val="0563C1"/>
            <w:sz w:val="24"/>
            <w:szCs w:val="24"/>
            <w:highlight w:val="white"/>
            <w:u w:val="single"/>
          </w:rPr>
          <w:t>https://www.academia.edu/download/100063600/26._How_to_Choose_an_Appropriate_Research_Data.pdf</w:t>
        </w:r>
      </w:hyperlink>
    </w:p>
    <w:p w14:paraId="50A156D9" w14:textId="77777777"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Harnaningrum</w:t>
      </w:r>
      <w:proofErr w:type="spellEnd"/>
      <w:r>
        <w:rPr>
          <w:rFonts w:ascii="Times New Roman" w:eastAsia="Times New Roman" w:hAnsi="Times New Roman" w:cs="Times New Roman"/>
          <w:color w:val="222222"/>
          <w:sz w:val="24"/>
          <w:szCs w:val="24"/>
          <w:highlight w:val="white"/>
        </w:rPr>
        <w:t>, R.N., Boer, M.K. and Damayanthy, D., 2026. Factors influencing consumer adoption of electric vehicles: A literature review. </w:t>
      </w:r>
      <w:proofErr w:type="spellStart"/>
      <w:r>
        <w:rPr>
          <w:rFonts w:ascii="Times New Roman" w:eastAsia="Times New Roman" w:hAnsi="Times New Roman" w:cs="Times New Roman"/>
          <w:i/>
          <w:iCs/>
          <w:color w:val="222222"/>
          <w:sz w:val="24"/>
          <w:szCs w:val="24"/>
          <w:highlight w:val="white"/>
        </w:rPr>
        <w:t>Priviet</w:t>
      </w:r>
      <w:proofErr w:type="spellEnd"/>
      <w:r>
        <w:rPr>
          <w:rFonts w:ascii="Times New Roman" w:eastAsia="Times New Roman" w:hAnsi="Times New Roman" w:cs="Times New Roman"/>
          <w:i/>
          <w:iCs/>
          <w:color w:val="222222"/>
          <w:sz w:val="24"/>
          <w:szCs w:val="24"/>
          <w:highlight w:val="white"/>
        </w:rPr>
        <w:t xml:space="preserve"> Social Sciences Journal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 xml:space="preserve">(2), pp.597-614. </w:t>
      </w:r>
      <w:hyperlink r:id="rId16">
        <w:r>
          <w:rPr>
            <w:rFonts w:ascii="Times New Roman" w:eastAsia="Times New Roman" w:hAnsi="Times New Roman" w:cs="Times New Roman"/>
            <w:color w:val="0563C1"/>
            <w:sz w:val="24"/>
            <w:szCs w:val="24"/>
            <w:highlight w:val="white"/>
            <w:u w:val="single"/>
          </w:rPr>
          <w:t>https://journal.privietlab.org/index.php/PSSJ/article/download/1588/695</w:t>
        </w:r>
      </w:hyperlink>
    </w:p>
    <w:p w14:paraId="588D9C12"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Jayawardena, N.S., </w:t>
      </w:r>
      <w:proofErr w:type="spellStart"/>
      <w:r>
        <w:rPr>
          <w:rFonts w:ascii="Times New Roman" w:eastAsia="Times New Roman" w:hAnsi="Times New Roman" w:cs="Times New Roman"/>
          <w:sz w:val="24"/>
          <w:szCs w:val="24"/>
        </w:rPr>
        <w:t>Nadroo</w:t>
      </w:r>
      <w:proofErr w:type="spellEnd"/>
      <w:r>
        <w:rPr>
          <w:rFonts w:ascii="Times New Roman" w:eastAsia="Times New Roman" w:hAnsi="Times New Roman" w:cs="Times New Roman"/>
          <w:sz w:val="24"/>
          <w:szCs w:val="24"/>
        </w:rPr>
        <w:t xml:space="preserve">, Z.M., Jayarathne, P.A., Singh, P., Dewasiri, N.J. and </w:t>
      </w:r>
      <w:proofErr w:type="spellStart"/>
      <w:r>
        <w:rPr>
          <w:rFonts w:ascii="Times New Roman" w:eastAsia="Times New Roman" w:hAnsi="Times New Roman" w:cs="Times New Roman"/>
          <w:sz w:val="24"/>
          <w:szCs w:val="24"/>
        </w:rPr>
        <w:t>Koswatte</w:t>
      </w:r>
      <w:proofErr w:type="spellEnd"/>
      <w:r>
        <w:rPr>
          <w:rFonts w:ascii="Times New Roman" w:eastAsia="Times New Roman" w:hAnsi="Times New Roman" w:cs="Times New Roman"/>
          <w:sz w:val="24"/>
          <w:szCs w:val="24"/>
        </w:rPr>
        <w:t xml:space="preserve">, I., 2026. The Motivation of Female Adolescents to Adopt Wearable Smart </w:t>
      </w:r>
      <w:proofErr w:type="spellStart"/>
      <w:r>
        <w:rPr>
          <w:rFonts w:ascii="Times New Roman" w:eastAsia="Times New Roman" w:hAnsi="Times New Roman" w:cs="Times New Roman"/>
          <w:sz w:val="24"/>
          <w:szCs w:val="24"/>
        </w:rPr>
        <w:t>Jewelry</w:t>
      </w:r>
      <w:proofErr w:type="spellEnd"/>
      <w:r>
        <w:rPr>
          <w:rFonts w:ascii="Times New Roman" w:eastAsia="Times New Roman" w:hAnsi="Times New Roman" w:cs="Times New Roman"/>
          <w:sz w:val="24"/>
          <w:szCs w:val="24"/>
        </w:rPr>
        <w:t>: A Qualitative Analysis. </w:t>
      </w:r>
      <w:r>
        <w:rPr>
          <w:rFonts w:ascii="Times New Roman" w:eastAsia="Times New Roman" w:hAnsi="Times New Roman" w:cs="Times New Roman"/>
          <w:i/>
          <w:iCs/>
          <w:sz w:val="24"/>
          <w:szCs w:val="24"/>
        </w:rPr>
        <w:t>Strategic Business Research</w:t>
      </w:r>
      <w:r>
        <w:rPr>
          <w:rFonts w:ascii="Times New Roman" w:eastAsia="Times New Roman" w:hAnsi="Times New Roman" w:cs="Times New Roman"/>
          <w:sz w:val="24"/>
          <w:szCs w:val="24"/>
        </w:rPr>
        <w:t xml:space="preserve">, p.100192. </w:t>
      </w:r>
      <w:hyperlink r:id="rId17">
        <w:r>
          <w:rPr>
            <w:rFonts w:ascii="Times New Roman" w:eastAsia="Times New Roman" w:hAnsi="Times New Roman" w:cs="Times New Roman"/>
            <w:color w:val="0563C1"/>
            <w:sz w:val="24"/>
            <w:szCs w:val="24"/>
            <w:u w:val="single"/>
          </w:rPr>
          <w:t>https://www.sciencedirect.com/science/article/pii/S3051064326001433</w:t>
        </w:r>
      </w:hyperlink>
    </w:p>
    <w:p w14:paraId="4BA94531"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Kumar, C., Mohanty, A., George, T., Pooja, K. and Kamath, G.B., 2026. The psychological journey: Interplay of brand awareness, perceived quality, and brand trust in shaping consumers' intention to buy gaming mobiles. </w:t>
      </w:r>
      <w:r>
        <w:rPr>
          <w:rFonts w:ascii="Times New Roman" w:eastAsia="Times New Roman" w:hAnsi="Times New Roman" w:cs="Times New Roman"/>
          <w:i/>
          <w:iCs/>
          <w:sz w:val="24"/>
          <w:szCs w:val="24"/>
        </w:rPr>
        <w:t xml:space="preserve">Acta </w:t>
      </w:r>
      <w:proofErr w:type="spellStart"/>
      <w:r>
        <w:rPr>
          <w:rFonts w:ascii="Times New Roman" w:eastAsia="Times New Roman" w:hAnsi="Times New Roman" w:cs="Times New Roman"/>
          <w:i/>
          <w:iCs/>
          <w:sz w:val="24"/>
          <w:szCs w:val="24"/>
        </w:rPr>
        <w:t>Psychologica</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267</w:t>
      </w:r>
      <w:r>
        <w:rPr>
          <w:rFonts w:ascii="Times New Roman" w:eastAsia="Times New Roman" w:hAnsi="Times New Roman" w:cs="Times New Roman"/>
          <w:sz w:val="24"/>
          <w:szCs w:val="24"/>
        </w:rPr>
        <w:t xml:space="preserve">, p.107056. </w:t>
      </w:r>
      <w:hyperlink r:id="rId18">
        <w:r>
          <w:rPr>
            <w:rFonts w:ascii="Times New Roman" w:eastAsia="Times New Roman" w:hAnsi="Times New Roman" w:cs="Times New Roman"/>
            <w:color w:val="0563C1"/>
            <w:sz w:val="24"/>
            <w:szCs w:val="24"/>
            <w:u w:val="single"/>
          </w:rPr>
          <w:t>https://www.sciencedirect.com/science/article/pii/S0001691826008577</w:t>
        </w:r>
      </w:hyperlink>
      <w:r>
        <w:rPr>
          <w:rFonts w:ascii="Times New Roman" w:eastAsia="Times New Roman" w:hAnsi="Times New Roman" w:cs="Times New Roman"/>
          <w:sz w:val="24"/>
          <w:szCs w:val="24"/>
        </w:rPr>
        <w:t xml:space="preserve">  </w:t>
      </w:r>
    </w:p>
    <w:p w14:paraId="37D03CCC"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Kwesi, O.S., Frimpong, E.Y.A. and Kwofie, C., 2026. Brand equity and smartphone choice among Ghanaian university students. </w:t>
      </w:r>
      <w:r>
        <w:rPr>
          <w:rFonts w:ascii="Times New Roman" w:eastAsia="Times New Roman" w:hAnsi="Times New Roman" w:cs="Times New Roman"/>
          <w:i/>
          <w:iCs/>
          <w:sz w:val="24"/>
          <w:szCs w:val="24"/>
        </w:rPr>
        <w:t>Scientific African</w:t>
      </w:r>
      <w:r>
        <w:rPr>
          <w:rFonts w:ascii="Times New Roman" w:eastAsia="Times New Roman" w:hAnsi="Times New Roman" w:cs="Times New Roman"/>
          <w:sz w:val="24"/>
          <w:szCs w:val="24"/>
        </w:rPr>
        <w:t xml:space="preserve">, p.e03304. </w:t>
      </w:r>
      <w:hyperlink r:id="rId19">
        <w:r>
          <w:rPr>
            <w:rFonts w:ascii="Times New Roman" w:eastAsia="Times New Roman" w:hAnsi="Times New Roman" w:cs="Times New Roman"/>
            <w:color w:val="0563C1"/>
            <w:sz w:val="24"/>
            <w:szCs w:val="24"/>
            <w:u w:val="single"/>
          </w:rPr>
          <w:t>https://www.sciencedirect.com/science/article/pii/S2468227626001286</w:t>
        </w:r>
      </w:hyperlink>
      <w:r>
        <w:rPr>
          <w:rFonts w:ascii="Times New Roman" w:eastAsia="Times New Roman" w:hAnsi="Times New Roman" w:cs="Times New Roman"/>
          <w:sz w:val="24"/>
          <w:szCs w:val="24"/>
        </w:rPr>
        <w:t xml:space="preserve">  </w:t>
      </w:r>
    </w:p>
    <w:p w14:paraId="4AB92956" w14:textId="77777777"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Marketresearchfuture</w:t>
      </w:r>
      <w:proofErr w:type="spellEnd"/>
      <w:r>
        <w:rPr>
          <w:rFonts w:ascii="Times New Roman" w:eastAsia="Times New Roman" w:hAnsi="Times New Roman" w:cs="Times New Roman"/>
          <w:color w:val="000000"/>
          <w:sz w:val="24"/>
          <w:szCs w:val="24"/>
        </w:rPr>
        <w:t xml:space="preserve"> (2025) </w:t>
      </w:r>
      <w:r>
        <w:rPr>
          <w:rFonts w:ascii="Times New Roman" w:eastAsia="Times New Roman" w:hAnsi="Times New Roman" w:cs="Times New Roman"/>
          <w:i/>
          <w:iCs/>
          <w:color w:val="000000"/>
          <w:sz w:val="24"/>
          <w:szCs w:val="24"/>
        </w:rPr>
        <w:t>India EV market size, share, sales, trends, report 2035</w:t>
      </w:r>
      <w:r>
        <w:rPr>
          <w:rFonts w:ascii="Times New Roman" w:eastAsia="Times New Roman" w:hAnsi="Times New Roman" w:cs="Times New Roman"/>
          <w:color w:val="000000"/>
          <w:sz w:val="24"/>
          <w:szCs w:val="24"/>
        </w:rPr>
        <w:t xml:space="preserve">. Available at: https://www.marketresearchfuture.com/reports/india-electric-vehicle-market-12671 (Accessed: 09 July 2026). </w:t>
      </w:r>
    </w:p>
    <w:p w14:paraId="3C73B02B" w14:textId="77777777"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Marketresearchfuture</w:t>
      </w:r>
      <w:proofErr w:type="spellEnd"/>
      <w:r>
        <w:rPr>
          <w:rFonts w:ascii="Times New Roman" w:eastAsia="Times New Roman" w:hAnsi="Times New Roman" w:cs="Times New Roman"/>
          <w:color w:val="000000"/>
          <w:sz w:val="24"/>
          <w:szCs w:val="24"/>
        </w:rPr>
        <w:t xml:space="preserve"> (2026) </w:t>
      </w:r>
      <w:r>
        <w:rPr>
          <w:rFonts w:ascii="Times New Roman" w:eastAsia="Times New Roman" w:hAnsi="Times New Roman" w:cs="Times New Roman"/>
          <w:i/>
          <w:iCs/>
          <w:color w:val="000000"/>
          <w:sz w:val="24"/>
          <w:szCs w:val="24"/>
        </w:rPr>
        <w:t>India EV market size, share, sales, trends, report 2035</w:t>
      </w:r>
      <w:r>
        <w:rPr>
          <w:rFonts w:ascii="Times New Roman" w:eastAsia="Times New Roman" w:hAnsi="Times New Roman" w:cs="Times New Roman"/>
          <w:color w:val="000000"/>
          <w:sz w:val="24"/>
          <w:szCs w:val="24"/>
        </w:rPr>
        <w:t>. Available at: https://www.marketresearchfuture.com/reports/india-electric-vehicle-market-12671 (Accessed: 09 July 2026)</w:t>
      </w:r>
    </w:p>
    <w:p w14:paraId="3D3A38FD"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Ngo, T.T.A., An, G.K., Dang, N.Y., Doan, T.T. and Nguyen, V.M.H., 2026. The psychological impact of social media marketing on consumer willingness to pay for tech gadgets: A study on brand perception and decision-making. </w:t>
      </w:r>
      <w:r>
        <w:rPr>
          <w:rFonts w:ascii="Times New Roman" w:eastAsia="Times New Roman" w:hAnsi="Times New Roman" w:cs="Times New Roman"/>
          <w:i/>
          <w:iCs/>
          <w:sz w:val="24"/>
          <w:szCs w:val="24"/>
        </w:rPr>
        <w:t xml:space="preserve">Acta </w:t>
      </w:r>
      <w:proofErr w:type="spellStart"/>
      <w:r>
        <w:rPr>
          <w:rFonts w:ascii="Times New Roman" w:eastAsia="Times New Roman" w:hAnsi="Times New Roman" w:cs="Times New Roman"/>
          <w:i/>
          <w:iCs/>
          <w:sz w:val="24"/>
          <w:szCs w:val="24"/>
        </w:rPr>
        <w:t>Psychologica</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262</w:t>
      </w:r>
      <w:r>
        <w:rPr>
          <w:rFonts w:ascii="Times New Roman" w:eastAsia="Times New Roman" w:hAnsi="Times New Roman" w:cs="Times New Roman"/>
          <w:sz w:val="24"/>
          <w:szCs w:val="24"/>
        </w:rPr>
        <w:t xml:space="preserve">, p.106130. </w:t>
      </w:r>
      <w:hyperlink r:id="rId20">
        <w:r>
          <w:rPr>
            <w:rFonts w:ascii="Times New Roman" w:eastAsia="Times New Roman" w:hAnsi="Times New Roman" w:cs="Times New Roman"/>
            <w:color w:val="0563C1"/>
            <w:sz w:val="24"/>
            <w:szCs w:val="24"/>
            <w:u w:val="single"/>
          </w:rPr>
          <w:t>https://www.sciencedirect.com/science/article/pii/S0001691825014441</w:t>
        </w:r>
      </w:hyperlink>
      <w:r>
        <w:rPr>
          <w:rFonts w:ascii="Times New Roman" w:eastAsia="Times New Roman" w:hAnsi="Times New Roman" w:cs="Times New Roman"/>
          <w:sz w:val="24"/>
          <w:szCs w:val="24"/>
        </w:rPr>
        <w:t xml:space="preserve">  </w:t>
      </w:r>
    </w:p>
    <w:p w14:paraId="7DA913CE"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Sahoo, D., Soni, N. and Mishra, A., 2025. Emojis and consumer-based brand equity: Mediation role of engagement. </w:t>
      </w:r>
      <w:r>
        <w:rPr>
          <w:rFonts w:ascii="Times New Roman" w:eastAsia="Times New Roman" w:hAnsi="Times New Roman" w:cs="Times New Roman"/>
          <w:i/>
          <w:iCs/>
          <w:sz w:val="24"/>
          <w:szCs w:val="24"/>
        </w:rPr>
        <w:t>Journal of Open Innovation: Technology, Market, and Complexity</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11</w:t>
      </w:r>
      <w:r>
        <w:rPr>
          <w:rFonts w:ascii="Times New Roman" w:eastAsia="Times New Roman" w:hAnsi="Times New Roman" w:cs="Times New Roman"/>
          <w:sz w:val="24"/>
          <w:szCs w:val="24"/>
        </w:rPr>
        <w:t xml:space="preserve">(3), p.100574. </w:t>
      </w:r>
      <w:hyperlink r:id="rId21">
        <w:r>
          <w:rPr>
            <w:rFonts w:ascii="Times New Roman" w:eastAsia="Times New Roman" w:hAnsi="Times New Roman" w:cs="Times New Roman"/>
            <w:color w:val="0563C1"/>
            <w:sz w:val="24"/>
            <w:szCs w:val="24"/>
            <w:u w:val="single"/>
          </w:rPr>
          <w:t>https://www.sciencedirect.com/science/article/pii/S219985312500109X</w:t>
        </w:r>
      </w:hyperlink>
      <w:r>
        <w:rPr>
          <w:rFonts w:ascii="Times New Roman" w:eastAsia="Times New Roman" w:hAnsi="Times New Roman" w:cs="Times New Roman"/>
          <w:sz w:val="24"/>
          <w:szCs w:val="24"/>
        </w:rPr>
        <w:t xml:space="preserve"> </w:t>
      </w:r>
    </w:p>
    <w:p w14:paraId="5A69B421" w14:textId="77777777"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Schoonenboom</w:t>
      </w:r>
      <w:proofErr w:type="spellEnd"/>
      <w:r>
        <w:rPr>
          <w:rFonts w:ascii="Times New Roman" w:eastAsia="Times New Roman" w:hAnsi="Times New Roman" w:cs="Times New Roman"/>
          <w:color w:val="222222"/>
          <w:sz w:val="24"/>
          <w:szCs w:val="24"/>
          <w:highlight w:val="white"/>
        </w:rPr>
        <w:t>, J., 2023. The fundamental difference between qualitative and quantitative data in mixed methods research. In </w:t>
      </w:r>
      <w:r>
        <w:rPr>
          <w:rFonts w:ascii="Times New Roman" w:eastAsia="Times New Roman" w:hAnsi="Times New Roman" w:cs="Times New Roman"/>
          <w:i/>
          <w:iCs/>
          <w:color w:val="222222"/>
          <w:sz w:val="24"/>
          <w:szCs w:val="24"/>
          <w:highlight w:val="white"/>
        </w:rPr>
        <w:t xml:space="preserve">Forum Qualitative </w:t>
      </w:r>
      <w:proofErr w:type="spellStart"/>
      <w:r>
        <w:rPr>
          <w:rFonts w:ascii="Times New Roman" w:eastAsia="Times New Roman" w:hAnsi="Times New Roman" w:cs="Times New Roman"/>
          <w:i/>
          <w:iCs/>
          <w:color w:val="222222"/>
          <w:sz w:val="24"/>
          <w:szCs w:val="24"/>
          <w:highlight w:val="white"/>
        </w:rPr>
        <w:t>Sozialforschung</w:t>
      </w:r>
      <w:proofErr w:type="spellEnd"/>
      <w:r>
        <w:rPr>
          <w:rFonts w:ascii="Times New Roman" w:eastAsia="Times New Roman" w:hAnsi="Times New Roman" w:cs="Times New Roman"/>
          <w:i/>
          <w:iCs/>
          <w:color w:val="222222"/>
          <w:sz w:val="24"/>
          <w:szCs w:val="24"/>
          <w:highlight w:val="white"/>
        </w:rPr>
        <w:t>/Forum: Qualitative Social Research</w:t>
      </w:r>
      <w:r>
        <w:rPr>
          <w:rFonts w:ascii="Times New Roman" w:eastAsia="Times New Roman" w:hAnsi="Times New Roman" w:cs="Times New Roman"/>
          <w:color w:val="222222"/>
          <w:sz w:val="24"/>
          <w:szCs w:val="24"/>
          <w:highlight w:val="white"/>
        </w:rPr>
        <w:t xml:space="preserve"> (Vol. 24, No. 1). DEU. </w:t>
      </w:r>
      <w:hyperlink r:id="rId22">
        <w:r>
          <w:rPr>
            <w:rFonts w:ascii="Times New Roman" w:eastAsia="Times New Roman" w:hAnsi="Times New Roman" w:cs="Times New Roman"/>
            <w:color w:val="0563C1"/>
            <w:sz w:val="24"/>
            <w:szCs w:val="24"/>
            <w:highlight w:val="white"/>
            <w:u w:val="single"/>
          </w:rPr>
          <w:t>https://www.ssoar.info/ssoar/bitstream/handle/document/88089/ssoar-fqs-2023-1-schoonenboom-The_Fundamental_Difference_Between_Qualitative.pdf?sequence=1</w:t>
        </w:r>
      </w:hyperlink>
    </w:p>
    <w:p w14:paraId="24303E37"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Simonetti, A., </w:t>
      </w:r>
      <w:proofErr w:type="spellStart"/>
      <w:r>
        <w:rPr>
          <w:rFonts w:ascii="Times New Roman" w:eastAsia="Times New Roman" w:hAnsi="Times New Roman" w:cs="Times New Roman"/>
          <w:sz w:val="24"/>
          <w:szCs w:val="24"/>
        </w:rPr>
        <w:t>Bigne</w:t>
      </w:r>
      <w:proofErr w:type="spellEnd"/>
      <w:r>
        <w:rPr>
          <w:rFonts w:ascii="Times New Roman" w:eastAsia="Times New Roman" w:hAnsi="Times New Roman" w:cs="Times New Roman"/>
          <w:sz w:val="24"/>
          <w:szCs w:val="24"/>
        </w:rPr>
        <w:t>, E. and Navas, L.F.R., 2025. Consumer brand choice in the metaverse: exploring personal and social factors. </w:t>
      </w:r>
      <w:r>
        <w:rPr>
          <w:rFonts w:ascii="Times New Roman" w:eastAsia="Times New Roman" w:hAnsi="Times New Roman" w:cs="Times New Roman"/>
          <w:i/>
          <w:iCs/>
          <w:sz w:val="24"/>
          <w:szCs w:val="24"/>
        </w:rPr>
        <w:t>Technological Forecasting and Social Change</w:t>
      </w:r>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213</w:t>
      </w:r>
      <w:r>
        <w:rPr>
          <w:rFonts w:ascii="Times New Roman" w:eastAsia="Times New Roman" w:hAnsi="Times New Roman" w:cs="Times New Roman"/>
          <w:sz w:val="24"/>
          <w:szCs w:val="24"/>
        </w:rPr>
        <w:t xml:space="preserve">, p.124033. </w:t>
      </w:r>
      <w:hyperlink r:id="rId23">
        <w:r>
          <w:rPr>
            <w:rFonts w:ascii="Times New Roman" w:eastAsia="Times New Roman" w:hAnsi="Times New Roman" w:cs="Times New Roman"/>
            <w:color w:val="0563C1"/>
            <w:sz w:val="24"/>
            <w:szCs w:val="24"/>
            <w:u w:val="single"/>
          </w:rPr>
          <w:t>https://www.sciencedirect.com/science/article/pii/S0040162525000642</w:t>
        </w:r>
      </w:hyperlink>
      <w:r>
        <w:rPr>
          <w:rFonts w:ascii="Times New Roman" w:eastAsia="Times New Roman" w:hAnsi="Times New Roman" w:cs="Times New Roman"/>
          <w:sz w:val="24"/>
          <w:szCs w:val="24"/>
        </w:rPr>
        <w:t xml:space="preserve">  </w:t>
      </w:r>
    </w:p>
    <w:p w14:paraId="69CF90DB" w14:textId="77777777" w:rsidR="00F7338D" w:rsidRDefault="0019547D">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S. (2026) </w:t>
      </w:r>
      <w:r>
        <w:rPr>
          <w:rFonts w:ascii="Times New Roman" w:eastAsia="Times New Roman" w:hAnsi="Times New Roman" w:cs="Times New Roman"/>
          <w:i/>
          <w:iCs/>
          <w:color w:val="000000"/>
          <w:sz w:val="24"/>
          <w:szCs w:val="24"/>
        </w:rPr>
        <w:t>JSW mg bets on scaled Chinese EV Tech to capture India’s nascent market</w:t>
      </w:r>
      <w:r>
        <w:rPr>
          <w:rFonts w:ascii="Times New Roman" w:eastAsia="Times New Roman" w:hAnsi="Times New Roman" w:cs="Times New Roman"/>
          <w:color w:val="000000"/>
          <w:sz w:val="24"/>
          <w:szCs w:val="24"/>
        </w:rPr>
        <w:t>. Available at: https://www.whalesbook.com/news/English/auto/JSW-MG-Bets-on-Scaled-Chinese-EV-Tech-to-Capture-Indias-Nascent-Market/69930f742e6a0b8ae17d21c4 (Accessed: 09 July 2026)</w:t>
      </w:r>
    </w:p>
    <w:p w14:paraId="5AF50955" w14:textId="77777777"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V. (2026). </w:t>
      </w:r>
      <w:r>
        <w:rPr>
          <w:rFonts w:ascii="Times New Roman" w:eastAsia="Times New Roman" w:hAnsi="Times New Roman" w:cs="Times New Roman"/>
          <w:i/>
          <w:iCs/>
          <w:color w:val="000000"/>
          <w:sz w:val="24"/>
          <w:szCs w:val="24"/>
        </w:rPr>
        <w:t>Tata, Mahindra dominate India’s mass electric car market as global rivals struggle to catch up- Moneycontrol.com</w:t>
      </w:r>
      <w:r>
        <w:rPr>
          <w:rFonts w:ascii="Times New Roman" w:eastAsia="Times New Roman" w:hAnsi="Times New Roman" w:cs="Times New Roman"/>
          <w:color w:val="000000"/>
          <w:sz w:val="24"/>
          <w:szCs w:val="24"/>
        </w:rPr>
        <w:t xml:space="preserve">. [online] </w:t>
      </w:r>
      <w:proofErr w:type="spellStart"/>
      <w:r>
        <w:rPr>
          <w:rFonts w:ascii="Times New Roman" w:eastAsia="Times New Roman" w:hAnsi="Times New Roman" w:cs="Times New Roman"/>
          <w:color w:val="000000"/>
          <w:sz w:val="24"/>
          <w:szCs w:val="24"/>
        </w:rPr>
        <w:t>Moneycontrol</w:t>
      </w:r>
      <w:proofErr w:type="spellEnd"/>
      <w:r>
        <w:rPr>
          <w:rFonts w:ascii="Times New Roman" w:eastAsia="Times New Roman" w:hAnsi="Times New Roman" w:cs="Times New Roman"/>
          <w:color w:val="000000"/>
          <w:sz w:val="24"/>
          <w:szCs w:val="24"/>
        </w:rPr>
        <w:t>. Available at: https://www.moneycontrol.com/automobile/tata-mahindra-dominate-india-s-mass-electric-car-market-as-global-rivals-struggle-to-catch-up-article-13964737.html [Accessed 9 July 2026]</w:t>
      </w:r>
    </w:p>
    <w:p w14:paraId="0573F1AD" w14:textId="77777777" w:rsidR="00F7338D" w:rsidRDefault="001954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Srivastava, A., Patri, R., Sisodia, G.S. and Ananthi, R., 2026. Consumer trust and post-purchase dynamics in the refurbished electronics market: The role of product quality, service, and brand reputation. </w:t>
      </w:r>
      <w:r>
        <w:rPr>
          <w:rFonts w:ascii="Times New Roman" w:eastAsia="Times New Roman" w:hAnsi="Times New Roman" w:cs="Times New Roman"/>
          <w:i/>
          <w:iCs/>
          <w:sz w:val="24"/>
          <w:szCs w:val="24"/>
        </w:rPr>
        <w:t xml:space="preserve">Acta </w:t>
      </w:r>
      <w:proofErr w:type="spellStart"/>
      <w:r>
        <w:rPr>
          <w:rFonts w:ascii="Times New Roman" w:eastAsia="Times New Roman" w:hAnsi="Times New Roman" w:cs="Times New Roman"/>
          <w:i/>
          <w:iCs/>
          <w:sz w:val="24"/>
          <w:szCs w:val="24"/>
        </w:rPr>
        <w:t>Psychologica</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iCs/>
          <w:sz w:val="24"/>
          <w:szCs w:val="24"/>
        </w:rPr>
        <w:t>266</w:t>
      </w:r>
      <w:r>
        <w:rPr>
          <w:rFonts w:ascii="Times New Roman" w:eastAsia="Times New Roman" w:hAnsi="Times New Roman" w:cs="Times New Roman"/>
          <w:sz w:val="24"/>
          <w:szCs w:val="24"/>
        </w:rPr>
        <w:t xml:space="preserve">, p.106941. </w:t>
      </w:r>
      <w:hyperlink r:id="rId24">
        <w:r>
          <w:rPr>
            <w:rFonts w:ascii="Times New Roman" w:eastAsia="Times New Roman" w:hAnsi="Times New Roman" w:cs="Times New Roman"/>
            <w:color w:val="0563C1"/>
            <w:sz w:val="24"/>
            <w:szCs w:val="24"/>
            <w:u w:val="single"/>
          </w:rPr>
          <w:t>https://www.sciencedirect.com/science/article/pii/S0001691826007420</w:t>
        </w:r>
      </w:hyperlink>
      <w:r>
        <w:rPr>
          <w:rFonts w:ascii="Times New Roman" w:eastAsia="Times New Roman" w:hAnsi="Times New Roman" w:cs="Times New Roman"/>
          <w:sz w:val="24"/>
          <w:szCs w:val="24"/>
        </w:rPr>
        <w:t xml:space="preserve">  </w:t>
      </w:r>
    </w:p>
    <w:p w14:paraId="4C0B2D9F" w14:textId="77777777" w:rsidR="00F7338D" w:rsidRDefault="0019547D">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Yen, H. (2026). </w:t>
      </w:r>
      <w:r>
        <w:rPr>
          <w:rFonts w:ascii="Times New Roman" w:eastAsia="Times New Roman" w:hAnsi="Times New Roman" w:cs="Times New Roman"/>
          <w:i/>
          <w:iCs/>
          <w:color w:val="000000"/>
          <w:sz w:val="24"/>
          <w:szCs w:val="24"/>
        </w:rPr>
        <w:t>VinFast guns for 300,000 EV deliveries in 2026, spins off manufacturing operations</w:t>
      </w:r>
      <w:r>
        <w:rPr>
          <w:rFonts w:ascii="Times New Roman" w:eastAsia="Times New Roman" w:hAnsi="Times New Roman" w:cs="Times New Roman"/>
          <w:color w:val="000000"/>
          <w:sz w:val="24"/>
          <w:szCs w:val="24"/>
        </w:rPr>
        <w:t>. [Online] Theinvestor.vn. Available at: https://theinvestor.vn/vinfast-guns-for-300000-ev-deliveries-in-2026-spins-off-manufacturing-operations-d19308.html [Accessed 9 July 2026].</w:t>
      </w:r>
    </w:p>
    <w:p w14:paraId="63E21A4E" w14:textId="77777777" w:rsidR="00F7338D" w:rsidRDefault="00F7338D">
      <w:pPr>
        <w:spacing w:line="360" w:lineRule="auto"/>
        <w:jc w:val="both"/>
        <w:rPr>
          <w:rFonts w:ascii="Times New Roman" w:eastAsia="Times New Roman" w:hAnsi="Times New Roman" w:cs="Times New Roman"/>
          <w:sz w:val="24"/>
          <w:szCs w:val="24"/>
        </w:rPr>
      </w:pPr>
    </w:p>
    <w:p w14:paraId="7418119A" w14:textId="77777777" w:rsidR="00F7338D" w:rsidRDefault="00F7338D">
      <w:pPr>
        <w:spacing w:line="360" w:lineRule="auto"/>
        <w:jc w:val="both"/>
        <w:rPr>
          <w:rFonts w:ascii="Times New Roman" w:eastAsia="Times New Roman" w:hAnsi="Times New Roman" w:cs="Times New Roman"/>
          <w:b/>
          <w:bCs/>
          <w:sz w:val="24"/>
          <w:szCs w:val="24"/>
        </w:rPr>
      </w:pPr>
    </w:p>
    <w:p w14:paraId="5A683708" w14:textId="77777777" w:rsidR="00F7338D" w:rsidRDefault="00F7338D">
      <w:pPr>
        <w:spacing w:line="360" w:lineRule="auto"/>
        <w:jc w:val="both"/>
        <w:rPr>
          <w:rFonts w:ascii="Times New Roman" w:eastAsia="Times New Roman" w:hAnsi="Times New Roman" w:cs="Times New Roman"/>
          <w:b/>
          <w:bCs/>
          <w:sz w:val="24"/>
          <w:szCs w:val="24"/>
        </w:rPr>
      </w:pPr>
    </w:p>
    <w:sectPr w:rsidR="00F7338D" w:rsidSect="00594FAC">
      <w:footerReference w:type="default" r:id="rId25"/>
      <w:pgSz w:w="11906" w:h="16838"/>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D5520" w14:textId="77777777" w:rsidR="00F74747" w:rsidRDefault="00F74747">
      <w:pPr>
        <w:spacing w:after="0" w:line="240" w:lineRule="auto"/>
      </w:pPr>
      <w:r>
        <w:separator/>
      </w:r>
    </w:p>
  </w:endnote>
  <w:endnote w:type="continuationSeparator" w:id="0">
    <w:p w14:paraId="4159118A" w14:textId="77777777" w:rsidR="00F74747" w:rsidRDefault="00F74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76A3F11-7DF1-4048-B80D-0F2DC13DBD11}"/>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43828A22-A99D-4236-9FA2-A821999149E7}"/>
    <w:embedBold r:id="rId3" w:fontKey="{6B809F8E-5DB6-4343-882B-441B8127E535}"/>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4" w:fontKey="{FC713C41-AE2E-4059-8CFB-EB9F6D47BBAA}"/>
  </w:font>
  <w:font w:name="Cambria">
    <w:panose1 w:val="02040503050406030204"/>
    <w:charset w:val="00"/>
    <w:family w:val="roman"/>
    <w:pitch w:val="variable"/>
    <w:sig w:usb0="E00006FF" w:usb1="420024FF" w:usb2="02000000" w:usb3="00000000" w:csb0="0000019F" w:csb1="00000000"/>
    <w:embedRegular r:id="rId5" w:fontKey="{45F94AB9-57DE-4E68-8A4E-6F6B0E646D2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81930" w14:textId="77777777" w:rsidR="00F7338D" w:rsidRDefault="0019547D">
    <w:pPr>
      <w:pBdr>
        <w:top w:val="single" w:sz="4" w:space="1" w:color="D9D9D9"/>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594FAC">
      <w:rPr>
        <w:rFonts w:ascii="Times New Roman" w:eastAsia="Times New Roman" w:hAnsi="Times New Roman" w:cs="Times New Roman"/>
        <w:noProof/>
        <w:color w:val="000000"/>
      </w:rPr>
      <w:t>4</w:t>
    </w:r>
    <w:r>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 Page</w:t>
    </w:r>
  </w:p>
  <w:p w14:paraId="037B1F3B" w14:textId="77777777" w:rsidR="00F7338D" w:rsidRDefault="00F7338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4142A" w14:textId="77777777" w:rsidR="00F74747" w:rsidRDefault="00F74747">
      <w:pPr>
        <w:spacing w:after="0" w:line="240" w:lineRule="auto"/>
      </w:pPr>
      <w:r>
        <w:separator/>
      </w:r>
    </w:p>
  </w:footnote>
  <w:footnote w:type="continuationSeparator" w:id="0">
    <w:p w14:paraId="25C11D63" w14:textId="77777777" w:rsidR="00F74747" w:rsidRDefault="00F747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F43F8"/>
    <w:multiLevelType w:val="multilevel"/>
    <w:tmpl w:val="8AB60B8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 w15:restartNumberingAfterBreak="0">
    <w:nsid w:val="36605253"/>
    <w:multiLevelType w:val="multilevel"/>
    <w:tmpl w:val="FDFC57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22307034">
    <w:abstractNumId w:val="1"/>
  </w:num>
  <w:num w:numId="2" w16cid:durableId="1889217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38D"/>
    <w:rsid w:val="0019547D"/>
    <w:rsid w:val="00594FAC"/>
    <w:rsid w:val="007345AF"/>
    <w:rsid w:val="00DF2A06"/>
    <w:rsid w:val="00F7338D"/>
    <w:rsid w:val="00F7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572FC"/>
  <w15:docId w15:val="{46B0E904-4961-4261-99B8-DDE910F44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pPr>
      <w:keepNext/>
      <w:keepLines/>
      <w:spacing w:before="120" w:after="120" w:line="360" w:lineRule="auto"/>
      <w:jc w:val="both"/>
      <w:outlineLvl w:val="1"/>
    </w:pPr>
    <w:rPr>
      <w:rFonts w:ascii="Times New Roman" w:eastAsia="Times New Roman" w:hAnsi="Times New Roman" w:cs="Times New Roman"/>
      <w:b/>
      <w:bCs/>
      <w:color w:val="000000"/>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pii/S2405844024016669/pdfft?pid=1-s2.0-S2405844024016669-mainext.pdf" TargetMode="External"/><Relationship Id="rId18" Type="http://schemas.openxmlformats.org/officeDocument/2006/relationships/hyperlink" Target="https://www.sciencedirect.com/science/article/pii/S0001691826008577"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sciencedirect.com/science/article/pii/S219985312500109X"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ciencedirect.com/science/article/pii/S3051064326001433"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journal.privietlab.org/index.php/PSSJ/article/download/1588/695" TargetMode="External"/><Relationship Id="rId20" Type="http://schemas.openxmlformats.org/officeDocument/2006/relationships/hyperlink" Target="https://www.sciencedirect.com/science/article/pii/S000169182501444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ciencedirect.com/science/article/pii/S0001691826007420" TargetMode="External"/><Relationship Id="rId5" Type="http://schemas.openxmlformats.org/officeDocument/2006/relationships/settings" Target="settings.xml"/><Relationship Id="rId15" Type="http://schemas.openxmlformats.org/officeDocument/2006/relationships/hyperlink" Target="https://www.academia.edu/download/100063600/26._How_to_Choose_an_Appropriate_Research_Data.pdf" TargetMode="External"/><Relationship Id="rId23" Type="http://schemas.openxmlformats.org/officeDocument/2006/relationships/hyperlink" Target="https://www.sciencedirect.com/science/article/pii/S0040162525000642" TargetMode="External"/><Relationship Id="rId10" Type="http://schemas.openxmlformats.org/officeDocument/2006/relationships/image" Target="media/image2.jpg"/><Relationship Id="rId19" Type="http://schemas.openxmlformats.org/officeDocument/2006/relationships/hyperlink" Target="https://www.sciencedirect.com/science/article/pii/S246822762600128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ncedirect.com/science/article/pii/S2590291125005881" TargetMode="External"/><Relationship Id="rId22" Type="http://schemas.openxmlformats.org/officeDocument/2006/relationships/hyperlink" Target="https://www.ssoar.info/ssoar/bitstream/handle/document/88089/ssoar-fqs-2023-1-schoonenboom-The_Fundamental_Difference_Between_Qualitative.pdf?sequence=1"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37QfUj82ponD8ZN8zvCbGier3Q==">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5B1B3E8-6E71-4342-93CC-08E184DA2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3458</Words>
  <Characters>19716</Characters>
  <Application>Microsoft Office Word</Application>
  <DocSecurity>0</DocSecurity>
  <Lines>164</Lines>
  <Paragraphs>46</Paragraphs>
  <ScaleCrop>false</ScaleCrop>
  <Company/>
  <LinksUpToDate>false</LinksUpToDate>
  <CharactersWithSpaces>23128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dc:creator>
  <cp:lastModifiedBy>Aamenakhatun Nadimahmed ARAB</cp:lastModifiedBy>
  <cp:revision>2</cp:revision>
  <dcterms:created xsi:type="dcterms:W3CDTF">2026-07-15T22:51:00Z</dcterms:created>
  <dcterms:modified xsi:type="dcterms:W3CDTF">2026-07-15T22:51:00Z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fe7f26b4-84ee-4668-8e0e-dd9d563efc54</vt:lpwstr>
  </property>
</Properties>
</file>