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2C8446" w14:textId="77777777" w:rsidR="003E361F" w:rsidRPr="003E361F" w:rsidRDefault="003E361F" w:rsidP="003E361F">
      <w:pPr>
        <w:rPr>
          <w:rFonts w:ascii="Arial Nova" w:eastAsia="Arial Nova" w:hAnsi="Arial Nova" w:cs="Arial Nova"/>
          <w:b/>
          <w:bCs/>
          <w:sz w:val="28"/>
          <w:szCs w:val="28"/>
        </w:rPr>
      </w:pPr>
      <w:r w:rsidRPr="003E361F">
        <w:rPr>
          <w:rFonts w:ascii="Arial Nova" w:eastAsia="Arial Nova" w:hAnsi="Arial Nova" w:cs="Arial Nova"/>
          <w:b/>
          <w:bCs/>
          <w:sz w:val="28"/>
          <w:szCs w:val="28"/>
        </w:rPr>
        <w:t>NAME: Osaheni Nabulele</w:t>
      </w:r>
    </w:p>
    <w:p w14:paraId="18DB6CC4" w14:textId="77777777" w:rsidR="003E361F" w:rsidRPr="003E361F" w:rsidRDefault="003E361F" w:rsidP="003E361F">
      <w:pPr>
        <w:rPr>
          <w:rFonts w:ascii="Arial Nova" w:eastAsia="Arial Nova" w:hAnsi="Arial Nova" w:cs="Arial Nova"/>
          <w:b/>
          <w:bCs/>
          <w:sz w:val="28"/>
          <w:szCs w:val="28"/>
        </w:rPr>
      </w:pPr>
    </w:p>
    <w:p w14:paraId="34E84E15" w14:textId="77777777" w:rsidR="003E361F" w:rsidRPr="003E361F" w:rsidRDefault="003E361F" w:rsidP="003E361F">
      <w:pPr>
        <w:rPr>
          <w:rFonts w:ascii="Arial Nova" w:eastAsia="Arial Nova" w:hAnsi="Arial Nova" w:cs="Arial Nova"/>
          <w:b/>
          <w:bCs/>
          <w:sz w:val="28"/>
          <w:szCs w:val="28"/>
        </w:rPr>
      </w:pPr>
      <w:r w:rsidRPr="003E361F">
        <w:rPr>
          <w:rFonts w:ascii="Arial Nova" w:eastAsia="Arial Nova" w:hAnsi="Arial Nova" w:cs="Arial Nova"/>
          <w:b/>
          <w:bCs/>
          <w:sz w:val="28"/>
          <w:szCs w:val="28"/>
        </w:rPr>
        <w:t>ID Number: 2335292</w:t>
      </w:r>
    </w:p>
    <w:p w14:paraId="4F083BEB" w14:textId="77777777" w:rsidR="003E361F" w:rsidRPr="003E361F" w:rsidRDefault="003E361F" w:rsidP="003E361F">
      <w:pPr>
        <w:rPr>
          <w:rFonts w:ascii="Arial Nova" w:eastAsia="Arial Nova" w:hAnsi="Arial Nova" w:cs="Arial Nova"/>
          <w:b/>
          <w:bCs/>
          <w:sz w:val="28"/>
          <w:szCs w:val="28"/>
        </w:rPr>
      </w:pPr>
    </w:p>
    <w:p w14:paraId="09EF7A5F" w14:textId="28BEBF44" w:rsidR="003E361F" w:rsidRDefault="003E361F" w:rsidP="003E361F">
      <w:pPr>
        <w:rPr>
          <w:rFonts w:ascii="Arial Nova" w:eastAsia="Arial Nova" w:hAnsi="Arial Nova" w:cs="Arial Nova"/>
          <w:b/>
          <w:bCs/>
          <w:sz w:val="28"/>
          <w:szCs w:val="28"/>
        </w:rPr>
      </w:pPr>
      <w:r w:rsidRPr="003E361F">
        <w:rPr>
          <w:rFonts w:ascii="Arial Nova" w:eastAsia="Arial Nova" w:hAnsi="Arial Nova" w:cs="Arial Nova"/>
          <w:b/>
          <w:bCs/>
          <w:sz w:val="28"/>
          <w:szCs w:val="28"/>
        </w:rPr>
        <w:t>Lecturer:</w:t>
      </w:r>
      <w:r w:rsidR="00A97CDA">
        <w:rPr>
          <w:rFonts w:ascii="Arial Nova" w:eastAsia="Arial Nova" w:hAnsi="Arial Nova" w:cs="Arial Nova"/>
          <w:b/>
          <w:bCs/>
          <w:sz w:val="28"/>
          <w:szCs w:val="28"/>
        </w:rPr>
        <w:t xml:space="preserve"> </w:t>
      </w:r>
      <w:r w:rsidR="00B5096B">
        <w:rPr>
          <w:rFonts w:ascii="Arial Nova" w:eastAsia="Arial Nova" w:hAnsi="Arial Nova" w:cs="Arial Nova"/>
          <w:b/>
          <w:bCs/>
          <w:sz w:val="28"/>
          <w:szCs w:val="28"/>
        </w:rPr>
        <w:t>Raheela Shaikh</w:t>
      </w:r>
    </w:p>
    <w:p w14:paraId="5A8AEA20" w14:textId="77777777" w:rsidR="000D6D51" w:rsidRDefault="000D6D51" w:rsidP="003E361F">
      <w:pPr>
        <w:rPr>
          <w:rFonts w:ascii="Arial Nova" w:eastAsia="Arial Nova" w:hAnsi="Arial Nova" w:cs="Arial Nova"/>
          <w:b/>
          <w:bCs/>
          <w:sz w:val="28"/>
          <w:szCs w:val="28"/>
        </w:rPr>
      </w:pPr>
    </w:p>
    <w:p w14:paraId="4B690B70" w14:textId="17DB3781" w:rsidR="000D6D51" w:rsidRPr="003E361F" w:rsidRDefault="000D6D51" w:rsidP="003E361F">
      <w:pPr>
        <w:rPr>
          <w:rFonts w:ascii="Arial Nova" w:eastAsia="Arial Nova" w:hAnsi="Arial Nova" w:cs="Arial Nova"/>
          <w:b/>
          <w:bCs/>
          <w:sz w:val="28"/>
          <w:szCs w:val="28"/>
        </w:rPr>
      </w:pPr>
      <w:r w:rsidRPr="000D6D51">
        <w:rPr>
          <w:rFonts w:ascii="Arial Nova" w:eastAsia="Arial Nova" w:hAnsi="Arial Nova" w:cs="Arial Nova"/>
          <w:b/>
          <w:bCs/>
          <w:sz w:val="28"/>
          <w:szCs w:val="28"/>
          <w:lang w:val="en-US"/>
        </w:rPr>
        <w:t xml:space="preserve">Assignment Title: </w:t>
      </w:r>
      <w:r w:rsidR="003A47E3" w:rsidRPr="003A47E3">
        <w:rPr>
          <w:rFonts w:ascii="Arial Nova" w:eastAsia="Arial Nova" w:hAnsi="Arial Nova" w:cs="Arial Nova"/>
          <w:b/>
          <w:bCs/>
          <w:sz w:val="28"/>
          <w:szCs w:val="28"/>
        </w:rPr>
        <w:t>Component 2: Written Assignment (Report)</w:t>
      </w:r>
    </w:p>
    <w:p w14:paraId="43363360" w14:textId="77777777" w:rsidR="003E361F" w:rsidRPr="003E361F" w:rsidRDefault="003E361F" w:rsidP="003E361F">
      <w:pPr>
        <w:rPr>
          <w:rFonts w:ascii="Arial Nova" w:eastAsia="Arial Nova" w:hAnsi="Arial Nova" w:cs="Arial Nova"/>
          <w:b/>
          <w:bCs/>
          <w:sz w:val="28"/>
          <w:szCs w:val="28"/>
        </w:rPr>
      </w:pPr>
    </w:p>
    <w:p w14:paraId="115DD1CE" w14:textId="77777777" w:rsidR="003E361F" w:rsidRPr="003E361F" w:rsidRDefault="003E361F" w:rsidP="003E361F">
      <w:pPr>
        <w:rPr>
          <w:rFonts w:ascii="Arial Nova" w:eastAsia="Arial Nova" w:hAnsi="Arial Nova" w:cs="Arial Nova"/>
          <w:b/>
          <w:bCs/>
          <w:sz w:val="28"/>
          <w:szCs w:val="28"/>
        </w:rPr>
      </w:pPr>
      <w:r w:rsidRPr="003E361F">
        <w:rPr>
          <w:rFonts w:ascii="Arial Nova" w:eastAsia="Arial Nova" w:hAnsi="Arial Nova" w:cs="Arial Nova"/>
          <w:b/>
          <w:bCs/>
          <w:sz w:val="28"/>
          <w:szCs w:val="28"/>
        </w:rPr>
        <w:t>Module: Creativity and Value Creation</w:t>
      </w:r>
    </w:p>
    <w:p w14:paraId="57467CD7" w14:textId="77777777" w:rsidR="003E361F" w:rsidRPr="003E361F" w:rsidRDefault="003E361F" w:rsidP="003E361F">
      <w:pPr>
        <w:rPr>
          <w:rFonts w:ascii="Arial Nova" w:eastAsia="Arial Nova" w:hAnsi="Arial Nova" w:cs="Arial Nova"/>
          <w:b/>
          <w:bCs/>
          <w:sz w:val="28"/>
          <w:szCs w:val="28"/>
        </w:rPr>
      </w:pPr>
    </w:p>
    <w:p w14:paraId="46301601" w14:textId="77777777" w:rsidR="003E361F" w:rsidRPr="003E361F" w:rsidRDefault="003E361F" w:rsidP="003E361F">
      <w:pPr>
        <w:rPr>
          <w:rFonts w:ascii="Arial Nova" w:eastAsia="Arial Nova" w:hAnsi="Arial Nova" w:cs="Arial Nova"/>
          <w:b/>
          <w:bCs/>
          <w:sz w:val="28"/>
          <w:szCs w:val="28"/>
        </w:rPr>
      </w:pPr>
      <w:r w:rsidRPr="003E361F">
        <w:rPr>
          <w:rFonts w:ascii="Arial Nova" w:eastAsia="Arial Nova" w:hAnsi="Arial Nova" w:cs="Arial Nova"/>
          <w:b/>
          <w:bCs/>
          <w:sz w:val="28"/>
          <w:szCs w:val="28"/>
        </w:rPr>
        <w:t>Module Code: BMHP5014</w:t>
      </w:r>
    </w:p>
    <w:p w14:paraId="3DC8EC4B" w14:textId="77777777" w:rsidR="003E361F" w:rsidRPr="003E361F" w:rsidRDefault="003E361F" w:rsidP="003E361F">
      <w:pPr>
        <w:rPr>
          <w:rFonts w:ascii="Arial Nova" w:eastAsia="Arial Nova" w:hAnsi="Arial Nova" w:cs="Arial Nova"/>
          <w:b/>
          <w:bCs/>
          <w:sz w:val="28"/>
          <w:szCs w:val="28"/>
        </w:rPr>
      </w:pPr>
    </w:p>
    <w:p w14:paraId="601DE178" w14:textId="77777777" w:rsidR="003E361F" w:rsidRPr="003E361F" w:rsidRDefault="003E361F" w:rsidP="003E361F">
      <w:pPr>
        <w:rPr>
          <w:rFonts w:ascii="Arial Nova" w:eastAsia="Arial Nova" w:hAnsi="Arial Nova" w:cs="Arial Nova"/>
          <w:b/>
          <w:bCs/>
          <w:sz w:val="28"/>
          <w:szCs w:val="28"/>
        </w:rPr>
      </w:pPr>
      <w:r w:rsidRPr="003E361F">
        <w:rPr>
          <w:rFonts w:ascii="Arial Nova" w:eastAsia="Arial Nova" w:hAnsi="Arial Nova" w:cs="Arial Nova"/>
          <w:b/>
          <w:bCs/>
          <w:sz w:val="28"/>
          <w:szCs w:val="28"/>
        </w:rPr>
        <w:t>Programme: BSc Health and Social Care</w:t>
      </w:r>
    </w:p>
    <w:p w14:paraId="755FABD5" w14:textId="77777777" w:rsidR="003E361F" w:rsidRPr="003E361F" w:rsidRDefault="003E361F" w:rsidP="003E361F">
      <w:pPr>
        <w:rPr>
          <w:rFonts w:ascii="Arial Nova" w:eastAsia="Arial Nova" w:hAnsi="Arial Nova" w:cs="Arial Nova"/>
          <w:b/>
          <w:bCs/>
          <w:sz w:val="28"/>
          <w:szCs w:val="28"/>
        </w:rPr>
      </w:pPr>
    </w:p>
    <w:p w14:paraId="724FF227" w14:textId="24025AD7" w:rsidR="003E361F" w:rsidRPr="003E361F" w:rsidRDefault="003E361F" w:rsidP="003E361F">
      <w:pPr>
        <w:rPr>
          <w:rFonts w:ascii="Arial Nova" w:eastAsia="Arial Nova" w:hAnsi="Arial Nova" w:cs="Arial Nova"/>
          <w:b/>
          <w:bCs/>
          <w:sz w:val="28"/>
          <w:szCs w:val="28"/>
        </w:rPr>
      </w:pPr>
      <w:r w:rsidRPr="003E361F">
        <w:rPr>
          <w:rFonts w:ascii="Arial Nova" w:eastAsia="Arial Nova" w:hAnsi="Arial Nova" w:cs="Arial Nova"/>
          <w:b/>
          <w:bCs/>
          <w:sz w:val="28"/>
          <w:szCs w:val="28"/>
        </w:rPr>
        <w:t>Title:</w:t>
      </w:r>
      <w:r w:rsidRPr="003E361F">
        <w:rPr>
          <w:rFonts w:ascii="Arial Nova" w:eastAsia="Arial Nova" w:hAnsi="Arial Nova" w:cs="Arial Nova"/>
          <w:b/>
          <w:bCs/>
          <w:sz w:val="28"/>
          <w:szCs w:val="28"/>
        </w:rPr>
        <w:t xml:space="preserve"> </w:t>
      </w:r>
      <w:r w:rsidRPr="002C074A">
        <w:rPr>
          <w:b/>
          <w:bCs/>
          <w:sz w:val="28"/>
          <w:szCs w:val="28"/>
        </w:rPr>
        <w:t>Breaking the Silence: Reducing Dementia Stigma in African Communities in the UK</w:t>
      </w:r>
      <w:r w:rsidRPr="003E361F">
        <w:rPr>
          <w:b/>
          <w:bCs/>
          <w:sz w:val="28"/>
          <w:szCs w:val="28"/>
        </w:rPr>
        <w:t xml:space="preserve">                           </w:t>
      </w:r>
    </w:p>
    <w:p w14:paraId="0009B20A" w14:textId="77777777" w:rsidR="003E361F" w:rsidRPr="003E361F" w:rsidRDefault="003E361F" w:rsidP="003E361F">
      <w:pPr>
        <w:rPr>
          <w:rFonts w:ascii="Arial Nova" w:eastAsia="Arial Nova" w:hAnsi="Arial Nova" w:cs="Arial Nova"/>
          <w:b/>
          <w:bCs/>
          <w:sz w:val="28"/>
          <w:szCs w:val="28"/>
        </w:rPr>
      </w:pPr>
    </w:p>
    <w:p w14:paraId="0EFFE474" w14:textId="77777777" w:rsidR="003E361F" w:rsidRPr="003E361F" w:rsidRDefault="003E361F" w:rsidP="003E361F">
      <w:pPr>
        <w:rPr>
          <w:rFonts w:ascii="Arial Nova" w:eastAsia="Arial Nova" w:hAnsi="Arial Nova" w:cs="Arial Nova"/>
          <w:b/>
          <w:bCs/>
          <w:sz w:val="28"/>
          <w:szCs w:val="28"/>
        </w:rPr>
      </w:pPr>
      <w:r w:rsidRPr="003E361F">
        <w:rPr>
          <w:rFonts w:ascii="Arial Nova" w:eastAsia="Arial Nova" w:hAnsi="Arial Nova" w:cs="Arial Nova"/>
          <w:b/>
          <w:bCs/>
          <w:sz w:val="28"/>
          <w:szCs w:val="28"/>
        </w:rPr>
        <w:t>Date: 02/04/2026</w:t>
      </w:r>
    </w:p>
    <w:p w14:paraId="64EF77F5" w14:textId="77777777" w:rsidR="00530CF4" w:rsidRDefault="00530CF4"/>
    <w:p w14:paraId="2DE372D2" w14:textId="77777777" w:rsidR="00530CF4" w:rsidRDefault="00530CF4"/>
    <w:p w14:paraId="0BFF933A" w14:textId="77777777" w:rsidR="00530CF4" w:rsidRDefault="00530CF4"/>
    <w:p w14:paraId="69FB887B" w14:textId="77777777" w:rsidR="00530CF4" w:rsidRDefault="00530CF4"/>
    <w:p w14:paraId="011E7C4A" w14:textId="77777777" w:rsidR="00530CF4" w:rsidRDefault="00530CF4"/>
    <w:p w14:paraId="5FD1E921" w14:textId="77777777" w:rsidR="00530CF4" w:rsidRDefault="00530CF4"/>
    <w:p w14:paraId="2419AE71" w14:textId="77777777" w:rsidR="00530CF4" w:rsidRDefault="00530CF4"/>
    <w:p w14:paraId="3EBD179E" w14:textId="77777777" w:rsidR="003E023E" w:rsidRDefault="003E023E"/>
    <w:tbl>
      <w:tblPr>
        <w:tblStyle w:val="TableGrid"/>
        <w:tblpPr w:leftFromText="180" w:rightFromText="180" w:horzAnchor="page" w:tblpX="101" w:tblpY="-1227"/>
        <w:tblW w:w="11670" w:type="dxa"/>
        <w:tblLook w:val="04A0" w:firstRow="1" w:lastRow="0" w:firstColumn="1" w:lastColumn="0" w:noHBand="0" w:noVBand="1"/>
      </w:tblPr>
      <w:tblGrid>
        <w:gridCol w:w="5835"/>
        <w:gridCol w:w="5835"/>
      </w:tblGrid>
      <w:tr w:rsidR="003E023E" w14:paraId="252121DD" w14:textId="77777777" w:rsidTr="00935941">
        <w:trPr>
          <w:trHeight w:val="315"/>
        </w:trPr>
        <w:tc>
          <w:tcPr>
            <w:tcW w:w="5835" w:type="dxa"/>
            <w:tcBorders>
              <w:top w:val="nil"/>
            </w:tcBorders>
          </w:tcPr>
          <w:p w14:paraId="5139D7CF" w14:textId="77777777" w:rsidR="003E023E" w:rsidRPr="00AD38D2" w:rsidRDefault="003E023E" w:rsidP="00935941">
            <w:r w:rsidRPr="00AD38D2">
              <w:lastRenderedPageBreak/>
              <w:t>THE POSTER</w:t>
            </w:r>
          </w:p>
          <w:p w14:paraId="331902F5" w14:textId="77777777" w:rsidR="003E023E" w:rsidRDefault="003E023E" w:rsidP="00935941">
            <w:pPr>
              <w:rPr>
                <w:b/>
                <w:bCs/>
              </w:rPr>
            </w:pPr>
            <w:r w:rsidRPr="00AD38D2">
              <w:t xml:space="preserve">TITEL: </w:t>
            </w:r>
            <w:r w:rsidRPr="002C074A">
              <w:rPr>
                <w:b/>
                <w:bCs/>
              </w:rPr>
              <w:t>Breaking the Silence: Reducing Dementia Stigma in African Communities in the UK</w:t>
            </w:r>
            <w:r w:rsidRPr="00AD38D2">
              <w:rPr>
                <w:b/>
                <w:bCs/>
              </w:rPr>
              <w:t xml:space="preserve">    </w:t>
            </w:r>
          </w:p>
          <w:p w14:paraId="619333EA" w14:textId="77777777" w:rsidR="003E023E" w:rsidRDefault="003E023E" w:rsidP="00935941">
            <w:r w:rsidRPr="003407E6">
              <w:t>Increase understanding of dementia</w:t>
            </w:r>
            <w:r>
              <w:t xml:space="preserve">, </w:t>
            </w:r>
            <w:r w:rsidRPr="003407E6">
              <w:t>reduce stigma in African communities</w:t>
            </w:r>
            <w:r>
              <w:t xml:space="preserve"> and </w:t>
            </w:r>
            <w:r w:rsidRPr="003407E6">
              <w:t>encourage early diagnosis and support</w:t>
            </w:r>
            <w:r>
              <w:t xml:space="preserve">.      </w:t>
            </w:r>
          </w:p>
          <w:p w14:paraId="673B79B6" w14:textId="77777777" w:rsidR="003E023E" w:rsidRPr="003407E6" w:rsidRDefault="003E023E" w:rsidP="00935941">
            <w:pPr>
              <w:spacing w:after="160" w:line="278" w:lineRule="auto"/>
              <w:rPr>
                <w:sz w:val="20"/>
                <w:szCs w:val="20"/>
              </w:rPr>
            </w:pPr>
            <w:r w:rsidRPr="003407E6">
              <w:rPr>
                <w:b/>
                <w:bCs/>
                <w:sz w:val="20"/>
                <w:szCs w:val="20"/>
              </w:rPr>
              <w:t>Key Issues</w:t>
            </w:r>
            <w:r>
              <w:rPr>
                <w:sz w:val="20"/>
                <w:szCs w:val="20"/>
              </w:rPr>
              <w:t xml:space="preserve">: </w:t>
            </w:r>
            <w:r w:rsidRPr="003407E6">
              <w:rPr>
                <w:sz w:val="20"/>
                <w:szCs w:val="20"/>
              </w:rPr>
              <w:t>Dementia cases increasing due to ageing populations</w:t>
            </w:r>
            <w:r>
              <w:rPr>
                <w:sz w:val="20"/>
                <w:szCs w:val="20"/>
              </w:rPr>
              <w:t xml:space="preserve">, </w:t>
            </w:r>
            <w:r w:rsidRPr="003407E6">
              <w:rPr>
                <w:sz w:val="20"/>
                <w:szCs w:val="20"/>
              </w:rPr>
              <w:t>Late diagnosis among minority ethnic groups</w:t>
            </w:r>
            <w:r>
              <w:rPr>
                <w:sz w:val="20"/>
                <w:szCs w:val="20"/>
              </w:rPr>
              <w:t xml:space="preserve">, </w:t>
            </w:r>
            <w:r w:rsidRPr="003407E6">
              <w:rPr>
                <w:sz w:val="20"/>
                <w:szCs w:val="20"/>
              </w:rPr>
              <w:t>Cultural stigma and misunderstanding</w:t>
            </w:r>
            <w:r>
              <w:rPr>
                <w:sz w:val="20"/>
                <w:szCs w:val="20"/>
              </w:rPr>
              <w:t xml:space="preserve"> and </w:t>
            </w:r>
            <w:r w:rsidRPr="003407E6">
              <w:rPr>
                <w:sz w:val="20"/>
                <w:szCs w:val="20"/>
              </w:rPr>
              <w:t>Limited awareness of dementia services</w:t>
            </w:r>
            <w:r>
              <w:rPr>
                <w:sz w:val="20"/>
                <w:szCs w:val="20"/>
              </w:rPr>
              <w:t>.</w:t>
            </w:r>
          </w:p>
          <w:p w14:paraId="6FB935EC" w14:textId="77777777" w:rsidR="003E023E" w:rsidRPr="003407E6" w:rsidRDefault="003E023E" w:rsidP="00935941">
            <w:pPr>
              <w:spacing w:after="160" w:line="278" w:lineRule="auto"/>
            </w:pPr>
            <w:r w:rsidRPr="003407E6">
              <w:rPr>
                <w:b/>
                <w:bCs/>
                <w:sz w:val="20"/>
                <w:szCs w:val="20"/>
              </w:rPr>
              <w:t>Gap</w:t>
            </w:r>
            <w:r>
              <w:rPr>
                <w:sz w:val="20"/>
                <w:szCs w:val="20"/>
              </w:rPr>
              <w:t xml:space="preserve">: </w:t>
            </w:r>
            <w:r w:rsidRPr="003407E6">
              <w:rPr>
                <w:sz w:val="20"/>
                <w:szCs w:val="20"/>
              </w:rPr>
              <w:t>Many families delay seeking medical help</w:t>
            </w:r>
            <w:r w:rsidRPr="003407E6">
              <w:t>.</w:t>
            </w:r>
            <w:r w:rsidRPr="003407E6">
              <w:drawing>
                <wp:inline distT="0" distB="0" distL="0" distR="0" wp14:anchorId="2D77CBCF" wp14:editId="67D296C5">
                  <wp:extent cx="3101009" cy="2177881"/>
                  <wp:effectExtent l="0" t="0" r="4445" b="0"/>
                  <wp:docPr id="1146405977" name="Picture 28" descr="A person in a wheelchair talking to a nur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265166" name="Picture 28" descr="A person in a wheelchair talking to a nurse&#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83212" cy="2305844"/>
                          </a:xfrm>
                          <a:prstGeom prst="rect">
                            <a:avLst/>
                          </a:prstGeom>
                          <a:noFill/>
                          <a:ln>
                            <a:noFill/>
                          </a:ln>
                        </pic:spPr>
                      </pic:pic>
                    </a:graphicData>
                  </a:graphic>
                </wp:inline>
              </w:drawing>
            </w:r>
          </w:p>
          <w:p w14:paraId="2F5693C6" w14:textId="77777777" w:rsidR="003E023E" w:rsidRPr="00AD38D2" w:rsidRDefault="003E023E" w:rsidP="00935941">
            <w:pPr>
              <w:rPr>
                <w:b/>
                <w:bCs/>
              </w:rPr>
            </w:pPr>
            <w:r w:rsidRPr="00AD38D2">
              <w:rPr>
                <w:b/>
                <w:bCs/>
              </w:rPr>
              <w:t xml:space="preserve">                       </w:t>
            </w:r>
          </w:p>
          <w:p w14:paraId="276FE248" w14:textId="77777777" w:rsidR="003E023E" w:rsidRDefault="003E023E" w:rsidP="00935941"/>
        </w:tc>
        <w:tc>
          <w:tcPr>
            <w:tcW w:w="5835" w:type="dxa"/>
            <w:tcBorders>
              <w:top w:val="nil"/>
            </w:tcBorders>
          </w:tcPr>
          <w:p w14:paraId="0A48A559" w14:textId="77777777" w:rsidR="003E023E" w:rsidRDefault="003E023E" w:rsidP="00935941">
            <w:r w:rsidRPr="002C074A">
              <w:drawing>
                <wp:inline distT="0" distB="0" distL="0" distR="0" wp14:anchorId="14EEE3DA" wp14:editId="2BA7E555">
                  <wp:extent cx="2810865" cy="1868557"/>
                  <wp:effectExtent l="0" t="0" r="8890" b="0"/>
                  <wp:docPr id="1641559521" name="Picture 21" descr="A person and person touching their forehea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612848" name="Picture 21" descr="A person and person touching their foreheads&#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60655" cy="1968132"/>
                          </a:xfrm>
                          <a:prstGeom prst="rect">
                            <a:avLst/>
                          </a:prstGeom>
                          <a:noFill/>
                          <a:ln>
                            <a:noFill/>
                          </a:ln>
                        </pic:spPr>
                      </pic:pic>
                    </a:graphicData>
                  </a:graphic>
                </wp:inline>
              </w:drawing>
            </w:r>
          </w:p>
          <w:p w14:paraId="1FFBFBDC" w14:textId="77777777" w:rsidR="003E023E" w:rsidRDefault="003E023E" w:rsidP="00935941"/>
          <w:p w14:paraId="20F9E710" w14:textId="77777777" w:rsidR="003E023E" w:rsidRDefault="003E023E" w:rsidP="00935941">
            <w:r w:rsidRPr="002C074A">
              <w:rPr>
                <w:b/>
                <w:bCs/>
              </w:rPr>
              <w:t>Target Audience</w:t>
            </w:r>
            <w:r w:rsidRPr="00AD38D2">
              <w:t xml:space="preserve">: </w:t>
            </w:r>
            <w:r w:rsidRPr="002C074A">
              <w:t xml:space="preserve">African adults aged </w:t>
            </w:r>
            <w:r w:rsidRPr="002C074A">
              <w:rPr>
                <w:b/>
                <w:bCs/>
              </w:rPr>
              <w:t>65+</w:t>
            </w:r>
            <w:r w:rsidRPr="00AD38D2">
              <w:t xml:space="preserve"> and </w:t>
            </w:r>
            <w:r w:rsidRPr="002C074A">
              <w:t>Families and caregivers</w:t>
            </w:r>
            <w:r w:rsidRPr="00AD38D2">
              <w:t xml:space="preserve"> in the UK. Why </w:t>
            </w:r>
            <w:r w:rsidRPr="002C074A">
              <w:rPr>
                <w:b/>
                <w:bCs/>
              </w:rPr>
              <w:t>Expected Impact</w:t>
            </w:r>
            <w:r w:rsidRPr="00AD38D2">
              <w:t xml:space="preserve">: </w:t>
            </w:r>
            <w:r w:rsidRPr="002C074A">
              <w:t>Increased knowledge of dementia</w:t>
            </w:r>
            <w:r w:rsidRPr="00AD38D2">
              <w:t xml:space="preserve">, </w:t>
            </w:r>
            <w:r w:rsidRPr="002C074A">
              <w:t>Reduced stigma</w:t>
            </w:r>
            <w:r w:rsidRPr="00AD38D2">
              <w:t xml:space="preserve">, </w:t>
            </w:r>
            <w:r w:rsidRPr="002C074A">
              <w:t>Earlier access to healthcare</w:t>
            </w:r>
            <w:r w:rsidRPr="00AD38D2">
              <w:t xml:space="preserve"> and </w:t>
            </w:r>
            <w:r w:rsidRPr="002C074A">
              <w:t>Improved wellbeing</w:t>
            </w:r>
          </w:p>
          <w:p w14:paraId="2E2216DF" w14:textId="77777777" w:rsidR="003E023E" w:rsidRPr="002C074A" w:rsidRDefault="003E023E" w:rsidP="00935941">
            <w:pPr>
              <w:spacing w:after="160" w:line="278" w:lineRule="auto"/>
            </w:pPr>
            <w:r>
              <w:rPr>
                <w:b/>
                <w:bCs/>
              </w:rPr>
              <w:t xml:space="preserve">Timeline </w:t>
            </w:r>
            <w:r w:rsidRPr="002C074A">
              <w:t>Phase 1 – Community consultation</w:t>
            </w:r>
            <w:r>
              <w:t xml:space="preserve">, </w:t>
            </w:r>
            <w:r w:rsidRPr="002C074A">
              <w:t>Phase 2 – Campaign development</w:t>
            </w:r>
            <w:r>
              <w:t>,</w:t>
            </w:r>
            <w:r w:rsidRPr="002C074A">
              <w:br/>
              <w:t>Phase 3 – Community workshops and awareness events</w:t>
            </w:r>
            <w:r>
              <w:t xml:space="preserve"> </w:t>
            </w:r>
            <w:r w:rsidRPr="002C074A">
              <w:t>Phase 4 – Evaluation and feedback</w:t>
            </w:r>
          </w:p>
          <w:p w14:paraId="6CD43C7B" w14:textId="77777777" w:rsidR="003E023E" w:rsidRDefault="003E023E" w:rsidP="00935941"/>
        </w:tc>
      </w:tr>
      <w:tr w:rsidR="003E023E" w:rsidRPr="00AD38D2" w14:paraId="2C2BF58C" w14:textId="77777777" w:rsidTr="00935941">
        <w:trPr>
          <w:trHeight w:val="60"/>
        </w:trPr>
        <w:tc>
          <w:tcPr>
            <w:tcW w:w="5835" w:type="dxa"/>
          </w:tcPr>
          <w:p w14:paraId="031CD369" w14:textId="77777777" w:rsidR="003E023E" w:rsidRDefault="003E023E" w:rsidP="00935941"/>
          <w:p w14:paraId="03E7187F" w14:textId="77777777" w:rsidR="003E023E" w:rsidRDefault="003E023E" w:rsidP="00935941">
            <w:r w:rsidRPr="003407E6">
              <w:drawing>
                <wp:inline distT="0" distB="0" distL="0" distR="0" wp14:anchorId="6315BE20" wp14:editId="65D6DEE4">
                  <wp:extent cx="2544418" cy="1908314"/>
                  <wp:effectExtent l="0" t="0" r="8890" b="0"/>
                  <wp:docPr id="1131549483" name="Picture 27" descr="A group of people sitting in chai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0226679" name="Picture 27" descr="A group of people sitting in chairs&#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53717" cy="1990288"/>
                          </a:xfrm>
                          <a:prstGeom prst="rect">
                            <a:avLst/>
                          </a:prstGeom>
                          <a:noFill/>
                          <a:ln>
                            <a:noFill/>
                          </a:ln>
                        </pic:spPr>
                      </pic:pic>
                    </a:graphicData>
                  </a:graphic>
                </wp:inline>
              </w:drawing>
            </w:r>
            <w:r w:rsidRPr="002C074A">
              <w:drawing>
                <wp:inline distT="0" distB="0" distL="0" distR="0" wp14:anchorId="2D744257" wp14:editId="6021C83D">
                  <wp:extent cx="2870421" cy="1914461"/>
                  <wp:effectExtent l="0" t="0" r="6350" b="0"/>
                  <wp:docPr id="532458009" name="Picture 22" descr="A person in blue scrubs sitting in a chair with a person in a room with pictures on the w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6826498" name="Picture 22" descr="A person in blue scrubs sitting in a chair with a person in a room with pictures on the wall&#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927290" cy="1952390"/>
                          </a:xfrm>
                          <a:prstGeom prst="rect">
                            <a:avLst/>
                          </a:prstGeom>
                          <a:noFill/>
                          <a:ln>
                            <a:noFill/>
                          </a:ln>
                        </pic:spPr>
                      </pic:pic>
                    </a:graphicData>
                  </a:graphic>
                </wp:inline>
              </w:drawing>
            </w:r>
          </w:p>
        </w:tc>
        <w:tc>
          <w:tcPr>
            <w:tcW w:w="5835" w:type="dxa"/>
          </w:tcPr>
          <w:p w14:paraId="53A38034" w14:textId="77777777" w:rsidR="003E023E" w:rsidRPr="000A0C27" w:rsidRDefault="003E023E" w:rsidP="00935941">
            <w:pPr>
              <w:rPr>
                <w:b/>
                <w:bCs/>
              </w:rPr>
            </w:pPr>
            <w:r w:rsidRPr="000A0C27">
              <w:rPr>
                <w:b/>
                <w:bCs/>
              </w:rPr>
              <w:t>Implementation:</w:t>
            </w:r>
          </w:p>
          <w:p w14:paraId="427A20F9" w14:textId="77777777" w:rsidR="003E023E" w:rsidRPr="002C074A" w:rsidRDefault="003E023E" w:rsidP="00935941">
            <w:pPr>
              <w:spacing w:line="278" w:lineRule="auto"/>
            </w:pPr>
            <w:r w:rsidRPr="002C074A">
              <w:rPr>
                <w:b/>
                <w:bCs/>
              </w:rPr>
              <w:t>Where</w:t>
            </w:r>
            <w:r w:rsidRPr="000A0C27">
              <w:t xml:space="preserve">: </w:t>
            </w:r>
            <w:r w:rsidRPr="002C074A">
              <w:t>Community centres</w:t>
            </w:r>
            <w:r w:rsidRPr="000A0C27">
              <w:t xml:space="preserve">, </w:t>
            </w:r>
            <w:r w:rsidRPr="002C074A">
              <w:t>Churches</w:t>
            </w:r>
            <w:r w:rsidRPr="000A0C27">
              <w:t xml:space="preserve">, </w:t>
            </w:r>
            <w:r w:rsidRPr="002C074A">
              <w:t>GP surgeries</w:t>
            </w:r>
            <w:r w:rsidRPr="000A0C27">
              <w:t xml:space="preserve"> and social</w:t>
            </w:r>
            <w:r w:rsidRPr="002C074A">
              <w:t xml:space="preserve"> care settings</w:t>
            </w:r>
          </w:p>
          <w:p w14:paraId="624FD60F" w14:textId="77777777" w:rsidR="003E023E" w:rsidRDefault="003E023E" w:rsidP="00935941">
            <w:r w:rsidRPr="002C074A">
              <w:rPr>
                <w:b/>
                <w:bCs/>
              </w:rPr>
              <w:t>How</w:t>
            </w:r>
            <w:r w:rsidRPr="000A0C27">
              <w:t xml:space="preserve">: </w:t>
            </w:r>
            <w:r w:rsidRPr="002C074A">
              <w:t>Educational workshops</w:t>
            </w:r>
            <w:r w:rsidRPr="000A0C27">
              <w:t xml:space="preserve">, </w:t>
            </w:r>
            <w:r w:rsidRPr="002C074A">
              <w:t>Dementia awareness campaigns</w:t>
            </w:r>
            <w:r w:rsidRPr="000A0C27">
              <w:t xml:space="preserve"> and </w:t>
            </w:r>
            <w:r w:rsidRPr="002C074A">
              <w:t>Support groups</w:t>
            </w:r>
          </w:p>
          <w:p w14:paraId="2BD3E2FB" w14:textId="77777777" w:rsidR="003E023E" w:rsidRDefault="003E023E" w:rsidP="00935941">
            <w:pPr>
              <w:spacing w:after="160" w:line="278" w:lineRule="auto"/>
            </w:pPr>
            <w:r>
              <w:rPr>
                <w:b/>
                <w:bCs/>
              </w:rPr>
              <w:t xml:space="preserve">Technology: </w:t>
            </w:r>
            <w:r w:rsidRPr="002C074A">
              <w:t>Social media awareness campaigns</w:t>
            </w:r>
            <w:r>
              <w:t xml:space="preserve">, </w:t>
            </w:r>
            <w:r w:rsidRPr="002C074A">
              <w:t>Online dementia education platforms</w:t>
            </w:r>
            <w:r>
              <w:t xml:space="preserve">, </w:t>
            </w:r>
            <w:r w:rsidRPr="002C074A">
              <w:t>Digital communication tools</w:t>
            </w:r>
            <w:r>
              <w:t xml:space="preserve"> and </w:t>
            </w:r>
            <w:r w:rsidRPr="002C074A">
              <w:t>Community messaging groups</w:t>
            </w:r>
          </w:p>
          <w:p w14:paraId="7AB76F60" w14:textId="77777777" w:rsidR="003E023E" w:rsidRDefault="003E023E" w:rsidP="00935941">
            <w:pPr>
              <w:spacing w:after="160" w:line="278" w:lineRule="auto"/>
            </w:pPr>
            <w:r w:rsidRPr="002C074A">
              <w:rPr>
                <w:b/>
                <w:bCs/>
              </w:rPr>
              <w:t>Dissemination</w:t>
            </w:r>
            <w:r>
              <w:rPr>
                <w:b/>
                <w:bCs/>
              </w:rPr>
              <w:t xml:space="preserve">: </w:t>
            </w:r>
            <w:r w:rsidRPr="002C074A">
              <w:t>Promotion through</w:t>
            </w:r>
            <w:r>
              <w:t xml:space="preserve">, </w:t>
            </w:r>
            <w:r w:rsidRPr="002C074A">
              <w:t>Community organisations</w:t>
            </w:r>
            <w:r>
              <w:t xml:space="preserve">, </w:t>
            </w:r>
            <w:r w:rsidRPr="002C074A">
              <w:t>Healthcare services</w:t>
            </w:r>
            <w:r>
              <w:t xml:space="preserve">, </w:t>
            </w:r>
            <w:r w:rsidRPr="002C074A">
              <w:t>social media platforms</w:t>
            </w:r>
            <w:r>
              <w:t xml:space="preserve"> and </w:t>
            </w:r>
            <w:r w:rsidRPr="002C074A">
              <w:t>public health campaigns</w:t>
            </w:r>
          </w:p>
          <w:p w14:paraId="6A38BEEB" w14:textId="77777777" w:rsidR="003E023E" w:rsidRPr="007930C3" w:rsidRDefault="003E023E" w:rsidP="00935941">
            <w:pPr>
              <w:spacing w:after="160" w:line="278" w:lineRule="auto"/>
            </w:pPr>
            <w:r w:rsidRPr="002C074A">
              <w:rPr>
                <w:b/>
                <w:bCs/>
              </w:rPr>
              <w:t>Conclusion</w:t>
            </w:r>
            <w:r>
              <w:rPr>
                <w:b/>
                <w:bCs/>
              </w:rPr>
              <w:t xml:space="preserve">: </w:t>
            </w:r>
            <w:r w:rsidRPr="002C074A">
              <w:t>Breaking the Silence aims to</w:t>
            </w:r>
            <w:r>
              <w:t xml:space="preserve"> r</w:t>
            </w:r>
            <w:r w:rsidRPr="002C074A">
              <w:t>educe dementia stigma</w:t>
            </w:r>
            <w:r>
              <w:t xml:space="preserve">, </w:t>
            </w:r>
            <w:r w:rsidRPr="002C074A">
              <w:t>improve awareness</w:t>
            </w:r>
            <w:r>
              <w:t xml:space="preserve">, </w:t>
            </w:r>
            <w:r w:rsidRPr="002C074A">
              <w:t>encourage early diagnosis</w:t>
            </w:r>
            <w:r>
              <w:t xml:space="preserve"> </w:t>
            </w:r>
            <w:r w:rsidRPr="002C074A">
              <w:t xml:space="preserve">Support African communities in accessing dementia </w:t>
            </w:r>
          </w:p>
          <w:p w14:paraId="1E011FC1" w14:textId="77777777" w:rsidR="003E023E" w:rsidRPr="00AD38D2" w:rsidRDefault="003E023E" w:rsidP="00935941"/>
        </w:tc>
      </w:tr>
    </w:tbl>
    <w:p w14:paraId="1D460130" w14:textId="77777777" w:rsidR="003E023E" w:rsidRDefault="003E023E"/>
    <w:p w14:paraId="5225DAF3" w14:textId="77777777" w:rsidR="003E023E" w:rsidRDefault="003E023E"/>
    <w:p w14:paraId="1C8BF538" w14:textId="77777777" w:rsidR="00FC346F" w:rsidRDefault="00FC346F" w:rsidP="009354A9">
      <w:pPr>
        <w:rPr>
          <w:b/>
          <w:bCs/>
        </w:rPr>
      </w:pPr>
    </w:p>
    <w:p w14:paraId="433018C8" w14:textId="77777777" w:rsidR="003E023E" w:rsidRDefault="003E023E" w:rsidP="009354A9">
      <w:pPr>
        <w:rPr>
          <w:b/>
          <w:bCs/>
        </w:rPr>
      </w:pPr>
    </w:p>
    <w:p w14:paraId="7927F4E5" w14:textId="6AB52A99" w:rsidR="009354A9" w:rsidRPr="003407E6" w:rsidRDefault="009354A9" w:rsidP="009354A9">
      <w:pPr>
        <w:rPr>
          <w:b/>
          <w:bCs/>
        </w:rPr>
      </w:pPr>
      <w:r w:rsidRPr="003407E6">
        <w:rPr>
          <w:b/>
          <w:bCs/>
        </w:rPr>
        <w:t xml:space="preserve">Pitch </w:t>
      </w:r>
    </w:p>
    <w:p w14:paraId="0CEADBC6" w14:textId="77777777" w:rsidR="009354A9" w:rsidRDefault="009354A9" w:rsidP="009354A9">
      <w:pPr>
        <w:rPr>
          <w:b/>
          <w:bCs/>
        </w:rPr>
      </w:pPr>
      <w:r w:rsidRPr="003407E6">
        <w:rPr>
          <w:b/>
          <w:bCs/>
        </w:rPr>
        <w:t>Breaking the Silence: Reducing Dementia Stigma in African Communities in the UK</w:t>
      </w:r>
    </w:p>
    <w:p w14:paraId="5B0EE110" w14:textId="12786B82" w:rsidR="009354A9" w:rsidRDefault="009354A9" w:rsidP="009354A9">
      <w:pPr>
        <w:rPr>
          <w:b/>
          <w:bCs/>
        </w:rPr>
      </w:pPr>
      <w:r w:rsidRPr="009354A9">
        <w:rPr>
          <w:b/>
          <w:bCs/>
        </w:rPr>
        <w:t>Title and Innovation Overview</w:t>
      </w:r>
      <w:r>
        <w:rPr>
          <w:b/>
          <w:bCs/>
        </w:rPr>
        <w:t>:</w:t>
      </w:r>
    </w:p>
    <w:p w14:paraId="15E38054" w14:textId="6BEB7ADA" w:rsidR="004E1FA5" w:rsidRPr="008D3E54" w:rsidRDefault="003E361F" w:rsidP="008D3E54">
      <w:pPr>
        <w:spacing w:line="360" w:lineRule="auto"/>
        <w:jc w:val="both"/>
        <w:rPr>
          <w:sz w:val="22"/>
          <w:szCs w:val="22"/>
        </w:rPr>
      </w:pPr>
      <w:r w:rsidRPr="008D3E54">
        <w:rPr>
          <w:sz w:val="22"/>
          <w:szCs w:val="22"/>
        </w:rPr>
        <w:t>The poster</w:t>
      </w:r>
      <w:r w:rsidR="004E1FA5" w:rsidRPr="008D3E54">
        <w:rPr>
          <w:sz w:val="22"/>
          <w:szCs w:val="22"/>
        </w:rPr>
        <w:t xml:space="preserve"> Breaking the Silence: Reducing Dementia Stigma in African Communities in the UK addresses dementia stigma, misinformation, and delayed diagnosis in UK African communities. Dementia inhibits memory, cognition, behaviour, and communication, affecting a person's ability to do daily tasks. The ageing population has made dementia a major public health issue. The increased prevalence of dementia stresses healthcare systems and requires new public health strategies to improve early detection, awareness, and community support. Culturally tailored dementia awareness campaigns educate communities and urge early healthcare involvement in the planned innovation. The approach reduces stigma and improves health literacy to assist families identify and manage symptoms (</w:t>
      </w:r>
      <w:proofErr w:type="spellStart"/>
      <w:r w:rsidR="004E1FA5" w:rsidRPr="008D3E54">
        <w:rPr>
          <w:sz w:val="22"/>
          <w:szCs w:val="22"/>
        </w:rPr>
        <w:t>Brayne</w:t>
      </w:r>
      <w:proofErr w:type="spellEnd"/>
      <w:r w:rsidR="004E1FA5" w:rsidRPr="008D3E54">
        <w:rPr>
          <w:sz w:val="22"/>
          <w:szCs w:val="22"/>
        </w:rPr>
        <w:t xml:space="preserve"> and Miller, 2017; Wortmann, 2012).</w:t>
      </w:r>
    </w:p>
    <w:p w14:paraId="2320F103" w14:textId="77777777" w:rsidR="004E1FA5" w:rsidRPr="008D3E54" w:rsidRDefault="004E1FA5" w:rsidP="008D3E54">
      <w:pPr>
        <w:spacing w:line="360" w:lineRule="auto"/>
        <w:jc w:val="both"/>
        <w:rPr>
          <w:sz w:val="22"/>
          <w:szCs w:val="22"/>
        </w:rPr>
      </w:pPr>
      <w:r w:rsidRPr="008D3E54">
        <w:rPr>
          <w:sz w:val="22"/>
          <w:szCs w:val="22"/>
        </w:rPr>
        <w:t>Culturally appropriate health communication is promoted because public health efforts may neglect minority communities' cultural values and socioeconomic situations. Some communities may mistake dementia signs without targeted awareness. Community leaders, families, and healthcare professionals create dementia-friendly discussion places for Breaking the Silence. Through education and community participation, the innovation promotes minority-inclusive health and social care and dementia awareness (Wortmann, 2012).</w:t>
      </w:r>
    </w:p>
    <w:p w14:paraId="2A9237B1" w14:textId="580DCE0D" w:rsidR="009354A9" w:rsidRPr="008D3E54" w:rsidRDefault="009354A9" w:rsidP="008D3E54">
      <w:pPr>
        <w:spacing w:line="360" w:lineRule="auto"/>
        <w:jc w:val="both"/>
        <w:rPr>
          <w:b/>
          <w:bCs/>
          <w:sz w:val="22"/>
          <w:szCs w:val="22"/>
        </w:rPr>
      </w:pPr>
      <w:r w:rsidRPr="009354A9">
        <w:rPr>
          <w:b/>
          <w:bCs/>
          <w:sz w:val="22"/>
          <w:szCs w:val="22"/>
        </w:rPr>
        <w:t xml:space="preserve">The Issue/Gaps in </w:t>
      </w:r>
      <w:r w:rsidR="00AA0130" w:rsidRPr="003407E6">
        <w:rPr>
          <w:b/>
          <w:bCs/>
        </w:rPr>
        <w:t>Dementia Stigma in African Communities in the UK</w:t>
      </w:r>
    </w:p>
    <w:p w14:paraId="6E54E5DC" w14:textId="5E2EA396" w:rsidR="004E1FA5" w:rsidRPr="008D3E54" w:rsidRDefault="004E1FA5" w:rsidP="008D3E54">
      <w:pPr>
        <w:spacing w:line="360" w:lineRule="auto"/>
        <w:jc w:val="both"/>
        <w:rPr>
          <w:sz w:val="22"/>
          <w:szCs w:val="22"/>
        </w:rPr>
      </w:pPr>
      <w:r w:rsidRPr="008D3E54">
        <w:rPr>
          <w:sz w:val="22"/>
          <w:szCs w:val="22"/>
        </w:rPr>
        <w:t>The poster emphasises UK minority ethnic dementia awareness and support gaps. Evidence reveals Black and minority ethnic people seek dementia services later than others. Because memory loss, disorientation, and behavioural changes may be misconstrued as normal ageing, dementia may be identified late. Cultural stigma around mental health may prevent families from seeking medical help. Delaying diagnosis and treatment can prevent help (Mukadam et al., 2011)</w:t>
      </w:r>
      <w:r w:rsidRPr="008D3E54">
        <w:rPr>
          <w:sz w:val="22"/>
          <w:szCs w:val="22"/>
        </w:rPr>
        <w:t>.</w:t>
      </w:r>
    </w:p>
    <w:p w14:paraId="38277654" w14:textId="5CF352ED" w:rsidR="004E1FA5" w:rsidRPr="008D3E54" w:rsidRDefault="004E1FA5" w:rsidP="008D3E54">
      <w:pPr>
        <w:spacing w:line="360" w:lineRule="auto"/>
        <w:jc w:val="both"/>
        <w:rPr>
          <w:sz w:val="22"/>
          <w:szCs w:val="22"/>
        </w:rPr>
      </w:pPr>
      <w:r w:rsidRPr="008D3E54">
        <w:rPr>
          <w:sz w:val="22"/>
          <w:szCs w:val="22"/>
        </w:rPr>
        <w:t xml:space="preserve">Healthcare system structure also causes dementia care inequities. Language barriers, lack of culturally relevant care, and poor medical institution trust may dissuade patients from seeing doctors. Some services may not understand cultural needs or experiences. Families may treat dementia symptoms at home without professional aid. These challenges require community-driven health promotion campaigns. Culturally sensitive treatments decrease health disparities </w:t>
      </w:r>
      <w:r w:rsidRPr="008D3E54">
        <w:rPr>
          <w:sz w:val="22"/>
          <w:szCs w:val="22"/>
        </w:rPr>
        <w:lastRenderedPageBreak/>
        <w:t>and improve dementia care by enhancing healthcare system engagement and knowledge (Mukadam, Cooper and Livingston, 2013)</w:t>
      </w:r>
      <w:r w:rsidRPr="008D3E54">
        <w:rPr>
          <w:sz w:val="22"/>
          <w:szCs w:val="22"/>
        </w:rPr>
        <w:t>.</w:t>
      </w:r>
    </w:p>
    <w:p w14:paraId="67B25247" w14:textId="7DC122D7" w:rsidR="00AE4A67" w:rsidRPr="008D3E54" w:rsidRDefault="00AE4A67" w:rsidP="008D3E54">
      <w:pPr>
        <w:spacing w:line="360" w:lineRule="auto"/>
        <w:jc w:val="both"/>
        <w:rPr>
          <w:b/>
          <w:bCs/>
          <w:sz w:val="22"/>
          <w:szCs w:val="22"/>
        </w:rPr>
      </w:pPr>
      <w:r w:rsidRPr="00AE4A67">
        <w:rPr>
          <w:b/>
          <w:bCs/>
          <w:sz w:val="22"/>
          <w:szCs w:val="22"/>
        </w:rPr>
        <w:t>Target Audience and Impact:</w:t>
      </w:r>
    </w:p>
    <w:p w14:paraId="78765422" w14:textId="77777777" w:rsidR="004E1FA5" w:rsidRPr="008D3E54" w:rsidRDefault="004E1FA5" w:rsidP="008D3E54">
      <w:pPr>
        <w:spacing w:line="360" w:lineRule="auto"/>
        <w:jc w:val="both"/>
        <w:rPr>
          <w:sz w:val="22"/>
          <w:szCs w:val="22"/>
        </w:rPr>
      </w:pPr>
      <w:r w:rsidRPr="008D3E54">
        <w:rPr>
          <w:sz w:val="22"/>
          <w:szCs w:val="22"/>
        </w:rPr>
        <w:t>The idea targets 65-year-old African UK residents at risk of dementia and cognitive issues. The program targets family, carers, and community leaders who support dementia patients as they detect symptoms. Many African communities depend on family assistance and early detection for senior relatives. Family awareness increases the likelihood that professional healthcare will detect and treat symptoms (Manthorpe et al., 2010).</w:t>
      </w:r>
    </w:p>
    <w:p w14:paraId="3D42048F" w14:textId="77777777" w:rsidR="004E1FA5" w:rsidRPr="008D3E54" w:rsidRDefault="004E1FA5" w:rsidP="008D3E54">
      <w:pPr>
        <w:spacing w:line="360" w:lineRule="auto"/>
        <w:jc w:val="both"/>
        <w:rPr>
          <w:sz w:val="22"/>
          <w:szCs w:val="22"/>
        </w:rPr>
      </w:pPr>
      <w:r w:rsidRPr="008D3E54">
        <w:rPr>
          <w:sz w:val="22"/>
          <w:szCs w:val="22"/>
        </w:rPr>
        <w:t>The campaign promotes dementia awareness and reduces stigma. When dementia is seen as a medical issue rather than a symptom of ageing or shame, people are more willing to seek treatment. Therapy, support, and care planning increase quality of life with early diagnosis. It also advises families on assisting cognitively failing relatives. The initiative promotes health literacy and dementia discussions to improve wellbeing and eliminate healthcare inequalities (Manthorpe et al., 2010).</w:t>
      </w:r>
    </w:p>
    <w:p w14:paraId="0C20A72A" w14:textId="6E869D00" w:rsidR="00AE4A67" w:rsidRPr="008D3E54" w:rsidRDefault="00AE4A67" w:rsidP="008D3E54">
      <w:pPr>
        <w:spacing w:line="360" w:lineRule="auto"/>
        <w:jc w:val="both"/>
        <w:rPr>
          <w:b/>
          <w:bCs/>
          <w:sz w:val="22"/>
          <w:szCs w:val="22"/>
        </w:rPr>
      </w:pPr>
      <w:r w:rsidRPr="00AE4A67">
        <w:rPr>
          <w:b/>
          <w:bCs/>
          <w:sz w:val="22"/>
          <w:szCs w:val="22"/>
        </w:rPr>
        <w:t>Implementation:</w:t>
      </w:r>
    </w:p>
    <w:p w14:paraId="0CEF77C6" w14:textId="006CCBD7" w:rsidR="00367C8F" w:rsidRPr="008D3E54" w:rsidRDefault="00367C8F" w:rsidP="008D3E54">
      <w:pPr>
        <w:spacing w:line="360" w:lineRule="auto"/>
        <w:jc w:val="both"/>
        <w:rPr>
          <w:sz w:val="22"/>
          <w:szCs w:val="22"/>
        </w:rPr>
      </w:pPr>
      <w:r w:rsidRPr="008D3E54">
        <w:rPr>
          <w:sz w:val="22"/>
          <w:szCs w:val="22"/>
        </w:rPr>
        <w:t xml:space="preserve">Breaking the Silence will be implemented in familiar community contexts. In churches, GP practices, community </w:t>
      </w:r>
      <w:r w:rsidRPr="008D3E54">
        <w:rPr>
          <w:sz w:val="22"/>
          <w:szCs w:val="22"/>
        </w:rPr>
        <w:t>canters</w:t>
      </w:r>
      <w:r w:rsidRPr="008D3E54">
        <w:rPr>
          <w:sz w:val="22"/>
          <w:szCs w:val="22"/>
        </w:rPr>
        <w:t>, and social care facilities, people gather. Trusted community settings can increase health education engagement and make discussing dementia easier. Healthcare provider-community trust grows with community-based implementation.</w:t>
      </w:r>
    </w:p>
    <w:p w14:paraId="3CC1B9AC" w14:textId="7E60A620" w:rsidR="00367C8F" w:rsidRPr="008D3E54" w:rsidRDefault="00367C8F" w:rsidP="008D3E54">
      <w:pPr>
        <w:spacing w:line="360" w:lineRule="auto"/>
        <w:jc w:val="both"/>
        <w:rPr>
          <w:sz w:val="22"/>
          <w:szCs w:val="22"/>
        </w:rPr>
      </w:pPr>
      <w:r w:rsidRPr="008D3E54">
        <w:rPr>
          <w:sz w:val="22"/>
          <w:szCs w:val="22"/>
        </w:rPr>
        <w:t>Professionals in healthcare, social work, community health, and leadership will administer the program. Workshops, awareness exercises, support group meetings, and culturally appropriate dementia symptoms and service information will be provided. Community leaders and churches can promote and encourage campaign involvement. Integrating health and social care improves community health and complex health challenges (Barrie, Dougal and Ewer, 2022).</w:t>
      </w:r>
    </w:p>
    <w:p w14:paraId="5BA3B00A" w14:textId="77777777" w:rsidR="00367C8F" w:rsidRPr="008D3E54" w:rsidRDefault="00367C8F" w:rsidP="008D3E54">
      <w:pPr>
        <w:spacing w:line="360" w:lineRule="auto"/>
        <w:jc w:val="both"/>
        <w:rPr>
          <w:b/>
          <w:bCs/>
          <w:sz w:val="22"/>
          <w:szCs w:val="22"/>
        </w:rPr>
      </w:pPr>
      <w:r w:rsidRPr="00367C8F">
        <w:rPr>
          <w:b/>
          <w:bCs/>
          <w:sz w:val="22"/>
          <w:szCs w:val="22"/>
        </w:rPr>
        <w:t>Timeline:</w:t>
      </w:r>
    </w:p>
    <w:p w14:paraId="7FFEB63C" w14:textId="5FD2AEEF" w:rsidR="00367C8F" w:rsidRPr="0040296C" w:rsidRDefault="00367C8F" w:rsidP="0040296C">
      <w:r w:rsidRPr="008D3E54">
        <w:rPr>
          <w:sz w:val="22"/>
          <w:szCs w:val="22"/>
        </w:rPr>
        <w:t xml:space="preserve">The poster includes the campaign development and implementation </w:t>
      </w:r>
      <w:r w:rsidR="00281950" w:rsidRPr="008D3E54">
        <w:rPr>
          <w:sz w:val="22"/>
          <w:szCs w:val="22"/>
        </w:rPr>
        <w:t>timeline. Communities</w:t>
      </w:r>
      <w:r w:rsidR="0054133D" w:rsidRPr="008D3E54">
        <w:rPr>
          <w:sz w:val="22"/>
          <w:szCs w:val="22"/>
        </w:rPr>
        <w:t>, healthcare experts, and relevant organisations are contacted to establish dementia cultural beliefs and healthcare access barriers in the first phase</w:t>
      </w:r>
      <w:r w:rsidR="008601C2">
        <w:rPr>
          <w:sz w:val="22"/>
          <w:szCs w:val="22"/>
        </w:rPr>
        <w:t xml:space="preserve">, </w:t>
      </w:r>
      <w:r w:rsidRPr="008D3E54">
        <w:rPr>
          <w:sz w:val="22"/>
          <w:szCs w:val="22"/>
        </w:rPr>
        <w:t>demands and experiences of the target group are addressed by the campaign. Community planning builds trust and awareness.</w:t>
      </w:r>
    </w:p>
    <w:p w14:paraId="2E60E1F0" w14:textId="77777777" w:rsidR="00367C8F" w:rsidRPr="008D3E54" w:rsidRDefault="00367C8F" w:rsidP="008D3E54">
      <w:pPr>
        <w:spacing w:line="360" w:lineRule="auto"/>
        <w:jc w:val="both"/>
        <w:rPr>
          <w:sz w:val="22"/>
          <w:szCs w:val="22"/>
        </w:rPr>
      </w:pPr>
      <w:r w:rsidRPr="008D3E54">
        <w:rPr>
          <w:sz w:val="22"/>
          <w:szCs w:val="22"/>
        </w:rPr>
        <w:t xml:space="preserve">In the second step, culturally appropriate and accessible training and teaching materials are prepared. Booklets, online information, and workshops on dementia symptoms and support services are examples. Events like workshops, seminars, and community participation enhance </w:t>
      </w:r>
      <w:r w:rsidRPr="008D3E54">
        <w:rPr>
          <w:sz w:val="22"/>
          <w:szCs w:val="22"/>
        </w:rPr>
        <w:lastRenderedPageBreak/>
        <w:t>awareness and encourage early help-seeking in the third step. The last step assesses and monitors the campaign's effectiveness and proposes changes. More sustainable are community-engaged health initiatives with ongoing participant evaluation and feedback (Caulfield et al., 2025).</w:t>
      </w:r>
    </w:p>
    <w:p w14:paraId="217D5CBC" w14:textId="500A18A9" w:rsidR="00367C8F" w:rsidRPr="008D3E54" w:rsidRDefault="00367C8F" w:rsidP="008D3E54">
      <w:pPr>
        <w:spacing w:line="360" w:lineRule="auto"/>
        <w:jc w:val="both"/>
        <w:rPr>
          <w:b/>
          <w:bCs/>
          <w:sz w:val="22"/>
          <w:szCs w:val="22"/>
        </w:rPr>
      </w:pPr>
      <w:r w:rsidRPr="00367C8F">
        <w:rPr>
          <w:b/>
          <w:bCs/>
          <w:sz w:val="22"/>
          <w:szCs w:val="22"/>
        </w:rPr>
        <w:t>Development and Regulations:</w:t>
      </w:r>
    </w:p>
    <w:p w14:paraId="24C0B446" w14:textId="77777777" w:rsidR="00367C8F" w:rsidRPr="008D3E54" w:rsidRDefault="00367C8F" w:rsidP="008D3E54">
      <w:pPr>
        <w:spacing w:line="360" w:lineRule="auto"/>
        <w:jc w:val="both"/>
        <w:rPr>
          <w:color w:val="000000" w:themeColor="text1"/>
          <w:sz w:val="22"/>
          <w:szCs w:val="22"/>
        </w:rPr>
      </w:pPr>
      <w:r w:rsidRPr="008D3E54">
        <w:rPr>
          <w:color w:val="000000" w:themeColor="text1"/>
          <w:sz w:val="22"/>
          <w:szCs w:val="22"/>
        </w:rPr>
        <w:t>Innovation creation must follow UK healthcare laws and ethics. Data collection and sharing by public health projects must comply with privacy and confidentiality rules. The 2018 Data Protection Act is essential for healthcare data collection, processing, and storage. Campaign participants may trust data protection regulations to handle their data safely.</w:t>
      </w:r>
    </w:p>
    <w:p w14:paraId="3E45E031" w14:textId="09DE005D" w:rsidR="00367C8F" w:rsidRPr="008D3E54" w:rsidRDefault="00367C8F" w:rsidP="008D3E54">
      <w:pPr>
        <w:spacing w:line="360" w:lineRule="auto"/>
        <w:jc w:val="both"/>
        <w:rPr>
          <w:color w:val="000000" w:themeColor="text1"/>
          <w:sz w:val="22"/>
          <w:szCs w:val="22"/>
        </w:rPr>
      </w:pPr>
      <w:r w:rsidRPr="008D3E54">
        <w:rPr>
          <w:color w:val="000000" w:themeColor="text1"/>
          <w:sz w:val="22"/>
          <w:szCs w:val="22"/>
        </w:rPr>
        <w:t>Data protection rules and ethical norms including transparency, respect, and inclusivity apply to healthcare enterprises. Multicultural populations need accurate, culturally appropriate, and accessible health promotion information. Healthcare innovation may be responsible while protecting participants' rights and well-being with good governance. Follow these regulatory criteria to sustain campaign credibility and community participation (Scott, 2019; Osakwe, 2026).</w:t>
      </w:r>
    </w:p>
    <w:p w14:paraId="25B1B4E1" w14:textId="77777777" w:rsidR="00367C8F" w:rsidRPr="008D3E54" w:rsidRDefault="00367C8F" w:rsidP="008D3E54">
      <w:pPr>
        <w:spacing w:line="360" w:lineRule="auto"/>
        <w:jc w:val="both"/>
        <w:rPr>
          <w:b/>
          <w:bCs/>
          <w:sz w:val="22"/>
          <w:szCs w:val="22"/>
        </w:rPr>
      </w:pPr>
      <w:r w:rsidRPr="00367C8F">
        <w:rPr>
          <w:b/>
          <w:bCs/>
          <w:sz w:val="22"/>
          <w:szCs w:val="22"/>
        </w:rPr>
        <w:t>Technology Integration:</w:t>
      </w:r>
    </w:p>
    <w:p w14:paraId="70F3797E" w14:textId="67BA65D8" w:rsidR="00367C8F" w:rsidRPr="008D3E54" w:rsidRDefault="00367C8F" w:rsidP="008D3E54">
      <w:pPr>
        <w:spacing w:line="360" w:lineRule="auto"/>
        <w:jc w:val="both"/>
        <w:rPr>
          <w:sz w:val="22"/>
          <w:szCs w:val="22"/>
        </w:rPr>
      </w:pPr>
      <w:r w:rsidRPr="008D3E54">
        <w:rPr>
          <w:sz w:val="22"/>
          <w:szCs w:val="22"/>
        </w:rPr>
        <w:t>Information-sharing technology aids Breaking the Silence. Social media, online education, and community messaging apps help spread dementia symptoms, prevention, and support. These tools give families and individuals who infrequently visit hospitals rapid, dependable health information.</w:t>
      </w:r>
    </w:p>
    <w:p w14:paraId="08CFA1CC" w14:textId="4788D75A" w:rsidR="00367C8F" w:rsidRPr="008D3E54" w:rsidRDefault="00367C8F" w:rsidP="008D3E54">
      <w:pPr>
        <w:spacing w:line="360" w:lineRule="auto"/>
        <w:jc w:val="both"/>
        <w:rPr>
          <w:sz w:val="22"/>
          <w:szCs w:val="22"/>
        </w:rPr>
      </w:pPr>
      <w:r w:rsidRPr="008D3E54">
        <w:rPr>
          <w:sz w:val="22"/>
          <w:szCs w:val="22"/>
        </w:rPr>
        <w:t xml:space="preserve">Technology helps healthcare professionals and campaign groups collaborate. Digital technologies help organise events, distribute training, and track awareness. The rise of digital healthcare communication can increase public health education and involvement. The campaign can reach more individuals and deliver accessible information to urge them to improve their health and wellbeing utilising digital technology (Snehal </w:t>
      </w:r>
      <w:proofErr w:type="spellStart"/>
      <w:r w:rsidRPr="008D3E54">
        <w:rPr>
          <w:sz w:val="22"/>
          <w:szCs w:val="22"/>
        </w:rPr>
        <w:t>Bhogan</w:t>
      </w:r>
      <w:proofErr w:type="spellEnd"/>
      <w:r w:rsidRPr="008D3E54">
        <w:rPr>
          <w:sz w:val="22"/>
          <w:szCs w:val="22"/>
        </w:rPr>
        <w:t xml:space="preserve"> et al., 2019).</w:t>
      </w:r>
    </w:p>
    <w:p w14:paraId="4AB63FA3" w14:textId="77777777" w:rsidR="00367C8F" w:rsidRPr="008D3E54" w:rsidRDefault="00367C8F" w:rsidP="008D3E54">
      <w:pPr>
        <w:spacing w:line="360" w:lineRule="auto"/>
        <w:jc w:val="both"/>
        <w:rPr>
          <w:b/>
          <w:bCs/>
          <w:sz w:val="22"/>
          <w:szCs w:val="22"/>
        </w:rPr>
      </w:pPr>
      <w:r w:rsidRPr="00367C8F">
        <w:rPr>
          <w:b/>
          <w:bCs/>
          <w:sz w:val="22"/>
          <w:szCs w:val="22"/>
        </w:rPr>
        <w:t>Dissemination: How the Innovation Will Be Promoted:</w:t>
      </w:r>
    </w:p>
    <w:p w14:paraId="65338EE7" w14:textId="77777777" w:rsidR="003E361F" w:rsidRPr="008D3E54" w:rsidRDefault="003E361F" w:rsidP="008D3E54">
      <w:pPr>
        <w:spacing w:line="360" w:lineRule="auto"/>
        <w:jc w:val="both"/>
        <w:rPr>
          <w:sz w:val="22"/>
          <w:szCs w:val="22"/>
        </w:rPr>
      </w:pPr>
      <w:r w:rsidRPr="008D3E54">
        <w:rPr>
          <w:sz w:val="22"/>
          <w:szCs w:val="22"/>
        </w:rPr>
        <w:t>Campaign dissemination must be effective to reach its target audience and have an impact. Community organisations, local healthcare providers, faith-based institutions, and public health authorities will promote Breaking the Silence. Family and friends can learn about dementia and ask questions in safe community events and workshops.</w:t>
      </w:r>
    </w:p>
    <w:p w14:paraId="52157273" w14:textId="11117148" w:rsidR="00367C8F" w:rsidRPr="008D3E54" w:rsidRDefault="003E361F" w:rsidP="008D3E54">
      <w:pPr>
        <w:spacing w:line="360" w:lineRule="auto"/>
        <w:jc w:val="both"/>
        <w:rPr>
          <w:sz w:val="22"/>
          <w:szCs w:val="22"/>
        </w:rPr>
      </w:pPr>
      <w:r w:rsidRPr="008D3E54">
        <w:rPr>
          <w:sz w:val="22"/>
          <w:szCs w:val="22"/>
        </w:rPr>
        <w:lastRenderedPageBreak/>
        <w:t>Digital and face-to-face contact will expand the campaign's reach. Online awareness campaigns, social media, and community websites can raise dementia awareness and participation. These methods promote the campaign and inform healthcare professionals and the public about dementia support services. Community-engaged and digital public health programs increase health knowledge and behaviour (Wortmann, 2012).</w:t>
      </w:r>
    </w:p>
    <w:p w14:paraId="0DBCCB88" w14:textId="78D58A2A" w:rsidR="00367C8F" w:rsidRPr="008D3E54" w:rsidRDefault="00367C8F" w:rsidP="008D3E54">
      <w:pPr>
        <w:spacing w:line="360" w:lineRule="auto"/>
        <w:jc w:val="both"/>
        <w:rPr>
          <w:b/>
          <w:bCs/>
          <w:sz w:val="22"/>
          <w:szCs w:val="22"/>
        </w:rPr>
      </w:pPr>
      <w:r w:rsidRPr="00367C8F">
        <w:rPr>
          <w:b/>
          <w:bCs/>
          <w:sz w:val="22"/>
          <w:szCs w:val="22"/>
        </w:rPr>
        <w:t>Conclusion:</w:t>
      </w:r>
    </w:p>
    <w:p w14:paraId="11D54213" w14:textId="3812BE43" w:rsidR="00FA330B" w:rsidRPr="008D3E54" w:rsidRDefault="003E361F" w:rsidP="008D3E54">
      <w:pPr>
        <w:spacing w:line="360" w:lineRule="auto"/>
        <w:jc w:val="both"/>
        <w:rPr>
          <w:sz w:val="22"/>
          <w:szCs w:val="22"/>
        </w:rPr>
      </w:pPr>
      <w:r w:rsidRPr="008D3E54">
        <w:rPr>
          <w:sz w:val="22"/>
          <w:szCs w:val="22"/>
        </w:rPr>
        <w:t>Finally, Breaking the Silence campaign addresses dementia stigma in UK African communities in a creative and culturally appropriate way. Community education, professional collaboration, and internet communication promote dementia awareness, early diagnosis, and support services. Dementia stigma reduction and awareness can help families seek care earlier, enhancing health and quality of life.</w:t>
      </w:r>
    </w:p>
    <w:p w14:paraId="7F3193D5" w14:textId="259846D4" w:rsidR="003E361F" w:rsidRPr="00367C8F" w:rsidRDefault="003E361F" w:rsidP="008D3E54">
      <w:pPr>
        <w:spacing w:line="360" w:lineRule="auto"/>
        <w:jc w:val="both"/>
        <w:rPr>
          <w:sz w:val="22"/>
          <w:szCs w:val="22"/>
        </w:rPr>
      </w:pPr>
      <w:r w:rsidRPr="008D3E54">
        <w:rPr>
          <w:sz w:val="22"/>
          <w:szCs w:val="22"/>
        </w:rPr>
        <w:t xml:space="preserve">As dementia spreads worldwide, community-focused health promotion is essential. </w:t>
      </w:r>
      <w:r w:rsidR="00FA330B" w:rsidRPr="008D3E54">
        <w:rPr>
          <w:sz w:val="22"/>
          <w:szCs w:val="22"/>
        </w:rPr>
        <w:t>Breaking the Silence highlights,</w:t>
      </w:r>
      <w:r w:rsidRPr="008D3E54">
        <w:rPr>
          <w:sz w:val="22"/>
          <w:szCs w:val="22"/>
        </w:rPr>
        <w:t xml:space="preserve"> how culturally sensitive public health strategies can improve healthcare access and promote inclusive social care. Education, collaboration, and community participation improve dementia healthcare equity (Mukadam, Cooper and Livingston, 2013).</w:t>
      </w:r>
    </w:p>
    <w:p w14:paraId="7003697B" w14:textId="3A1CF22B" w:rsidR="001F4D56" w:rsidRPr="008D3E54" w:rsidRDefault="008D3E54">
      <w:pPr>
        <w:rPr>
          <w:b/>
          <w:bCs/>
        </w:rPr>
      </w:pPr>
      <w:r w:rsidRPr="008D3E54">
        <w:rPr>
          <w:b/>
          <w:bCs/>
          <w:sz w:val="22"/>
          <w:szCs w:val="22"/>
        </w:rPr>
        <w:t>REFERENCE LISTS</w:t>
      </w:r>
    </w:p>
    <w:p w14:paraId="22399B4D" w14:textId="77777777" w:rsidR="008D3E54" w:rsidRPr="008D3E54" w:rsidRDefault="008D3E54" w:rsidP="008D3E54">
      <w:pPr>
        <w:rPr>
          <w:sz w:val="22"/>
          <w:szCs w:val="22"/>
        </w:rPr>
      </w:pPr>
      <w:r w:rsidRPr="008D3E54">
        <w:rPr>
          <w:sz w:val="22"/>
          <w:szCs w:val="22"/>
        </w:rPr>
        <w:t xml:space="preserve">Barrie, J., Dougal, M. and Ewer, J. (2022). A collaborative approach towards a dementia friendly community. </w:t>
      </w:r>
      <w:r w:rsidRPr="008D3E54">
        <w:rPr>
          <w:i/>
          <w:iCs/>
          <w:sz w:val="22"/>
          <w:szCs w:val="22"/>
        </w:rPr>
        <w:t>International Journal of Integrated Care</w:t>
      </w:r>
      <w:r w:rsidRPr="008D3E54">
        <w:rPr>
          <w:sz w:val="22"/>
          <w:szCs w:val="22"/>
        </w:rPr>
        <w:t xml:space="preserve">, 22(S2), p.150. </w:t>
      </w:r>
      <w:proofErr w:type="spellStart"/>
      <w:proofErr w:type="gramStart"/>
      <w:r w:rsidRPr="008D3E54">
        <w:rPr>
          <w:sz w:val="22"/>
          <w:szCs w:val="22"/>
        </w:rPr>
        <w:t>doi:https</w:t>
      </w:r>
      <w:proofErr w:type="spellEnd"/>
      <w:r w:rsidRPr="008D3E54">
        <w:rPr>
          <w:sz w:val="22"/>
          <w:szCs w:val="22"/>
        </w:rPr>
        <w:t>://doi.org/10.5334/ijic.icic21318</w:t>
      </w:r>
      <w:proofErr w:type="gramEnd"/>
      <w:r w:rsidRPr="008D3E54">
        <w:rPr>
          <w:sz w:val="22"/>
          <w:szCs w:val="22"/>
        </w:rPr>
        <w:t>.</w:t>
      </w:r>
    </w:p>
    <w:p w14:paraId="1707936B" w14:textId="77777777" w:rsidR="008D3E54" w:rsidRPr="008D3E54" w:rsidRDefault="008D3E54" w:rsidP="008D3E54">
      <w:pPr>
        <w:rPr>
          <w:sz w:val="22"/>
          <w:szCs w:val="22"/>
        </w:rPr>
      </w:pPr>
      <w:proofErr w:type="spellStart"/>
      <w:r w:rsidRPr="008D3E54">
        <w:rPr>
          <w:sz w:val="22"/>
          <w:szCs w:val="22"/>
        </w:rPr>
        <w:t>Brayne</w:t>
      </w:r>
      <w:proofErr w:type="spellEnd"/>
      <w:r w:rsidRPr="008D3E54">
        <w:rPr>
          <w:sz w:val="22"/>
          <w:szCs w:val="22"/>
        </w:rPr>
        <w:t xml:space="preserve">, C. and Miller, B. (2017). Dementia and aging populations—A global priority for contextualized research and health policy. </w:t>
      </w:r>
      <w:r w:rsidRPr="008D3E54">
        <w:rPr>
          <w:i/>
          <w:iCs/>
          <w:sz w:val="22"/>
          <w:szCs w:val="22"/>
        </w:rPr>
        <w:t>PLOS Medicine</w:t>
      </w:r>
      <w:r w:rsidRPr="008D3E54">
        <w:rPr>
          <w:sz w:val="22"/>
          <w:szCs w:val="22"/>
        </w:rPr>
        <w:t xml:space="preserve">, 14(3), p.e1002275. </w:t>
      </w:r>
      <w:proofErr w:type="spellStart"/>
      <w:proofErr w:type="gramStart"/>
      <w:r w:rsidRPr="008D3E54">
        <w:rPr>
          <w:sz w:val="22"/>
          <w:szCs w:val="22"/>
        </w:rPr>
        <w:t>doi:https</w:t>
      </w:r>
      <w:proofErr w:type="spellEnd"/>
      <w:r w:rsidRPr="008D3E54">
        <w:rPr>
          <w:sz w:val="22"/>
          <w:szCs w:val="22"/>
        </w:rPr>
        <w:t>://doi.org/10.1371/journal.pmed.1002275</w:t>
      </w:r>
      <w:proofErr w:type="gramEnd"/>
      <w:r w:rsidRPr="008D3E54">
        <w:rPr>
          <w:sz w:val="22"/>
          <w:szCs w:val="22"/>
        </w:rPr>
        <w:t>.</w:t>
      </w:r>
    </w:p>
    <w:p w14:paraId="18AF3D6D" w14:textId="77777777" w:rsidR="008D3E54" w:rsidRPr="008D3E54" w:rsidRDefault="008D3E54" w:rsidP="008D3E54">
      <w:pPr>
        <w:rPr>
          <w:sz w:val="22"/>
          <w:szCs w:val="22"/>
        </w:rPr>
      </w:pPr>
      <w:r w:rsidRPr="008D3E54">
        <w:rPr>
          <w:sz w:val="22"/>
          <w:szCs w:val="22"/>
        </w:rPr>
        <w:t xml:space="preserve">Caulfield, M., Parveen, S., Prina, M., </w:t>
      </w:r>
      <w:proofErr w:type="spellStart"/>
      <w:r w:rsidRPr="008D3E54">
        <w:rPr>
          <w:sz w:val="22"/>
          <w:szCs w:val="22"/>
        </w:rPr>
        <w:t>Oyebode</w:t>
      </w:r>
      <w:proofErr w:type="spellEnd"/>
      <w:r w:rsidRPr="008D3E54">
        <w:rPr>
          <w:sz w:val="22"/>
          <w:szCs w:val="22"/>
        </w:rPr>
        <w:t xml:space="preserve">, J.R., Windle, K., Charlwood, C., Comas-Herrera, A., Quinn, C. and Clare, L. (2025). Interventions to improve awareness and reduce the stigma associated with neurodegenerative conditions in minority ethnic communities: A scoping review protocol. </w:t>
      </w:r>
      <w:r w:rsidRPr="008D3E54">
        <w:rPr>
          <w:i/>
          <w:iCs/>
          <w:sz w:val="22"/>
          <w:szCs w:val="22"/>
        </w:rPr>
        <w:t>PLOS One</w:t>
      </w:r>
      <w:r w:rsidRPr="008D3E54">
        <w:rPr>
          <w:sz w:val="22"/>
          <w:szCs w:val="22"/>
        </w:rPr>
        <w:t xml:space="preserve">, 20(5), p.e0322009. </w:t>
      </w:r>
      <w:proofErr w:type="spellStart"/>
      <w:proofErr w:type="gramStart"/>
      <w:r w:rsidRPr="008D3E54">
        <w:rPr>
          <w:sz w:val="22"/>
          <w:szCs w:val="22"/>
        </w:rPr>
        <w:t>doi:https</w:t>
      </w:r>
      <w:proofErr w:type="spellEnd"/>
      <w:r w:rsidRPr="008D3E54">
        <w:rPr>
          <w:sz w:val="22"/>
          <w:szCs w:val="22"/>
        </w:rPr>
        <w:t>://doi.org/10.1371/journal.pone.0322009</w:t>
      </w:r>
      <w:proofErr w:type="gramEnd"/>
      <w:r w:rsidRPr="008D3E54">
        <w:rPr>
          <w:sz w:val="22"/>
          <w:szCs w:val="22"/>
        </w:rPr>
        <w:t>.</w:t>
      </w:r>
    </w:p>
    <w:p w14:paraId="15D43200" w14:textId="77777777" w:rsidR="008D3E54" w:rsidRPr="008D3E54" w:rsidRDefault="008D3E54" w:rsidP="008D3E54">
      <w:pPr>
        <w:rPr>
          <w:sz w:val="22"/>
          <w:szCs w:val="22"/>
        </w:rPr>
      </w:pPr>
      <w:r w:rsidRPr="008D3E54">
        <w:rPr>
          <w:sz w:val="22"/>
          <w:szCs w:val="22"/>
        </w:rPr>
        <w:t>Manthorpe, J., Moriarty, J., Stevens, M., Hussein, S. and Sharif, N. (2010). Black and minority ethnic older people and mental well</w:t>
      </w:r>
      <w:r w:rsidRPr="008D3E54">
        <w:rPr>
          <w:rFonts w:ascii="Cambria Math" w:hAnsi="Cambria Math" w:cs="Cambria Math"/>
          <w:sz w:val="22"/>
          <w:szCs w:val="22"/>
        </w:rPr>
        <w:t>‐</w:t>
      </w:r>
      <w:r w:rsidRPr="008D3E54">
        <w:rPr>
          <w:sz w:val="22"/>
          <w:szCs w:val="22"/>
        </w:rPr>
        <w:t xml:space="preserve">being: possibilities for practice. </w:t>
      </w:r>
      <w:r w:rsidRPr="008D3E54">
        <w:rPr>
          <w:i/>
          <w:iCs/>
          <w:sz w:val="22"/>
          <w:szCs w:val="22"/>
        </w:rPr>
        <w:t>Working with Older People</w:t>
      </w:r>
      <w:r w:rsidRPr="008D3E54">
        <w:rPr>
          <w:sz w:val="22"/>
          <w:szCs w:val="22"/>
        </w:rPr>
        <w:t xml:space="preserve">, 14(4), pp.32–37. </w:t>
      </w:r>
      <w:proofErr w:type="spellStart"/>
      <w:proofErr w:type="gramStart"/>
      <w:r w:rsidRPr="008D3E54">
        <w:rPr>
          <w:sz w:val="22"/>
          <w:szCs w:val="22"/>
        </w:rPr>
        <w:t>doi:https</w:t>
      </w:r>
      <w:proofErr w:type="spellEnd"/>
      <w:r w:rsidRPr="008D3E54">
        <w:rPr>
          <w:sz w:val="22"/>
          <w:szCs w:val="22"/>
        </w:rPr>
        <w:t>://doi.org/10.5042/wwop.2010.0681</w:t>
      </w:r>
      <w:proofErr w:type="gramEnd"/>
      <w:r w:rsidRPr="008D3E54">
        <w:rPr>
          <w:sz w:val="22"/>
          <w:szCs w:val="22"/>
        </w:rPr>
        <w:t>.</w:t>
      </w:r>
    </w:p>
    <w:p w14:paraId="088EF4B5" w14:textId="77777777" w:rsidR="008D3E54" w:rsidRPr="008D3E54" w:rsidRDefault="008D3E54" w:rsidP="008D3E54">
      <w:pPr>
        <w:rPr>
          <w:sz w:val="22"/>
          <w:szCs w:val="22"/>
        </w:rPr>
      </w:pPr>
      <w:r w:rsidRPr="008D3E54">
        <w:rPr>
          <w:sz w:val="22"/>
          <w:szCs w:val="22"/>
        </w:rPr>
        <w:t xml:space="preserve">Mukadam, N., Cooper, C., Basit, B. and Livingston, G. (2011). Why do ethnic elders present later to UK dementia services? A qualitative study. </w:t>
      </w:r>
      <w:r w:rsidRPr="008D3E54">
        <w:rPr>
          <w:i/>
          <w:iCs/>
          <w:sz w:val="22"/>
          <w:szCs w:val="22"/>
        </w:rPr>
        <w:t>International Psychogeriatrics</w:t>
      </w:r>
      <w:r w:rsidRPr="008D3E54">
        <w:rPr>
          <w:sz w:val="22"/>
          <w:szCs w:val="22"/>
        </w:rPr>
        <w:t xml:space="preserve">, [online] 23(7), pp.1070–1077. </w:t>
      </w:r>
      <w:proofErr w:type="spellStart"/>
      <w:proofErr w:type="gramStart"/>
      <w:r w:rsidRPr="008D3E54">
        <w:rPr>
          <w:sz w:val="22"/>
          <w:szCs w:val="22"/>
        </w:rPr>
        <w:t>doi:https</w:t>
      </w:r>
      <w:proofErr w:type="spellEnd"/>
      <w:r w:rsidRPr="008D3E54">
        <w:rPr>
          <w:sz w:val="22"/>
          <w:szCs w:val="22"/>
        </w:rPr>
        <w:t>://doi.org/10.1017/s1041610211000214</w:t>
      </w:r>
      <w:proofErr w:type="gramEnd"/>
      <w:r w:rsidRPr="008D3E54">
        <w:rPr>
          <w:sz w:val="22"/>
          <w:szCs w:val="22"/>
        </w:rPr>
        <w:t>.</w:t>
      </w:r>
    </w:p>
    <w:p w14:paraId="6F4E7AE6" w14:textId="77777777" w:rsidR="008D3E54" w:rsidRPr="008D3E54" w:rsidRDefault="008D3E54" w:rsidP="008D3E54">
      <w:pPr>
        <w:rPr>
          <w:sz w:val="22"/>
          <w:szCs w:val="22"/>
        </w:rPr>
      </w:pPr>
      <w:r w:rsidRPr="008D3E54">
        <w:rPr>
          <w:sz w:val="22"/>
          <w:szCs w:val="22"/>
        </w:rPr>
        <w:t xml:space="preserve">Mukadam, N., Cooper, C. and Livingston, G. (2013). Improving access to dementia services for people from minority ethnic groups. </w:t>
      </w:r>
      <w:r w:rsidRPr="008D3E54">
        <w:rPr>
          <w:i/>
          <w:iCs/>
          <w:sz w:val="22"/>
          <w:szCs w:val="22"/>
        </w:rPr>
        <w:t>Current Opinion in Psychiatry</w:t>
      </w:r>
      <w:r w:rsidRPr="008D3E54">
        <w:rPr>
          <w:sz w:val="22"/>
          <w:szCs w:val="22"/>
        </w:rPr>
        <w:t xml:space="preserve">, [online] 26(4), pp.409–414. </w:t>
      </w:r>
      <w:proofErr w:type="spellStart"/>
      <w:proofErr w:type="gramStart"/>
      <w:r w:rsidRPr="008D3E54">
        <w:rPr>
          <w:sz w:val="22"/>
          <w:szCs w:val="22"/>
        </w:rPr>
        <w:t>doi:https</w:t>
      </w:r>
      <w:proofErr w:type="spellEnd"/>
      <w:r w:rsidRPr="008D3E54">
        <w:rPr>
          <w:sz w:val="22"/>
          <w:szCs w:val="22"/>
        </w:rPr>
        <w:t>://doi.org/10.1097/yco.0b013e32835ee668</w:t>
      </w:r>
      <w:proofErr w:type="gramEnd"/>
      <w:r w:rsidRPr="008D3E54">
        <w:rPr>
          <w:sz w:val="22"/>
          <w:szCs w:val="22"/>
        </w:rPr>
        <w:t>.</w:t>
      </w:r>
    </w:p>
    <w:p w14:paraId="30CDBDC5" w14:textId="77777777" w:rsidR="008D3E54" w:rsidRPr="008D3E54" w:rsidRDefault="008D3E54" w:rsidP="008D3E54">
      <w:pPr>
        <w:rPr>
          <w:sz w:val="22"/>
          <w:szCs w:val="22"/>
        </w:rPr>
      </w:pPr>
      <w:r w:rsidRPr="008D3E54">
        <w:rPr>
          <w:sz w:val="22"/>
          <w:szCs w:val="22"/>
        </w:rPr>
        <w:lastRenderedPageBreak/>
        <w:t xml:space="preserve">Osakwe, J. (2026). A UNIFIED THEORY OF DATA GOVERNANCE: INTEGRATING FRAMEWORKS FOR ENHANCED DATA PROTECTION AND COMPLIANCE. </w:t>
      </w:r>
      <w:r w:rsidRPr="008D3E54">
        <w:rPr>
          <w:i/>
          <w:iCs/>
          <w:sz w:val="22"/>
          <w:szCs w:val="22"/>
        </w:rPr>
        <w:t>INTERNATIONAL JOURNAL OF INFORMATION SECURITY</w:t>
      </w:r>
      <w:r w:rsidRPr="008D3E54">
        <w:rPr>
          <w:sz w:val="22"/>
          <w:szCs w:val="22"/>
        </w:rPr>
        <w:t xml:space="preserve">, 5(1), pp.1–25. </w:t>
      </w:r>
      <w:proofErr w:type="spellStart"/>
      <w:proofErr w:type="gramStart"/>
      <w:r w:rsidRPr="008D3E54">
        <w:rPr>
          <w:sz w:val="22"/>
          <w:szCs w:val="22"/>
        </w:rPr>
        <w:t>doi:https</w:t>
      </w:r>
      <w:proofErr w:type="spellEnd"/>
      <w:r w:rsidRPr="008D3E54">
        <w:rPr>
          <w:sz w:val="22"/>
          <w:szCs w:val="22"/>
        </w:rPr>
        <w:t>://doi.org/10.34218/ijis_05_01_001</w:t>
      </w:r>
      <w:proofErr w:type="gramEnd"/>
      <w:r w:rsidRPr="008D3E54">
        <w:rPr>
          <w:sz w:val="22"/>
          <w:szCs w:val="22"/>
        </w:rPr>
        <w:t>.</w:t>
      </w:r>
    </w:p>
    <w:p w14:paraId="5FF5FDEA" w14:textId="77777777" w:rsidR="008D3E54" w:rsidRPr="008D3E54" w:rsidRDefault="008D3E54" w:rsidP="008D3E54">
      <w:pPr>
        <w:rPr>
          <w:sz w:val="22"/>
          <w:szCs w:val="22"/>
        </w:rPr>
      </w:pPr>
      <w:r w:rsidRPr="008D3E54">
        <w:rPr>
          <w:sz w:val="22"/>
          <w:szCs w:val="22"/>
        </w:rPr>
        <w:t xml:space="preserve">Scott, P.F. (2019). National Security, Data Protection, and Data Sharing after the Data Protection Act 2018. </w:t>
      </w:r>
      <w:r w:rsidRPr="008D3E54">
        <w:rPr>
          <w:i/>
          <w:iCs/>
          <w:sz w:val="22"/>
          <w:szCs w:val="22"/>
        </w:rPr>
        <w:t>SSRN Electronic Journal</w:t>
      </w:r>
      <w:r w:rsidRPr="008D3E54">
        <w:rPr>
          <w:sz w:val="22"/>
          <w:szCs w:val="22"/>
        </w:rPr>
        <w:t>, 4(3).</w:t>
      </w:r>
    </w:p>
    <w:p w14:paraId="7B1AE18E" w14:textId="77777777" w:rsidR="008D3E54" w:rsidRPr="008D3E54" w:rsidRDefault="008D3E54" w:rsidP="008D3E54">
      <w:pPr>
        <w:rPr>
          <w:sz w:val="22"/>
          <w:szCs w:val="22"/>
        </w:rPr>
      </w:pPr>
      <w:r w:rsidRPr="008D3E54">
        <w:rPr>
          <w:sz w:val="22"/>
          <w:szCs w:val="22"/>
        </w:rPr>
        <w:t xml:space="preserve">Snehal </w:t>
      </w:r>
      <w:proofErr w:type="spellStart"/>
      <w:r w:rsidRPr="008D3E54">
        <w:rPr>
          <w:sz w:val="22"/>
          <w:szCs w:val="22"/>
        </w:rPr>
        <w:t>Bhogan</w:t>
      </w:r>
      <w:proofErr w:type="spellEnd"/>
      <w:r w:rsidRPr="008D3E54">
        <w:rPr>
          <w:sz w:val="22"/>
          <w:szCs w:val="22"/>
        </w:rPr>
        <w:t xml:space="preserve"> et al., S.B. et al., (2019). Digital Voting System Using Blockchain Technology. </w:t>
      </w:r>
      <w:r w:rsidRPr="008D3E54">
        <w:rPr>
          <w:i/>
          <w:iCs/>
          <w:sz w:val="22"/>
          <w:szCs w:val="22"/>
        </w:rPr>
        <w:t>International Journal of Computer Science Engineering and Information Technology Research</w:t>
      </w:r>
      <w:r w:rsidRPr="008D3E54">
        <w:rPr>
          <w:sz w:val="22"/>
          <w:szCs w:val="22"/>
        </w:rPr>
        <w:t xml:space="preserve">, 9(2), pp.1–6. </w:t>
      </w:r>
      <w:proofErr w:type="spellStart"/>
      <w:proofErr w:type="gramStart"/>
      <w:r w:rsidRPr="008D3E54">
        <w:rPr>
          <w:sz w:val="22"/>
          <w:szCs w:val="22"/>
        </w:rPr>
        <w:t>doi:https</w:t>
      </w:r>
      <w:proofErr w:type="spellEnd"/>
      <w:r w:rsidRPr="008D3E54">
        <w:rPr>
          <w:sz w:val="22"/>
          <w:szCs w:val="22"/>
        </w:rPr>
        <w:t>://doi.org/10.24247/ijcseitrdec20191</w:t>
      </w:r>
      <w:proofErr w:type="gramEnd"/>
      <w:r w:rsidRPr="008D3E54">
        <w:rPr>
          <w:sz w:val="22"/>
          <w:szCs w:val="22"/>
        </w:rPr>
        <w:t>.</w:t>
      </w:r>
    </w:p>
    <w:p w14:paraId="514C05D6" w14:textId="77777777" w:rsidR="008D3E54" w:rsidRPr="008D3E54" w:rsidRDefault="008D3E54" w:rsidP="008D3E54">
      <w:pPr>
        <w:rPr>
          <w:sz w:val="22"/>
          <w:szCs w:val="22"/>
        </w:rPr>
      </w:pPr>
      <w:r w:rsidRPr="008D3E54">
        <w:rPr>
          <w:sz w:val="22"/>
          <w:szCs w:val="22"/>
        </w:rPr>
        <w:t xml:space="preserve">Wortmann, M. (2012). Dementia: a global health priority - highlights from an ADI and World Health Organization report. </w:t>
      </w:r>
      <w:r w:rsidRPr="008D3E54">
        <w:rPr>
          <w:i/>
          <w:iCs/>
          <w:sz w:val="22"/>
          <w:szCs w:val="22"/>
        </w:rPr>
        <w:t>Alzheimer’s research &amp; therapy</w:t>
      </w:r>
      <w:r w:rsidRPr="008D3E54">
        <w:rPr>
          <w:sz w:val="22"/>
          <w:szCs w:val="22"/>
        </w:rPr>
        <w:t xml:space="preserve">, [online] 4(5), p.40. </w:t>
      </w:r>
      <w:proofErr w:type="spellStart"/>
      <w:proofErr w:type="gramStart"/>
      <w:r w:rsidRPr="008D3E54">
        <w:rPr>
          <w:sz w:val="22"/>
          <w:szCs w:val="22"/>
        </w:rPr>
        <w:t>doi:https</w:t>
      </w:r>
      <w:proofErr w:type="spellEnd"/>
      <w:r w:rsidRPr="008D3E54">
        <w:rPr>
          <w:sz w:val="22"/>
          <w:szCs w:val="22"/>
        </w:rPr>
        <w:t>://doi.org/10.1186/alzrt143</w:t>
      </w:r>
      <w:proofErr w:type="gramEnd"/>
      <w:r w:rsidRPr="008D3E54">
        <w:rPr>
          <w:sz w:val="22"/>
          <w:szCs w:val="22"/>
        </w:rPr>
        <w:t>.</w:t>
      </w:r>
    </w:p>
    <w:p w14:paraId="2334B9E4" w14:textId="77777777" w:rsidR="008D3E54" w:rsidRDefault="008D3E54">
      <w:pPr>
        <w:rPr>
          <w:sz w:val="22"/>
          <w:szCs w:val="22"/>
        </w:rPr>
      </w:pPr>
    </w:p>
    <w:p w14:paraId="6A910648" w14:textId="77777777" w:rsidR="001F4D56" w:rsidRDefault="001F4D56">
      <w:pPr>
        <w:rPr>
          <w:sz w:val="22"/>
          <w:szCs w:val="22"/>
        </w:rPr>
      </w:pPr>
    </w:p>
    <w:p w14:paraId="2E99FA8A" w14:textId="77777777" w:rsidR="001F4D56" w:rsidRDefault="001F4D56">
      <w:pPr>
        <w:rPr>
          <w:sz w:val="22"/>
          <w:szCs w:val="22"/>
        </w:rPr>
      </w:pPr>
    </w:p>
    <w:p w14:paraId="3974678E" w14:textId="77777777" w:rsidR="001F4D56" w:rsidRDefault="001F4D56">
      <w:pPr>
        <w:rPr>
          <w:sz w:val="22"/>
          <w:szCs w:val="22"/>
        </w:rPr>
      </w:pPr>
    </w:p>
    <w:p w14:paraId="6AB9BBB6" w14:textId="77777777" w:rsidR="001F4D56" w:rsidRDefault="001F4D56">
      <w:pPr>
        <w:rPr>
          <w:sz w:val="22"/>
          <w:szCs w:val="22"/>
        </w:rPr>
      </w:pPr>
    </w:p>
    <w:p w14:paraId="24A72433" w14:textId="1C4C2D40" w:rsidR="00530CF4" w:rsidRPr="001F4D56" w:rsidRDefault="00530CF4">
      <w:pPr>
        <w:rPr>
          <w:sz w:val="22"/>
          <w:szCs w:val="22"/>
        </w:rPr>
      </w:pPr>
      <w:r>
        <w:t xml:space="preserve">     </w:t>
      </w:r>
    </w:p>
    <w:p w14:paraId="2574D8B4" w14:textId="49D370E8" w:rsidR="00530CF4" w:rsidRDefault="00530CF4">
      <w:r>
        <w:t xml:space="preserve">                             </w:t>
      </w:r>
    </w:p>
    <w:p w14:paraId="235F6AFE" w14:textId="48EE2233" w:rsidR="00530CF4" w:rsidRDefault="00530CF4"/>
    <w:sectPr w:rsidR="00530CF4" w:rsidSect="00FC346F">
      <w:footerReference w:type="default" r:id="rId14"/>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297148" w14:textId="77777777" w:rsidR="002346A1" w:rsidRDefault="002346A1" w:rsidP="008B397C">
      <w:pPr>
        <w:spacing w:after="0" w:line="240" w:lineRule="auto"/>
      </w:pPr>
      <w:r>
        <w:separator/>
      </w:r>
    </w:p>
  </w:endnote>
  <w:endnote w:type="continuationSeparator" w:id="0">
    <w:p w14:paraId="53AD526E" w14:textId="77777777" w:rsidR="002346A1" w:rsidRDefault="002346A1" w:rsidP="008B39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Nova">
    <w:panose1 w:val="020B0504020202020204"/>
    <w:charset w:val="00"/>
    <w:family w:val="swiss"/>
    <w:pitch w:val="variable"/>
    <w:sig w:usb0="2000028F" w:usb1="00000002"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45746205"/>
      <w:docPartObj>
        <w:docPartGallery w:val="Page Numbers (Bottom of Page)"/>
        <w:docPartUnique/>
      </w:docPartObj>
    </w:sdtPr>
    <w:sdtContent>
      <w:sdt>
        <w:sdtPr>
          <w:id w:val="1728636285"/>
          <w:docPartObj>
            <w:docPartGallery w:val="Page Numbers (Top of Page)"/>
            <w:docPartUnique/>
          </w:docPartObj>
        </w:sdtPr>
        <w:sdtContent>
          <w:p w14:paraId="423FDD29" w14:textId="0DDC27CB" w:rsidR="00A045EB" w:rsidRDefault="00A045EB">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7C955F8A" w14:textId="77777777" w:rsidR="008B397C" w:rsidRDefault="008B39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F32752" w14:textId="77777777" w:rsidR="002346A1" w:rsidRDefault="002346A1" w:rsidP="008B397C">
      <w:pPr>
        <w:spacing w:after="0" w:line="240" w:lineRule="auto"/>
      </w:pPr>
      <w:r>
        <w:separator/>
      </w:r>
    </w:p>
  </w:footnote>
  <w:footnote w:type="continuationSeparator" w:id="0">
    <w:p w14:paraId="5DF8DC72" w14:textId="77777777" w:rsidR="002346A1" w:rsidRDefault="002346A1" w:rsidP="008B39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4C6E60"/>
    <w:multiLevelType w:val="multilevel"/>
    <w:tmpl w:val="422639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AE4175E"/>
    <w:multiLevelType w:val="multilevel"/>
    <w:tmpl w:val="3B12A5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D932C96"/>
    <w:multiLevelType w:val="hybridMultilevel"/>
    <w:tmpl w:val="214CCDE2"/>
    <w:lvl w:ilvl="0" w:tplc="86CE0D5E">
      <w:start w:val="1"/>
      <w:numFmt w:val="lowerLetter"/>
      <w:lvlText w:val="%1)"/>
      <w:lvlJc w:val="left"/>
      <w:pPr>
        <w:ind w:left="675" w:hanging="360"/>
      </w:pPr>
      <w:rPr>
        <w:b/>
      </w:rPr>
    </w:lvl>
    <w:lvl w:ilvl="1" w:tplc="08090019">
      <w:start w:val="1"/>
      <w:numFmt w:val="lowerLetter"/>
      <w:lvlText w:val="%2."/>
      <w:lvlJc w:val="left"/>
      <w:pPr>
        <w:ind w:left="1395" w:hanging="360"/>
      </w:pPr>
    </w:lvl>
    <w:lvl w:ilvl="2" w:tplc="0809001B">
      <w:start w:val="1"/>
      <w:numFmt w:val="lowerRoman"/>
      <w:lvlText w:val="%3."/>
      <w:lvlJc w:val="right"/>
      <w:pPr>
        <w:ind w:left="2115" w:hanging="180"/>
      </w:pPr>
    </w:lvl>
    <w:lvl w:ilvl="3" w:tplc="0809000F">
      <w:start w:val="1"/>
      <w:numFmt w:val="decimal"/>
      <w:lvlText w:val="%4."/>
      <w:lvlJc w:val="left"/>
      <w:pPr>
        <w:ind w:left="2835" w:hanging="360"/>
      </w:pPr>
    </w:lvl>
    <w:lvl w:ilvl="4" w:tplc="08090019">
      <w:start w:val="1"/>
      <w:numFmt w:val="lowerLetter"/>
      <w:lvlText w:val="%5."/>
      <w:lvlJc w:val="left"/>
      <w:pPr>
        <w:ind w:left="3555" w:hanging="360"/>
      </w:pPr>
    </w:lvl>
    <w:lvl w:ilvl="5" w:tplc="0809001B">
      <w:start w:val="1"/>
      <w:numFmt w:val="lowerRoman"/>
      <w:lvlText w:val="%6."/>
      <w:lvlJc w:val="right"/>
      <w:pPr>
        <w:ind w:left="4275" w:hanging="180"/>
      </w:pPr>
    </w:lvl>
    <w:lvl w:ilvl="6" w:tplc="0809000F">
      <w:start w:val="1"/>
      <w:numFmt w:val="decimal"/>
      <w:lvlText w:val="%7."/>
      <w:lvlJc w:val="left"/>
      <w:pPr>
        <w:ind w:left="4995" w:hanging="360"/>
      </w:pPr>
    </w:lvl>
    <w:lvl w:ilvl="7" w:tplc="08090019">
      <w:start w:val="1"/>
      <w:numFmt w:val="lowerLetter"/>
      <w:lvlText w:val="%8."/>
      <w:lvlJc w:val="left"/>
      <w:pPr>
        <w:ind w:left="5715" w:hanging="360"/>
      </w:pPr>
    </w:lvl>
    <w:lvl w:ilvl="8" w:tplc="0809001B">
      <w:start w:val="1"/>
      <w:numFmt w:val="lowerRoman"/>
      <w:lvlText w:val="%9."/>
      <w:lvlJc w:val="right"/>
      <w:pPr>
        <w:ind w:left="6435" w:hanging="180"/>
      </w:pPr>
    </w:lvl>
  </w:abstractNum>
  <w:abstractNum w:abstractNumId="3" w15:restartNumberingAfterBreak="0">
    <w:nsid w:val="334F2827"/>
    <w:multiLevelType w:val="multilevel"/>
    <w:tmpl w:val="50ECD3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2B5654C"/>
    <w:multiLevelType w:val="multilevel"/>
    <w:tmpl w:val="9D6EF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1810854"/>
    <w:multiLevelType w:val="multilevel"/>
    <w:tmpl w:val="4314D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D70611C"/>
    <w:multiLevelType w:val="multilevel"/>
    <w:tmpl w:val="6A386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8BE7116"/>
    <w:multiLevelType w:val="multilevel"/>
    <w:tmpl w:val="4A728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C5A5012"/>
    <w:multiLevelType w:val="multilevel"/>
    <w:tmpl w:val="1EB2E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F1525B8"/>
    <w:multiLevelType w:val="multilevel"/>
    <w:tmpl w:val="7DAED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81330094">
    <w:abstractNumId w:val="8"/>
  </w:num>
  <w:num w:numId="2" w16cid:durableId="1667516671">
    <w:abstractNumId w:val="9"/>
  </w:num>
  <w:num w:numId="3" w16cid:durableId="486558829">
    <w:abstractNumId w:val="1"/>
  </w:num>
  <w:num w:numId="4" w16cid:durableId="1378511900">
    <w:abstractNumId w:val="3"/>
  </w:num>
  <w:num w:numId="5" w16cid:durableId="1391735287">
    <w:abstractNumId w:val="4"/>
  </w:num>
  <w:num w:numId="6" w16cid:durableId="339889976">
    <w:abstractNumId w:val="0"/>
  </w:num>
  <w:num w:numId="7" w16cid:durableId="1022703958">
    <w:abstractNumId w:val="5"/>
  </w:num>
  <w:num w:numId="8" w16cid:durableId="1530679264">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366415892">
    <w:abstractNumId w:val="6"/>
  </w:num>
  <w:num w:numId="10" w16cid:durableId="96751364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0CF4"/>
    <w:rsid w:val="00011133"/>
    <w:rsid w:val="000612B8"/>
    <w:rsid w:val="000D3778"/>
    <w:rsid w:val="000D6D51"/>
    <w:rsid w:val="001F4D56"/>
    <w:rsid w:val="002346A1"/>
    <w:rsid w:val="00281950"/>
    <w:rsid w:val="0029332A"/>
    <w:rsid w:val="00313871"/>
    <w:rsid w:val="00362D62"/>
    <w:rsid w:val="00367C8F"/>
    <w:rsid w:val="003A47E3"/>
    <w:rsid w:val="003E023E"/>
    <w:rsid w:val="003E361F"/>
    <w:rsid w:val="0040296C"/>
    <w:rsid w:val="004756CE"/>
    <w:rsid w:val="004E1FA5"/>
    <w:rsid w:val="00530CF4"/>
    <w:rsid w:val="0054133D"/>
    <w:rsid w:val="00541352"/>
    <w:rsid w:val="0058367D"/>
    <w:rsid w:val="006B4412"/>
    <w:rsid w:val="007E029D"/>
    <w:rsid w:val="008601C2"/>
    <w:rsid w:val="0086159D"/>
    <w:rsid w:val="008A5843"/>
    <w:rsid w:val="008B397C"/>
    <w:rsid w:val="008D3E54"/>
    <w:rsid w:val="009354A9"/>
    <w:rsid w:val="00A045EB"/>
    <w:rsid w:val="00A37708"/>
    <w:rsid w:val="00A97CDA"/>
    <w:rsid w:val="00AA0130"/>
    <w:rsid w:val="00AE4A67"/>
    <w:rsid w:val="00B5096B"/>
    <w:rsid w:val="00D11D47"/>
    <w:rsid w:val="00E12BF9"/>
    <w:rsid w:val="00FA330B"/>
    <w:rsid w:val="00FC34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8687DA"/>
  <w15:chartTrackingRefBased/>
  <w15:docId w15:val="{DFF1A877-DD76-44D8-9222-186E50DDF6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0C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30C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30C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30C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30C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30C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0C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0C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0C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0C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30C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30C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30C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30C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30C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0C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0C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0CF4"/>
    <w:rPr>
      <w:rFonts w:eastAsiaTheme="majorEastAsia" w:cstheme="majorBidi"/>
      <w:color w:val="272727" w:themeColor="text1" w:themeTint="D8"/>
    </w:rPr>
  </w:style>
  <w:style w:type="paragraph" w:styleId="Title">
    <w:name w:val="Title"/>
    <w:basedOn w:val="Normal"/>
    <w:next w:val="Normal"/>
    <w:link w:val="TitleChar"/>
    <w:uiPriority w:val="10"/>
    <w:qFormat/>
    <w:rsid w:val="00530C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0C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0C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0C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0CF4"/>
    <w:pPr>
      <w:spacing w:before="160"/>
      <w:jc w:val="center"/>
    </w:pPr>
    <w:rPr>
      <w:i/>
      <w:iCs/>
      <w:color w:val="404040" w:themeColor="text1" w:themeTint="BF"/>
    </w:rPr>
  </w:style>
  <w:style w:type="character" w:customStyle="1" w:styleId="QuoteChar">
    <w:name w:val="Quote Char"/>
    <w:basedOn w:val="DefaultParagraphFont"/>
    <w:link w:val="Quote"/>
    <w:uiPriority w:val="29"/>
    <w:rsid w:val="00530CF4"/>
    <w:rPr>
      <w:i/>
      <w:iCs/>
      <w:color w:val="404040" w:themeColor="text1" w:themeTint="BF"/>
    </w:rPr>
  </w:style>
  <w:style w:type="paragraph" w:styleId="ListParagraph">
    <w:name w:val="List Paragraph"/>
    <w:basedOn w:val="Normal"/>
    <w:uiPriority w:val="34"/>
    <w:qFormat/>
    <w:rsid w:val="00530CF4"/>
    <w:pPr>
      <w:ind w:left="720"/>
      <w:contextualSpacing/>
    </w:pPr>
  </w:style>
  <w:style w:type="character" w:styleId="IntenseEmphasis">
    <w:name w:val="Intense Emphasis"/>
    <w:basedOn w:val="DefaultParagraphFont"/>
    <w:uiPriority w:val="21"/>
    <w:qFormat/>
    <w:rsid w:val="00530CF4"/>
    <w:rPr>
      <w:i/>
      <w:iCs/>
      <w:color w:val="0F4761" w:themeColor="accent1" w:themeShade="BF"/>
    </w:rPr>
  </w:style>
  <w:style w:type="paragraph" w:styleId="IntenseQuote">
    <w:name w:val="Intense Quote"/>
    <w:basedOn w:val="Normal"/>
    <w:next w:val="Normal"/>
    <w:link w:val="IntenseQuoteChar"/>
    <w:uiPriority w:val="30"/>
    <w:qFormat/>
    <w:rsid w:val="00530C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0CF4"/>
    <w:rPr>
      <w:i/>
      <w:iCs/>
      <w:color w:val="0F4761" w:themeColor="accent1" w:themeShade="BF"/>
    </w:rPr>
  </w:style>
  <w:style w:type="character" w:styleId="IntenseReference">
    <w:name w:val="Intense Reference"/>
    <w:basedOn w:val="DefaultParagraphFont"/>
    <w:uiPriority w:val="32"/>
    <w:qFormat/>
    <w:rsid w:val="00530CF4"/>
    <w:rPr>
      <w:b/>
      <w:bCs/>
      <w:smallCaps/>
      <w:color w:val="0F4761" w:themeColor="accent1" w:themeShade="BF"/>
      <w:spacing w:val="5"/>
    </w:rPr>
  </w:style>
  <w:style w:type="paragraph" w:styleId="Header">
    <w:name w:val="header"/>
    <w:basedOn w:val="Normal"/>
    <w:link w:val="HeaderChar"/>
    <w:uiPriority w:val="99"/>
    <w:unhideWhenUsed/>
    <w:rsid w:val="008B39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397C"/>
  </w:style>
  <w:style w:type="paragraph" w:styleId="Footer">
    <w:name w:val="footer"/>
    <w:basedOn w:val="Normal"/>
    <w:link w:val="FooterChar"/>
    <w:uiPriority w:val="99"/>
    <w:unhideWhenUsed/>
    <w:rsid w:val="008B39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397C"/>
  </w:style>
  <w:style w:type="table" w:styleId="TableGrid">
    <w:name w:val="Table Grid"/>
    <w:basedOn w:val="TableNormal"/>
    <w:uiPriority w:val="39"/>
    <w:rsid w:val="003E02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cd1a30a99b051adb17725b6d3332e99e">
  <xsd:schema xmlns:xsd="http://www.w3.org/2001/XMLSchema" xmlns:xs="http://www.w3.org/2001/XMLSchema" xmlns:p="http://schemas.microsoft.com/office/2006/metadata/properties" xmlns:ns3="0085e1a2-9cbf-4b92-866b-21f3c89040b6" targetNamespace="http://schemas.microsoft.com/office/2006/metadata/properties" ma:root="true" ma:fieldsID="7b27b219a9ec515d6d13501e7e3484e0"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71AA433B-3376-4A0A-90AD-5021176F8B2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CC15D79-C3A9-4BC4-AD7F-D7334C700C65}">
  <ds:schemaRefs>
    <ds:schemaRef ds:uri="http://schemas.microsoft.com/sharepoint/v3/contenttype/forms"/>
  </ds:schemaRefs>
</ds:datastoreItem>
</file>

<file path=customXml/itemProps3.xml><?xml version="1.0" encoding="utf-8"?>
<ds:datastoreItem xmlns:ds="http://schemas.openxmlformats.org/officeDocument/2006/customXml" ds:itemID="{D399EB47-762D-4FBB-96F5-2D2F232C6BBD}">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7</Pages>
  <Words>1893</Words>
  <Characters>10791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Osaheni Nabulele (2335292)</dc:creator>
  <cp:keywords/>
  <dc:description/>
  <cp:lastModifiedBy>Osaheni Nabulele (2335292)</cp:lastModifiedBy>
  <cp:revision>11</cp:revision>
  <dcterms:created xsi:type="dcterms:W3CDTF">2026-03-25T20:49:00Z</dcterms:created>
  <dcterms:modified xsi:type="dcterms:W3CDTF">2026-03-25T21:01:00Z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