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178238676"/>
        <w:docPartObj>
          <w:docPartGallery w:val="Cover Pages"/>
          <w:docPartUnique/>
        </w:docPartObj>
      </w:sdtPr>
      <w:sdtEndPr>
        <w:rPr>
          <w:rFonts w:ascii="Arial" w:hAnsi="Arial" w:cs="Arial"/>
          <w:color w:val="auto"/>
        </w:rPr>
      </w:sdtEndPr>
      <w:sdtContent>
        <w:p w14:paraId="192F8187" w14:textId="631B2313" w:rsidR="003F1C14" w:rsidRDefault="003F1C14">
          <w:pPr>
            <w:pStyle w:val="NoSpacing"/>
            <w:spacing w:before="1540" w:after="240"/>
            <w:jc w:val="center"/>
            <w:rPr>
              <w:color w:val="156082" w:themeColor="accent1"/>
            </w:rPr>
          </w:pPr>
          <w:r>
            <w:rPr>
              <w:noProof/>
              <w:color w:val="156082" w:themeColor="accent1"/>
            </w:rPr>
            <w:drawing>
              <wp:inline distT="0" distB="0" distL="0" distR="0" wp14:anchorId="5F406F0F" wp14:editId="45F177E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0A526E9CB254E169BE177254F6443C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88D808" w14:textId="5E0E6033" w:rsidR="003F1C14" w:rsidRDefault="003F1C1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an evaluation on person-centred care and partnership working within uk care home services.</w:t>
              </w:r>
            </w:p>
          </w:sdtContent>
        </w:sdt>
        <w:sdt>
          <w:sdtPr>
            <w:rPr>
              <w:color w:val="156082" w:themeColor="accent1"/>
              <w:sz w:val="28"/>
              <w:szCs w:val="28"/>
            </w:rPr>
            <w:alias w:val="Subtitle"/>
            <w:tag w:val=""/>
            <w:id w:val="328029620"/>
            <w:placeholder>
              <w:docPart w:val="E4587E5770F64E7A8F2CEACA9A1EE882"/>
            </w:placeholder>
            <w:dataBinding w:prefixMappings="xmlns:ns0='http://purl.org/dc/elements/1.1/' xmlns:ns1='http://schemas.openxmlformats.org/package/2006/metadata/core-properties' " w:xpath="/ns1:coreProperties[1]/ns0:subject[1]" w:storeItemID="{6C3C8BC8-F283-45AE-878A-BAB7291924A1}"/>
            <w:text/>
          </w:sdtPr>
          <w:sdtEndPr/>
          <w:sdtContent>
            <w:p w14:paraId="72D48963" w14:textId="3C2CE1B6" w:rsidR="003F1C14" w:rsidRDefault="003F1C14">
              <w:pPr>
                <w:pStyle w:val="NoSpacing"/>
                <w:jc w:val="center"/>
                <w:rPr>
                  <w:color w:val="156082" w:themeColor="accent1"/>
                  <w:sz w:val="28"/>
                  <w:szCs w:val="28"/>
                </w:rPr>
              </w:pPr>
              <w:r>
                <w:rPr>
                  <w:color w:val="156082" w:themeColor="accent1"/>
                  <w:sz w:val="28"/>
                  <w:szCs w:val="28"/>
                </w:rPr>
                <w:t>Name: Patricia Parkes</w:t>
              </w:r>
            </w:p>
          </w:sdtContent>
        </w:sdt>
        <w:p w14:paraId="5EA79D0A" w14:textId="77777777" w:rsidR="003F1C14" w:rsidRDefault="003F1C1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B91B082" wp14:editId="7F2D52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67B72D03" w14:textId="17C73FCB" w:rsidR="003F1C14" w:rsidRDefault="003F1C14">
                                    <w:pPr>
                                      <w:pStyle w:val="NoSpacing"/>
                                      <w:spacing w:after="40"/>
                                      <w:jc w:val="center"/>
                                      <w:rPr>
                                        <w:caps/>
                                        <w:color w:val="156082" w:themeColor="accent1"/>
                                        <w:sz w:val="28"/>
                                        <w:szCs w:val="28"/>
                                      </w:rPr>
                                    </w:pPr>
                                    <w:r>
                                      <w:rPr>
                                        <w:caps/>
                                        <w:color w:val="156082" w:themeColor="accent1"/>
                                        <w:sz w:val="28"/>
                                        <w:szCs w:val="28"/>
                                      </w:rPr>
                                      <w:t>student number:2435756</w:t>
                                    </w:r>
                                  </w:p>
                                </w:sdtContent>
                              </w:sdt>
                              <w:p w14:paraId="7946B74F" w14:textId="206F61BD" w:rsidR="003F1C14" w:rsidRDefault="00D758F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F1C14">
                                      <w:rPr>
                                        <w:caps/>
                                        <w:color w:val="156082" w:themeColor="accent1"/>
                                      </w:rPr>
                                      <w:t>LECTURER: AZIDA Zainol</w:t>
                                    </w:r>
                                  </w:sdtContent>
                                </w:sdt>
                              </w:p>
                              <w:p w14:paraId="28F34F22" w14:textId="5514C8D2" w:rsidR="003F1C14" w:rsidRDefault="00D758F4">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F1C14">
                                      <w:rPr>
                                        <w:color w:val="156082" w:themeColor="accent1"/>
                                      </w:rPr>
                                      <w:t xml:space="preserve">     </w:t>
                                    </w:r>
                                  </w:sdtContent>
                                </w:sdt>
                                <w:r w:rsidR="002D511F">
                                  <w:rPr>
                                    <w:color w:val="156082" w:themeColor="accent1"/>
                                  </w:rPr>
                                  <w:t xml:space="preserve">Module </w:t>
                                </w:r>
                                <w:r w:rsidR="0002509D">
                                  <w:rPr>
                                    <w:color w:val="156082" w:themeColor="accent1"/>
                                  </w:rPr>
                                  <w:t>code: BMHP</w:t>
                                </w:r>
                                <w:r w:rsidR="002D511F">
                                  <w:rPr>
                                    <w:color w:val="156082" w:themeColor="accent1"/>
                                  </w:rPr>
                                  <w:t>5016</w:t>
                                </w:r>
                              </w:p>
                              <w:p w14:paraId="6A0BC446" w14:textId="2644EA24" w:rsidR="0002509D" w:rsidRDefault="0002509D">
                                <w:pPr>
                                  <w:pStyle w:val="NoSpacing"/>
                                  <w:jc w:val="center"/>
                                  <w:rPr>
                                    <w:color w:val="156082" w:themeColor="accent1"/>
                                  </w:rPr>
                                </w:pPr>
                                <w:r>
                                  <w:rPr>
                                    <w:color w:val="156082" w:themeColor="accent1"/>
                                  </w:rPr>
                                  <w:t>Word count: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91B08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67B72D03" w14:textId="17C73FCB" w:rsidR="003F1C14" w:rsidRDefault="003F1C14">
                              <w:pPr>
                                <w:pStyle w:val="NoSpacing"/>
                                <w:spacing w:after="40"/>
                                <w:jc w:val="center"/>
                                <w:rPr>
                                  <w:caps/>
                                  <w:color w:val="156082" w:themeColor="accent1"/>
                                  <w:sz w:val="28"/>
                                  <w:szCs w:val="28"/>
                                </w:rPr>
                              </w:pPr>
                              <w:r>
                                <w:rPr>
                                  <w:caps/>
                                  <w:color w:val="156082" w:themeColor="accent1"/>
                                  <w:sz w:val="28"/>
                                  <w:szCs w:val="28"/>
                                </w:rPr>
                                <w:t>student number:2435756</w:t>
                              </w:r>
                            </w:p>
                          </w:sdtContent>
                        </w:sdt>
                        <w:p w14:paraId="7946B74F" w14:textId="206F61BD" w:rsidR="003F1C14" w:rsidRDefault="00D758F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F1C14">
                                <w:rPr>
                                  <w:caps/>
                                  <w:color w:val="156082" w:themeColor="accent1"/>
                                </w:rPr>
                                <w:t>LECTURER: AZIDA Zainol</w:t>
                              </w:r>
                            </w:sdtContent>
                          </w:sdt>
                        </w:p>
                        <w:p w14:paraId="28F34F22" w14:textId="5514C8D2" w:rsidR="003F1C14" w:rsidRDefault="00D758F4">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F1C14">
                                <w:rPr>
                                  <w:color w:val="156082" w:themeColor="accent1"/>
                                </w:rPr>
                                <w:t xml:space="preserve">     </w:t>
                              </w:r>
                            </w:sdtContent>
                          </w:sdt>
                          <w:r w:rsidR="002D511F">
                            <w:rPr>
                              <w:color w:val="156082" w:themeColor="accent1"/>
                            </w:rPr>
                            <w:t xml:space="preserve">Module </w:t>
                          </w:r>
                          <w:r w:rsidR="0002509D">
                            <w:rPr>
                              <w:color w:val="156082" w:themeColor="accent1"/>
                            </w:rPr>
                            <w:t>code: BMHP</w:t>
                          </w:r>
                          <w:r w:rsidR="002D511F">
                            <w:rPr>
                              <w:color w:val="156082" w:themeColor="accent1"/>
                            </w:rPr>
                            <w:t>5016</w:t>
                          </w:r>
                        </w:p>
                        <w:p w14:paraId="6A0BC446" w14:textId="2644EA24" w:rsidR="0002509D" w:rsidRDefault="0002509D">
                          <w:pPr>
                            <w:pStyle w:val="NoSpacing"/>
                            <w:jc w:val="center"/>
                            <w:rPr>
                              <w:color w:val="156082" w:themeColor="accent1"/>
                            </w:rPr>
                          </w:pPr>
                          <w:r>
                            <w:rPr>
                              <w:color w:val="156082" w:themeColor="accent1"/>
                            </w:rPr>
                            <w:t>Word count:</w:t>
                          </w:r>
                        </w:p>
                      </w:txbxContent>
                    </v:textbox>
                    <w10:wrap anchorx="margin" anchory="page"/>
                  </v:shape>
                </w:pict>
              </mc:Fallback>
            </mc:AlternateContent>
          </w:r>
          <w:r>
            <w:rPr>
              <w:noProof/>
              <w:color w:val="156082" w:themeColor="accent1"/>
            </w:rPr>
            <w:drawing>
              <wp:inline distT="0" distB="0" distL="0" distR="0" wp14:anchorId="08B0B87A" wp14:editId="7EA1E36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2E9280" w14:textId="5DA45ACA" w:rsidR="003F1C14" w:rsidRDefault="003F1C14">
          <w:pPr>
            <w:rPr>
              <w:rFonts w:ascii="Arial" w:hAnsi="Arial" w:cs="Arial"/>
            </w:rPr>
          </w:pPr>
          <w:r>
            <w:rPr>
              <w:rFonts w:ascii="Arial" w:hAnsi="Arial" w:cs="Arial"/>
            </w:rPr>
            <w:br w:type="page"/>
          </w:r>
        </w:p>
      </w:sdtContent>
    </w:sdt>
    <w:sdt>
      <w:sdtPr>
        <w:id w:val="525836784"/>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1045E755" w14:textId="5F59B61A" w:rsidR="00817374" w:rsidRDefault="00817374">
          <w:pPr>
            <w:pStyle w:val="TOCHeading"/>
          </w:pPr>
          <w:r>
            <w:t>Contents</w:t>
          </w:r>
        </w:p>
        <w:p w14:paraId="17D92183" w14:textId="3CA650F5" w:rsidR="00817374" w:rsidRDefault="0081737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5911014" w:history="1">
            <w:r w:rsidRPr="007B53A6">
              <w:rPr>
                <w:rStyle w:val="Hyperlink"/>
                <w:noProof/>
              </w:rPr>
              <w:t>Abstract</w:t>
            </w:r>
            <w:r>
              <w:rPr>
                <w:noProof/>
                <w:webHidden/>
              </w:rPr>
              <w:tab/>
            </w:r>
            <w:r>
              <w:rPr>
                <w:noProof/>
                <w:webHidden/>
              </w:rPr>
              <w:fldChar w:fldCharType="begin"/>
            </w:r>
            <w:r>
              <w:rPr>
                <w:noProof/>
                <w:webHidden/>
              </w:rPr>
              <w:instrText xml:space="preserve"> PAGEREF _Toc235911014 \h </w:instrText>
            </w:r>
            <w:r>
              <w:rPr>
                <w:noProof/>
                <w:webHidden/>
              </w:rPr>
            </w:r>
            <w:r>
              <w:rPr>
                <w:noProof/>
                <w:webHidden/>
              </w:rPr>
              <w:fldChar w:fldCharType="separate"/>
            </w:r>
            <w:r>
              <w:rPr>
                <w:noProof/>
                <w:webHidden/>
              </w:rPr>
              <w:t>1</w:t>
            </w:r>
            <w:r>
              <w:rPr>
                <w:noProof/>
                <w:webHidden/>
              </w:rPr>
              <w:fldChar w:fldCharType="end"/>
            </w:r>
          </w:hyperlink>
        </w:p>
        <w:p w14:paraId="7FE76086" w14:textId="7097C01A" w:rsidR="00817374" w:rsidRDefault="00817374">
          <w:pPr>
            <w:pStyle w:val="TOC1"/>
            <w:tabs>
              <w:tab w:val="right" w:leader="dot" w:pos="9016"/>
            </w:tabs>
            <w:rPr>
              <w:noProof/>
              <w:kern w:val="2"/>
              <w:sz w:val="24"/>
              <w:szCs w:val="24"/>
              <w:lang w:eastAsia="en-GB"/>
              <w14:ligatures w14:val="standardContextual"/>
            </w:rPr>
          </w:pPr>
          <w:hyperlink w:anchor="_Toc235911015" w:history="1">
            <w:r w:rsidRPr="007B53A6">
              <w:rPr>
                <w:rStyle w:val="Hyperlink"/>
                <w:noProof/>
              </w:rPr>
              <w:t>Introduction</w:t>
            </w:r>
            <w:r>
              <w:rPr>
                <w:noProof/>
                <w:webHidden/>
              </w:rPr>
              <w:tab/>
            </w:r>
            <w:r>
              <w:rPr>
                <w:noProof/>
                <w:webHidden/>
              </w:rPr>
              <w:fldChar w:fldCharType="begin"/>
            </w:r>
            <w:r>
              <w:rPr>
                <w:noProof/>
                <w:webHidden/>
              </w:rPr>
              <w:instrText xml:space="preserve"> PAGEREF _Toc235911015 \h </w:instrText>
            </w:r>
            <w:r>
              <w:rPr>
                <w:noProof/>
                <w:webHidden/>
              </w:rPr>
            </w:r>
            <w:r>
              <w:rPr>
                <w:noProof/>
                <w:webHidden/>
              </w:rPr>
              <w:fldChar w:fldCharType="separate"/>
            </w:r>
            <w:r>
              <w:rPr>
                <w:noProof/>
                <w:webHidden/>
              </w:rPr>
              <w:t>1</w:t>
            </w:r>
            <w:r>
              <w:rPr>
                <w:noProof/>
                <w:webHidden/>
              </w:rPr>
              <w:fldChar w:fldCharType="end"/>
            </w:r>
          </w:hyperlink>
        </w:p>
        <w:p w14:paraId="6A6EEEE3" w14:textId="2043F90A" w:rsidR="00817374" w:rsidRDefault="00817374">
          <w:pPr>
            <w:pStyle w:val="TOC2"/>
            <w:tabs>
              <w:tab w:val="right" w:leader="dot" w:pos="9016"/>
            </w:tabs>
            <w:rPr>
              <w:noProof/>
              <w:kern w:val="2"/>
              <w:sz w:val="24"/>
              <w:szCs w:val="24"/>
              <w:lang w:eastAsia="en-GB"/>
              <w14:ligatures w14:val="standardContextual"/>
            </w:rPr>
          </w:pPr>
          <w:hyperlink w:anchor="_Toc235911016" w:history="1">
            <w:r w:rsidRPr="007B53A6">
              <w:rPr>
                <w:rStyle w:val="Hyperlink"/>
                <w:noProof/>
              </w:rPr>
              <w:t>Definition of person-centred care</w:t>
            </w:r>
            <w:r>
              <w:rPr>
                <w:noProof/>
                <w:webHidden/>
              </w:rPr>
              <w:tab/>
            </w:r>
            <w:r>
              <w:rPr>
                <w:noProof/>
                <w:webHidden/>
              </w:rPr>
              <w:fldChar w:fldCharType="begin"/>
            </w:r>
            <w:r>
              <w:rPr>
                <w:noProof/>
                <w:webHidden/>
              </w:rPr>
              <w:instrText xml:space="preserve"> PAGEREF _Toc235911016 \h </w:instrText>
            </w:r>
            <w:r>
              <w:rPr>
                <w:noProof/>
                <w:webHidden/>
              </w:rPr>
            </w:r>
            <w:r>
              <w:rPr>
                <w:noProof/>
                <w:webHidden/>
              </w:rPr>
              <w:fldChar w:fldCharType="separate"/>
            </w:r>
            <w:r>
              <w:rPr>
                <w:noProof/>
                <w:webHidden/>
              </w:rPr>
              <w:t>2</w:t>
            </w:r>
            <w:r>
              <w:rPr>
                <w:noProof/>
                <w:webHidden/>
              </w:rPr>
              <w:fldChar w:fldCharType="end"/>
            </w:r>
          </w:hyperlink>
        </w:p>
        <w:p w14:paraId="3CCF5E32" w14:textId="587A4F43" w:rsidR="00817374" w:rsidRDefault="00817374">
          <w:pPr>
            <w:pStyle w:val="TOC3"/>
            <w:tabs>
              <w:tab w:val="right" w:leader="dot" w:pos="9016"/>
            </w:tabs>
            <w:rPr>
              <w:noProof/>
              <w:kern w:val="2"/>
              <w:sz w:val="24"/>
              <w:szCs w:val="24"/>
              <w:lang w:eastAsia="en-GB"/>
              <w14:ligatures w14:val="standardContextual"/>
            </w:rPr>
          </w:pPr>
          <w:hyperlink w:anchor="_Toc235911017" w:history="1">
            <w:r w:rsidRPr="007B53A6">
              <w:rPr>
                <w:rStyle w:val="Hyperlink"/>
                <w:noProof/>
              </w:rPr>
              <w:t>Main benefits</w:t>
            </w:r>
            <w:r>
              <w:rPr>
                <w:noProof/>
                <w:webHidden/>
              </w:rPr>
              <w:tab/>
            </w:r>
            <w:r>
              <w:rPr>
                <w:noProof/>
                <w:webHidden/>
              </w:rPr>
              <w:fldChar w:fldCharType="begin"/>
            </w:r>
            <w:r>
              <w:rPr>
                <w:noProof/>
                <w:webHidden/>
              </w:rPr>
              <w:instrText xml:space="preserve"> PAGEREF _Toc235911017 \h </w:instrText>
            </w:r>
            <w:r>
              <w:rPr>
                <w:noProof/>
                <w:webHidden/>
              </w:rPr>
            </w:r>
            <w:r>
              <w:rPr>
                <w:noProof/>
                <w:webHidden/>
              </w:rPr>
              <w:fldChar w:fldCharType="separate"/>
            </w:r>
            <w:r>
              <w:rPr>
                <w:noProof/>
                <w:webHidden/>
              </w:rPr>
              <w:t>3</w:t>
            </w:r>
            <w:r>
              <w:rPr>
                <w:noProof/>
                <w:webHidden/>
              </w:rPr>
              <w:fldChar w:fldCharType="end"/>
            </w:r>
          </w:hyperlink>
        </w:p>
        <w:p w14:paraId="7A5D74EF" w14:textId="0F04A0F6" w:rsidR="00817374" w:rsidRDefault="00817374">
          <w:pPr>
            <w:pStyle w:val="TOC3"/>
            <w:tabs>
              <w:tab w:val="right" w:leader="dot" w:pos="9016"/>
            </w:tabs>
            <w:rPr>
              <w:noProof/>
              <w:kern w:val="2"/>
              <w:sz w:val="24"/>
              <w:szCs w:val="24"/>
              <w:lang w:eastAsia="en-GB"/>
              <w14:ligatures w14:val="standardContextual"/>
            </w:rPr>
          </w:pPr>
          <w:hyperlink w:anchor="_Toc235911018" w:history="1">
            <w:r w:rsidRPr="007B53A6">
              <w:rPr>
                <w:rStyle w:val="Hyperlink"/>
                <w:rFonts w:eastAsia="Times New Roman"/>
                <w:noProof/>
                <w:lang w:eastAsia="en-GB"/>
              </w:rPr>
              <w:t>Limitations</w:t>
            </w:r>
            <w:r>
              <w:rPr>
                <w:noProof/>
                <w:webHidden/>
              </w:rPr>
              <w:tab/>
            </w:r>
            <w:r>
              <w:rPr>
                <w:noProof/>
                <w:webHidden/>
              </w:rPr>
              <w:fldChar w:fldCharType="begin"/>
            </w:r>
            <w:r>
              <w:rPr>
                <w:noProof/>
                <w:webHidden/>
              </w:rPr>
              <w:instrText xml:space="preserve"> PAGEREF _Toc235911018 \h </w:instrText>
            </w:r>
            <w:r>
              <w:rPr>
                <w:noProof/>
                <w:webHidden/>
              </w:rPr>
            </w:r>
            <w:r>
              <w:rPr>
                <w:noProof/>
                <w:webHidden/>
              </w:rPr>
              <w:fldChar w:fldCharType="separate"/>
            </w:r>
            <w:r>
              <w:rPr>
                <w:noProof/>
                <w:webHidden/>
              </w:rPr>
              <w:t>3</w:t>
            </w:r>
            <w:r>
              <w:rPr>
                <w:noProof/>
                <w:webHidden/>
              </w:rPr>
              <w:fldChar w:fldCharType="end"/>
            </w:r>
          </w:hyperlink>
        </w:p>
        <w:p w14:paraId="6E5BEDAE" w14:textId="6E4CE93F" w:rsidR="00817374" w:rsidRDefault="00817374">
          <w:pPr>
            <w:pStyle w:val="TOC3"/>
            <w:tabs>
              <w:tab w:val="right" w:leader="dot" w:pos="9016"/>
            </w:tabs>
            <w:rPr>
              <w:noProof/>
              <w:kern w:val="2"/>
              <w:sz w:val="24"/>
              <w:szCs w:val="24"/>
              <w:lang w:eastAsia="en-GB"/>
              <w14:ligatures w14:val="standardContextual"/>
            </w:rPr>
          </w:pPr>
          <w:hyperlink w:anchor="_Toc235911019" w:history="1">
            <w:r w:rsidRPr="007B53A6">
              <w:rPr>
                <w:rStyle w:val="Hyperlink"/>
                <w:rFonts w:eastAsia="Times New Roman"/>
                <w:noProof/>
                <w:lang w:eastAsia="en-GB"/>
              </w:rPr>
              <w:t>Application in a community dementia care home</w:t>
            </w:r>
            <w:r>
              <w:rPr>
                <w:noProof/>
                <w:webHidden/>
              </w:rPr>
              <w:tab/>
            </w:r>
            <w:r>
              <w:rPr>
                <w:noProof/>
                <w:webHidden/>
              </w:rPr>
              <w:fldChar w:fldCharType="begin"/>
            </w:r>
            <w:r>
              <w:rPr>
                <w:noProof/>
                <w:webHidden/>
              </w:rPr>
              <w:instrText xml:space="preserve"> PAGEREF _Toc235911019 \h </w:instrText>
            </w:r>
            <w:r>
              <w:rPr>
                <w:noProof/>
                <w:webHidden/>
              </w:rPr>
            </w:r>
            <w:r>
              <w:rPr>
                <w:noProof/>
                <w:webHidden/>
              </w:rPr>
              <w:fldChar w:fldCharType="separate"/>
            </w:r>
            <w:r>
              <w:rPr>
                <w:noProof/>
                <w:webHidden/>
              </w:rPr>
              <w:t>4</w:t>
            </w:r>
            <w:r>
              <w:rPr>
                <w:noProof/>
                <w:webHidden/>
              </w:rPr>
              <w:fldChar w:fldCharType="end"/>
            </w:r>
          </w:hyperlink>
        </w:p>
        <w:p w14:paraId="57BA2BF6" w14:textId="003FE3DD" w:rsidR="00817374" w:rsidRDefault="00817374">
          <w:pPr>
            <w:pStyle w:val="TOC2"/>
            <w:tabs>
              <w:tab w:val="right" w:leader="dot" w:pos="9016"/>
            </w:tabs>
            <w:rPr>
              <w:noProof/>
              <w:kern w:val="2"/>
              <w:sz w:val="24"/>
              <w:szCs w:val="24"/>
              <w:lang w:eastAsia="en-GB"/>
              <w14:ligatures w14:val="standardContextual"/>
            </w:rPr>
          </w:pPr>
          <w:hyperlink w:anchor="_Toc235911020" w:history="1">
            <w:r w:rsidRPr="007B53A6">
              <w:rPr>
                <w:rStyle w:val="Hyperlink"/>
                <w:rFonts w:eastAsia="Times New Roman"/>
                <w:noProof/>
                <w:lang w:eastAsia="en-GB"/>
              </w:rPr>
              <w:t>Critically examine</w:t>
            </w:r>
            <w:r>
              <w:rPr>
                <w:noProof/>
                <w:webHidden/>
              </w:rPr>
              <w:tab/>
            </w:r>
            <w:r>
              <w:rPr>
                <w:noProof/>
                <w:webHidden/>
              </w:rPr>
              <w:fldChar w:fldCharType="begin"/>
            </w:r>
            <w:r>
              <w:rPr>
                <w:noProof/>
                <w:webHidden/>
              </w:rPr>
              <w:instrText xml:space="preserve"> PAGEREF _Toc235911020 \h </w:instrText>
            </w:r>
            <w:r>
              <w:rPr>
                <w:noProof/>
                <w:webHidden/>
              </w:rPr>
            </w:r>
            <w:r>
              <w:rPr>
                <w:noProof/>
                <w:webHidden/>
              </w:rPr>
              <w:fldChar w:fldCharType="separate"/>
            </w:r>
            <w:r>
              <w:rPr>
                <w:noProof/>
                <w:webHidden/>
              </w:rPr>
              <w:t>5</w:t>
            </w:r>
            <w:r>
              <w:rPr>
                <w:noProof/>
                <w:webHidden/>
              </w:rPr>
              <w:fldChar w:fldCharType="end"/>
            </w:r>
          </w:hyperlink>
        </w:p>
        <w:p w14:paraId="1C357108" w14:textId="00226333" w:rsidR="00817374" w:rsidRDefault="00817374">
          <w:pPr>
            <w:pStyle w:val="TOC2"/>
            <w:tabs>
              <w:tab w:val="right" w:leader="dot" w:pos="9016"/>
            </w:tabs>
            <w:rPr>
              <w:noProof/>
              <w:kern w:val="2"/>
              <w:sz w:val="24"/>
              <w:szCs w:val="24"/>
              <w:lang w:eastAsia="en-GB"/>
              <w14:ligatures w14:val="standardContextual"/>
            </w:rPr>
          </w:pPr>
          <w:hyperlink w:anchor="_Toc235911021" w:history="1">
            <w:r w:rsidRPr="007B53A6">
              <w:rPr>
                <w:rStyle w:val="Hyperlink"/>
                <w:rFonts w:eastAsia="Times New Roman"/>
                <w:noProof/>
                <w:lang w:eastAsia="en-GB"/>
              </w:rPr>
              <w:t>Partnership working</w:t>
            </w:r>
            <w:r>
              <w:rPr>
                <w:noProof/>
                <w:webHidden/>
              </w:rPr>
              <w:tab/>
            </w:r>
            <w:r>
              <w:rPr>
                <w:noProof/>
                <w:webHidden/>
              </w:rPr>
              <w:fldChar w:fldCharType="begin"/>
            </w:r>
            <w:r>
              <w:rPr>
                <w:noProof/>
                <w:webHidden/>
              </w:rPr>
              <w:instrText xml:space="preserve"> PAGEREF _Toc235911021 \h </w:instrText>
            </w:r>
            <w:r>
              <w:rPr>
                <w:noProof/>
                <w:webHidden/>
              </w:rPr>
            </w:r>
            <w:r>
              <w:rPr>
                <w:noProof/>
                <w:webHidden/>
              </w:rPr>
              <w:fldChar w:fldCharType="separate"/>
            </w:r>
            <w:r>
              <w:rPr>
                <w:noProof/>
                <w:webHidden/>
              </w:rPr>
              <w:t>6</w:t>
            </w:r>
            <w:r>
              <w:rPr>
                <w:noProof/>
                <w:webHidden/>
              </w:rPr>
              <w:fldChar w:fldCharType="end"/>
            </w:r>
          </w:hyperlink>
        </w:p>
        <w:p w14:paraId="493E12A0" w14:textId="52DC7C6C" w:rsidR="00817374" w:rsidRDefault="00817374">
          <w:pPr>
            <w:pStyle w:val="TOC2"/>
            <w:tabs>
              <w:tab w:val="right" w:leader="dot" w:pos="9016"/>
            </w:tabs>
            <w:rPr>
              <w:noProof/>
              <w:kern w:val="2"/>
              <w:sz w:val="24"/>
              <w:szCs w:val="24"/>
              <w:lang w:eastAsia="en-GB"/>
              <w14:ligatures w14:val="standardContextual"/>
            </w:rPr>
          </w:pPr>
          <w:hyperlink w:anchor="_Toc235911022" w:history="1">
            <w:r w:rsidRPr="007B53A6">
              <w:rPr>
                <w:rStyle w:val="Hyperlink"/>
                <w:noProof/>
              </w:rPr>
              <w:t>Legislations</w:t>
            </w:r>
            <w:r>
              <w:rPr>
                <w:noProof/>
                <w:webHidden/>
              </w:rPr>
              <w:tab/>
            </w:r>
            <w:r>
              <w:rPr>
                <w:noProof/>
                <w:webHidden/>
              </w:rPr>
              <w:fldChar w:fldCharType="begin"/>
            </w:r>
            <w:r>
              <w:rPr>
                <w:noProof/>
                <w:webHidden/>
              </w:rPr>
              <w:instrText xml:space="preserve"> PAGEREF _Toc235911022 \h </w:instrText>
            </w:r>
            <w:r>
              <w:rPr>
                <w:noProof/>
                <w:webHidden/>
              </w:rPr>
            </w:r>
            <w:r>
              <w:rPr>
                <w:noProof/>
                <w:webHidden/>
              </w:rPr>
              <w:fldChar w:fldCharType="separate"/>
            </w:r>
            <w:r>
              <w:rPr>
                <w:noProof/>
                <w:webHidden/>
              </w:rPr>
              <w:t>6</w:t>
            </w:r>
            <w:r>
              <w:rPr>
                <w:noProof/>
                <w:webHidden/>
              </w:rPr>
              <w:fldChar w:fldCharType="end"/>
            </w:r>
          </w:hyperlink>
        </w:p>
        <w:p w14:paraId="6D5D7258" w14:textId="1FE5DCB4" w:rsidR="00817374" w:rsidRDefault="00817374">
          <w:pPr>
            <w:pStyle w:val="TOC2"/>
            <w:tabs>
              <w:tab w:val="right" w:leader="dot" w:pos="9016"/>
            </w:tabs>
            <w:rPr>
              <w:noProof/>
              <w:kern w:val="2"/>
              <w:sz w:val="24"/>
              <w:szCs w:val="24"/>
              <w:lang w:eastAsia="en-GB"/>
              <w14:ligatures w14:val="standardContextual"/>
            </w:rPr>
          </w:pPr>
          <w:hyperlink w:anchor="_Toc235911023" w:history="1">
            <w:r w:rsidRPr="007B53A6">
              <w:rPr>
                <w:rStyle w:val="Hyperlink"/>
                <w:noProof/>
              </w:rPr>
              <w:t>suggestions</w:t>
            </w:r>
            <w:r>
              <w:rPr>
                <w:noProof/>
                <w:webHidden/>
              </w:rPr>
              <w:tab/>
            </w:r>
            <w:r>
              <w:rPr>
                <w:noProof/>
                <w:webHidden/>
              </w:rPr>
              <w:fldChar w:fldCharType="begin"/>
            </w:r>
            <w:r>
              <w:rPr>
                <w:noProof/>
                <w:webHidden/>
              </w:rPr>
              <w:instrText xml:space="preserve"> PAGEREF _Toc235911023 \h </w:instrText>
            </w:r>
            <w:r>
              <w:rPr>
                <w:noProof/>
                <w:webHidden/>
              </w:rPr>
            </w:r>
            <w:r>
              <w:rPr>
                <w:noProof/>
                <w:webHidden/>
              </w:rPr>
              <w:fldChar w:fldCharType="separate"/>
            </w:r>
            <w:r>
              <w:rPr>
                <w:noProof/>
                <w:webHidden/>
              </w:rPr>
              <w:t>7</w:t>
            </w:r>
            <w:r>
              <w:rPr>
                <w:noProof/>
                <w:webHidden/>
              </w:rPr>
              <w:fldChar w:fldCharType="end"/>
            </w:r>
          </w:hyperlink>
        </w:p>
        <w:p w14:paraId="34F87B3A" w14:textId="42AE6429" w:rsidR="00817374" w:rsidRDefault="00817374">
          <w:pPr>
            <w:pStyle w:val="TOC2"/>
            <w:tabs>
              <w:tab w:val="right" w:leader="dot" w:pos="9016"/>
            </w:tabs>
            <w:rPr>
              <w:noProof/>
              <w:kern w:val="2"/>
              <w:sz w:val="24"/>
              <w:szCs w:val="24"/>
              <w:lang w:eastAsia="en-GB"/>
              <w14:ligatures w14:val="standardContextual"/>
            </w:rPr>
          </w:pPr>
          <w:hyperlink w:anchor="_Toc235911024" w:history="1">
            <w:r w:rsidRPr="007B53A6">
              <w:rPr>
                <w:rStyle w:val="Hyperlink"/>
                <w:noProof/>
              </w:rPr>
              <w:t>To conclude</w:t>
            </w:r>
            <w:r>
              <w:rPr>
                <w:noProof/>
                <w:webHidden/>
              </w:rPr>
              <w:tab/>
            </w:r>
            <w:r>
              <w:rPr>
                <w:noProof/>
                <w:webHidden/>
              </w:rPr>
              <w:fldChar w:fldCharType="begin"/>
            </w:r>
            <w:r>
              <w:rPr>
                <w:noProof/>
                <w:webHidden/>
              </w:rPr>
              <w:instrText xml:space="preserve"> PAGEREF _Toc235911024 \h </w:instrText>
            </w:r>
            <w:r>
              <w:rPr>
                <w:noProof/>
                <w:webHidden/>
              </w:rPr>
            </w:r>
            <w:r>
              <w:rPr>
                <w:noProof/>
                <w:webHidden/>
              </w:rPr>
              <w:fldChar w:fldCharType="separate"/>
            </w:r>
            <w:r>
              <w:rPr>
                <w:noProof/>
                <w:webHidden/>
              </w:rPr>
              <w:t>8</w:t>
            </w:r>
            <w:r>
              <w:rPr>
                <w:noProof/>
                <w:webHidden/>
              </w:rPr>
              <w:fldChar w:fldCharType="end"/>
            </w:r>
          </w:hyperlink>
        </w:p>
        <w:p w14:paraId="3B9C3138" w14:textId="7955CA09" w:rsidR="00817374" w:rsidRDefault="00817374">
          <w:pPr>
            <w:pStyle w:val="TOC2"/>
            <w:tabs>
              <w:tab w:val="right" w:leader="dot" w:pos="9016"/>
            </w:tabs>
            <w:rPr>
              <w:noProof/>
              <w:kern w:val="2"/>
              <w:sz w:val="24"/>
              <w:szCs w:val="24"/>
              <w:lang w:eastAsia="en-GB"/>
              <w14:ligatures w14:val="standardContextual"/>
            </w:rPr>
          </w:pPr>
          <w:hyperlink w:anchor="_Toc235911025" w:history="1">
            <w:r w:rsidRPr="007B53A6">
              <w:rPr>
                <w:rStyle w:val="Hyperlink"/>
                <w:rFonts w:ascii="Arial" w:eastAsia="Times New Roman" w:hAnsi="Arial" w:cs="Arial"/>
                <w:noProof/>
                <w:lang w:eastAsia="en-GB"/>
              </w:rPr>
              <w:t>Reference list</w:t>
            </w:r>
            <w:r>
              <w:rPr>
                <w:noProof/>
                <w:webHidden/>
              </w:rPr>
              <w:tab/>
            </w:r>
            <w:r>
              <w:rPr>
                <w:noProof/>
                <w:webHidden/>
              </w:rPr>
              <w:fldChar w:fldCharType="begin"/>
            </w:r>
            <w:r>
              <w:rPr>
                <w:noProof/>
                <w:webHidden/>
              </w:rPr>
              <w:instrText xml:space="preserve"> PAGEREF _Toc235911025 \h </w:instrText>
            </w:r>
            <w:r>
              <w:rPr>
                <w:noProof/>
                <w:webHidden/>
              </w:rPr>
            </w:r>
            <w:r>
              <w:rPr>
                <w:noProof/>
                <w:webHidden/>
              </w:rPr>
              <w:fldChar w:fldCharType="separate"/>
            </w:r>
            <w:r>
              <w:rPr>
                <w:noProof/>
                <w:webHidden/>
              </w:rPr>
              <w:t>9</w:t>
            </w:r>
            <w:r>
              <w:rPr>
                <w:noProof/>
                <w:webHidden/>
              </w:rPr>
              <w:fldChar w:fldCharType="end"/>
            </w:r>
          </w:hyperlink>
        </w:p>
        <w:p w14:paraId="64C85CC7" w14:textId="6B34B03B" w:rsidR="00817374" w:rsidRDefault="00817374">
          <w:r>
            <w:rPr>
              <w:b/>
              <w:bCs/>
            </w:rPr>
            <w:fldChar w:fldCharType="end"/>
          </w:r>
        </w:p>
      </w:sdtContent>
    </w:sdt>
    <w:p w14:paraId="6714491E" w14:textId="77777777" w:rsidR="00817374" w:rsidRDefault="00817374" w:rsidP="00AA07F3">
      <w:pPr>
        <w:pStyle w:val="Heading1"/>
      </w:pPr>
    </w:p>
    <w:p w14:paraId="3EA0F9F5" w14:textId="6B3EE641" w:rsidR="00DC123C" w:rsidRPr="00423D6C" w:rsidRDefault="006D6B4D" w:rsidP="00AA07F3">
      <w:pPr>
        <w:pStyle w:val="Heading1"/>
      </w:pPr>
      <w:bookmarkStart w:id="0" w:name="_Toc235911014"/>
      <w:r w:rsidRPr="00423D6C">
        <w:t>Abstract</w:t>
      </w:r>
      <w:bookmarkEnd w:id="0"/>
      <w:r w:rsidRPr="00423D6C">
        <w:t xml:space="preserve"> </w:t>
      </w:r>
    </w:p>
    <w:p w14:paraId="0FB3400F" w14:textId="201C9437" w:rsidR="00DC123C" w:rsidRPr="00423D6C" w:rsidRDefault="006D6B4D" w:rsidP="00423D6C">
      <w:pPr>
        <w:spacing w:line="360" w:lineRule="auto"/>
        <w:jc w:val="both"/>
        <w:rPr>
          <w:rFonts w:ascii="Arial" w:hAnsi="Arial" w:cs="Arial"/>
        </w:rPr>
      </w:pPr>
      <w:r w:rsidRPr="00423D6C">
        <w:rPr>
          <w:rFonts w:ascii="Arial" w:hAnsi="Arial" w:cs="Arial"/>
        </w:rPr>
        <w:t xml:space="preserve">This report examines the delivery of person-centred care (PCC) and </w:t>
      </w:r>
      <w:r w:rsidR="00693A5B" w:rsidRPr="00423D6C">
        <w:rPr>
          <w:rFonts w:ascii="Arial" w:hAnsi="Arial" w:cs="Arial"/>
        </w:rPr>
        <w:t>its</w:t>
      </w:r>
      <w:r w:rsidRPr="00423D6C">
        <w:rPr>
          <w:rFonts w:ascii="Arial" w:hAnsi="Arial" w:cs="Arial"/>
        </w:rPr>
        <w:t xml:space="preserve"> importance of partnership working within the context of community dementia care. It critically explores the application of key theoretical frameworks, including Bronfenbrenner's Ecological Systems Theory, Maslow's Hierarchy of Needs, and Kitwood's model of person-centred dementia care, to understand their contribution to effective care pr</w:t>
      </w:r>
      <w:r w:rsidR="004E5ED1" w:rsidRPr="00423D6C">
        <w:rPr>
          <w:rFonts w:ascii="Arial" w:hAnsi="Arial" w:cs="Arial"/>
        </w:rPr>
        <w:t>actices</w:t>
      </w:r>
      <w:r w:rsidRPr="00423D6C">
        <w:rPr>
          <w:rFonts w:ascii="Arial" w:hAnsi="Arial" w:cs="Arial"/>
        </w:rPr>
        <w:t xml:space="preserve">. In addition, the report discusses the ethical principles, relevant legislation, and policy frameworks that underpin community dementia care, including the </w:t>
      </w:r>
      <w:r w:rsidRPr="00423D6C">
        <w:rPr>
          <w:rStyle w:val="Emphasis"/>
          <w:rFonts w:ascii="Arial" w:hAnsi="Arial" w:cs="Arial"/>
        </w:rPr>
        <w:t>Health and Care Act 2022</w:t>
      </w:r>
      <w:r w:rsidRPr="00423D6C">
        <w:rPr>
          <w:rFonts w:ascii="Arial" w:hAnsi="Arial" w:cs="Arial"/>
        </w:rPr>
        <w:t xml:space="preserve"> (Health and Care Act, 2022) and Kitwood's person-centred approach (Kitwood, 1997). The report concludes by presenting evidence-based recommendations to enhance the quality of care, strengthen collaborative practice, and improve outcomes for individuals living with dementia and their familie</w:t>
      </w:r>
      <w:r w:rsidR="00654BC4" w:rsidRPr="00423D6C">
        <w:rPr>
          <w:rFonts w:ascii="Arial" w:hAnsi="Arial" w:cs="Arial"/>
        </w:rPr>
        <w:t>s.</w:t>
      </w:r>
    </w:p>
    <w:p w14:paraId="0625A209" w14:textId="2D0222C1" w:rsidR="00E9599C" w:rsidRPr="00423D6C" w:rsidRDefault="004927E8" w:rsidP="00AA07F3">
      <w:pPr>
        <w:pStyle w:val="Heading1"/>
      </w:pPr>
      <w:bookmarkStart w:id="1" w:name="_Toc235911015"/>
      <w:r w:rsidRPr="00423D6C">
        <w:t>Introduction</w:t>
      </w:r>
      <w:bookmarkEnd w:id="1"/>
    </w:p>
    <w:p w14:paraId="72FB557A" w14:textId="58BF6371" w:rsidR="004927E8" w:rsidRPr="00423D6C" w:rsidRDefault="004927E8" w:rsidP="00423D6C">
      <w:pPr>
        <w:spacing w:line="360" w:lineRule="auto"/>
        <w:jc w:val="both"/>
        <w:rPr>
          <w:rFonts w:ascii="Arial" w:hAnsi="Arial" w:cs="Arial"/>
        </w:rPr>
      </w:pPr>
      <w:r w:rsidRPr="00423D6C">
        <w:rPr>
          <w:rFonts w:ascii="Arial" w:hAnsi="Arial" w:cs="Arial"/>
        </w:rPr>
        <w:t>The number of dementia sufferers in the UK has significantly increased due to the country's ageing population, placing an increasing burden on social and health care systems.</w:t>
      </w:r>
      <w:r w:rsidR="000E1608" w:rsidRPr="00423D6C">
        <w:rPr>
          <w:rFonts w:ascii="Arial" w:hAnsi="Arial" w:cs="Arial"/>
        </w:rPr>
        <w:t xml:space="preserve"> Dementia is a progressive syndrome that affects memory, cognition, behaviour and the ability to perform everyday activities, requiring coordinated, person-centred support across a range of care settings (World Health Organization, 2023)</w:t>
      </w:r>
      <w:r w:rsidR="00EA364D" w:rsidRPr="00423D6C">
        <w:rPr>
          <w:rFonts w:ascii="Arial" w:hAnsi="Arial" w:cs="Arial"/>
        </w:rPr>
        <w:t xml:space="preserve">. </w:t>
      </w:r>
    </w:p>
    <w:p w14:paraId="42B7A59B" w14:textId="236001B8" w:rsidR="00754420" w:rsidRPr="00423D6C" w:rsidRDefault="009A5B65" w:rsidP="00423D6C">
      <w:pPr>
        <w:spacing w:line="360" w:lineRule="auto"/>
        <w:jc w:val="both"/>
        <w:rPr>
          <w:rFonts w:ascii="Arial" w:hAnsi="Arial" w:cs="Arial"/>
        </w:rPr>
      </w:pPr>
      <w:r w:rsidRPr="00423D6C">
        <w:rPr>
          <w:rFonts w:ascii="Arial" w:hAnsi="Arial" w:cs="Arial"/>
        </w:rPr>
        <w:lastRenderedPageBreak/>
        <w:t xml:space="preserve">In response to these challenges, person-centred care (PCC) has become </w:t>
      </w:r>
      <w:r w:rsidR="00126DBF" w:rsidRPr="00423D6C">
        <w:rPr>
          <w:rFonts w:ascii="Arial" w:hAnsi="Arial" w:cs="Arial"/>
        </w:rPr>
        <w:t xml:space="preserve">one of the most </w:t>
      </w:r>
      <w:r w:rsidRPr="00423D6C">
        <w:rPr>
          <w:rFonts w:ascii="Arial" w:hAnsi="Arial" w:cs="Arial"/>
        </w:rPr>
        <w:t xml:space="preserve">fundamental </w:t>
      </w:r>
      <w:r w:rsidR="00F8199D" w:rsidRPr="00423D6C">
        <w:rPr>
          <w:rFonts w:ascii="Arial" w:hAnsi="Arial" w:cs="Arial"/>
        </w:rPr>
        <w:t>principles</w:t>
      </w:r>
      <w:r w:rsidRPr="00423D6C">
        <w:rPr>
          <w:rFonts w:ascii="Arial" w:hAnsi="Arial" w:cs="Arial"/>
        </w:rPr>
        <w:t xml:space="preserve"> of dementia care, promoting dignity, independence and </w:t>
      </w:r>
      <w:r w:rsidR="00126DBF" w:rsidRPr="00423D6C">
        <w:rPr>
          <w:rFonts w:ascii="Arial" w:hAnsi="Arial" w:cs="Arial"/>
        </w:rPr>
        <w:t xml:space="preserve">tailored </w:t>
      </w:r>
      <w:r w:rsidRPr="00423D6C">
        <w:rPr>
          <w:rFonts w:ascii="Arial" w:hAnsi="Arial" w:cs="Arial"/>
        </w:rPr>
        <w:t>support that recognises each person's unique experiences, preferences and needs (Kitwood, 1997).</w:t>
      </w:r>
      <w:r w:rsidR="00754420" w:rsidRPr="00423D6C">
        <w:rPr>
          <w:rFonts w:ascii="Arial" w:hAnsi="Arial" w:cs="Arial"/>
        </w:rPr>
        <w:t xml:space="preserve">To guarantee consistency of care, enhance communication, and attain </w:t>
      </w:r>
      <w:r w:rsidR="00293108" w:rsidRPr="00423D6C">
        <w:rPr>
          <w:rFonts w:ascii="Arial" w:hAnsi="Arial" w:cs="Arial"/>
        </w:rPr>
        <w:t xml:space="preserve">positive </w:t>
      </w:r>
      <w:r w:rsidR="00754420" w:rsidRPr="00423D6C">
        <w:rPr>
          <w:rFonts w:ascii="Arial" w:hAnsi="Arial" w:cs="Arial"/>
        </w:rPr>
        <w:t xml:space="preserve">results for individuals with dementia, effective collaboration between the National Health Service (NHS), local authorities, voluntary groups, carers, and families </w:t>
      </w:r>
      <w:r w:rsidR="00D9486F" w:rsidRPr="00423D6C">
        <w:rPr>
          <w:rFonts w:ascii="Arial" w:hAnsi="Arial" w:cs="Arial"/>
        </w:rPr>
        <w:t>are</w:t>
      </w:r>
      <w:r w:rsidR="00754420" w:rsidRPr="00423D6C">
        <w:rPr>
          <w:rFonts w:ascii="Arial" w:hAnsi="Arial" w:cs="Arial"/>
        </w:rPr>
        <w:t xml:space="preserve"> crucial (Health and Care Act, 2022).</w:t>
      </w:r>
    </w:p>
    <w:p w14:paraId="147460E9" w14:textId="56D7BD5A" w:rsidR="00BA47FB" w:rsidRPr="00423D6C" w:rsidRDefault="00BA47FB" w:rsidP="00423D6C">
      <w:pPr>
        <w:spacing w:line="360" w:lineRule="auto"/>
        <w:jc w:val="both"/>
        <w:rPr>
          <w:rFonts w:ascii="Arial" w:hAnsi="Arial" w:cs="Arial"/>
        </w:rPr>
      </w:pPr>
      <w:r w:rsidRPr="00423D6C">
        <w:rPr>
          <w:rFonts w:ascii="Arial" w:hAnsi="Arial" w:cs="Arial"/>
        </w:rPr>
        <w:t xml:space="preserve">The UK government has emphasised the importance of integrated care through legislation and national policy, emphasising that collaborative practice is crucial to meeting the complex physical, psychological and social requirements of an ageing population (Department of Health and Social Care, 2022). Therefore, </w:t>
      </w:r>
      <w:r w:rsidR="007C37A2" w:rsidRPr="00423D6C">
        <w:rPr>
          <w:rFonts w:ascii="Arial" w:hAnsi="Arial" w:cs="Arial"/>
        </w:rPr>
        <w:t>to</w:t>
      </w:r>
      <w:r w:rsidRPr="00423D6C">
        <w:rPr>
          <w:rFonts w:ascii="Arial" w:hAnsi="Arial" w:cs="Arial"/>
        </w:rPr>
        <w:t xml:space="preserve"> provide compassionate, evidence-based, and person-centred care, community dementia services require </w:t>
      </w:r>
      <w:r w:rsidR="003F7020" w:rsidRPr="00423D6C">
        <w:rPr>
          <w:rFonts w:ascii="Arial" w:hAnsi="Arial" w:cs="Arial"/>
        </w:rPr>
        <w:t xml:space="preserve">the </w:t>
      </w:r>
      <w:r w:rsidR="00D42832" w:rsidRPr="00423D6C">
        <w:rPr>
          <w:rFonts w:ascii="Arial" w:hAnsi="Arial" w:cs="Arial"/>
        </w:rPr>
        <w:t>professionals to</w:t>
      </w:r>
      <w:r w:rsidRPr="00423D6C">
        <w:rPr>
          <w:rFonts w:ascii="Arial" w:hAnsi="Arial" w:cs="Arial"/>
        </w:rPr>
        <w:t xml:space="preserve"> collaborate.</w:t>
      </w:r>
    </w:p>
    <w:p w14:paraId="42C8E5C5" w14:textId="3317673F" w:rsidR="00D42832" w:rsidRPr="00423D6C" w:rsidRDefault="00D42832" w:rsidP="00423D6C">
      <w:pPr>
        <w:spacing w:line="360" w:lineRule="auto"/>
        <w:jc w:val="both"/>
        <w:rPr>
          <w:rFonts w:ascii="Arial" w:hAnsi="Arial" w:cs="Arial"/>
        </w:rPr>
      </w:pPr>
      <w:r w:rsidRPr="00423D6C">
        <w:rPr>
          <w:rFonts w:ascii="Arial" w:hAnsi="Arial" w:cs="Arial"/>
        </w:rPr>
        <w:t>This report uses Kitwood's Person-Centred Model, Maslow's Hierarchy of Needs, and Bronfenbrenner's Ecological Systems Theory to assess person-centred care and partnership functioning within UK community dementia services. A critical analysis is conducted on future recommendations, laws, and ethical standards.</w:t>
      </w:r>
    </w:p>
    <w:p w14:paraId="46F69C2D" w14:textId="23306A80" w:rsidR="009A4F13" w:rsidRPr="00423D6C" w:rsidRDefault="00B862C3" w:rsidP="007C37A2">
      <w:pPr>
        <w:pStyle w:val="Heading2"/>
      </w:pPr>
      <w:bookmarkStart w:id="2" w:name="_Toc235911016"/>
      <w:r w:rsidRPr="00423D6C">
        <w:t>Definition of person-centred care</w:t>
      </w:r>
      <w:bookmarkEnd w:id="2"/>
    </w:p>
    <w:p w14:paraId="69C3B3BF" w14:textId="49DE6AD5" w:rsidR="00B862C3" w:rsidRPr="00423D6C" w:rsidRDefault="00B862C3" w:rsidP="00423D6C">
      <w:pPr>
        <w:spacing w:line="360" w:lineRule="auto"/>
        <w:jc w:val="both"/>
        <w:rPr>
          <w:rFonts w:ascii="Arial" w:hAnsi="Arial" w:cs="Arial"/>
        </w:rPr>
      </w:pPr>
      <w:r w:rsidRPr="00423D6C">
        <w:rPr>
          <w:rFonts w:ascii="Arial" w:hAnsi="Arial" w:cs="Arial"/>
        </w:rPr>
        <w:t>Person-centred care (PCC) is a fundamental principle of contemporary health and social care practice that places the individual at the centre of all decisions regarding their care and treatment.</w:t>
      </w:r>
      <w:r w:rsidR="004F40D7" w:rsidRPr="00423D6C">
        <w:rPr>
          <w:rFonts w:ascii="Arial" w:hAnsi="Arial" w:cs="Arial"/>
        </w:rPr>
        <w:t xml:space="preserve"> PCC acknowledges each person as a distinct individual with their own values, interests, beliefs, experiences, and aspirations rather than concentrating just on their sickness or diagnosis.</w:t>
      </w:r>
      <w:r w:rsidR="007F2538" w:rsidRPr="00423D6C">
        <w:rPr>
          <w:rFonts w:ascii="Arial" w:hAnsi="Arial" w:cs="Arial"/>
        </w:rPr>
        <w:t xml:space="preserve"> It seeks to ensure that services are customised to fit each person's requirements while promoting autonomy, dignity, respect, and active engagement in care planning (Health Foundation, 2014).</w:t>
      </w:r>
    </w:p>
    <w:p w14:paraId="4AE6C283" w14:textId="4786982C" w:rsidR="00CC4DD3" w:rsidRPr="00423D6C" w:rsidRDefault="00CC4DD3" w:rsidP="00423D6C">
      <w:pPr>
        <w:spacing w:line="360" w:lineRule="auto"/>
        <w:jc w:val="both"/>
        <w:rPr>
          <w:rFonts w:ascii="Arial" w:hAnsi="Arial" w:cs="Arial"/>
        </w:rPr>
      </w:pPr>
      <w:r w:rsidRPr="00423D6C">
        <w:rPr>
          <w:rFonts w:ascii="Arial" w:hAnsi="Arial" w:cs="Arial"/>
        </w:rPr>
        <w:t xml:space="preserve">Person-centred care, according to the Health Foundation (2014), is medical treatment that respects and </w:t>
      </w:r>
      <w:r w:rsidR="0002509D" w:rsidRPr="00423D6C">
        <w:rPr>
          <w:rFonts w:ascii="Arial" w:hAnsi="Arial" w:cs="Arial"/>
        </w:rPr>
        <w:t>considers</w:t>
      </w:r>
      <w:r w:rsidRPr="00423D6C">
        <w:rPr>
          <w:rFonts w:ascii="Arial" w:hAnsi="Arial" w:cs="Arial"/>
        </w:rPr>
        <w:t xml:space="preserve"> patient's preferences, values, needs, and choices, making sure that these guide all clinical decisions. By encouraging healthcare providers to collaborate with patients and their families, this strategy promotes shared decision-making and raises the standard and safety of care. Research indicates that patient satisfaction, health outcomes, and engagement with health care are all improved by person-centred approaches (Health Foundation, 2014).</w:t>
      </w:r>
    </w:p>
    <w:p w14:paraId="0B766041" w14:textId="6E1C91C0" w:rsidR="00CC4DD3" w:rsidRPr="00423D6C" w:rsidRDefault="000C4C47" w:rsidP="00423D6C">
      <w:pPr>
        <w:spacing w:line="360" w:lineRule="auto"/>
        <w:jc w:val="both"/>
        <w:rPr>
          <w:rFonts w:ascii="Arial" w:hAnsi="Arial" w:cs="Arial"/>
        </w:rPr>
      </w:pPr>
      <w:r w:rsidRPr="00423D6C">
        <w:rPr>
          <w:rFonts w:ascii="Arial" w:hAnsi="Arial" w:cs="Arial"/>
        </w:rPr>
        <w:t xml:space="preserve">In similar lines, the National Institute for Health and Care Excellence (NICE) highlights that individuals utilising health and social care services ought to be treated with dignity, compassion, and respect while actively participating in decisions regarding their care (NICE, </w:t>
      </w:r>
      <w:r w:rsidRPr="00423D6C">
        <w:rPr>
          <w:rFonts w:ascii="Arial" w:hAnsi="Arial" w:cs="Arial"/>
        </w:rPr>
        <w:lastRenderedPageBreak/>
        <w:t>2023). Key elements of person-centred approach include effective communication, individualised care planning, and acknowledging each person's right to make educated decisions. Maintaining identity, freedom, and quality of life is crucial in dementia care, even in the face of gradual cognitive impairment (NICE, 2023).</w:t>
      </w:r>
    </w:p>
    <w:p w14:paraId="37A0E200" w14:textId="1D713CCF" w:rsidR="000C4C47" w:rsidRPr="00423D6C" w:rsidRDefault="0079380A" w:rsidP="00423D6C">
      <w:pPr>
        <w:spacing w:line="360" w:lineRule="auto"/>
        <w:jc w:val="both"/>
        <w:rPr>
          <w:rFonts w:ascii="Arial" w:hAnsi="Arial" w:cs="Arial"/>
        </w:rPr>
      </w:pPr>
      <w:r w:rsidRPr="00423D6C">
        <w:rPr>
          <w:rFonts w:ascii="Arial" w:hAnsi="Arial" w:cs="Arial"/>
        </w:rPr>
        <w:t>The Person-Centred Practice Framework, which emphasises the value of qualified healthcare professionals, encouraging corporate cultures, and cooperative partnerships in providing successful PCC, was expanded upon by McCormack and McCance (2017). Their approach shows that person-centred care goes beyond one-on-one encounters and necessitates that healthcare organisations establish settings that empower employees and clients. According to McCormack and McCance (2017), the model outlines important requirements, care procedures, and anticipated results, such as increased satisfaction, better therapeutic partnerships, and improved wellbeing.</w:t>
      </w:r>
    </w:p>
    <w:p w14:paraId="3CB6F7CF" w14:textId="4D8A1C20" w:rsidR="0079380A" w:rsidRPr="00423D6C" w:rsidRDefault="004A5D50" w:rsidP="00423D6C">
      <w:pPr>
        <w:spacing w:line="360" w:lineRule="auto"/>
        <w:jc w:val="both"/>
        <w:rPr>
          <w:rFonts w:ascii="Arial" w:hAnsi="Arial" w:cs="Arial"/>
        </w:rPr>
      </w:pPr>
      <w:r w:rsidRPr="00423D6C">
        <w:rPr>
          <w:rFonts w:ascii="Arial" w:hAnsi="Arial" w:cs="Arial"/>
        </w:rPr>
        <w:t>Instead of focusing only on the symptoms of dementia, person-centred care in community dementia care allows medical personnel to grasp each person's life experience, preferences, and abilities. PCC offers comprehensive, compassionate, and coordinated care that enhances quality of life and fosters favourable health outcomes by identifying the person behind the ailment and incorporating families and interdisciplinary teams in care planning (Kitwood, 1997; McCormack and McCance, 2017).</w:t>
      </w:r>
    </w:p>
    <w:p w14:paraId="522109B3" w14:textId="08ED91FB" w:rsidR="008238C3" w:rsidRPr="00423D6C" w:rsidRDefault="002D4D0A" w:rsidP="00BE3E80">
      <w:pPr>
        <w:pStyle w:val="Heading3"/>
      </w:pPr>
      <w:bookmarkStart w:id="3" w:name="_Toc235911017"/>
      <w:r w:rsidRPr="00423D6C">
        <w:t>Main benefits</w:t>
      </w:r>
      <w:bookmarkEnd w:id="3"/>
      <w:r w:rsidRPr="00423D6C">
        <w:t xml:space="preserve"> </w:t>
      </w:r>
    </w:p>
    <w:p w14:paraId="0917D71F" w14:textId="5B8C37C7" w:rsidR="002D4D0A" w:rsidRPr="00423D6C" w:rsidRDefault="002D4D0A" w:rsidP="00423D6C">
      <w:pPr>
        <w:spacing w:line="360" w:lineRule="auto"/>
        <w:jc w:val="both"/>
        <w:rPr>
          <w:rFonts w:ascii="Arial" w:hAnsi="Arial" w:cs="Arial"/>
        </w:rPr>
      </w:pPr>
      <w:r w:rsidRPr="00423D6C">
        <w:rPr>
          <w:rFonts w:ascii="Arial" w:hAnsi="Arial" w:cs="Arial"/>
        </w:rPr>
        <w:t>Person-centred care (PCC) improves outcomes for people living with dementia by recognising their individual preferences, values and needs. It promotes holistic, compassionate care that focuses on the person rather than the condition, resulting in better physical, psychological and social wellbeing (McCormack and McCance, 2017).</w:t>
      </w:r>
    </w:p>
    <w:p w14:paraId="3BDDF96B" w14:textId="6CEA8449" w:rsidR="008A2AF7" w:rsidRPr="00423D6C" w:rsidRDefault="00F21ADD"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Improved quality of life is one of PCC's main advantages since patients actively participate in decisions regarding their care, preserving their identity, dignity, and emotional health (McCormack and McCance, 2017; NICE, 2023</w:t>
      </w:r>
      <w:r w:rsidR="00BC04A4" w:rsidRPr="00423D6C">
        <w:rPr>
          <w:rFonts w:ascii="Arial" w:eastAsia="Times New Roman" w:hAnsi="Arial" w:cs="Arial"/>
          <w:lang w:eastAsia="en-GB"/>
        </w:rPr>
        <w:t>). In</w:t>
      </w:r>
      <w:r w:rsidR="008A2AF7" w:rsidRPr="00423D6C">
        <w:rPr>
          <w:rFonts w:ascii="Arial" w:eastAsia="Times New Roman" w:hAnsi="Arial" w:cs="Arial"/>
          <w:lang w:eastAsia="en-GB"/>
        </w:rPr>
        <w:t xml:space="preserve"> keeping with the ideas of shared decision-making, PCC also promotes independence by assisting people in making decisions and taking part in everyday activities wherever possible (NICE, 2023).</w:t>
      </w:r>
    </w:p>
    <w:p w14:paraId="015047F0" w14:textId="77777777" w:rsidR="00791CB9" w:rsidRPr="00423D6C" w:rsidRDefault="00791CB9" w:rsidP="00423D6C">
      <w:pPr>
        <w:spacing w:after="0" w:line="360" w:lineRule="auto"/>
        <w:jc w:val="both"/>
        <w:rPr>
          <w:rFonts w:ascii="Arial" w:eastAsia="Times New Roman" w:hAnsi="Arial" w:cs="Arial"/>
          <w:lang w:eastAsia="en-GB"/>
        </w:rPr>
      </w:pPr>
    </w:p>
    <w:p w14:paraId="3CFD5673" w14:textId="4049A7EE" w:rsidR="00BC04A4" w:rsidRPr="00423D6C" w:rsidRDefault="00BC04A4"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Furthermore, PCC improves communication between patients, their families, and healthcare providers, resulting in increased trust and more successful collaborative treatment (McCormack and McCance, 2017). By detecting health issues early and treating them in the community, when necessary, coordinated, individualised care can also lower preventable hospital admissions (NICE, 2023).</w:t>
      </w:r>
    </w:p>
    <w:p w14:paraId="5DEA3EDC" w14:textId="77777777" w:rsidR="00BC04A4" w:rsidRPr="00423D6C" w:rsidRDefault="00BC04A4" w:rsidP="00423D6C">
      <w:pPr>
        <w:spacing w:after="0" w:line="360" w:lineRule="auto"/>
        <w:jc w:val="both"/>
        <w:rPr>
          <w:rFonts w:ascii="Arial" w:eastAsia="Times New Roman" w:hAnsi="Arial" w:cs="Arial"/>
          <w:lang w:eastAsia="en-GB"/>
        </w:rPr>
      </w:pPr>
    </w:p>
    <w:p w14:paraId="05E7E7E2" w14:textId="7E7A69E4" w:rsidR="00BC04A4" w:rsidRPr="00423D6C" w:rsidRDefault="00BC04A4"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lastRenderedPageBreak/>
        <w:t>Additionally, because person-centred care is customised to each patient's requirements and preferences, patient and family satisfaction rises. Involving patients in treatment choices also increases drug adherence, which leads to better and safer health outcomes (McCormack and McCance, 2017; NICE, 2023).</w:t>
      </w:r>
    </w:p>
    <w:p w14:paraId="596FC55F" w14:textId="77777777" w:rsidR="00B57809" w:rsidRPr="00423D6C" w:rsidRDefault="00B57809" w:rsidP="00423D6C">
      <w:pPr>
        <w:spacing w:after="0" w:line="360" w:lineRule="auto"/>
        <w:jc w:val="both"/>
        <w:rPr>
          <w:rFonts w:ascii="Arial" w:eastAsia="Times New Roman" w:hAnsi="Arial" w:cs="Arial"/>
          <w:lang w:eastAsia="en-GB"/>
        </w:rPr>
      </w:pPr>
    </w:p>
    <w:p w14:paraId="24993565" w14:textId="1961DE33" w:rsidR="00B57809" w:rsidRPr="00423D6C" w:rsidRDefault="00B57809" w:rsidP="00BE3E80">
      <w:pPr>
        <w:pStyle w:val="Heading3"/>
        <w:rPr>
          <w:rFonts w:eastAsia="Times New Roman"/>
          <w:lang w:eastAsia="en-GB"/>
        </w:rPr>
      </w:pPr>
      <w:bookmarkStart w:id="4" w:name="_Toc235911018"/>
      <w:r w:rsidRPr="00423D6C">
        <w:rPr>
          <w:rFonts w:eastAsia="Times New Roman"/>
          <w:lang w:eastAsia="en-GB"/>
        </w:rPr>
        <w:t>Limitations</w:t>
      </w:r>
      <w:bookmarkEnd w:id="4"/>
    </w:p>
    <w:p w14:paraId="37C0B2F1" w14:textId="72A2F391" w:rsidR="00B57809" w:rsidRPr="00423D6C" w:rsidRDefault="00B57809"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Even though person-centred care (PCC) is acknowledged as excellent practice, putting it into practice can be difficult. Healthcare workers frequently have less time to establish deep connections and deliver customised care due to staff shortages and growing workloads (The King's Fund, 2018). Access to the resources and assistance needed to provide consistent person-centred care may also be hampered by financial limitations in health and social care services (NICE, 2023).</w:t>
      </w:r>
    </w:p>
    <w:p w14:paraId="4567A23D" w14:textId="70A4284A" w:rsidR="00F21ADD" w:rsidRPr="00423D6C" w:rsidRDefault="00F34B7E"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PCC's success may also be impacted by organisational culture. Individual preferences and requirements of individuals with dementia may be at odds with services that value efficiency, objectives, and task-focused care (The King's Fund, 2018). Furthermore, healthcare workers may lack the knowledge and abilities necessary to successfully implement person-centred approaches due to a lack of education and training (McCormack and McCance, 2017).</w:t>
      </w:r>
    </w:p>
    <w:p w14:paraId="6CE36F00" w14:textId="77777777" w:rsidR="006573F1" w:rsidRPr="00423D6C" w:rsidRDefault="006573F1"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In the final stages of dementia, when communication and decision-making skills are severely compromised, delivering PCC can be especially challenging. To maintain person-centred care in these situations, medical staff must rely on family members, caretakers, and information about the patient's past (NICE, 2023).</w:t>
      </w:r>
    </w:p>
    <w:p w14:paraId="6C265346" w14:textId="77777777" w:rsidR="006573F1" w:rsidRPr="00423D6C" w:rsidRDefault="006573F1" w:rsidP="00423D6C">
      <w:pPr>
        <w:spacing w:after="0" w:line="360" w:lineRule="auto"/>
        <w:jc w:val="both"/>
        <w:rPr>
          <w:rFonts w:ascii="Arial" w:eastAsia="Times New Roman" w:hAnsi="Arial" w:cs="Arial"/>
          <w:lang w:eastAsia="en-GB"/>
        </w:rPr>
      </w:pPr>
    </w:p>
    <w:p w14:paraId="397CBD23" w14:textId="3759F119" w:rsidR="006573F1" w:rsidRPr="00423D6C" w:rsidRDefault="006573F1"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 xml:space="preserve">Even though PCC is considered best practice, its application frequently differs due to corporate priorities that may clash with individual preferences. This emphasises the necessity of sufficient staffing, training, and organisational support </w:t>
      </w:r>
      <w:r w:rsidR="00B7108C" w:rsidRPr="00423D6C">
        <w:rPr>
          <w:rFonts w:ascii="Arial" w:eastAsia="Times New Roman" w:hAnsi="Arial" w:cs="Arial"/>
          <w:lang w:eastAsia="en-GB"/>
        </w:rPr>
        <w:t>to</w:t>
      </w:r>
      <w:r w:rsidR="00B7108C">
        <w:rPr>
          <w:rFonts w:ascii="Arial" w:eastAsia="Times New Roman" w:hAnsi="Arial" w:cs="Arial"/>
          <w:lang w:eastAsia="en-GB"/>
        </w:rPr>
        <w:t xml:space="preserve"> provide</w:t>
      </w:r>
      <w:r w:rsidRPr="00423D6C">
        <w:rPr>
          <w:rFonts w:ascii="Arial" w:eastAsia="Times New Roman" w:hAnsi="Arial" w:cs="Arial"/>
          <w:lang w:eastAsia="en-GB"/>
        </w:rPr>
        <w:t xml:space="preserve"> consistent</w:t>
      </w:r>
      <w:r w:rsidR="00AA07F3">
        <w:rPr>
          <w:rFonts w:ascii="Arial" w:eastAsia="Times New Roman" w:hAnsi="Arial" w:cs="Arial"/>
          <w:lang w:eastAsia="en-GB"/>
        </w:rPr>
        <w:t xml:space="preserve"> and </w:t>
      </w:r>
      <w:r w:rsidRPr="00423D6C">
        <w:rPr>
          <w:rFonts w:ascii="Arial" w:eastAsia="Times New Roman" w:hAnsi="Arial" w:cs="Arial"/>
          <w:lang w:eastAsia="en-GB"/>
        </w:rPr>
        <w:t>high-quality care (The King's Fund, 2018).</w:t>
      </w:r>
    </w:p>
    <w:p w14:paraId="074063AE" w14:textId="77777777" w:rsidR="00030CDC" w:rsidRPr="00423D6C" w:rsidRDefault="00030CDC" w:rsidP="00423D6C">
      <w:pPr>
        <w:spacing w:after="0" w:line="360" w:lineRule="auto"/>
        <w:jc w:val="both"/>
        <w:rPr>
          <w:rFonts w:ascii="Arial" w:eastAsia="Times New Roman" w:hAnsi="Arial" w:cs="Arial"/>
          <w:lang w:eastAsia="en-GB"/>
        </w:rPr>
      </w:pPr>
    </w:p>
    <w:p w14:paraId="53510312" w14:textId="5BA7EF37" w:rsidR="00030CDC" w:rsidRPr="00423D6C" w:rsidRDefault="00764DE0" w:rsidP="0022605C">
      <w:pPr>
        <w:pStyle w:val="Heading3"/>
        <w:rPr>
          <w:rFonts w:eastAsia="Times New Roman"/>
          <w:lang w:eastAsia="en-GB"/>
        </w:rPr>
      </w:pPr>
      <w:bookmarkStart w:id="5" w:name="_Toc235911019"/>
      <w:r w:rsidRPr="00423D6C">
        <w:rPr>
          <w:rFonts w:eastAsia="Times New Roman"/>
          <w:lang w:eastAsia="en-GB"/>
        </w:rPr>
        <w:t>Application in a community dementia care home</w:t>
      </w:r>
      <w:bookmarkEnd w:id="5"/>
      <w:r w:rsidRPr="00423D6C">
        <w:rPr>
          <w:rFonts w:eastAsia="Times New Roman"/>
          <w:lang w:eastAsia="en-GB"/>
        </w:rPr>
        <w:t xml:space="preserve"> </w:t>
      </w:r>
    </w:p>
    <w:p w14:paraId="3A586ADA" w14:textId="77777777" w:rsidR="00764DE0" w:rsidRPr="00423D6C" w:rsidRDefault="00764DE0"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A key component of community dementia care is person-centred care, where services are created to help people stay in their homes for as long as possible while preserving their independence and standard of living. Healthcare providers can evaluate a patient's physical, emotional, and social requirements in their comfortable surroundings during home visits, enabling care to be customised to the patient's daily routines and preferences (NICE, 2023).</w:t>
      </w:r>
    </w:p>
    <w:p w14:paraId="6D08035C" w14:textId="77777777" w:rsidR="00764DE0" w:rsidRPr="00423D6C" w:rsidRDefault="00764DE0" w:rsidP="00423D6C">
      <w:pPr>
        <w:spacing w:after="0" w:line="360" w:lineRule="auto"/>
        <w:jc w:val="both"/>
        <w:rPr>
          <w:rFonts w:ascii="Arial" w:eastAsia="Times New Roman" w:hAnsi="Arial" w:cs="Arial"/>
          <w:lang w:eastAsia="en-GB"/>
        </w:rPr>
      </w:pPr>
    </w:p>
    <w:p w14:paraId="56EF0790" w14:textId="25C14761" w:rsidR="00764DE0" w:rsidRPr="00423D6C" w:rsidRDefault="00764DE0"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 xml:space="preserve">A key element of community dementia care is personalised care planning. To guarantee that care </w:t>
      </w:r>
      <w:r w:rsidR="00674C66" w:rsidRPr="00423D6C">
        <w:rPr>
          <w:rFonts w:ascii="Arial" w:eastAsia="Times New Roman" w:hAnsi="Arial" w:cs="Arial"/>
          <w:lang w:eastAsia="en-GB"/>
        </w:rPr>
        <w:t>considers</w:t>
      </w:r>
      <w:r w:rsidRPr="00423D6C">
        <w:rPr>
          <w:rFonts w:ascii="Arial" w:eastAsia="Times New Roman" w:hAnsi="Arial" w:cs="Arial"/>
          <w:lang w:eastAsia="en-GB"/>
        </w:rPr>
        <w:t xml:space="preserve"> the patient's objectives, values, and evolving needs, these plans are created cooperatively with the patient, their family, and the multidisciplinary team. As dementia </w:t>
      </w:r>
      <w:r w:rsidRPr="00423D6C">
        <w:rPr>
          <w:rFonts w:ascii="Arial" w:eastAsia="Times New Roman" w:hAnsi="Arial" w:cs="Arial"/>
          <w:lang w:eastAsia="en-GB"/>
        </w:rPr>
        <w:lastRenderedPageBreak/>
        <w:t>worsens, regular reviews help guarantee that support stays appropriate (McCormack and McCance, 2017).</w:t>
      </w:r>
    </w:p>
    <w:p w14:paraId="3E16EB37" w14:textId="77777777" w:rsidR="002006FF" w:rsidRPr="00423D6C" w:rsidRDefault="002006FF"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Family members and unpaid carers are essential in providing person-centred care because they have important information about the person's preferences, communication needs, and life experience. Their participation promotes successful collaboration between health and social care providers, enhances continuity of care, and fosters shared decision-making (Health and Care Act, 2022).</w:t>
      </w:r>
    </w:p>
    <w:p w14:paraId="104A7181" w14:textId="77777777" w:rsidR="002006FF" w:rsidRPr="00423D6C" w:rsidRDefault="002006FF" w:rsidP="00423D6C">
      <w:pPr>
        <w:spacing w:after="0" w:line="360" w:lineRule="auto"/>
        <w:jc w:val="both"/>
        <w:rPr>
          <w:rFonts w:ascii="Arial" w:eastAsia="Times New Roman" w:hAnsi="Arial" w:cs="Arial"/>
          <w:lang w:eastAsia="en-GB"/>
        </w:rPr>
      </w:pPr>
    </w:p>
    <w:p w14:paraId="3463EE01" w14:textId="12F11125" w:rsidR="002006FF" w:rsidRPr="00423D6C" w:rsidRDefault="002006FF"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One of the main goals of community dementia care is to preserve independence. While lowering needless reliance on health and social care services, encouraging people to engage in everyday activities, make educated decisions, and maintain control over their lives helps preserve dignity, confidence, and wellbeing (Kitwood, 1997; NICE, 2023).</w:t>
      </w:r>
    </w:p>
    <w:p w14:paraId="431E11FF" w14:textId="77777777" w:rsidR="00690CF3" w:rsidRPr="00423D6C" w:rsidRDefault="00690CF3" w:rsidP="00423D6C">
      <w:pPr>
        <w:spacing w:after="0" w:line="360" w:lineRule="auto"/>
        <w:jc w:val="both"/>
        <w:rPr>
          <w:rFonts w:ascii="Arial" w:eastAsia="Times New Roman" w:hAnsi="Arial" w:cs="Arial"/>
          <w:lang w:eastAsia="en-GB"/>
        </w:rPr>
      </w:pPr>
    </w:p>
    <w:p w14:paraId="50019754" w14:textId="17D8435C" w:rsidR="005C255F" w:rsidRPr="00423D6C" w:rsidRDefault="005C255F" w:rsidP="00575405">
      <w:pPr>
        <w:pStyle w:val="Heading2"/>
        <w:rPr>
          <w:rFonts w:eastAsia="Times New Roman"/>
          <w:lang w:eastAsia="en-GB"/>
        </w:rPr>
      </w:pPr>
      <w:bookmarkStart w:id="6" w:name="_Toc235911020"/>
      <w:r w:rsidRPr="00423D6C">
        <w:rPr>
          <w:rFonts w:eastAsia="Times New Roman"/>
          <w:lang w:eastAsia="en-GB"/>
        </w:rPr>
        <w:t xml:space="preserve">Critically </w:t>
      </w:r>
      <w:r w:rsidR="00674C66" w:rsidRPr="00423D6C">
        <w:rPr>
          <w:rFonts w:eastAsia="Times New Roman"/>
          <w:lang w:eastAsia="en-GB"/>
        </w:rPr>
        <w:t>examine</w:t>
      </w:r>
      <w:bookmarkEnd w:id="6"/>
      <w:r w:rsidRPr="00423D6C">
        <w:rPr>
          <w:rFonts w:eastAsia="Times New Roman"/>
          <w:lang w:eastAsia="en-GB"/>
        </w:rPr>
        <w:t xml:space="preserve"> </w:t>
      </w:r>
    </w:p>
    <w:p w14:paraId="610FBA6B" w14:textId="4AEAD177" w:rsidR="005C255F" w:rsidRPr="00423D6C" w:rsidRDefault="005C255F" w:rsidP="00423D6C">
      <w:pPr>
        <w:spacing w:after="0" w:line="360" w:lineRule="auto"/>
        <w:jc w:val="both"/>
        <w:rPr>
          <w:rFonts w:ascii="Arial" w:hAnsi="Arial" w:cs="Arial"/>
        </w:rPr>
      </w:pPr>
      <w:r w:rsidRPr="00423D6C">
        <w:rPr>
          <w:rFonts w:ascii="Arial" w:eastAsia="Times New Roman" w:hAnsi="Arial" w:cs="Arial"/>
          <w:lang w:eastAsia="en-GB"/>
        </w:rPr>
        <w:t>Several theoretical frameworks that highlight comprehensive, individualised, and cooperative approaches to health and social care serve as the foundation for person-centred care (PCC) and partnership working (PW). These ideas are supported by the unique viewpoints</w:t>
      </w:r>
      <w:r w:rsidR="004D7F28" w:rsidRPr="00423D6C">
        <w:rPr>
          <w:rFonts w:ascii="Arial" w:eastAsia="Times New Roman" w:hAnsi="Arial" w:cs="Arial"/>
          <w:lang w:eastAsia="en-GB"/>
        </w:rPr>
        <w:t>.</w:t>
      </w:r>
      <w:r w:rsidR="009E49E7" w:rsidRPr="00423D6C">
        <w:rPr>
          <w:rFonts w:ascii="Arial" w:eastAsia="Times New Roman" w:hAnsi="Arial" w:cs="Arial"/>
          <w:lang w:eastAsia="en-GB"/>
        </w:rPr>
        <w:t xml:space="preserve"> And each </w:t>
      </w:r>
      <w:r w:rsidR="009E49E7" w:rsidRPr="00423D6C">
        <w:rPr>
          <w:rFonts w:ascii="Arial" w:hAnsi="Arial" w:cs="Arial"/>
        </w:rPr>
        <w:t>contribute distinct perspectives that support these principles.</w:t>
      </w:r>
    </w:p>
    <w:p w14:paraId="19C07122" w14:textId="77777777" w:rsidR="005A311F" w:rsidRPr="00423D6C" w:rsidRDefault="005A311F" w:rsidP="00423D6C">
      <w:pPr>
        <w:spacing w:after="0" w:line="360" w:lineRule="auto"/>
        <w:jc w:val="both"/>
        <w:rPr>
          <w:rFonts w:ascii="Arial" w:hAnsi="Arial" w:cs="Arial"/>
        </w:rPr>
      </w:pPr>
    </w:p>
    <w:p w14:paraId="212D8C76" w14:textId="54941771" w:rsidR="009E49E7" w:rsidRPr="00423D6C" w:rsidRDefault="00ED4735"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According to Maslow's Hierarchy of Needs, for people to be happy, their physiological, safety, social, esteem, and self-actualization needs must be satisfied (Maslow, 1943). The approach, which reflects the holistic tenets of PCC, promotes health and social care professionals to address social and emotional needs in addition to physical health. However, detractors contend that the model's hierarchical structure lacks empirical backing and fails to take into consideration the intricate and changing demands of people suffering from chronic illnesses like dementia (McLeod, 2024). As a result, although Maslow offers a helpful framework for comprehensive evaluation, it should be used flexibly rather than in a set order.</w:t>
      </w:r>
    </w:p>
    <w:p w14:paraId="31C931FA" w14:textId="77777777" w:rsidR="005A311F" w:rsidRPr="00423D6C" w:rsidRDefault="005A311F" w:rsidP="00423D6C">
      <w:pPr>
        <w:spacing w:after="0" w:line="360" w:lineRule="auto"/>
        <w:jc w:val="both"/>
        <w:rPr>
          <w:rFonts w:ascii="Arial" w:eastAsia="Times New Roman" w:hAnsi="Arial" w:cs="Arial"/>
          <w:lang w:eastAsia="en-GB"/>
        </w:rPr>
      </w:pPr>
    </w:p>
    <w:p w14:paraId="496FD6CA" w14:textId="0007960A" w:rsidR="00ED4735" w:rsidRPr="00423D6C" w:rsidRDefault="0077455A"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The Person-Centred Theory developed by Kitwood in 1997 is widely acknowledged as a fundamental component of dementia care. By appreciating people's identities, connections, and psychological needs—such as comfort, attachment, inclusion, occupation, and identity—the paradigm places a strong emphasis on maintaining personhood. By fostering cooperation between medical experts, social workers, families, and carers to create individualised care plans, this strategy fosters partnership functioning. However, staff shortages, scarce resources, and organisational pressures that put job accomplishment ahead of deep connections can all hinder successful implementation.</w:t>
      </w:r>
    </w:p>
    <w:p w14:paraId="3592DFA0" w14:textId="77777777" w:rsidR="005E7CFF" w:rsidRPr="00423D6C" w:rsidRDefault="005E7CFF" w:rsidP="00423D6C">
      <w:pPr>
        <w:spacing w:after="0" w:line="360" w:lineRule="auto"/>
        <w:jc w:val="both"/>
        <w:rPr>
          <w:rFonts w:ascii="Arial" w:eastAsia="Times New Roman" w:hAnsi="Arial" w:cs="Arial"/>
          <w:lang w:eastAsia="en-GB"/>
        </w:rPr>
      </w:pPr>
    </w:p>
    <w:p w14:paraId="1CE24EEC" w14:textId="2DE892D9" w:rsidR="00F34B7E" w:rsidRPr="00423D6C" w:rsidRDefault="005E7CFF"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By acknowledging that an individual's health is impacted by interactions within numerous environmental systems, including as family, community, healthcare services, and broader societal policies, Bronfenbrenner's Ecological Systems Theory (1979) expands our understanding of PCC. By showing that coordinated activity across agencies is necessary for successful care, the theory provides strong support for partnership working. Its wide ecological viewpoint, however, offers little useful advice for clinical judgement and personalised treatment planning. When taken as a whole, these ideas support collaborative, person-centred, holistic care while drawing attention to organisational obstacles that can prevent successful execution.</w:t>
      </w:r>
    </w:p>
    <w:p w14:paraId="4D21439F" w14:textId="77777777" w:rsidR="00076791" w:rsidRPr="00423D6C" w:rsidRDefault="00076791" w:rsidP="00423D6C">
      <w:pPr>
        <w:spacing w:after="0" w:line="360" w:lineRule="auto"/>
        <w:jc w:val="both"/>
        <w:rPr>
          <w:rFonts w:ascii="Arial" w:eastAsia="Times New Roman" w:hAnsi="Arial" w:cs="Arial"/>
          <w:lang w:eastAsia="en-GB"/>
        </w:rPr>
      </w:pPr>
    </w:p>
    <w:p w14:paraId="028B8733" w14:textId="19E9A75F" w:rsidR="00076791" w:rsidRPr="00423D6C" w:rsidRDefault="00076791"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 xml:space="preserve">Because Kitwood's Person-Centred Theory </w:t>
      </w:r>
      <w:r w:rsidR="00761C07" w:rsidRPr="00423D6C">
        <w:rPr>
          <w:rFonts w:ascii="Arial" w:eastAsia="Times New Roman" w:hAnsi="Arial" w:cs="Arial"/>
          <w:lang w:eastAsia="en-GB"/>
        </w:rPr>
        <w:t>centre’s</w:t>
      </w:r>
      <w:r w:rsidRPr="00423D6C">
        <w:rPr>
          <w:rFonts w:ascii="Arial" w:eastAsia="Times New Roman" w:hAnsi="Arial" w:cs="Arial"/>
          <w:lang w:eastAsia="en-GB"/>
        </w:rPr>
        <w:t xml:space="preserve"> care around the individual rather than the condition, it offers the best basis for person-centred care. The approach encourages individualised care and deep connections between patients, families, and medical personnel by highlighting personhood, dignity, and the significance of attending to psychological as well as physical needs. This is in line with the fundamental ideas of person-centred care and encourages cooperative partnerships that enhance the quality of life and general well-being of individuals with dementia (Kitwood, 1997).</w:t>
      </w:r>
    </w:p>
    <w:p w14:paraId="52701A40" w14:textId="77777777" w:rsidR="00E95C43" w:rsidRPr="00423D6C" w:rsidRDefault="00E95C43" w:rsidP="00423D6C">
      <w:pPr>
        <w:spacing w:after="0" w:line="360" w:lineRule="auto"/>
        <w:jc w:val="both"/>
        <w:rPr>
          <w:rFonts w:ascii="Arial" w:eastAsia="Times New Roman" w:hAnsi="Arial" w:cs="Arial"/>
          <w:lang w:eastAsia="en-GB"/>
        </w:rPr>
      </w:pPr>
    </w:p>
    <w:p w14:paraId="2BD48847" w14:textId="549005C4" w:rsidR="00E95C43" w:rsidRPr="00423D6C" w:rsidRDefault="00E95C43" w:rsidP="002D24C6">
      <w:pPr>
        <w:pStyle w:val="Heading2"/>
        <w:rPr>
          <w:rFonts w:eastAsia="Times New Roman"/>
          <w:lang w:eastAsia="en-GB"/>
        </w:rPr>
      </w:pPr>
      <w:bookmarkStart w:id="7" w:name="_Toc235911021"/>
      <w:r w:rsidRPr="00423D6C">
        <w:rPr>
          <w:rFonts w:eastAsia="Times New Roman"/>
          <w:lang w:eastAsia="en-GB"/>
        </w:rPr>
        <w:t>Partnership working</w:t>
      </w:r>
      <w:bookmarkEnd w:id="7"/>
    </w:p>
    <w:p w14:paraId="0553A4D2" w14:textId="31F13958" w:rsidR="0087383A" w:rsidRPr="00423D6C" w:rsidRDefault="0087383A"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Cooperation between various organisations, experts, people, and communities to enhance results and deliver coordinated care is referred to as partnership working. Effective partnership functioning in health and social care entails collaboration between the NHS, social care providers, voluntary organisations, individuals, and families through communication and shared decision-making (Health and Care Act, 2022). This strategy is supported by Integrated Care Systems (ICSs), which bring together local government services and NHS organisations to plan and provide integrated care that addresses the requirements of local communities (NHS England, 2023)</w:t>
      </w:r>
      <w:r w:rsidR="002D7B3D" w:rsidRPr="00423D6C">
        <w:rPr>
          <w:rFonts w:ascii="Arial" w:eastAsia="Times New Roman" w:hAnsi="Arial" w:cs="Arial"/>
          <w:lang w:eastAsia="en-GB"/>
        </w:rPr>
        <w:t>.</w:t>
      </w:r>
    </w:p>
    <w:p w14:paraId="2377F3A2" w14:textId="77777777" w:rsidR="002D7B3D" w:rsidRPr="00423D6C" w:rsidRDefault="002D7B3D" w:rsidP="00423D6C">
      <w:pPr>
        <w:spacing w:after="0" w:line="360" w:lineRule="auto"/>
        <w:jc w:val="both"/>
        <w:rPr>
          <w:rFonts w:ascii="Arial" w:eastAsia="Times New Roman" w:hAnsi="Arial" w:cs="Arial"/>
          <w:lang w:eastAsia="en-GB"/>
        </w:rPr>
      </w:pPr>
    </w:p>
    <w:p w14:paraId="2E5D89F5" w14:textId="195AA8A3" w:rsidR="002D7B3D" w:rsidRPr="00423D6C" w:rsidRDefault="002D7B3D"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Partnership working in community dementia care promotes safer, more efficient care delivery, decreases service duplication, increases communication, and improves continuity of care. For instance, a person's physical, social, and emotional needs are met holistically when a general practitioner, memory clinic, district nurse, occupational therapist, social worker, care home personnel, and family carers work together (NICE, 2023). Additionally, family carers offer crucial information about the person's habits, interests, and past, enabling better individualised care planning (Kitwood, 1997).</w:t>
      </w:r>
    </w:p>
    <w:p w14:paraId="0BD02579" w14:textId="77777777" w:rsidR="00ED61F7" w:rsidRPr="00423D6C" w:rsidRDefault="00ED61F7" w:rsidP="00423D6C">
      <w:pPr>
        <w:spacing w:after="0" w:line="360" w:lineRule="auto"/>
        <w:jc w:val="both"/>
        <w:rPr>
          <w:rFonts w:ascii="Arial" w:eastAsia="Times New Roman" w:hAnsi="Arial" w:cs="Arial"/>
          <w:lang w:eastAsia="en-GB"/>
        </w:rPr>
      </w:pPr>
    </w:p>
    <w:p w14:paraId="0C05D939" w14:textId="77777777" w:rsidR="00ED61F7" w:rsidRPr="00423D6C" w:rsidRDefault="00ED61F7"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However, obstacles like information sharing issues, financial constraints, professional boundaries, organisational cultural differences, incompetent leadership, and a lack of workers can all have an impact on partnership working. These obstacles could hinder coordination and have a detrimental impact on the patient's care experience (The King's Fund, 2021).</w:t>
      </w:r>
    </w:p>
    <w:p w14:paraId="576B0DF0" w14:textId="77777777" w:rsidR="00ED61F7" w:rsidRPr="00423D6C" w:rsidRDefault="00ED61F7" w:rsidP="00423D6C">
      <w:pPr>
        <w:spacing w:after="0" w:line="360" w:lineRule="auto"/>
        <w:jc w:val="both"/>
        <w:rPr>
          <w:rFonts w:ascii="Arial" w:eastAsia="Times New Roman" w:hAnsi="Arial" w:cs="Arial"/>
          <w:lang w:eastAsia="en-GB"/>
        </w:rPr>
      </w:pPr>
    </w:p>
    <w:p w14:paraId="180E4695" w14:textId="41028CCD" w:rsidR="00ED61F7" w:rsidRPr="00423D6C" w:rsidRDefault="00ED61F7" w:rsidP="00423D6C">
      <w:pPr>
        <w:spacing w:after="0" w:line="360" w:lineRule="auto"/>
        <w:jc w:val="both"/>
        <w:rPr>
          <w:rFonts w:ascii="Arial" w:eastAsia="Times New Roman" w:hAnsi="Arial" w:cs="Arial"/>
          <w:lang w:eastAsia="en-GB"/>
        </w:rPr>
      </w:pPr>
      <w:r w:rsidRPr="00423D6C">
        <w:rPr>
          <w:rFonts w:ascii="Arial" w:eastAsia="Times New Roman" w:hAnsi="Arial" w:cs="Arial"/>
          <w:lang w:eastAsia="en-GB"/>
        </w:rPr>
        <w:t>All things considered, successful partnership working has the potential to enhance dementia care outcomes; nevertheless, its success depends on effective leadership, robust communication, mutual trust, and shared decision-making among all professionals, organisations, and persons engaged (McCormack and McCance, 2017).</w:t>
      </w:r>
    </w:p>
    <w:p w14:paraId="271AF58B" w14:textId="77777777" w:rsidR="008A2AF7" w:rsidRPr="00423D6C" w:rsidRDefault="008A2AF7" w:rsidP="00423D6C">
      <w:pPr>
        <w:spacing w:line="360" w:lineRule="auto"/>
        <w:jc w:val="both"/>
        <w:rPr>
          <w:rFonts w:ascii="Arial" w:hAnsi="Arial" w:cs="Arial"/>
        </w:rPr>
      </w:pPr>
    </w:p>
    <w:p w14:paraId="7226528B" w14:textId="486C83E7" w:rsidR="00144F4A" w:rsidRPr="00423D6C" w:rsidRDefault="00144F4A" w:rsidP="002D24C6">
      <w:pPr>
        <w:pStyle w:val="Heading2"/>
      </w:pPr>
      <w:bookmarkStart w:id="8" w:name="_Toc235911022"/>
      <w:r w:rsidRPr="00423D6C">
        <w:t>Legislations</w:t>
      </w:r>
      <w:bookmarkEnd w:id="8"/>
      <w:r w:rsidRPr="00423D6C">
        <w:t xml:space="preserve"> </w:t>
      </w:r>
    </w:p>
    <w:p w14:paraId="4051DF40" w14:textId="67F24A91" w:rsidR="00144F4A" w:rsidRPr="00423D6C" w:rsidRDefault="00144F4A" w:rsidP="00423D6C">
      <w:pPr>
        <w:spacing w:line="360" w:lineRule="auto"/>
        <w:jc w:val="both"/>
        <w:rPr>
          <w:rFonts w:ascii="Arial" w:hAnsi="Arial" w:cs="Arial"/>
        </w:rPr>
      </w:pPr>
      <w:r w:rsidRPr="00423D6C">
        <w:rPr>
          <w:rFonts w:ascii="Arial" w:hAnsi="Arial" w:cs="Arial"/>
        </w:rPr>
        <w:t>Legislation and policy frameworks provide an essential foundation for person-centred care (PCC) and protect the rights, dignity and wellbeing of people living with dementia.</w:t>
      </w:r>
      <w:r w:rsidR="000A4901" w:rsidRPr="00423D6C">
        <w:rPr>
          <w:rFonts w:ascii="Arial" w:hAnsi="Arial" w:cs="Arial"/>
        </w:rPr>
        <w:t xml:space="preserve"> The </w:t>
      </w:r>
      <w:r w:rsidR="002D24C6" w:rsidRPr="00423D6C">
        <w:rPr>
          <w:rFonts w:ascii="Arial" w:hAnsi="Arial" w:cs="Arial"/>
        </w:rPr>
        <w:t>health</w:t>
      </w:r>
      <w:r w:rsidR="000A4901" w:rsidRPr="00423D6C">
        <w:rPr>
          <w:rFonts w:ascii="Arial" w:hAnsi="Arial" w:cs="Arial"/>
        </w:rPr>
        <w:t xml:space="preserve"> and treatment Act of 2022 encourages NHS organisations, local governments, and partners to work together to provide coordinated and individualised treatment through Integrated Care Systems (ICSs). Effective partnership working in dementia services may still be hampered by fragmented commissioning and organisational differences, even with legislative support for integration (The King's Fund, 2022).</w:t>
      </w:r>
    </w:p>
    <w:p w14:paraId="07F5C58D" w14:textId="77777777" w:rsidR="003A48EA" w:rsidRPr="00423D6C" w:rsidRDefault="003A48EA" w:rsidP="00423D6C">
      <w:pPr>
        <w:spacing w:line="360" w:lineRule="auto"/>
        <w:jc w:val="both"/>
        <w:rPr>
          <w:rFonts w:ascii="Arial" w:hAnsi="Arial" w:cs="Arial"/>
        </w:rPr>
      </w:pPr>
      <w:r w:rsidRPr="00423D6C">
        <w:rPr>
          <w:rFonts w:ascii="Arial" w:hAnsi="Arial" w:cs="Arial"/>
        </w:rPr>
        <w:t>PCC is supported by the Human Rights Act of 1998, which upholds fundamental rights such as respect for private and family life (Article 8), freedom from degrading treatment (Article 3), and the right to life (Article 2). These values uphold the significance of respectful dementia care, autonomy, and dignity (Human Rights Act, 1998). In a similar vein, the Equality Act of 2010 prohibits discrimination and mandates reasonable accommodations to guarantee that people with dementia can receive the services they need (Equality Act, 2010).</w:t>
      </w:r>
    </w:p>
    <w:p w14:paraId="7AA85BA8" w14:textId="77777777" w:rsidR="003A48EA" w:rsidRPr="00423D6C" w:rsidRDefault="003A48EA" w:rsidP="00423D6C">
      <w:pPr>
        <w:spacing w:line="360" w:lineRule="auto"/>
        <w:jc w:val="both"/>
        <w:rPr>
          <w:rFonts w:ascii="Arial" w:hAnsi="Arial" w:cs="Arial"/>
        </w:rPr>
      </w:pPr>
    </w:p>
    <w:p w14:paraId="4E6E213D" w14:textId="43DA40DB" w:rsidR="003A48EA" w:rsidRPr="00423D6C" w:rsidRDefault="00B7108C" w:rsidP="00423D6C">
      <w:pPr>
        <w:spacing w:line="360" w:lineRule="auto"/>
        <w:jc w:val="both"/>
        <w:rPr>
          <w:rFonts w:ascii="Arial" w:hAnsi="Arial" w:cs="Arial"/>
        </w:rPr>
      </w:pPr>
      <w:r w:rsidRPr="00423D6C">
        <w:rPr>
          <w:rFonts w:ascii="Arial" w:hAnsi="Arial" w:cs="Arial"/>
        </w:rPr>
        <w:t>To</w:t>
      </w:r>
      <w:r w:rsidR="003A48EA" w:rsidRPr="00423D6C">
        <w:rPr>
          <w:rFonts w:ascii="Arial" w:hAnsi="Arial" w:cs="Arial"/>
        </w:rPr>
        <w:t xml:space="preserve"> facilitate individualised approaches to healthcare, the Health and Social Care Act of 2012 </w:t>
      </w:r>
      <w:r w:rsidR="00970481" w:rsidRPr="00423D6C">
        <w:rPr>
          <w:rFonts w:ascii="Arial" w:hAnsi="Arial" w:cs="Arial"/>
        </w:rPr>
        <w:t>place</w:t>
      </w:r>
      <w:r w:rsidR="003A48EA" w:rsidRPr="00423D6C">
        <w:rPr>
          <w:rFonts w:ascii="Arial" w:hAnsi="Arial" w:cs="Arial"/>
        </w:rPr>
        <w:t xml:space="preserve"> a strong focus on patient involvement and collaborative decision-making. However, it is still challenging to achieve real PCC when services are unable to adequately address individual needs due to organisational priorities, budget constraints, and communication obstacles (McCormack and McCance, 2017).</w:t>
      </w:r>
    </w:p>
    <w:p w14:paraId="2D55733B" w14:textId="754AC920" w:rsidR="006B01A6" w:rsidRPr="00423D6C" w:rsidRDefault="006B01A6" w:rsidP="00970481">
      <w:pPr>
        <w:pStyle w:val="Heading2"/>
      </w:pPr>
      <w:bookmarkStart w:id="9" w:name="_Toc235911023"/>
      <w:r w:rsidRPr="00423D6C">
        <w:t>suggestions</w:t>
      </w:r>
      <w:bookmarkEnd w:id="9"/>
    </w:p>
    <w:p w14:paraId="2513952E" w14:textId="219F50BF" w:rsidR="006B01A6" w:rsidRPr="00423D6C" w:rsidRDefault="006B01A6" w:rsidP="00423D6C">
      <w:pPr>
        <w:spacing w:line="360" w:lineRule="auto"/>
        <w:jc w:val="both"/>
        <w:rPr>
          <w:rFonts w:ascii="Arial" w:hAnsi="Arial" w:cs="Arial"/>
        </w:rPr>
      </w:pPr>
      <w:r w:rsidRPr="00423D6C">
        <w:rPr>
          <w:rFonts w:ascii="Arial" w:hAnsi="Arial" w:cs="Arial"/>
        </w:rPr>
        <w:t xml:space="preserve">Sustained investment in workforce development, integrated systems, and family support is necessary to improve person-centred care (PCC) and partnership functioning in community </w:t>
      </w:r>
      <w:r w:rsidRPr="00423D6C">
        <w:rPr>
          <w:rFonts w:ascii="Arial" w:hAnsi="Arial" w:cs="Arial"/>
        </w:rPr>
        <w:lastRenderedPageBreak/>
        <w:t>dementia services. First and foremost, all health and social care workers should receive more dementia-specific education and training. Increased understanding of dementia and person-centred approaches improves interdisciplinary collaboration and empowers professionals to deliver customised, compassionate care (NICE, 2023; McCormack and McCance, 2017). However, participation may be hampered by a lack of personnel and a lack of funding for training. Organisations may be able to get over these obstacles with the support of dedicated finance and protected learning time.</w:t>
      </w:r>
    </w:p>
    <w:p w14:paraId="4C6631F0" w14:textId="17469657" w:rsidR="000F2ED9" w:rsidRPr="00423D6C" w:rsidRDefault="000F2ED9" w:rsidP="00423D6C">
      <w:pPr>
        <w:spacing w:line="360" w:lineRule="auto"/>
        <w:jc w:val="both"/>
        <w:rPr>
          <w:rFonts w:ascii="Arial" w:hAnsi="Arial" w:cs="Arial"/>
        </w:rPr>
      </w:pPr>
      <w:r w:rsidRPr="00423D6C">
        <w:rPr>
          <w:rFonts w:ascii="Arial" w:hAnsi="Arial" w:cs="Arial"/>
        </w:rPr>
        <w:t>Second</w:t>
      </w:r>
      <w:r w:rsidR="00E8357D">
        <w:rPr>
          <w:rFonts w:ascii="Arial" w:hAnsi="Arial" w:cs="Arial"/>
        </w:rPr>
        <w:t>ly</w:t>
      </w:r>
      <w:r w:rsidRPr="00423D6C">
        <w:rPr>
          <w:rFonts w:ascii="Arial" w:hAnsi="Arial" w:cs="Arial"/>
        </w:rPr>
        <w:t>, all Integrated Care Systems (ICSs) should make more use of digital shared care records. By eliminating duplication and promoting continuity of treatment, shared records enhance communication between general practitioners, memory clinics, community nurses, social workers, and assisted living facilities (Health and treatment Act, 2022). However, issues with information governance and variations in digital systems continue to be obstacles. Interoperability and secure information sharing would be enhanced by standardised digital platforms and adequate personnel training.</w:t>
      </w:r>
    </w:p>
    <w:p w14:paraId="77C6846E" w14:textId="3FF51025" w:rsidR="00187862" w:rsidRPr="00423D6C" w:rsidRDefault="00187862" w:rsidP="00423D6C">
      <w:pPr>
        <w:spacing w:line="360" w:lineRule="auto"/>
        <w:jc w:val="both"/>
        <w:rPr>
          <w:rFonts w:ascii="Arial" w:hAnsi="Arial" w:cs="Arial"/>
        </w:rPr>
      </w:pPr>
      <w:r w:rsidRPr="00423D6C">
        <w:rPr>
          <w:rFonts w:ascii="Arial" w:hAnsi="Arial" w:cs="Arial"/>
        </w:rPr>
        <w:t xml:space="preserve">Lastly, regular multidisciplinary team (MDT) meetings, organised care planning, and more access to assistive technology should all be addressed </w:t>
      </w:r>
      <w:r w:rsidR="00EF4CD4" w:rsidRPr="00423D6C">
        <w:rPr>
          <w:rFonts w:ascii="Arial" w:hAnsi="Arial" w:cs="Arial"/>
        </w:rPr>
        <w:t>to</w:t>
      </w:r>
      <w:r w:rsidRPr="00423D6C">
        <w:rPr>
          <w:rFonts w:ascii="Arial" w:hAnsi="Arial" w:cs="Arial"/>
        </w:rPr>
        <w:t xml:space="preserve"> strengthen partnerships with families and carers. While technologies like GPS devices and medicine reminders can encourage independence and safety, family carers have important understanding of a person's preferences and routines (NICE, 2023). Despite these advantages, implementation may be hampered by a lack of funds and unequal access to services. Person-centred care would be strengthened, partnership working would be improved, and the quality of life for individuals with dementia and their families would be improved with more funding for integrated care systems, better support for unpaid carers, and equitable access to assistive technology (The King's Fund, 2022).</w:t>
      </w:r>
    </w:p>
    <w:p w14:paraId="5777D7EE" w14:textId="509CD592" w:rsidR="001E27BC" w:rsidRPr="00423D6C" w:rsidRDefault="001E27BC" w:rsidP="00EF4CD4">
      <w:pPr>
        <w:pStyle w:val="Heading2"/>
      </w:pPr>
      <w:bookmarkStart w:id="10" w:name="_Toc235911024"/>
      <w:r w:rsidRPr="00423D6C">
        <w:t>To conclude</w:t>
      </w:r>
      <w:bookmarkEnd w:id="10"/>
    </w:p>
    <w:p w14:paraId="1FC92186" w14:textId="6A8BEFE5" w:rsidR="001E27BC" w:rsidRPr="00423D6C" w:rsidRDefault="005666C3" w:rsidP="00423D6C">
      <w:pPr>
        <w:spacing w:line="360" w:lineRule="auto"/>
        <w:jc w:val="both"/>
        <w:rPr>
          <w:rFonts w:ascii="Arial" w:hAnsi="Arial" w:cs="Arial"/>
        </w:rPr>
      </w:pPr>
      <w:r w:rsidRPr="00423D6C">
        <w:rPr>
          <w:rFonts w:ascii="Arial" w:hAnsi="Arial" w:cs="Arial"/>
        </w:rPr>
        <w:t>To</w:t>
      </w:r>
      <w:r w:rsidR="001E27BC" w:rsidRPr="00423D6C">
        <w:rPr>
          <w:rFonts w:ascii="Arial" w:hAnsi="Arial" w:cs="Arial"/>
        </w:rPr>
        <w:t xml:space="preserve"> provide high-quality community dementia care, person-centred care (PCC) is essential because it fosters independence, dignity, and care that </w:t>
      </w:r>
      <w:r w:rsidR="00B7108C" w:rsidRPr="00423D6C">
        <w:rPr>
          <w:rFonts w:ascii="Arial" w:hAnsi="Arial" w:cs="Arial"/>
        </w:rPr>
        <w:t>considers</w:t>
      </w:r>
      <w:r w:rsidR="001E27BC" w:rsidRPr="00423D6C">
        <w:rPr>
          <w:rFonts w:ascii="Arial" w:hAnsi="Arial" w:cs="Arial"/>
        </w:rPr>
        <w:t xml:space="preserve"> the needs, preferences, and values of the individual (Kitwood, 1997; McCormack and McCance, 2017). </w:t>
      </w:r>
      <w:r w:rsidRPr="00423D6C">
        <w:rPr>
          <w:rFonts w:ascii="Arial" w:hAnsi="Arial" w:cs="Arial"/>
        </w:rPr>
        <w:t>To</w:t>
      </w:r>
      <w:r w:rsidR="001E27BC" w:rsidRPr="00423D6C">
        <w:rPr>
          <w:rFonts w:ascii="Arial" w:hAnsi="Arial" w:cs="Arial"/>
        </w:rPr>
        <w:t xml:space="preserve"> provide coordinated, safe, and comprehensive care that enhances outcomes for individuals with dementia, effective collaboration between the NHS, social care providers, volunteer organisations, families, and Integrated Care Systems is equally crucial (Health and Care Act, 2022).</w:t>
      </w:r>
    </w:p>
    <w:p w14:paraId="0963EC64" w14:textId="3AB69080" w:rsidR="005666C3" w:rsidRPr="00423D6C" w:rsidRDefault="00D00E06" w:rsidP="00423D6C">
      <w:pPr>
        <w:spacing w:line="360" w:lineRule="auto"/>
        <w:jc w:val="both"/>
        <w:rPr>
          <w:rFonts w:ascii="Arial" w:hAnsi="Arial" w:cs="Arial"/>
        </w:rPr>
      </w:pPr>
      <w:r w:rsidRPr="00423D6C">
        <w:rPr>
          <w:rFonts w:ascii="Arial" w:hAnsi="Arial" w:cs="Arial"/>
        </w:rPr>
        <w:t xml:space="preserve">The theoretical frameworks covered in this research offer insightful viewpoints for comprehending and enhancing dementia care. While Maslow's Hierarchy of requirements underlines the significance of addressing physical, psychological, and social requirements to </w:t>
      </w:r>
      <w:r w:rsidRPr="00423D6C">
        <w:rPr>
          <w:rFonts w:ascii="Arial" w:hAnsi="Arial" w:cs="Arial"/>
        </w:rPr>
        <w:lastRenderedPageBreak/>
        <w:t>enhance quality of life, Bronfenbrenner's Ecological Systems Theory emphasises the impact of family, community, and larger social systems on an individual's wellbeing. By maintaining identity, dignity, and meaningful interactions, Kitwood's Person-Centred Model emphasises the need of acknowledging the uniqueness of individuals with dementia (Bronfenbrenner, 1979; Maslow, 1943; Kitwood, 1997).</w:t>
      </w:r>
    </w:p>
    <w:p w14:paraId="78372E8D" w14:textId="77777777" w:rsidR="00DB4297" w:rsidRPr="00423D6C" w:rsidRDefault="00DB4297" w:rsidP="00423D6C">
      <w:pPr>
        <w:spacing w:line="360" w:lineRule="auto"/>
        <w:jc w:val="both"/>
        <w:rPr>
          <w:rFonts w:ascii="Arial" w:hAnsi="Arial" w:cs="Arial"/>
        </w:rPr>
      </w:pPr>
      <w:r w:rsidRPr="00423D6C">
        <w:rPr>
          <w:rFonts w:ascii="Arial" w:hAnsi="Arial" w:cs="Arial"/>
        </w:rPr>
        <w:t>The legal foundation for advancing person-centred, integrated, and equitable care is provided by laws such as the Care Act of 2014, the Health and Care Act of 2022, and the Equality Act of 2010. To overcome implementation obstacles and guarantee consistent delivery of high-quality dementia services, however, ongoing advancements in workforce training, funding, communication, and multidisciplinary collaboration are needed (The King's Fund, 2022).</w:t>
      </w:r>
    </w:p>
    <w:p w14:paraId="7801C1FE" w14:textId="77777777" w:rsidR="00DB4297" w:rsidRPr="00423D6C" w:rsidRDefault="00DB4297" w:rsidP="00423D6C">
      <w:pPr>
        <w:spacing w:line="360" w:lineRule="auto"/>
        <w:jc w:val="both"/>
        <w:rPr>
          <w:rFonts w:ascii="Arial" w:hAnsi="Arial" w:cs="Arial"/>
        </w:rPr>
      </w:pPr>
    </w:p>
    <w:p w14:paraId="47849367" w14:textId="767C2754" w:rsidR="00DB4297" w:rsidRPr="00423D6C" w:rsidRDefault="00DB4297" w:rsidP="00423D6C">
      <w:pPr>
        <w:spacing w:line="360" w:lineRule="auto"/>
        <w:jc w:val="both"/>
        <w:rPr>
          <w:rFonts w:ascii="Arial" w:hAnsi="Arial" w:cs="Arial"/>
        </w:rPr>
      </w:pPr>
      <w:r w:rsidRPr="00423D6C">
        <w:rPr>
          <w:rFonts w:ascii="Arial" w:hAnsi="Arial" w:cs="Arial"/>
        </w:rPr>
        <w:t>Effective person-centred dementia care ultimately relies on acknowledging the person within their larger social context and encouraging partnership between health and social care providers.</w:t>
      </w:r>
    </w:p>
    <w:p w14:paraId="6E4BDA4F" w14:textId="77777777" w:rsidR="00EC70B5" w:rsidRPr="00423D6C" w:rsidRDefault="00EC70B5" w:rsidP="00423D6C">
      <w:pPr>
        <w:spacing w:line="360" w:lineRule="auto"/>
        <w:jc w:val="both"/>
        <w:rPr>
          <w:rFonts w:ascii="Arial" w:hAnsi="Arial" w:cs="Arial"/>
        </w:rPr>
      </w:pPr>
    </w:p>
    <w:p w14:paraId="5BA1ABC9" w14:textId="3B010C3F" w:rsidR="005E7B3E" w:rsidRPr="0043356D" w:rsidRDefault="005E7B3E" w:rsidP="0043356D">
      <w:pPr>
        <w:pStyle w:val="Heading2"/>
        <w:rPr>
          <w:rFonts w:ascii="Arial" w:eastAsia="Times New Roman" w:hAnsi="Arial" w:cs="Arial"/>
          <w:lang w:eastAsia="en-GB"/>
        </w:rPr>
      </w:pPr>
      <w:bookmarkStart w:id="11" w:name="_Toc235911025"/>
      <w:r w:rsidRPr="005E7B3E">
        <w:rPr>
          <w:rFonts w:ascii="Arial" w:eastAsia="Times New Roman" w:hAnsi="Arial" w:cs="Arial"/>
          <w:lang w:eastAsia="en-GB"/>
        </w:rPr>
        <w:t>Reference list</w:t>
      </w:r>
      <w:bookmarkEnd w:id="11"/>
    </w:p>
    <w:p w14:paraId="3E82D0AE" w14:textId="0C50C7DA"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Bronfenbrenner, U. (1979) </w:t>
      </w:r>
      <w:r w:rsidRPr="00C35BE6">
        <w:rPr>
          <w:rFonts w:ascii="Arial" w:eastAsia="Times New Roman" w:hAnsi="Arial" w:cs="Arial"/>
          <w:i/>
          <w:iCs/>
          <w:lang w:eastAsia="en-GB"/>
        </w:rPr>
        <w:t>The Ecology of Human Development: Experiments by Nature and Design</w:t>
      </w:r>
      <w:r w:rsidRPr="00C35BE6">
        <w:rPr>
          <w:rFonts w:ascii="Arial" w:eastAsia="Times New Roman" w:hAnsi="Arial" w:cs="Arial"/>
          <w:lang w:eastAsia="en-GB"/>
        </w:rPr>
        <w:t>. Cambridge, MA: Harvard University Press.</w:t>
      </w:r>
    </w:p>
    <w:p w14:paraId="1475D220" w14:textId="66DD9EEE" w:rsidR="005E7B3E" w:rsidRPr="00C35BE6" w:rsidRDefault="00C11F45" w:rsidP="00C35BE6">
      <w:pPr>
        <w:spacing w:before="100" w:beforeAutospacing="1" w:after="100" w:afterAutospacing="1" w:line="360" w:lineRule="auto"/>
        <w:jc w:val="both"/>
        <w:rPr>
          <w:rFonts w:ascii="Arial" w:eastAsia="Times New Roman" w:hAnsi="Arial" w:cs="Arial"/>
          <w:lang w:eastAsia="en-GB"/>
        </w:rPr>
      </w:pPr>
      <w:r w:rsidRPr="00C35BE6">
        <w:rPr>
          <w:rFonts w:ascii="Arial" w:hAnsi="Arial" w:cs="Arial"/>
        </w:rPr>
        <w:t xml:space="preserve">Department of Health and Social Care (2022) </w:t>
      </w:r>
      <w:r w:rsidRPr="00C35BE6">
        <w:rPr>
          <w:rStyle w:val="Emphasis"/>
          <w:rFonts w:ascii="Arial" w:hAnsi="Arial" w:cs="Arial"/>
        </w:rPr>
        <w:t>People at the Heart of Care: Adult Social Care Reform White Paper</w:t>
      </w:r>
      <w:r w:rsidRPr="00C35BE6">
        <w:rPr>
          <w:rFonts w:ascii="Arial" w:hAnsi="Arial" w:cs="Arial"/>
        </w:rPr>
        <w:t xml:space="preserve">. London: Department of Health and Social Care. Available at: </w:t>
      </w:r>
      <w:hyperlink r:id="rId9" w:tgtFrame="_new" w:history="1">
        <w:r w:rsidRPr="00C35BE6">
          <w:rPr>
            <w:rStyle w:val="Hyperlink"/>
            <w:rFonts w:ascii="Arial" w:hAnsi="Arial" w:cs="Arial"/>
          </w:rPr>
          <w:t>https://www.gov.uk/government/publications/people-at-the-heart-of-care-adult-social-care-reform-white-paper</w:t>
        </w:r>
      </w:hyperlink>
      <w:r w:rsidRPr="00C35BE6">
        <w:rPr>
          <w:rFonts w:ascii="Arial" w:hAnsi="Arial" w:cs="Arial"/>
        </w:rPr>
        <w:t xml:space="preserve"> (Accessed: 25 July 2026).</w:t>
      </w:r>
    </w:p>
    <w:p w14:paraId="46ABDB45" w14:textId="52E7BAED"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Health Foundation (2014) </w:t>
      </w:r>
      <w:r w:rsidRPr="00C35BE6">
        <w:rPr>
          <w:rFonts w:ascii="Arial" w:eastAsia="Times New Roman" w:hAnsi="Arial" w:cs="Arial"/>
          <w:i/>
          <w:iCs/>
          <w:lang w:eastAsia="en-GB"/>
        </w:rPr>
        <w:t>Person-centred care made simple: What everyone should know about person-centred care</w:t>
      </w:r>
      <w:r w:rsidRPr="00C35BE6">
        <w:rPr>
          <w:rFonts w:ascii="Arial" w:eastAsia="Times New Roman" w:hAnsi="Arial" w:cs="Arial"/>
          <w:lang w:eastAsia="en-GB"/>
        </w:rPr>
        <w:t>. London: The Health Foundation.</w:t>
      </w:r>
    </w:p>
    <w:p w14:paraId="4A07B484"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Health and Social Care Act (2012) </w:t>
      </w:r>
      <w:r w:rsidRPr="00C35BE6">
        <w:rPr>
          <w:rFonts w:ascii="Arial" w:eastAsia="Times New Roman" w:hAnsi="Arial" w:cs="Arial"/>
          <w:i/>
          <w:iCs/>
          <w:lang w:eastAsia="en-GB"/>
        </w:rPr>
        <w:t>Health and Social Care Act 2012</w:t>
      </w:r>
      <w:r w:rsidRPr="00C35BE6">
        <w:rPr>
          <w:rFonts w:ascii="Arial" w:eastAsia="Times New Roman" w:hAnsi="Arial" w:cs="Arial"/>
          <w:lang w:eastAsia="en-GB"/>
        </w:rPr>
        <w:t>. London: The Stationery Office.</w:t>
      </w:r>
    </w:p>
    <w:p w14:paraId="24A50C9D"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Human Rights Act (1998) </w:t>
      </w:r>
      <w:r w:rsidRPr="00C35BE6">
        <w:rPr>
          <w:rFonts w:ascii="Arial" w:eastAsia="Times New Roman" w:hAnsi="Arial" w:cs="Arial"/>
          <w:i/>
          <w:iCs/>
          <w:lang w:eastAsia="en-GB"/>
        </w:rPr>
        <w:t>Human Rights Act 1998</w:t>
      </w:r>
      <w:r w:rsidRPr="00C35BE6">
        <w:rPr>
          <w:rFonts w:ascii="Arial" w:eastAsia="Times New Roman" w:hAnsi="Arial" w:cs="Arial"/>
          <w:lang w:eastAsia="en-GB"/>
        </w:rPr>
        <w:t>. London: The Stationery Office.</w:t>
      </w:r>
    </w:p>
    <w:p w14:paraId="6AE1A2A6"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Kitwood, T. (1997) </w:t>
      </w:r>
      <w:r w:rsidRPr="00C35BE6">
        <w:rPr>
          <w:rFonts w:ascii="Arial" w:eastAsia="Times New Roman" w:hAnsi="Arial" w:cs="Arial"/>
          <w:i/>
          <w:iCs/>
          <w:lang w:eastAsia="en-GB"/>
        </w:rPr>
        <w:t>Dementia Reconsidered: The Person Comes First</w:t>
      </w:r>
      <w:r w:rsidRPr="00C35BE6">
        <w:rPr>
          <w:rFonts w:ascii="Arial" w:eastAsia="Times New Roman" w:hAnsi="Arial" w:cs="Arial"/>
          <w:lang w:eastAsia="en-GB"/>
        </w:rPr>
        <w:t>. Buckingham: Open University Press.</w:t>
      </w:r>
    </w:p>
    <w:p w14:paraId="6D299C4F" w14:textId="43D91ACF" w:rsidR="005E7B3E" w:rsidRPr="00C35BE6" w:rsidRDefault="00D62EA2" w:rsidP="00C35BE6">
      <w:pPr>
        <w:spacing w:before="100" w:beforeAutospacing="1" w:after="100" w:afterAutospacing="1" w:line="360" w:lineRule="auto"/>
        <w:jc w:val="both"/>
        <w:rPr>
          <w:rFonts w:ascii="Arial" w:eastAsia="Times New Roman" w:hAnsi="Arial" w:cs="Arial"/>
          <w:lang w:eastAsia="en-GB"/>
        </w:rPr>
      </w:pPr>
      <w:r w:rsidRPr="00C35BE6">
        <w:rPr>
          <w:rFonts w:ascii="Arial" w:hAnsi="Arial" w:cs="Arial"/>
        </w:rPr>
        <w:lastRenderedPageBreak/>
        <w:t xml:space="preserve">Maslow, A.H. (1943) 'A theory of human motivation', </w:t>
      </w:r>
      <w:r w:rsidRPr="00C35BE6">
        <w:rPr>
          <w:rStyle w:val="Emphasis"/>
          <w:rFonts w:ascii="Arial" w:hAnsi="Arial" w:cs="Arial"/>
        </w:rPr>
        <w:t>Psychological Review</w:t>
      </w:r>
      <w:r w:rsidRPr="00C35BE6">
        <w:rPr>
          <w:rFonts w:ascii="Arial" w:hAnsi="Arial" w:cs="Arial"/>
        </w:rPr>
        <w:t>, 50(4), pp. 370–396.Availableat:</w:t>
      </w:r>
      <w:hyperlink r:id="rId10" w:history="1">
        <w:r w:rsidR="00CB0750" w:rsidRPr="002E19E8">
          <w:rPr>
            <w:rStyle w:val="Hyperlink"/>
            <w:rFonts w:ascii="Arial" w:hAnsi="Arial" w:cs="Arial"/>
          </w:rPr>
          <w:t>https://archive.org/details/Maslow_A_H_-_A_Theory_of_Human_Motivation/page/n5/mode/2up</w:t>
        </w:r>
      </w:hyperlink>
      <w:r w:rsidRPr="00C35BE6">
        <w:rPr>
          <w:rFonts w:ascii="Arial" w:hAnsi="Arial" w:cs="Arial"/>
        </w:rPr>
        <w:t xml:space="preserve"> (Accessed: 25 July 2026).</w:t>
      </w:r>
    </w:p>
    <w:p w14:paraId="705E7304"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McCormack, B. and McCance, T. (2017) </w:t>
      </w:r>
      <w:r w:rsidRPr="00C35BE6">
        <w:rPr>
          <w:rFonts w:ascii="Arial" w:eastAsia="Times New Roman" w:hAnsi="Arial" w:cs="Arial"/>
          <w:i/>
          <w:iCs/>
          <w:lang w:eastAsia="en-GB"/>
        </w:rPr>
        <w:t>Person-Centred Practice in Nursing and Health Care: Theory and Practice</w:t>
      </w:r>
      <w:r w:rsidRPr="00C35BE6">
        <w:rPr>
          <w:rFonts w:ascii="Arial" w:eastAsia="Times New Roman" w:hAnsi="Arial" w:cs="Arial"/>
          <w:lang w:eastAsia="en-GB"/>
        </w:rPr>
        <w:t>. 2nd edn. Chichester: Wiley-Blackwell.</w:t>
      </w:r>
    </w:p>
    <w:p w14:paraId="726F4514"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National Institute for Health and Care Excellence (NICE) (2023) </w:t>
      </w:r>
      <w:r w:rsidRPr="00C35BE6">
        <w:rPr>
          <w:rFonts w:ascii="Arial" w:eastAsia="Times New Roman" w:hAnsi="Arial" w:cs="Arial"/>
          <w:i/>
          <w:iCs/>
          <w:lang w:eastAsia="en-GB"/>
        </w:rPr>
        <w:t>Dementia: assessment, management and support for people living with dementia and their carers (NG97)</w:t>
      </w:r>
      <w:r w:rsidRPr="00C35BE6">
        <w:rPr>
          <w:rFonts w:ascii="Arial" w:eastAsia="Times New Roman" w:hAnsi="Arial" w:cs="Arial"/>
          <w:lang w:eastAsia="en-GB"/>
        </w:rPr>
        <w:t xml:space="preserve">. London: NICE. Available at: </w:t>
      </w:r>
      <w:hyperlink r:id="rId11" w:history="1">
        <w:r w:rsidRPr="00C35BE6">
          <w:rPr>
            <w:rFonts w:ascii="Arial" w:eastAsia="Times New Roman" w:hAnsi="Arial" w:cs="Arial"/>
            <w:color w:val="0000FF"/>
            <w:u w:val="single"/>
            <w:lang w:eastAsia="en-GB"/>
          </w:rPr>
          <w:t>https://www.nice.org.uk/guidance/ng97</w:t>
        </w:r>
      </w:hyperlink>
      <w:r w:rsidRPr="00C35BE6">
        <w:rPr>
          <w:rFonts w:ascii="Arial" w:eastAsia="Times New Roman" w:hAnsi="Arial" w:cs="Arial"/>
          <w:lang w:eastAsia="en-GB"/>
        </w:rPr>
        <w:t xml:space="preserve"> (Accessed: 25 July 2026).</w:t>
      </w:r>
    </w:p>
    <w:p w14:paraId="31BA0E5F"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National Institute for Health and Care Excellence (NICE) (2023) </w:t>
      </w:r>
      <w:r w:rsidRPr="00C35BE6">
        <w:rPr>
          <w:rFonts w:ascii="Arial" w:eastAsia="Times New Roman" w:hAnsi="Arial" w:cs="Arial"/>
          <w:i/>
          <w:iCs/>
          <w:lang w:eastAsia="en-GB"/>
        </w:rPr>
        <w:t>NICE guideline NG197: Shared decision making</w:t>
      </w:r>
      <w:r w:rsidRPr="00C35BE6">
        <w:rPr>
          <w:rFonts w:ascii="Arial" w:eastAsia="Times New Roman" w:hAnsi="Arial" w:cs="Arial"/>
          <w:lang w:eastAsia="en-GB"/>
        </w:rPr>
        <w:t xml:space="preserve">. London: NICE. Available at: </w:t>
      </w:r>
      <w:hyperlink r:id="rId12" w:history="1">
        <w:r w:rsidRPr="00C35BE6">
          <w:rPr>
            <w:rFonts w:ascii="Arial" w:eastAsia="Times New Roman" w:hAnsi="Arial" w:cs="Arial"/>
            <w:color w:val="0000FF"/>
            <w:u w:val="single"/>
            <w:lang w:eastAsia="en-GB"/>
          </w:rPr>
          <w:t>https://www.nice.org.uk/guidance/ng197</w:t>
        </w:r>
      </w:hyperlink>
      <w:r w:rsidRPr="00C35BE6">
        <w:rPr>
          <w:rFonts w:ascii="Arial" w:eastAsia="Times New Roman" w:hAnsi="Arial" w:cs="Arial"/>
          <w:lang w:eastAsia="en-GB"/>
        </w:rPr>
        <w:t xml:space="preserve"> (Accessed: 25 July 2026).</w:t>
      </w:r>
    </w:p>
    <w:p w14:paraId="49C620F6"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NHS England (2023) </w:t>
      </w:r>
      <w:r w:rsidRPr="00C35BE6">
        <w:rPr>
          <w:rFonts w:ascii="Arial" w:eastAsia="Times New Roman" w:hAnsi="Arial" w:cs="Arial"/>
          <w:i/>
          <w:iCs/>
          <w:lang w:eastAsia="en-GB"/>
        </w:rPr>
        <w:t>Integrated Care Systems: guidance</w:t>
      </w:r>
      <w:r w:rsidRPr="00C35BE6">
        <w:rPr>
          <w:rFonts w:ascii="Arial" w:eastAsia="Times New Roman" w:hAnsi="Arial" w:cs="Arial"/>
          <w:lang w:eastAsia="en-GB"/>
        </w:rPr>
        <w:t xml:space="preserve">. London: NHS England. Available at: </w:t>
      </w:r>
      <w:hyperlink r:id="rId13" w:history="1">
        <w:r w:rsidRPr="00C35BE6">
          <w:rPr>
            <w:rFonts w:ascii="Arial" w:eastAsia="Times New Roman" w:hAnsi="Arial" w:cs="Arial"/>
            <w:color w:val="0000FF"/>
            <w:u w:val="single"/>
            <w:lang w:eastAsia="en-GB"/>
          </w:rPr>
          <w:t>https://www.england.nhs.uk/integratedcare/</w:t>
        </w:r>
      </w:hyperlink>
      <w:r w:rsidRPr="00C35BE6">
        <w:rPr>
          <w:rFonts w:ascii="Arial" w:eastAsia="Times New Roman" w:hAnsi="Arial" w:cs="Arial"/>
          <w:lang w:eastAsia="en-GB"/>
        </w:rPr>
        <w:t xml:space="preserve"> (Accessed: 25 July 2026).</w:t>
      </w:r>
    </w:p>
    <w:p w14:paraId="773C05A8" w14:textId="4103CEBE" w:rsidR="00F75D62" w:rsidRPr="00C35BE6" w:rsidRDefault="00F75D62" w:rsidP="00C35BE6">
      <w:pPr>
        <w:spacing w:before="100" w:beforeAutospacing="1" w:after="100" w:afterAutospacing="1" w:line="360" w:lineRule="auto"/>
        <w:jc w:val="both"/>
        <w:rPr>
          <w:rFonts w:ascii="Arial" w:hAnsi="Arial" w:cs="Arial"/>
        </w:rPr>
      </w:pPr>
      <w:r w:rsidRPr="00C35BE6">
        <w:rPr>
          <w:rFonts w:ascii="Arial" w:hAnsi="Arial" w:cs="Arial"/>
        </w:rPr>
        <w:t xml:space="preserve">UK Government (2014) </w:t>
      </w:r>
      <w:r w:rsidRPr="00C35BE6">
        <w:rPr>
          <w:rStyle w:val="Emphasis"/>
          <w:rFonts w:ascii="Arial" w:hAnsi="Arial" w:cs="Arial"/>
        </w:rPr>
        <w:t>Care Act 2014</w:t>
      </w:r>
      <w:r w:rsidRPr="00C35BE6">
        <w:rPr>
          <w:rFonts w:ascii="Arial" w:hAnsi="Arial" w:cs="Arial"/>
        </w:rPr>
        <w:t xml:space="preserve">. Available at: </w:t>
      </w:r>
      <w:hyperlink r:id="rId14" w:tgtFrame="_blank" w:history="1">
        <w:r w:rsidRPr="00C35BE6">
          <w:rPr>
            <w:rStyle w:val="Hyperlink"/>
            <w:rFonts w:ascii="Arial" w:hAnsi="Arial" w:cs="Arial"/>
          </w:rPr>
          <w:t>legislation.gov.uk</w:t>
        </w:r>
      </w:hyperlink>
      <w:r w:rsidRPr="00C35BE6">
        <w:rPr>
          <w:rFonts w:ascii="Arial" w:hAnsi="Arial" w:cs="Arial"/>
        </w:rPr>
        <w:t xml:space="preserve"> (Accessed: 25 July 2026)</w:t>
      </w:r>
      <w:r w:rsidR="00FE1FAC" w:rsidRPr="00C35BE6">
        <w:rPr>
          <w:rFonts w:ascii="Arial" w:hAnsi="Arial" w:cs="Arial"/>
        </w:rPr>
        <w:t>.</w:t>
      </w:r>
    </w:p>
    <w:p w14:paraId="29248FD0" w14:textId="69C33D3D" w:rsidR="00FE1FAC" w:rsidRPr="00C35BE6" w:rsidRDefault="00FE1FAC" w:rsidP="00C35BE6">
      <w:pPr>
        <w:spacing w:before="100" w:beforeAutospacing="1" w:after="100" w:afterAutospacing="1" w:line="360" w:lineRule="auto"/>
        <w:jc w:val="both"/>
        <w:rPr>
          <w:rFonts w:ascii="Arial" w:hAnsi="Arial" w:cs="Arial"/>
        </w:rPr>
      </w:pPr>
      <w:r w:rsidRPr="00C35BE6">
        <w:rPr>
          <w:rFonts w:ascii="Arial" w:hAnsi="Arial" w:cs="Arial"/>
        </w:rPr>
        <w:t xml:space="preserve">UK Government (2010) </w:t>
      </w:r>
      <w:r w:rsidRPr="00C35BE6">
        <w:rPr>
          <w:rStyle w:val="Emphasis"/>
          <w:rFonts w:ascii="Arial" w:hAnsi="Arial" w:cs="Arial"/>
        </w:rPr>
        <w:t>Equality Act 2010</w:t>
      </w:r>
      <w:r w:rsidRPr="00C35BE6">
        <w:rPr>
          <w:rFonts w:ascii="Arial" w:hAnsi="Arial" w:cs="Arial"/>
        </w:rPr>
        <w:t xml:space="preserve">. Available at: </w:t>
      </w:r>
      <w:hyperlink r:id="rId15" w:tgtFrame="_blank" w:history="1">
        <w:r w:rsidRPr="00C35BE6">
          <w:rPr>
            <w:rStyle w:val="Hyperlink"/>
            <w:rFonts w:ascii="Arial" w:hAnsi="Arial" w:cs="Arial"/>
          </w:rPr>
          <w:t>legislation.gov.uk</w:t>
        </w:r>
      </w:hyperlink>
      <w:r w:rsidRPr="00C35BE6">
        <w:rPr>
          <w:rFonts w:ascii="Arial" w:hAnsi="Arial" w:cs="Arial"/>
        </w:rPr>
        <w:t xml:space="preserve"> (Accessed: 25 July 2026).</w:t>
      </w:r>
    </w:p>
    <w:p w14:paraId="297D90A3" w14:textId="6994E7F5" w:rsidR="00D01270" w:rsidRPr="00C35BE6" w:rsidRDefault="00D01270" w:rsidP="00C35BE6">
      <w:pPr>
        <w:spacing w:before="100" w:beforeAutospacing="1" w:after="100" w:afterAutospacing="1" w:line="360" w:lineRule="auto"/>
        <w:jc w:val="both"/>
        <w:rPr>
          <w:rFonts w:ascii="Arial" w:hAnsi="Arial" w:cs="Arial"/>
        </w:rPr>
      </w:pPr>
      <w:r w:rsidRPr="00C35BE6">
        <w:rPr>
          <w:rFonts w:ascii="Arial" w:hAnsi="Arial" w:cs="Arial"/>
        </w:rPr>
        <w:t xml:space="preserve">UK Government (2022) </w:t>
      </w:r>
      <w:r w:rsidRPr="00C35BE6">
        <w:rPr>
          <w:rStyle w:val="Emphasis"/>
          <w:rFonts w:ascii="Arial" w:hAnsi="Arial" w:cs="Arial"/>
        </w:rPr>
        <w:t>Health and Care Act 2022</w:t>
      </w:r>
      <w:r w:rsidRPr="00C35BE6">
        <w:rPr>
          <w:rFonts w:ascii="Arial" w:hAnsi="Arial" w:cs="Arial"/>
        </w:rPr>
        <w:t xml:space="preserve">. Available at: </w:t>
      </w:r>
      <w:hyperlink r:id="rId16" w:tgtFrame="_blank" w:history="1">
        <w:r w:rsidRPr="00C35BE6">
          <w:rPr>
            <w:rStyle w:val="Hyperlink"/>
            <w:rFonts w:ascii="Arial" w:hAnsi="Arial" w:cs="Arial"/>
          </w:rPr>
          <w:t>legislation.gov.uk</w:t>
        </w:r>
      </w:hyperlink>
      <w:r w:rsidRPr="00C35BE6">
        <w:rPr>
          <w:rFonts w:ascii="Arial" w:hAnsi="Arial" w:cs="Arial"/>
        </w:rPr>
        <w:t xml:space="preserve"> (Accessed: 25 July 2026)</w:t>
      </w:r>
      <w:r w:rsidR="00BB24FE" w:rsidRPr="00C35BE6">
        <w:rPr>
          <w:rFonts w:ascii="Arial" w:hAnsi="Arial" w:cs="Arial"/>
        </w:rPr>
        <w:t>.</w:t>
      </w:r>
    </w:p>
    <w:p w14:paraId="11D9F7B8" w14:textId="53B13EF0" w:rsidR="00BE598D" w:rsidRPr="00C35BE6" w:rsidRDefault="00BB24FE" w:rsidP="00C35BE6">
      <w:pPr>
        <w:spacing w:before="100" w:beforeAutospacing="1" w:after="100" w:afterAutospacing="1" w:line="360" w:lineRule="auto"/>
        <w:jc w:val="both"/>
        <w:rPr>
          <w:rFonts w:ascii="Arial" w:hAnsi="Arial" w:cs="Arial"/>
        </w:rPr>
      </w:pPr>
      <w:r w:rsidRPr="00C35BE6">
        <w:rPr>
          <w:rFonts w:ascii="Arial" w:hAnsi="Arial" w:cs="Arial"/>
        </w:rPr>
        <w:t xml:space="preserve">UK Government (2012) </w:t>
      </w:r>
      <w:r w:rsidRPr="00C35BE6">
        <w:rPr>
          <w:rStyle w:val="Emphasis"/>
          <w:rFonts w:ascii="Arial" w:hAnsi="Arial" w:cs="Arial"/>
        </w:rPr>
        <w:t>Health and Social Care Act 2012</w:t>
      </w:r>
      <w:r w:rsidRPr="00C35BE6">
        <w:rPr>
          <w:rFonts w:ascii="Arial" w:hAnsi="Arial" w:cs="Arial"/>
        </w:rPr>
        <w:t xml:space="preserve">. Available at: </w:t>
      </w:r>
      <w:hyperlink r:id="rId17" w:tgtFrame="_blank" w:history="1">
        <w:r w:rsidRPr="00C35BE6">
          <w:rPr>
            <w:rStyle w:val="Hyperlink"/>
            <w:rFonts w:ascii="Arial" w:hAnsi="Arial" w:cs="Arial"/>
          </w:rPr>
          <w:t>legislation.gov.uk</w:t>
        </w:r>
      </w:hyperlink>
      <w:r w:rsidRPr="00C35BE6">
        <w:rPr>
          <w:rFonts w:ascii="Arial" w:hAnsi="Arial" w:cs="Arial"/>
        </w:rPr>
        <w:t xml:space="preserve"> (Accessed: 25 July 2026</w:t>
      </w:r>
    </w:p>
    <w:p w14:paraId="50EB5E06"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The King's Fund (2018) </w:t>
      </w:r>
      <w:r w:rsidRPr="00C35BE6">
        <w:rPr>
          <w:rFonts w:ascii="Arial" w:eastAsia="Times New Roman" w:hAnsi="Arial" w:cs="Arial"/>
          <w:i/>
          <w:iCs/>
          <w:lang w:eastAsia="en-GB"/>
        </w:rPr>
        <w:t>Person-centred care made simple</w:t>
      </w:r>
      <w:r w:rsidRPr="00C35BE6">
        <w:rPr>
          <w:rFonts w:ascii="Arial" w:eastAsia="Times New Roman" w:hAnsi="Arial" w:cs="Arial"/>
          <w:lang w:eastAsia="en-GB"/>
        </w:rPr>
        <w:t xml:space="preserve">. London: The King's Fund. Available at: </w:t>
      </w:r>
      <w:hyperlink r:id="rId18" w:history="1">
        <w:r w:rsidRPr="00C35BE6">
          <w:rPr>
            <w:rFonts w:ascii="Arial" w:eastAsia="Times New Roman" w:hAnsi="Arial" w:cs="Arial"/>
            <w:color w:val="0000FF"/>
            <w:u w:val="single"/>
            <w:lang w:eastAsia="en-GB"/>
          </w:rPr>
          <w:t>https://www.kingsfund.org.uk/publications/person-centred-care-made-simple</w:t>
        </w:r>
      </w:hyperlink>
      <w:r w:rsidRPr="00C35BE6">
        <w:rPr>
          <w:rFonts w:ascii="Arial" w:eastAsia="Times New Roman" w:hAnsi="Arial" w:cs="Arial"/>
          <w:lang w:eastAsia="en-GB"/>
        </w:rPr>
        <w:t xml:space="preserve"> (Accessed: 25 July 2026).</w:t>
      </w:r>
    </w:p>
    <w:p w14:paraId="7082F228"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The King's Fund (2021) </w:t>
      </w:r>
      <w:r w:rsidRPr="00C35BE6">
        <w:rPr>
          <w:rFonts w:ascii="Arial" w:eastAsia="Times New Roman" w:hAnsi="Arial" w:cs="Arial"/>
          <w:i/>
          <w:iCs/>
          <w:lang w:eastAsia="en-GB"/>
        </w:rPr>
        <w:t>Integrated care systems and their role in improving health and care</w:t>
      </w:r>
      <w:r w:rsidRPr="00C35BE6">
        <w:rPr>
          <w:rFonts w:ascii="Arial" w:eastAsia="Times New Roman" w:hAnsi="Arial" w:cs="Arial"/>
          <w:lang w:eastAsia="en-GB"/>
        </w:rPr>
        <w:t xml:space="preserve">. London: The King's Fund. Available at: </w:t>
      </w:r>
      <w:hyperlink r:id="rId19" w:history="1">
        <w:r w:rsidRPr="00C35BE6">
          <w:rPr>
            <w:rFonts w:ascii="Arial" w:eastAsia="Times New Roman" w:hAnsi="Arial" w:cs="Arial"/>
            <w:color w:val="0000FF"/>
            <w:u w:val="single"/>
            <w:lang w:eastAsia="en-GB"/>
          </w:rPr>
          <w:t>https://www.kingsfund.org.uk</w:t>
        </w:r>
      </w:hyperlink>
      <w:r w:rsidRPr="00C35BE6">
        <w:rPr>
          <w:rFonts w:ascii="Arial" w:eastAsia="Times New Roman" w:hAnsi="Arial" w:cs="Arial"/>
          <w:lang w:eastAsia="en-GB"/>
        </w:rPr>
        <w:t xml:space="preserve"> (Accessed: 25 July 2026).</w:t>
      </w:r>
    </w:p>
    <w:p w14:paraId="6A90CA89"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lastRenderedPageBreak/>
        <w:t xml:space="preserve">The King's Fund (2022) </w:t>
      </w:r>
      <w:r w:rsidRPr="00C35BE6">
        <w:rPr>
          <w:rFonts w:ascii="Arial" w:eastAsia="Times New Roman" w:hAnsi="Arial" w:cs="Arial"/>
          <w:i/>
          <w:iCs/>
          <w:lang w:eastAsia="en-GB"/>
        </w:rPr>
        <w:t>Integrated care systems: how will they work?</w:t>
      </w:r>
      <w:r w:rsidRPr="00C35BE6">
        <w:rPr>
          <w:rFonts w:ascii="Arial" w:eastAsia="Times New Roman" w:hAnsi="Arial" w:cs="Arial"/>
          <w:lang w:eastAsia="en-GB"/>
        </w:rPr>
        <w:t xml:space="preserve"> London: The King's Fund. Available at: </w:t>
      </w:r>
      <w:hyperlink r:id="rId20" w:history="1">
        <w:r w:rsidRPr="00C35BE6">
          <w:rPr>
            <w:rFonts w:ascii="Arial" w:eastAsia="Times New Roman" w:hAnsi="Arial" w:cs="Arial"/>
            <w:color w:val="0000FF"/>
            <w:u w:val="single"/>
            <w:lang w:eastAsia="en-GB"/>
          </w:rPr>
          <w:t>https://www.kingsfund.org.uk</w:t>
        </w:r>
      </w:hyperlink>
      <w:r w:rsidRPr="00C35BE6">
        <w:rPr>
          <w:rFonts w:ascii="Arial" w:eastAsia="Times New Roman" w:hAnsi="Arial" w:cs="Arial"/>
          <w:lang w:eastAsia="en-GB"/>
        </w:rPr>
        <w:t xml:space="preserve"> (Accessed: 25 July 2026).</w:t>
      </w:r>
    </w:p>
    <w:p w14:paraId="4FB6DA16" w14:textId="77777777" w:rsidR="005E7B3E" w:rsidRPr="00C35BE6" w:rsidRDefault="005E7B3E" w:rsidP="00C35BE6">
      <w:pPr>
        <w:spacing w:before="100" w:beforeAutospacing="1" w:after="100" w:afterAutospacing="1" w:line="360" w:lineRule="auto"/>
        <w:jc w:val="both"/>
        <w:rPr>
          <w:rFonts w:ascii="Arial" w:eastAsia="Times New Roman" w:hAnsi="Arial" w:cs="Arial"/>
          <w:lang w:eastAsia="en-GB"/>
        </w:rPr>
      </w:pPr>
      <w:r w:rsidRPr="00C35BE6">
        <w:rPr>
          <w:rFonts w:ascii="Arial" w:eastAsia="Times New Roman" w:hAnsi="Arial" w:cs="Arial"/>
          <w:lang w:eastAsia="en-GB"/>
        </w:rPr>
        <w:t xml:space="preserve">World Health Organization (2023) </w:t>
      </w:r>
      <w:r w:rsidRPr="00C35BE6">
        <w:rPr>
          <w:rFonts w:ascii="Arial" w:eastAsia="Times New Roman" w:hAnsi="Arial" w:cs="Arial"/>
          <w:i/>
          <w:iCs/>
          <w:lang w:eastAsia="en-GB"/>
        </w:rPr>
        <w:t>Dementia</w:t>
      </w:r>
      <w:r w:rsidRPr="00C35BE6">
        <w:rPr>
          <w:rFonts w:ascii="Arial" w:eastAsia="Times New Roman" w:hAnsi="Arial" w:cs="Arial"/>
          <w:lang w:eastAsia="en-GB"/>
        </w:rPr>
        <w:t xml:space="preserve">. Available at: </w:t>
      </w:r>
      <w:hyperlink r:id="rId21" w:history="1">
        <w:r w:rsidRPr="00C35BE6">
          <w:rPr>
            <w:rFonts w:ascii="Arial" w:eastAsia="Times New Roman" w:hAnsi="Arial" w:cs="Arial"/>
            <w:color w:val="0000FF"/>
            <w:u w:val="single"/>
            <w:lang w:eastAsia="en-GB"/>
          </w:rPr>
          <w:t>https://www.who.int/news-room/fact-sheets/detail/dementia</w:t>
        </w:r>
      </w:hyperlink>
      <w:r w:rsidRPr="00C35BE6">
        <w:rPr>
          <w:rFonts w:ascii="Arial" w:eastAsia="Times New Roman" w:hAnsi="Arial" w:cs="Arial"/>
          <w:lang w:eastAsia="en-GB"/>
        </w:rPr>
        <w:t xml:space="preserve"> (Accessed: 25 July 2026).</w:t>
      </w:r>
    </w:p>
    <w:p w14:paraId="38563EC0" w14:textId="77777777" w:rsidR="005E7B3E" w:rsidRPr="005E7B3E" w:rsidRDefault="005E7B3E" w:rsidP="005E7B3E">
      <w:pPr>
        <w:jc w:val="both"/>
        <w:rPr>
          <w:rFonts w:ascii="Arial" w:hAnsi="Arial" w:cs="Arial"/>
          <w:lang w:eastAsia="en-GB"/>
        </w:rPr>
      </w:pPr>
    </w:p>
    <w:p w14:paraId="33DB128A" w14:textId="77777777" w:rsidR="005E7B3E" w:rsidRDefault="005E7B3E" w:rsidP="00423D6C">
      <w:pPr>
        <w:spacing w:before="100" w:beforeAutospacing="1" w:after="100" w:afterAutospacing="1" w:line="360" w:lineRule="auto"/>
        <w:ind w:left="720"/>
        <w:jc w:val="both"/>
        <w:rPr>
          <w:rFonts w:ascii="Arial" w:eastAsia="Times New Roman" w:hAnsi="Arial" w:cs="Arial"/>
          <w:lang w:eastAsia="en-GB"/>
        </w:rPr>
      </w:pPr>
    </w:p>
    <w:p w14:paraId="51E90CCD" w14:textId="77777777" w:rsidR="005E7B3E" w:rsidRDefault="005E7B3E" w:rsidP="00423D6C">
      <w:pPr>
        <w:spacing w:before="100" w:beforeAutospacing="1" w:after="100" w:afterAutospacing="1" w:line="360" w:lineRule="auto"/>
        <w:ind w:left="720"/>
        <w:jc w:val="both"/>
        <w:rPr>
          <w:rFonts w:ascii="Arial" w:eastAsia="Times New Roman" w:hAnsi="Arial" w:cs="Arial"/>
          <w:lang w:eastAsia="en-GB"/>
        </w:rPr>
      </w:pPr>
    </w:p>
    <w:sectPr w:rsidR="005E7B3E" w:rsidSect="003F1C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C12A1"/>
    <w:multiLevelType w:val="multilevel"/>
    <w:tmpl w:val="B73E6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C73B6C"/>
    <w:multiLevelType w:val="multilevel"/>
    <w:tmpl w:val="CCE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825216">
    <w:abstractNumId w:val="0"/>
  </w:num>
  <w:num w:numId="2" w16cid:durableId="1210073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23C"/>
    <w:rsid w:val="0002509D"/>
    <w:rsid w:val="00030CDC"/>
    <w:rsid w:val="00076791"/>
    <w:rsid w:val="000A4901"/>
    <w:rsid w:val="000C4C47"/>
    <w:rsid w:val="000E1608"/>
    <w:rsid w:val="000F2ED9"/>
    <w:rsid w:val="00121207"/>
    <w:rsid w:val="00126DBF"/>
    <w:rsid w:val="00144F4A"/>
    <w:rsid w:val="00187862"/>
    <w:rsid w:val="001E27BC"/>
    <w:rsid w:val="002006FF"/>
    <w:rsid w:val="00224BB6"/>
    <w:rsid w:val="0022605C"/>
    <w:rsid w:val="002737FE"/>
    <w:rsid w:val="00293108"/>
    <w:rsid w:val="002D24C6"/>
    <w:rsid w:val="002D4D0A"/>
    <w:rsid w:val="002D511F"/>
    <w:rsid w:val="002D7B3D"/>
    <w:rsid w:val="0031247B"/>
    <w:rsid w:val="00315C3C"/>
    <w:rsid w:val="003A48EA"/>
    <w:rsid w:val="003B4903"/>
    <w:rsid w:val="003C08BF"/>
    <w:rsid w:val="003F1C14"/>
    <w:rsid w:val="003F7020"/>
    <w:rsid w:val="00406F33"/>
    <w:rsid w:val="0042151B"/>
    <w:rsid w:val="00423D6C"/>
    <w:rsid w:val="0043356D"/>
    <w:rsid w:val="004927E8"/>
    <w:rsid w:val="004A54B5"/>
    <w:rsid w:val="004A5D50"/>
    <w:rsid w:val="004D0A03"/>
    <w:rsid w:val="004D7F28"/>
    <w:rsid w:val="004E5ED1"/>
    <w:rsid w:val="004F0705"/>
    <w:rsid w:val="004F40D7"/>
    <w:rsid w:val="005666C3"/>
    <w:rsid w:val="00575405"/>
    <w:rsid w:val="005A311F"/>
    <w:rsid w:val="005C255F"/>
    <w:rsid w:val="005E7B3E"/>
    <w:rsid w:val="005E7CFF"/>
    <w:rsid w:val="00654BC4"/>
    <w:rsid w:val="006573F1"/>
    <w:rsid w:val="00661A97"/>
    <w:rsid w:val="00674C66"/>
    <w:rsid w:val="00690CF3"/>
    <w:rsid w:val="00693A5B"/>
    <w:rsid w:val="006B01A6"/>
    <w:rsid w:val="006B77CE"/>
    <w:rsid w:val="006D6B4D"/>
    <w:rsid w:val="00754420"/>
    <w:rsid w:val="00761C07"/>
    <w:rsid w:val="00764DE0"/>
    <w:rsid w:val="0077111F"/>
    <w:rsid w:val="0077455A"/>
    <w:rsid w:val="00777E8A"/>
    <w:rsid w:val="00791CB9"/>
    <w:rsid w:val="0079380A"/>
    <w:rsid w:val="007B02FD"/>
    <w:rsid w:val="007C37A2"/>
    <w:rsid w:val="007E623C"/>
    <w:rsid w:val="007F2538"/>
    <w:rsid w:val="007F3B41"/>
    <w:rsid w:val="00817374"/>
    <w:rsid w:val="008238C3"/>
    <w:rsid w:val="0087383A"/>
    <w:rsid w:val="00892F2B"/>
    <w:rsid w:val="008A2AF7"/>
    <w:rsid w:val="00970481"/>
    <w:rsid w:val="009A4F13"/>
    <w:rsid w:val="009A5B65"/>
    <w:rsid w:val="009E49E7"/>
    <w:rsid w:val="00A378C1"/>
    <w:rsid w:val="00A80DD6"/>
    <w:rsid w:val="00AA07F3"/>
    <w:rsid w:val="00AD0370"/>
    <w:rsid w:val="00B57809"/>
    <w:rsid w:val="00B7108C"/>
    <w:rsid w:val="00B862C3"/>
    <w:rsid w:val="00BA47FB"/>
    <w:rsid w:val="00BB24FE"/>
    <w:rsid w:val="00BC04A4"/>
    <w:rsid w:val="00BD56C6"/>
    <w:rsid w:val="00BE3E80"/>
    <w:rsid w:val="00BE598D"/>
    <w:rsid w:val="00C06D42"/>
    <w:rsid w:val="00C11F45"/>
    <w:rsid w:val="00C35BE6"/>
    <w:rsid w:val="00C421DD"/>
    <w:rsid w:val="00CB0750"/>
    <w:rsid w:val="00CC4DD3"/>
    <w:rsid w:val="00D00E06"/>
    <w:rsid w:val="00D01270"/>
    <w:rsid w:val="00D42832"/>
    <w:rsid w:val="00D54ED2"/>
    <w:rsid w:val="00D62EA2"/>
    <w:rsid w:val="00D63DC2"/>
    <w:rsid w:val="00D71C01"/>
    <w:rsid w:val="00D758F4"/>
    <w:rsid w:val="00D9486F"/>
    <w:rsid w:val="00DB4297"/>
    <w:rsid w:val="00DC123C"/>
    <w:rsid w:val="00E42B6A"/>
    <w:rsid w:val="00E8357D"/>
    <w:rsid w:val="00E9599C"/>
    <w:rsid w:val="00E95C43"/>
    <w:rsid w:val="00EA364D"/>
    <w:rsid w:val="00EC70B5"/>
    <w:rsid w:val="00ED396C"/>
    <w:rsid w:val="00ED4735"/>
    <w:rsid w:val="00ED61F7"/>
    <w:rsid w:val="00EF4CD4"/>
    <w:rsid w:val="00F21ADD"/>
    <w:rsid w:val="00F34B7E"/>
    <w:rsid w:val="00F63392"/>
    <w:rsid w:val="00F75D62"/>
    <w:rsid w:val="00F8199D"/>
    <w:rsid w:val="00FE1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C4116"/>
  <w15:chartTrackingRefBased/>
  <w15:docId w15:val="{90187F38-A061-4043-BCC5-449409BBB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C14"/>
  </w:style>
  <w:style w:type="paragraph" w:styleId="Heading1">
    <w:name w:val="heading 1"/>
    <w:basedOn w:val="Normal"/>
    <w:next w:val="Normal"/>
    <w:link w:val="Heading1Char"/>
    <w:uiPriority w:val="9"/>
    <w:qFormat/>
    <w:rsid w:val="003F1C14"/>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3F1C14"/>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1C14"/>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1C14"/>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3F1C14"/>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3F1C14"/>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3F1C14"/>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3F1C14"/>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3F1C14"/>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C14"/>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3F1C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1C14"/>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1C14"/>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3F1C14"/>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3F1C14"/>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3F1C14"/>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3F1C14"/>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3F1C14"/>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3F1C14"/>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3F1C14"/>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3F1C14"/>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3F1C14"/>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3F1C14"/>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3F1C14"/>
    <w:rPr>
      <w:color w:val="0E2841" w:themeColor="text2"/>
      <w:sz w:val="24"/>
      <w:szCs w:val="24"/>
    </w:rPr>
  </w:style>
  <w:style w:type="paragraph" w:styleId="ListParagraph">
    <w:name w:val="List Paragraph"/>
    <w:basedOn w:val="Normal"/>
    <w:uiPriority w:val="34"/>
    <w:qFormat/>
    <w:rsid w:val="00DC123C"/>
    <w:pPr>
      <w:ind w:left="720"/>
      <w:contextualSpacing/>
    </w:pPr>
  </w:style>
  <w:style w:type="character" w:styleId="IntenseEmphasis">
    <w:name w:val="Intense Emphasis"/>
    <w:basedOn w:val="DefaultParagraphFont"/>
    <w:uiPriority w:val="21"/>
    <w:qFormat/>
    <w:rsid w:val="003F1C14"/>
    <w:rPr>
      <w:b/>
      <w:bCs/>
      <w:i/>
      <w:iCs/>
    </w:rPr>
  </w:style>
  <w:style w:type="paragraph" w:styleId="IntenseQuote">
    <w:name w:val="Intense Quote"/>
    <w:basedOn w:val="Normal"/>
    <w:next w:val="Normal"/>
    <w:link w:val="IntenseQuoteChar"/>
    <w:uiPriority w:val="30"/>
    <w:qFormat/>
    <w:rsid w:val="003F1C14"/>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3F1C14"/>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3F1C14"/>
    <w:rPr>
      <w:b/>
      <w:bCs/>
      <w:smallCaps/>
      <w:color w:val="0E2841" w:themeColor="text2"/>
      <w:u w:val="single"/>
    </w:rPr>
  </w:style>
  <w:style w:type="paragraph" w:styleId="Caption">
    <w:name w:val="caption"/>
    <w:basedOn w:val="Normal"/>
    <w:next w:val="Normal"/>
    <w:uiPriority w:val="35"/>
    <w:semiHidden/>
    <w:unhideWhenUsed/>
    <w:qFormat/>
    <w:rsid w:val="003F1C14"/>
    <w:pPr>
      <w:spacing w:line="240" w:lineRule="auto"/>
    </w:pPr>
    <w:rPr>
      <w:b/>
      <w:bCs/>
      <w:smallCaps/>
      <w:color w:val="0E2841" w:themeColor="text2"/>
    </w:rPr>
  </w:style>
  <w:style w:type="character" w:styleId="Strong">
    <w:name w:val="Strong"/>
    <w:basedOn w:val="DefaultParagraphFont"/>
    <w:uiPriority w:val="22"/>
    <w:qFormat/>
    <w:rsid w:val="003F1C14"/>
    <w:rPr>
      <w:b/>
      <w:bCs/>
    </w:rPr>
  </w:style>
  <w:style w:type="character" w:styleId="Emphasis">
    <w:name w:val="Emphasis"/>
    <w:basedOn w:val="DefaultParagraphFont"/>
    <w:uiPriority w:val="20"/>
    <w:qFormat/>
    <w:rsid w:val="003F1C14"/>
    <w:rPr>
      <w:i/>
      <w:iCs/>
    </w:rPr>
  </w:style>
  <w:style w:type="paragraph" w:styleId="NoSpacing">
    <w:name w:val="No Spacing"/>
    <w:link w:val="NoSpacingChar"/>
    <w:uiPriority w:val="1"/>
    <w:qFormat/>
    <w:rsid w:val="003F1C14"/>
    <w:pPr>
      <w:spacing w:after="0" w:line="240" w:lineRule="auto"/>
    </w:pPr>
  </w:style>
  <w:style w:type="character" w:styleId="SubtleEmphasis">
    <w:name w:val="Subtle Emphasis"/>
    <w:basedOn w:val="DefaultParagraphFont"/>
    <w:uiPriority w:val="19"/>
    <w:qFormat/>
    <w:rsid w:val="003F1C14"/>
    <w:rPr>
      <w:i/>
      <w:iCs/>
      <w:color w:val="595959" w:themeColor="text1" w:themeTint="A6"/>
    </w:rPr>
  </w:style>
  <w:style w:type="character" w:styleId="SubtleReference">
    <w:name w:val="Subtle Reference"/>
    <w:basedOn w:val="DefaultParagraphFont"/>
    <w:uiPriority w:val="31"/>
    <w:qFormat/>
    <w:rsid w:val="003F1C14"/>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3F1C14"/>
    <w:rPr>
      <w:b/>
      <w:bCs/>
      <w:smallCaps/>
      <w:spacing w:val="10"/>
    </w:rPr>
  </w:style>
  <w:style w:type="paragraph" w:styleId="TOCHeading">
    <w:name w:val="TOC Heading"/>
    <w:basedOn w:val="Heading1"/>
    <w:next w:val="Normal"/>
    <w:uiPriority w:val="39"/>
    <w:unhideWhenUsed/>
    <w:qFormat/>
    <w:rsid w:val="003F1C14"/>
    <w:pPr>
      <w:outlineLvl w:val="9"/>
    </w:pPr>
  </w:style>
  <w:style w:type="character" w:customStyle="1" w:styleId="NoSpacingChar">
    <w:name w:val="No Spacing Char"/>
    <w:basedOn w:val="DefaultParagraphFont"/>
    <w:link w:val="NoSpacing"/>
    <w:uiPriority w:val="1"/>
    <w:rsid w:val="003F1C14"/>
  </w:style>
  <w:style w:type="character" w:styleId="Hyperlink">
    <w:name w:val="Hyperlink"/>
    <w:basedOn w:val="DefaultParagraphFont"/>
    <w:uiPriority w:val="99"/>
    <w:unhideWhenUsed/>
    <w:rsid w:val="00F75D62"/>
    <w:rPr>
      <w:color w:val="0000FF"/>
      <w:u w:val="single"/>
    </w:rPr>
  </w:style>
  <w:style w:type="character" w:styleId="UnresolvedMention">
    <w:name w:val="Unresolved Mention"/>
    <w:basedOn w:val="DefaultParagraphFont"/>
    <w:uiPriority w:val="99"/>
    <w:semiHidden/>
    <w:unhideWhenUsed/>
    <w:rsid w:val="00CB0750"/>
    <w:rPr>
      <w:color w:val="605E5C"/>
      <w:shd w:val="clear" w:color="auto" w:fill="E1DFDD"/>
    </w:rPr>
  </w:style>
  <w:style w:type="paragraph" w:styleId="TOC1">
    <w:name w:val="toc 1"/>
    <w:basedOn w:val="Normal"/>
    <w:next w:val="Normal"/>
    <w:autoRedefine/>
    <w:uiPriority w:val="39"/>
    <w:unhideWhenUsed/>
    <w:rsid w:val="0042151B"/>
    <w:pPr>
      <w:spacing w:after="100"/>
    </w:pPr>
  </w:style>
  <w:style w:type="paragraph" w:styleId="TOC2">
    <w:name w:val="toc 2"/>
    <w:basedOn w:val="Normal"/>
    <w:next w:val="Normal"/>
    <w:autoRedefine/>
    <w:uiPriority w:val="39"/>
    <w:unhideWhenUsed/>
    <w:rsid w:val="0042151B"/>
    <w:pPr>
      <w:spacing w:after="100"/>
      <w:ind w:left="220"/>
    </w:pPr>
  </w:style>
  <w:style w:type="paragraph" w:styleId="TOC3">
    <w:name w:val="toc 3"/>
    <w:basedOn w:val="Normal"/>
    <w:next w:val="Normal"/>
    <w:autoRedefine/>
    <w:uiPriority w:val="39"/>
    <w:unhideWhenUsed/>
    <w:rsid w:val="0042151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integratedcare/" TargetMode="External"/><Relationship Id="rId18" Type="http://schemas.openxmlformats.org/officeDocument/2006/relationships/hyperlink" Target="https://www.kingsfund.org.uk/publications/person-centred-care-made-simple" TargetMode="External"/><Relationship Id="rId3" Type="http://schemas.openxmlformats.org/officeDocument/2006/relationships/numbering" Target="numbering.xml"/><Relationship Id="rId21" Type="http://schemas.openxmlformats.org/officeDocument/2006/relationships/hyperlink" Target="https://www.who.int/news-room/fact-sheets/detail/dementia" TargetMode="External"/><Relationship Id="rId7" Type="http://schemas.openxmlformats.org/officeDocument/2006/relationships/image" Target="media/image1.png"/><Relationship Id="rId12" Type="http://schemas.openxmlformats.org/officeDocument/2006/relationships/hyperlink" Target="https://www.nice.org.uk/guidance/ng197" TargetMode="External"/><Relationship Id="rId17" Type="http://schemas.openxmlformats.org/officeDocument/2006/relationships/hyperlink" Target="https://www.legislation.gov.uk/ukpga/2012/7/contents?utm_source=chatgpt.com" TargetMode="External"/><Relationship Id="rId2" Type="http://schemas.openxmlformats.org/officeDocument/2006/relationships/customXml" Target="../customXml/item2.xml"/><Relationship Id="rId16" Type="http://schemas.openxmlformats.org/officeDocument/2006/relationships/hyperlink" Target="https://www.legislation.gov.uk/ukpga/2022/31/contents?utm_source=chatgpt.com" TargetMode="External"/><Relationship Id="rId20"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ice.org.uk/guidance/ng97"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legislation.gov.uk/ukpga/2010/15/contents?utm_source=chatgpt.com" TargetMode="External"/><Relationship Id="rId23" Type="http://schemas.openxmlformats.org/officeDocument/2006/relationships/glossaryDocument" Target="glossary/document.xml"/><Relationship Id="rId10" Type="http://schemas.openxmlformats.org/officeDocument/2006/relationships/hyperlink" Target="https://archive.org/details/Maslow_A_H_-_A_Theory_of_Human_Motivation/page/n5/mode/2up" TargetMode="External"/><Relationship Id="rId19" Type="http://schemas.openxmlformats.org/officeDocument/2006/relationships/hyperlink" Target="https://www.kingsfund.org.uk/" TargetMode="External"/><Relationship Id="rId4" Type="http://schemas.openxmlformats.org/officeDocument/2006/relationships/styles" Target="styles.xml"/><Relationship Id="rId9" Type="http://schemas.openxmlformats.org/officeDocument/2006/relationships/hyperlink" Target="https://www.gov.uk/government/publications/people-at-the-heart-of-care-adult-social-care-reform-white-paper" TargetMode="External"/><Relationship Id="rId14" Type="http://schemas.openxmlformats.org/officeDocument/2006/relationships/hyperlink" Target="https://www.legislation.gov.uk/ukpga/2014/23/pdfs/ukpga_20140023_en.pdf?lang=en&amp;utm_source=chatgpt.com"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A526E9CB254E169BE177254F6443C2"/>
        <w:category>
          <w:name w:val="General"/>
          <w:gallery w:val="placeholder"/>
        </w:category>
        <w:types>
          <w:type w:val="bbPlcHdr"/>
        </w:types>
        <w:behaviors>
          <w:behavior w:val="content"/>
        </w:behaviors>
        <w:guid w:val="{D2D9A29A-1BB8-4501-982C-F7ABF3E151C0}"/>
      </w:docPartPr>
      <w:docPartBody>
        <w:p w:rsidR="001239FE" w:rsidRDefault="00DE5EAD" w:rsidP="00DE5EAD">
          <w:pPr>
            <w:pStyle w:val="D0A526E9CB254E169BE177254F6443C2"/>
          </w:pPr>
          <w:r>
            <w:rPr>
              <w:rFonts w:asciiTheme="majorHAnsi" w:eastAsiaTheme="majorEastAsia" w:hAnsiTheme="majorHAnsi" w:cstheme="majorBidi"/>
              <w:caps/>
              <w:color w:val="156082" w:themeColor="accent1"/>
              <w:sz w:val="80"/>
              <w:szCs w:val="80"/>
            </w:rPr>
            <w:t>[Document title]</w:t>
          </w:r>
        </w:p>
      </w:docPartBody>
    </w:docPart>
    <w:docPart>
      <w:docPartPr>
        <w:name w:val="E4587E5770F64E7A8F2CEACA9A1EE882"/>
        <w:category>
          <w:name w:val="General"/>
          <w:gallery w:val="placeholder"/>
        </w:category>
        <w:types>
          <w:type w:val="bbPlcHdr"/>
        </w:types>
        <w:behaviors>
          <w:behavior w:val="content"/>
        </w:behaviors>
        <w:guid w:val="{81FAE755-0F26-425A-BEA8-A3669BA7E27E}"/>
      </w:docPartPr>
      <w:docPartBody>
        <w:p w:rsidR="001239FE" w:rsidRDefault="00DE5EAD" w:rsidP="00DE5EAD">
          <w:pPr>
            <w:pStyle w:val="E4587E5770F64E7A8F2CEACA9A1EE88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EAD"/>
    <w:rsid w:val="001239FE"/>
    <w:rsid w:val="00207F18"/>
    <w:rsid w:val="005356A0"/>
    <w:rsid w:val="006B77CE"/>
    <w:rsid w:val="00DE5EAD"/>
    <w:rsid w:val="00ED3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A526E9CB254E169BE177254F6443C2">
    <w:name w:val="D0A526E9CB254E169BE177254F6443C2"/>
    <w:rsid w:val="00DE5EAD"/>
  </w:style>
  <w:style w:type="paragraph" w:customStyle="1" w:styleId="E4587E5770F64E7A8F2CEACA9A1EE882">
    <w:name w:val="E4587E5770F64E7A8F2CEACA9A1EE882"/>
    <w:rsid w:val="00DE5E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number:2435756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04E1D7-349C-442B-88B5-2AFDC2B81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3441</Words>
  <Characters>22540</Characters>
  <Application>Microsoft Office Word</Application>
  <DocSecurity>0</DocSecurity>
  <Lines>369</Lines>
  <Paragraphs>92</Paragraphs>
  <ScaleCrop>false</ScaleCrop>
  <HeadingPairs>
    <vt:vector size="2" baseType="variant">
      <vt:variant>
        <vt:lpstr>Title</vt:lpstr>
      </vt:variant>
      <vt:variant>
        <vt:i4>1</vt:i4>
      </vt:variant>
    </vt:vector>
  </HeadingPairs>
  <TitlesOfParts>
    <vt:vector size="1" baseType="lpstr">
      <vt:lpstr/>
    </vt:vector>
  </TitlesOfParts>
  <Company>LECTURER: AZIDA Zainol</Company>
  <LinksUpToDate>false</LinksUpToDate>
  <CharactersWithSpaces>25889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on person-centred care and partnership working within uk care home services.</dc:title>
  <dc:subject>Name: Patricia Parkes</dc:subject>
  <dc:creator>patricia parkes</dc:creator>
  <cp:keywords/>
  <dc:description/>
  <cp:lastModifiedBy>patricia parkes</cp:lastModifiedBy>
  <cp:revision>4</cp:revision>
  <dcterms:created xsi:type="dcterms:W3CDTF">2026-07-25T21:27:00Z</dcterms:created>
  <dcterms:modified xsi:type="dcterms:W3CDTF">2026-07-25T21:30:00Z</dcterms:modified>
</cp:coreProperties>
</file>