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08BD02F" wp14:paraId="4B277329" wp14:textId="7EF98421">
      <w:pPr>
        <w:ind w:left="720" w:hanging="720"/>
        <w:jc w:val="center"/>
        <w:rPr>
          <w:rFonts w:ascii="Arial Nova" w:hAnsi="Arial Nova" w:eastAsia="Arial Nova" w:cs="Arial Nova"/>
          <w:b w:val="0"/>
          <w:bCs w:val="0"/>
          <w:i w:val="0"/>
          <w:iCs w:val="0"/>
          <w:caps w:val="0"/>
          <w:smallCaps w:val="0"/>
          <w:noProof w:val="0"/>
          <w:color w:val="000000" w:themeColor="text1" w:themeTint="FF" w:themeShade="FF"/>
          <w:sz w:val="56"/>
          <w:szCs w:val="56"/>
          <w:lang w:val="en-US"/>
        </w:rPr>
      </w:pPr>
      <w:r w:rsidRPr="408BD02F" w:rsidR="561FF0FD">
        <w:rPr>
          <w:rStyle w:val="TitleChar"/>
          <w:rFonts w:ascii="Arial Nova" w:hAnsi="Arial Nova" w:eastAsia="Arial Nova" w:cs="Arial Nova"/>
          <w:b w:val="0"/>
          <w:bCs w:val="0"/>
          <w:i w:val="0"/>
          <w:iCs w:val="0"/>
          <w:caps w:val="0"/>
          <w:smallCaps w:val="0"/>
          <w:noProof w:val="0"/>
          <w:color w:val="000000" w:themeColor="text1" w:themeTint="FF" w:themeShade="FF"/>
          <w:sz w:val="56"/>
          <w:szCs w:val="56"/>
          <w:lang w:val="en-US"/>
        </w:rPr>
        <w:t>Professional Career            Development reflective essay</w:t>
      </w:r>
    </w:p>
    <w:p xmlns:wp14="http://schemas.microsoft.com/office/word/2010/wordml" w:rsidP="408BD02F" wp14:paraId="041407A3" wp14:textId="3AD497B5">
      <w:pPr>
        <w:ind w:left="720" w:hanging="720"/>
        <w:rPr>
          <w:rFonts w:ascii="Arial Nova" w:hAnsi="Arial Nova" w:eastAsia="Arial Nova" w:cs="Arial Nova"/>
          <w:b w:val="0"/>
          <w:bCs w:val="0"/>
          <w:i w:val="0"/>
          <w:iCs w:val="0"/>
          <w:caps w:val="0"/>
          <w:smallCaps w:val="0"/>
          <w:noProof w:val="0"/>
          <w:color w:val="000000" w:themeColor="text1" w:themeTint="FF" w:themeShade="FF"/>
          <w:sz w:val="56"/>
          <w:szCs w:val="56"/>
          <w:lang w:val="en-US"/>
        </w:rPr>
      </w:pPr>
    </w:p>
    <w:p xmlns:wp14="http://schemas.microsoft.com/office/word/2010/wordml" w:rsidP="408BD02F" wp14:paraId="0F425349" wp14:textId="6291C48C">
      <w:pPr>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pPr>
      <w:r w:rsidRPr="408BD02F" w:rsidR="561FF0FD">
        <w:rPr>
          <w:rStyle w:val="TitleCha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 xml:space="preserve">  </w:t>
      </w:r>
    </w:p>
    <w:p xmlns:wp14="http://schemas.microsoft.com/office/word/2010/wordml" w:rsidP="408BD02F" wp14:paraId="0AE41992" wp14:textId="6A2C0012">
      <w:pPr>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pPr>
    </w:p>
    <w:p xmlns:wp14="http://schemas.microsoft.com/office/word/2010/wordml" w:rsidP="408BD02F" wp14:paraId="52E7BC48" wp14:textId="7808B242">
      <w:pPr>
        <w:rPr>
          <w:rFonts w:ascii="Aptos" w:hAnsi="Aptos" w:eastAsia="Aptos" w:cs="Aptos"/>
          <w:b w:val="0"/>
          <w:bCs w:val="0"/>
          <w:i w:val="0"/>
          <w:iCs w:val="0"/>
          <w:caps w:val="0"/>
          <w:smallCaps w:val="0"/>
          <w:noProof w:val="0"/>
          <w:color w:val="000000" w:themeColor="text1" w:themeTint="FF" w:themeShade="FF"/>
          <w:sz w:val="24"/>
          <w:szCs w:val="24"/>
          <w:lang w:val="en-US"/>
        </w:rPr>
      </w:pPr>
      <w:r w:rsidRPr="408BD02F" w:rsidR="561FF0FD">
        <w:rPr>
          <w:rFonts w:ascii="Aptos" w:hAnsi="Aptos" w:eastAsia="Aptos" w:cs="Aptos"/>
          <w:b w:val="0"/>
          <w:bCs w:val="0"/>
          <w:i w:val="0"/>
          <w:iCs w:val="0"/>
          <w:caps w:val="0"/>
          <w:smallCaps w:val="0"/>
          <w:noProof w:val="0"/>
          <w:color w:val="000000" w:themeColor="text1" w:themeTint="FF" w:themeShade="FF"/>
          <w:sz w:val="24"/>
          <w:szCs w:val="24"/>
          <w:lang w:val="en-US"/>
        </w:rPr>
        <w:t>Student name: Alexandra Zara</w:t>
      </w:r>
    </w:p>
    <w:p xmlns:wp14="http://schemas.microsoft.com/office/word/2010/wordml" w:rsidP="408BD02F" wp14:paraId="339EC9C5" wp14:textId="120313E1">
      <w:pPr>
        <w:rPr>
          <w:rFonts w:ascii="Aptos" w:hAnsi="Aptos" w:eastAsia="Aptos" w:cs="Aptos"/>
          <w:b w:val="0"/>
          <w:bCs w:val="0"/>
          <w:i w:val="0"/>
          <w:iCs w:val="0"/>
          <w:caps w:val="0"/>
          <w:smallCaps w:val="0"/>
          <w:noProof w:val="0"/>
          <w:color w:val="000000" w:themeColor="text1" w:themeTint="FF" w:themeShade="FF"/>
          <w:sz w:val="24"/>
          <w:szCs w:val="24"/>
          <w:lang w:val="en-US"/>
        </w:rPr>
      </w:pPr>
      <w:r w:rsidRPr="408BD02F" w:rsidR="561FF0FD">
        <w:rPr>
          <w:rFonts w:ascii="Aptos" w:hAnsi="Aptos" w:eastAsia="Aptos" w:cs="Aptos"/>
          <w:b w:val="0"/>
          <w:bCs w:val="0"/>
          <w:i w:val="0"/>
          <w:iCs w:val="0"/>
          <w:caps w:val="0"/>
          <w:smallCaps w:val="0"/>
          <w:noProof w:val="0"/>
          <w:color w:val="000000" w:themeColor="text1" w:themeTint="FF" w:themeShade="FF"/>
          <w:sz w:val="24"/>
          <w:szCs w:val="24"/>
          <w:lang w:val="en-US"/>
        </w:rPr>
        <w:t>Student ID: 2329733</w:t>
      </w:r>
    </w:p>
    <w:p xmlns:wp14="http://schemas.microsoft.com/office/word/2010/wordml" w:rsidP="408BD02F" wp14:paraId="618DAE56" wp14:textId="25BB1EC6">
      <w:pPr>
        <w:rPr>
          <w:rFonts w:ascii="Aptos" w:hAnsi="Aptos" w:eastAsia="Aptos" w:cs="Aptos"/>
          <w:b w:val="0"/>
          <w:bCs w:val="0"/>
          <w:i w:val="0"/>
          <w:iCs w:val="0"/>
          <w:caps w:val="0"/>
          <w:smallCaps w:val="0"/>
          <w:noProof w:val="0"/>
          <w:color w:val="000000" w:themeColor="text1" w:themeTint="FF" w:themeShade="FF"/>
          <w:sz w:val="24"/>
          <w:szCs w:val="24"/>
          <w:lang w:val="en-US"/>
        </w:rPr>
      </w:pPr>
      <w:r w:rsidRPr="408BD02F" w:rsidR="561FF0FD">
        <w:rPr>
          <w:rFonts w:ascii="Aptos" w:hAnsi="Aptos" w:eastAsia="Aptos" w:cs="Aptos"/>
          <w:b w:val="0"/>
          <w:bCs w:val="0"/>
          <w:i w:val="0"/>
          <w:iCs w:val="0"/>
          <w:caps w:val="0"/>
          <w:smallCaps w:val="0"/>
          <w:noProof w:val="0"/>
          <w:color w:val="000000" w:themeColor="text1" w:themeTint="FF" w:themeShade="FF"/>
          <w:sz w:val="24"/>
          <w:szCs w:val="24"/>
          <w:lang w:val="en-US"/>
        </w:rPr>
        <w:t>Word count :1500</w:t>
      </w:r>
    </w:p>
    <w:p xmlns:wp14="http://schemas.microsoft.com/office/word/2010/wordml" w:rsidP="408BD02F" wp14:paraId="73E110B1" wp14:textId="0942EEA1">
      <w:pPr>
        <w:rPr>
          <w:rFonts w:ascii="Aptos" w:hAnsi="Aptos" w:eastAsia="Aptos" w:cs="Aptos"/>
          <w:b w:val="0"/>
          <w:bCs w:val="0"/>
          <w:i w:val="0"/>
          <w:iCs w:val="0"/>
          <w:caps w:val="0"/>
          <w:smallCaps w:val="0"/>
          <w:noProof w:val="0"/>
          <w:color w:val="000000" w:themeColor="text1" w:themeTint="FF" w:themeShade="FF"/>
          <w:sz w:val="24"/>
          <w:szCs w:val="24"/>
          <w:lang w:val="en-US"/>
        </w:rPr>
      </w:pPr>
      <w:r w:rsidRPr="408BD02F" w:rsidR="561FF0FD">
        <w:rPr>
          <w:rFonts w:ascii="Aptos" w:hAnsi="Aptos" w:eastAsia="Aptos" w:cs="Aptos"/>
          <w:b w:val="0"/>
          <w:bCs w:val="0"/>
          <w:i w:val="0"/>
          <w:iCs w:val="0"/>
          <w:caps w:val="0"/>
          <w:smallCaps w:val="0"/>
          <w:noProof w:val="0"/>
          <w:color w:val="000000" w:themeColor="text1" w:themeTint="FF" w:themeShade="FF"/>
          <w:sz w:val="24"/>
          <w:szCs w:val="24"/>
          <w:lang w:val="en-US"/>
        </w:rPr>
        <w:t>Date: 25/10/2024</w:t>
      </w:r>
    </w:p>
    <w:p xmlns:wp14="http://schemas.microsoft.com/office/word/2010/wordml" w:rsidP="408BD02F" wp14:paraId="7F8567A0" wp14:textId="0FF7D82E">
      <w:pPr>
        <w:rPr>
          <w:rFonts w:ascii="Aptos" w:hAnsi="Aptos" w:eastAsia="Aptos" w:cs="Aptos"/>
          <w:b w:val="0"/>
          <w:bCs w:val="0"/>
          <w:i w:val="0"/>
          <w:iCs w:val="0"/>
          <w:caps w:val="0"/>
          <w:smallCaps w:val="0"/>
          <w:noProof w:val="0"/>
          <w:color w:val="000000" w:themeColor="text1" w:themeTint="FF" w:themeShade="FF"/>
          <w:sz w:val="24"/>
          <w:szCs w:val="24"/>
          <w:lang w:val="en-US"/>
        </w:rPr>
      </w:pPr>
      <w:r w:rsidRPr="408BD02F" w:rsidR="561FF0FD">
        <w:rPr>
          <w:rFonts w:ascii="Aptos" w:hAnsi="Aptos" w:eastAsia="Aptos" w:cs="Aptos"/>
          <w:b w:val="0"/>
          <w:bCs w:val="0"/>
          <w:i w:val="0"/>
          <w:iCs w:val="0"/>
          <w:caps w:val="0"/>
          <w:smallCaps w:val="0"/>
          <w:noProof w:val="0"/>
          <w:color w:val="000000" w:themeColor="text1" w:themeTint="FF" w:themeShade="FF"/>
          <w:sz w:val="24"/>
          <w:szCs w:val="24"/>
          <w:lang w:val="en-US"/>
        </w:rPr>
        <w:t>Lecturer: Muhammad Cassamo</w:t>
      </w:r>
    </w:p>
    <w:p xmlns:wp14="http://schemas.microsoft.com/office/word/2010/wordml" w:rsidP="408BD02F" wp14:paraId="53820167" wp14:textId="29D120E7">
      <w:pPr>
        <w:rPr>
          <w:rFonts w:ascii="Aptos" w:hAnsi="Aptos" w:eastAsia="Aptos" w:cs="Aptos"/>
          <w:b w:val="0"/>
          <w:bCs w:val="0"/>
          <w:i w:val="0"/>
          <w:iCs w:val="0"/>
          <w:caps w:val="0"/>
          <w:smallCaps w:val="0"/>
          <w:noProof w:val="0"/>
          <w:color w:val="000000" w:themeColor="text1" w:themeTint="FF" w:themeShade="FF"/>
          <w:sz w:val="24"/>
          <w:szCs w:val="24"/>
          <w:lang w:val="en-US"/>
        </w:rPr>
      </w:pPr>
      <w:r w:rsidRPr="408BD02F" w:rsidR="561FF0FD">
        <w:rPr>
          <w:rFonts w:ascii="Aptos" w:hAnsi="Aptos" w:eastAsia="Aptos" w:cs="Aptos"/>
          <w:b w:val="0"/>
          <w:bCs w:val="0"/>
          <w:i w:val="0"/>
          <w:iCs w:val="0"/>
          <w:caps w:val="0"/>
          <w:smallCaps w:val="0"/>
          <w:noProof w:val="0"/>
          <w:color w:val="000000" w:themeColor="text1" w:themeTint="FF" w:themeShade="FF"/>
          <w:sz w:val="24"/>
          <w:szCs w:val="24"/>
          <w:lang w:val="en-US"/>
        </w:rPr>
        <w:t>Module: Professional Career Development</w:t>
      </w:r>
    </w:p>
    <w:p xmlns:wp14="http://schemas.microsoft.com/office/word/2010/wordml" w:rsidP="408BD02F" wp14:paraId="1ECEEAF5" wp14:textId="371A7A3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B3C3C4A" wp14:textId="4BAB60E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BCE5FE9" wp14:textId="2AED228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02F60DBD" wp14:textId="1D7BA67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4CAE0FD" wp14:textId="3DAE4F3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AA428BB" wp14:textId="40CD0FF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3DE55ED" wp14:textId="553232F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A55ED39" wp14:textId="32826DA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931DBB6" wp14:textId="43B9AB3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84377F5" wp14:textId="69F209F6">
      <w:pPr>
        <w:rPr>
          <w:rFonts w:ascii="Aptos" w:hAnsi="Aptos" w:eastAsia="Aptos" w:cs="Aptos"/>
          <w:b w:val="0"/>
          <w:bCs w:val="0"/>
          <w:i w:val="0"/>
          <w:iCs w:val="0"/>
          <w:caps w:val="0"/>
          <w:smallCaps w:val="0"/>
          <w:noProof w:val="0"/>
          <w:color w:val="000000" w:themeColor="text1" w:themeTint="FF" w:themeShade="FF"/>
          <w:sz w:val="24"/>
          <w:szCs w:val="24"/>
          <w:lang w:val="en-US"/>
        </w:rPr>
      </w:pPr>
      <w:r w:rsidRPr="408BD02F" w:rsidR="561FF0FD">
        <w:rPr>
          <w:rFonts w:ascii="Aptos" w:hAnsi="Aptos" w:eastAsia="Aptos" w:cs="Aptos"/>
          <w:b w:val="0"/>
          <w:bCs w:val="0"/>
          <w:i w:val="0"/>
          <w:iCs w:val="0"/>
          <w:caps w:val="0"/>
          <w:smallCaps w:val="0"/>
          <w:noProof w:val="0"/>
          <w:color w:val="000000" w:themeColor="text1" w:themeTint="FF" w:themeShade="FF"/>
          <w:sz w:val="24"/>
          <w:szCs w:val="24"/>
          <w:lang w:val="en-US"/>
        </w:rPr>
        <w:t xml:space="preserve">                                                                                BMSW4012</w:t>
      </w:r>
    </w:p>
    <w:p xmlns:wp14="http://schemas.microsoft.com/office/word/2010/wordml" w:rsidP="408BD02F" wp14:paraId="3B206652" wp14:textId="0590E1C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4790E22" wp14:textId="15FAAC0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10D4E56" wp14:textId="53F728C4">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pPr>
      <w:r w:rsidRPr="408BD02F" w:rsidR="561FF0FD">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Table content</w:t>
      </w:r>
    </w:p>
    <w:p xmlns:wp14="http://schemas.microsoft.com/office/word/2010/wordml" w:rsidP="408BD02F" wp14:paraId="0AD4BFC7" wp14:textId="539D9CC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0B6B4340" wp14:textId="48E61053">
      <w:pPr>
        <w:tabs>
          <w:tab w:val="right" w:leader="dot" w:pos="9360"/>
        </w:tabs>
        <w:spacing w:after="100"/>
        <w:rPr>
          <w:rFonts w:ascii="Aptos" w:hAnsi="Aptos" w:eastAsia="Aptos" w:cs="Aptos"/>
          <w:b w:val="0"/>
          <w:bCs w:val="0"/>
          <w:i w:val="0"/>
          <w:iCs w:val="0"/>
          <w:caps w:val="0"/>
          <w:smallCaps w:val="0"/>
          <w:noProof w:val="0"/>
          <w:color w:val="467886"/>
          <w:sz w:val="24"/>
          <w:szCs w:val="24"/>
          <w:lang w:val="en-US"/>
        </w:rPr>
      </w:pPr>
      <w:r w:rsidRPr="408BD02F" w:rsidR="561FF0F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sdt>
      <w:sdtPr>
        <w:id w:val="1701267257"/>
        <w:docPartObj>
          <w:docPartGallery w:val="Table of Contents"/>
          <w:docPartUnique/>
        </w:docPartObj>
      </w:sdtPr>
      <w:sdtContent>
        <w:p xmlns:wp14="http://schemas.microsoft.com/office/word/2010/wordml" w:rsidP="408BD02F" wp14:paraId="168188C6" wp14:textId="2A8C797B">
          <w:pPr>
            <w:pStyle w:val="TOC1"/>
            <w:tabs>
              <w:tab w:val="right" w:leader="dot" w:pos="9360"/>
            </w:tabs>
            <w:bidi w:val="0"/>
            <w:rPr>
              <w:rStyle w:val="Hyperlink"/>
            </w:rPr>
          </w:pPr>
          <w:r>
            <w:fldChar w:fldCharType="begin"/>
          </w:r>
          <w:r>
            <w:instrText xml:space="preserve">TOC \o \z \u \h</w:instrText>
          </w:r>
          <w:r>
            <w:fldChar w:fldCharType="separate"/>
          </w:r>
          <w:hyperlink w:anchor="_Toc2034735316">
            <w:r w:rsidRPr="408BD02F" w:rsidR="408BD02F">
              <w:rPr>
                <w:rStyle w:val="Hyperlink"/>
              </w:rPr>
              <w:t>Introduction</w:t>
            </w:r>
            <w:r>
              <w:tab/>
            </w:r>
            <w:r>
              <w:fldChar w:fldCharType="begin"/>
            </w:r>
            <w:r>
              <w:instrText xml:space="preserve">PAGEREF _Toc2034735316 \h</w:instrText>
            </w:r>
            <w:r>
              <w:fldChar w:fldCharType="separate"/>
            </w:r>
            <w:r w:rsidRPr="408BD02F" w:rsidR="408BD02F">
              <w:rPr>
                <w:rStyle w:val="Hyperlink"/>
              </w:rPr>
              <w:t>3</w:t>
            </w:r>
            <w:r>
              <w:fldChar w:fldCharType="end"/>
            </w:r>
          </w:hyperlink>
        </w:p>
        <w:p xmlns:wp14="http://schemas.microsoft.com/office/word/2010/wordml" w:rsidP="408BD02F" wp14:paraId="40D86A87" wp14:textId="3DF18269">
          <w:pPr>
            <w:pStyle w:val="TOC1"/>
            <w:tabs>
              <w:tab w:val="right" w:leader="dot" w:pos="9360"/>
            </w:tabs>
            <w:bidi w:val="0"/>
            <w:rPr>
              <w:rStyle w:val="Hyperlink"/>
            </w:rPr>
          </w:pPr>
          <w:hyperlink w:anchor="_Toc1170860791">
            <w:r w:rsidRPr="408BD02F" w:rsidR="408BD02F">
              <w:rPr>
                <w:rStyle w:val="Hyperlink"/>
              </w:rPr>
              <w:t>Description</w:t>
            </w:r>
            <w:r>
              <w:tab/>
            </w:r>
            <w:r>
              <w:fldChar w:fldCharType="begin"/>
            </w:r>
            <w:r>
              <w:instrText xml:space="preserve">PAGEREF _Toc1170860791 \h</w:instrText>
            </w:r>
            <w:r>
              <w:fldChar w:fldCharType="separate"/>
            </w:r>
            <w:r w:rsidRPr="408BD02F" w:rsidR="408BD02F">
              <w:rPr>
                <w:rStyle w:val="Hyperlink"/>
              </w:rPr>
              <w:t>4</w:t>
            </w:r>
            <w:r>
              <w:fldChar w:fldCharType="end"/>
            </w:r>
          </w:hyperlink>
        </w:p>
        <w:p xmlns:wp14="http://schemas.microsoft.com/office/word/2010/wordml" w:rsidP="408BD02F" wp14:paraId="362FBA4D" wp14:textId="5ED7EFD7">
          <w:pPr>
            <w:pStyle w:val="TOC1"/>
            <w:tabs>
              <w:tab w:val="right" w:leader="dot" w:pos="9360"/>
            </w:tabs>
            <w:bidi w:val="0"/>
            <w:rPr>
              <w:rStyle w:val="Hyperlink"/>
            </w:rPr>
          </w:pPr>
          <w:hyperlink w:anchor="_Toc545269265">
            <w:r w:rsidRPr="408BD02F" w:rsidR="408BD02F">
              <w:rPr>
                <w:rStyle w:val="Hyperlink"/>
              </w:rPr>
              <w:t>Feelings</w:t>
            </w:r>
            <w:r>
              <w:tab/>
            </w:r>
            <w:r>
              <w:fldChar w:fldCharType="begin"/>
            </w:r>
            <w:r>
              <w:instrText xml:space="preserve">PAGEREF _Toc545269265 \h</w:instrText>
            </w:r>
            <w:r>
              <w:fldChar w:fldCharType="separate"/>
            </w:r>
            <w:r w:rsidRPr="408BD02F" w:rsidR="408BD02F">
              <w:rPr>
                <w:rStyle w:val="Hyperlink"/>
              </w:rPr>
              <w:t>5</w:t>
            </w:r>
            <w:r>
              <w:fldChar w:fldCharType="end"/>
            </w:r>
          </w:hyperlink>
        </w:p>
        <w:p xmlns:wp14="http://schemas.microsoft.com/office/word/2010/wordml" w:rsidP="408BD02F" wp14:paraId="377062F9" wp14:textId="55F9306C">
          <w:pPr>
            <w:pStyle w:val="TOC1"/>
            <w:tabs>
              <w:tab w:val="right" w:leader="dot" w:pos="9360"/>
            </w:tabs>
            <w:bidi w:val="0"/>
            <w:rPr>
              <w:rStyle w:val="Hyperlink"/>
            </w:rPr>
          </w:pPr>
          <w:hyperlink w:anchor="_Toc635927289">
            <w:r w:rsidRPr="408BD02F" w:rsidR="408BD02F">
              <w:rPr>
                <w:rStyle w:val="Hyperlink"/>
              </w:rPr>
              <w:t>Evaluation</w:t>
            </w:r>
            <w:r>
              <w:tab/>
            </w:r>
            <w:r>
              <w:fldChar w:fldCharType="begin"/>
            </w:r>
            <w:r>
              <w:instrText xml:space="preserve">PAGEREF _Toc635927289 \h</w:instrText>
            </w:r>
            <w:r>
              <w:fldChar w:fldCharType="separate"/>
            </w:r>
            <w:r w:rsidRPr="408BD02F" w:rsidR="408BD02F">
              <w:rPr>
                <w:rStyle w:val="Hyperlink"/>
              </w:rPr>
              <w:t>6</w:t>
            </w:r>
            <w:r>
              <w:fldChar w:fldCharType="end"/>
            </w:r>
          </w:hyperlink>
        </w:p>
        <w:p xmlns:wp14="http://schemas.microsoft.com/office/word/2010/wordml" w:rsidP="408BD02F" wp14:paraId="4BCCC35E" wp14:textId="727EB1D3">
          <w:pPr>
            <w:pStyle w:val="TOC1"/>
            <w:tabs>
              <w:tab w:val="right" w:leader="dot" w:pos="9360"/>
            </w:tabs>
            <w:bidi w:val="0"/>
            <w:rPr>
              <w:rStyle w:val="Hyperlink"/>
            </w:rPr>
          </w:pPr>
          <w:hyperlink w:anchor="_Toc885350612">
            <w:r w:rsidRPr="408BD02F" w:rsidR="408BD02F">
              <w:rPr>
                <w:rStyle w:val="Hyperlink"/>
              </w:rPr>
              <w:t>Analysis</w:t>
            </w:r>
            <w:r>
              <w:tab/>
            </w:r>
            <w:r>
              <w:fldChar w:fldCharType="begin"/>
            </w:r>
            <w:r>
              <w:instrText xml:space="preserve">PAGEREF _Toc885350612 \h</w:instrText>
            </w:r>
            <w:r>
              <w:fldChar w:fldCharType="separate"/>
            </w:r>
            <w:r w:rsidRPr="408BD02F" w:rsidR="408BD02F">
              <w:rPr>
                <w:rStyle w:val="Hyperlink"/>
              </w:rPr>
              <w:t>6</w:t>
            </w:r>
            <w:r>
              <w:fldChar w:fldCharType="end"/>
            </w:r>
          </w:hyperlink>
        </w:p>
        <w:p xmlns:wp14="http://schemas.microsoft.com/office/word/2010/wordml" w:rsidP="408BD02F" wp14:paraId="63D3C945" wp14:textId="7DD64E36">
          <w:pPr>
            <w:pStyle w:val="TOC1"/>
            <w:tabs>
              <w:tab w:val="right" w:leader="dot" w:pos="9360"/>
            </w:tabs>
            <w:bidi w:val="0"/>
            <w:rPr>
              <w:rStyle w:val="Hyperlink"/>
            </w:rPr>
          </w:pPr>
          <w:hyperlink w:anchor="_Toc1850560180">
            <w:r w:rsidRPr="408BD02F" w:rsidR="408BD02F">
              <w:rPr>
                <w:rStyle w:val="Hyperlink"/>
              </w:rPr>
              <w:t>Conclusion</w:t>
            </w:r>
            <w:r>
              <w:tab/>
            </w:r>
            <w:r>
              <w:fldChar w:fldCharType="begin"/>
            </w:r>
            <w:r>
              <w:instrText xml:space="preserve">PAGEREF _Toc1850560180 \h</w:instrText>
            </w:r>
            <w:r>
              <w:fldChar w:fldCharType="separate"/>
            </w:r>
            <w:r w:rsidRPr="408BD02F" w:rsidR="408BD02F">
              <w:rPr>
                <w:rStyle w:val="Hyperlink"/>
              </w:rPr>
              <w:t>7</w:t>
            </w:r>
            <w:r>
              <w:fldChar w:fldCharType="end"/>
            </w:r>
          </w:hyperlink>
        </w:p>
        <w:p xmlns:wp14="http://schemas.microsoft.com/office/word/2010/wordml" w:rsidP="408BD02F" wp14:paraId="0DDCE33F" wp14:textId="43A0ADD0">
          <w:pPr>
            <w:pStyle w:val="TOC1"/>
            <w:tabs>
              <w:tab w:val="right" w:leader="dot" w:pos="9360"/>
            </w:tabs>
            <w:bidi w:val="0"/>
            <w:rPr>
              <w:rStyle w:val="Hyperlink"/>
            </w:rPr>
          </w:pPr>
          <w:hyperlink w:anchor="_Toc1893318817">
            <w:r w:rsidRPr="408BD02F" w:rsidR="408BD02F">
              <w:rPr>
                <w:rStyle w:val="Hyperlink"/>
              </w:rPr>
              <w:t>Action plan</w:t>
            </w:r>
            <w:r>
              <w:tab/>
            </w:r>
            <w:r>
              <w:fldChar w:fldCharType="begin"/>
            </w:r>
            <w:r>
              <w:instrText xml:space="preserve">PAGEREF _Toc1893318817 \h</w:instrText>
            </w:r>
            <w:r>
              <w:fldChar w:fldCharType="separate"/>
            </w:r>
            <w:r w:rsidRPr="408BD02F" w:rsidR="408BD02F">
              <w:rPr>
                <w:rStyle w:val="Hyperlink"/>
              </w:rPr>
              <w:t>9</w:t>
            </w:r>
            <w:r>
              <w:fldChar w:fldCharType="end"/>
            </w:r>
          </w:hyperlink>
        </w:p>
        <w:p xmlns:wp14="http://schemas.microsoft.com/office/word/2010/wordml" w:rsidP="408BD02F" wp14:paraId="7BF298AF" wp14:textId="4A5E18B6">
          <w:pPr>
            <w:pStyle w:val="TOC1"/>
            <w:tabs>
              <w:tab w:val="right" w:leader="dot" w:pos="9360"/>
            </w:tabs>
            <w:bidi w:val="0"/>
            <w:rPr>
              <w:rStyle w:val="Hyperlink"/>
            </w:rPr>
          </w:pPr>
          <w:hyperlink w:anchor="_Toc1989272856">
            <w:r w:rsidRPr="408BD02F" w:rsidR="408BD02F">
              <w:rPr>
                <w:rStyle w:val="Hyperlink"/>
              </w:rPr>
              <w:t>Reference List</w:t>
            </w:r>
            <w:r>
              <w:tab/>
            </w:r>
            <w:r>
              <w:fldChar w:fldCharType="begin"/>
            </w:r>
            <w:r>
              <w:instrText xml:space="preserve">PAGEREF _Toc1989272856 \h</w:instrText>
            </w:r>
            <w:r>
              <w:fldChar w:fldCharType="separate"/>
            </w:r>
            <w:r w:rsidRPr="408BD02F" w:rsidR="408BD02F">
              <w:rPr>
                <w:rStyle w:val="Hyperlink"/>
              </w:rPr>
              <w:t>9</w:t>
            </w:r>
            <w:r>
              <w:fldChar w:fldCharType="end"/>
            </w:r>
          </w:hyperlink>
          <w:r>
            <w:fldChar w:fldCharType="end"/>
          </w:r>
        </w:p>
      </w:sdtContent>
    </w:sdt>
    <w:p xmlns:wp14="http://schemas.microsoft.com/office/word/2010/wordml" w:rsidP="408BD02F" wp14:paraId="22D31A72" wp14:textId="4B72E99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EC4166A" wp14:textId="78C8CBC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0CBC31B" wp14:textId="4135319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AEFE4EB" wp14:textId="322FAC7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817A805" wp14:textId="316B0DD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99C3BB5" wp14:textId="62E1EC4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72C7033" wp14:textId="7CA6120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71860255" wp14:textId="6B7C48A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B3BDCCD" wp14:textId="1CD54B3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38474BF" wp14:textId="765CE80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0E6281F" wp14:textId="3C58C40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46FF715F" wp14:textId="0CD964B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011C7CD" wp14:textId="07111D7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4DA2D53F" wp14:textId="24C7BAF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FDF022A" wp14:textId="60B869B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3803725" wp14:textId="26FD2FB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799FF34" wp14:textId="5D1D09A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4D3D2141" wp14:textId="4723E891">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390345A" wp14:textId="5210C6EA">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40"/>
          <w:szCs w:val="40"/>
          <w:lang w:val="en-US"/>
        </w:rPr>
      </w:pPr>
      <w:bookmarkStart w:name="_Toc2034735316" w:id="1203781454"/>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Introduction</w:t>
      </w:r>
      <w:bookmarkEnd w:id="1203781454"/>
    </w:p>
    <w:p xmlns:wp14="http://schemas.microsoft.com/office/word/2010/wordml" w:rsidP="408BD02F" wp14:paraId="648F9938" wp14:textId="40C87445">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1881383" wp14:textId="00B134CC">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561FF0FD">
        <w:drawing>
          <wp:inline xmlns:wp14="http://schemas.microsoft.com/office/word/2010/wordprocessingDrawing" wp14:editId="086F7748" wp14:anchorId="4768CD77">
            <wp:extent cx="3429000" cy="2286000"/>
            <wp:effectExtent l="0" t="0" r="0" b="0"/>
            <wp:docPr id="1734275631" name="" title=""/>
            <wp:cNvGraphicFramePr>
              <a:graphicFrameLocks noChangeAspect="1"/>
            </wp:cNvGraphicFramePr>
            <a:graphic>
              <a:graphicData uri="http://schemas.openxmlformats.org/drawingml/2006/picture">
                <pic:pic>
                  <pic:nvPicPr>
                    <pic:cNvPr id="0" name=""/>
                    <pic:cNvPicPr/>
                  </pic:nvPicPr>
                  <pic:blipFill>
                    <a:blip r:embed="Rf8363448114a4390">
                      <a:extLst>
                        <a:ext xmlns:a="http://schemas.openxmlformats.org/drawingml/2006/main" uri="{28A0092B-C50C-407E-A947-70E740481C1C}">
                          <a14:useLocalDpi val="0"/>
                        </a:ext>
                      </a:extLst>
                    </a:blip>
                    <a:stretch>
                      <a:fillRect/>
                    </a:stretch>
                  </pic:blipFill>
                  <pic:spPr>
                    <a:xfrm>
                      <a:off x="0" y="0"/>
                      <a:ext cx="3429000" cy="2286000"/>
                    </a:xfrm>
                    <a:prstGeom prst="rect">
                      <a:avLst/>
                    </a:prstGeom>
                  </pic:spPr>
                </pic:pic>
              </a:graphicData>
            </a:graphic>
          </wp:inline>
        </w:drawing>
      </w:r>
    </w:p>
    <w:p xmlns:wp14="http://schemas.microsoft.com/office/word/2010/wordml" w:rsidP="408BD02F" wp14:paraId="73B73B4B" wp14:textId="5BB903DD">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(Sicora, 2010)</w:t>
      </w:r>
    </w:p>
    <w:p xmlns:wp14="http://schemas.microsoft.com/office/word/2010/wordml" w:rsidP="408BD02F" wp14:paraId="24CF64E4" wp14:textId="0296387E">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This reflective essay examines my journey in personal and career development through my studies at the University of Wales Trinity Saint David. I will employ Gibbs’ (1988) Reflective Cycle to organize my reflections, guaranteeing a comprehensive analysis of my experiences, emotions, assessments, and strategies for future actions. During the course, I engaged in a range of activities that enhanced my self-awareness and professional skills. Through the use of personality tests, SWOT analysis, and career theories, I engaged in a thorough examination of my strengths, weaknesses, and aspirations. This process underscored the importance of self-reflection, personal growth.</w:t>
      </w:r>
    </w:p>
    <w:p xmlns:wp14="http://schemas.microsoft.com/office/word/2010/wordml" w:rsidP="408BD02F" wp14:paraId="0B74C2B0" wp14:textId="14791DFF">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00D7A29" wp14:textId="7764737B">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791056B" wp14:textId="7B21ECDE">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016D606" wp14:textId="269B47D4">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24"/>
          <w:szCs w:val="24"/>
          <w:lang w:val="en-US"/>
        </w:rPr>
      </w:pPr>
      <w:r w:rsidRPr="408BD02F" w:rsidR="561FF0FD">
        <w:rPr>
          <w:rFonts w:ascii="Arial Nova" w:hAnsi="Arial Nova" w:eastAsia="Arial Nova" w:cs="Arial Nova"/>
          <w:b w:val="0"/>
          <w:bCs w:val="0"/>
          <w:i w:val="0"/>
          <w:iCs w:val="0"/>
          <w:caps w:val="0"/>
          <w:smallCaps w:val="0"/>
          <w:noProof w:val="0"/>
          <w:color w:val="0F4761" w:themeColor="accent1" w:themeTint="FF" w:themeShade="BF"/>
          <w:sz w:val="24"/>
          <w:szCs w:val="24"/>
          <w:lang w:val="en-US"/>
        </w:rPr>
        <w:t xml:space="preserve">  </w:t>
      </w:r>
    </w:p>
    <w:p xmlns:wp14="http://schemas.microsoft.com/office/word/2010/wordml" w:rsidP="408BD02F" wp14:paraId="03850C80" wp14:textId="141A3E90">
      <w:pPr>
        <w:pStyle w:val="Normal"/>
        <w:keepNext w:val="1"/>
        <w:keepLines w:val="1"/>
        <w:rPr>
          <w:noProof w:val="0"/>
          <w:lang w:val="en-US"/>
        </w:rPr>
      </w:pPr>
    </w:p>
    <w:p xmlns:wp14="http://schemas.microsoft.com/office/word/2010/wordml" w:rsidP="408BD02F" wp14:paraId="0D21AB31" wp14:textId="6B97F0DD">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4D60C57" wp14:textId="7F448B1A">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40"/>
          <w:szCs w:val="40"/>
          <w:lang w:val="en-US"/>
        </w:rPr>
      </w:pPr>
      <w:bookmarkStart w:name="_Toc1170860791" w:id="1842450399"/>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Description</w:t>
      </w:r>
      <w:bookmarkEnd w:id="1842450399"/>
    </w:p>
    <w:p xmlns:wp14="http://schemas.microsoft.com/office/word/2010/wordml" w:rsidP="408BD02F" wp14:paraId="7DDDA8D7" wp14:textId="057F0AE5">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4752492" wp14:textId="216D4F79">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At the University of Wales Trinity Saint David, I pursued personal and career growth through icebreakers, team-building activities, self-reflection techniques, and Honey &amp; Mumford and Myers-Briggs tests, enhancing communication and collaboration. The SWOT analysis facilitated our evaluation of our strengths, vulnerabilities, opportunities, and threats. The subject highlighted the significance of personal and professional growth. This aligns with Cottrell's (2021) notion that students must cultivate a strong personal image to differentiate themselves in the competitive global job market. Tools like the Johari Window model and SMART goals facilitated meaningful discussions about self-awareness and enabled us to establish clear, achievable objectives. A Personal Development Plan helped me advance in my career and strengthen my identity. by exploring career theories, such as Holland's and Maslow's, to better understand people's job goals (Handayani and Riyanto 2021), the Life Career Rainbow highlights the need to balance our various life roles, while Ikigai prompts us to reflect on our leadership and personal goals. This topic has provided a valuable foundation for our journeys, assisting our growth both personally and professionally. It has provided us with valuable tools and information for our growth. </w:t>
      </w:r>
    </w:p>
    <w:p xmlns:wp14="http://schemas.microsoft.com/office/word/2010/wordml" w:rsidP="408BD02F" wp14:paraId="5847CC5E" wp14:textId="0E55F28F">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487268C8" wp14:textId="42F577E0">
      <w:pPr>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p>
    <w:p xmlns:wp14="http://schemas.microsoft.com/office/word/2010/wordml" w:rsidP="408BD02F" wp14:paraId="604E114C" wp14:textId="3CE1B66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E37B298" wp14:textId="0241205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5D645F6" wp14:textId="1F71756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F4F091D" wp14:textId="11D90A8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B9AA1AC" wp14:textId="12F1A3D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1EEA314" wp14:textId="2BFF575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1634307" wp14:textId="24C5DFC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ADC6DDB" wp14:textId="072C334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4BD40B9E" wp14:textId="6C8F80B2">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40"/>
          <w:szCs w:val="40"/>
          <w:lang w:val="en-US"/>
        </w:rPr>
      </w:pPr>
      <w:bookmarkStart w:name="_Toc545269265" w:id="2035309672"/>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Feelings</w:t>
      </w:r>
      <w:bookmarkEnd w:id="2035309672"/>
    </w:p>
    <w:p xmlns:wp14="http://schemas.microsoft.com/office/word/2010/wordml" w:rsidP="408BD02F" wp14:paraId="7E2845D6" wp14:textId="3188B000">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At the start, I had mixed emotions. I was excited about the idea of working in a team but felt uncertain about self-evaluation and sharing my vulnerabilities with my peers. I felt embarrassed and upset by my initial difficulty in understanding all the theories and content. I eventually realized that being overwhelmed by so much new information was very natural. As the modules went, I developed confidence in my capacity to contribute to the team's development while also evaluating myself. However, By the start of the module, I felt hopeless considering the enormous number of themes and exercises. The prospect of developing relationships while also discovering my leadership style and personality was scary, as we worked through exercises such as the Honey &amp; Mumford personality test and the Johari Window, I realized the value of self-reflection. Gallagher (2022) emphasizes that interpersonal intelligence is essential for communicating and fostering robust connections, significantly impacting my capacity to interact successfully with my peers. SWOT analysis and the concept of Ikigai prompted me to reflect critically on my strengths, vulnerabilities, and aspirations. As each session progressed, my initial feelings of inferiority, therefore Noltemeyer et al. (2020) state that the concept that unfulfilled lower-level "deficiency needs" can inhibit higher-level "growth needs" is of great theoretical importance. Furthermore, Myers-Briggs began to cultivate a sense of confidence and helped to clarify my leadership style. After the program, I was convinced to create a Personal Development Plan that reflected my beliefs and goals. A frightening and uncomfortable event became a journey of empowerment and self-discovery.</w:t>
      </w:r>
    </w:p>
    <w:p xmlns:wp14="http://schemas.microsoft.com/office/word/2010/wordml" w:rsidP="408BD02F" wp14:paraId="50E1E014" wp14:textId="79CBF3B0">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BC67D75" wp14:textId="61C0BCEE">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4F142A98" wp14:textId="27F1D181">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C3C0FE8" wp14:textId="01DC29AC">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0BDB8C53" wp14:textId="26A267DA">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C6CD496" wp14:textId="179E7C79">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0582C7C" wp14:textId="583AB428">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F44E54B" wp14:textId="1B747D83">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7DD0803E" wp14:textId="3388B8BA">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6AACE57" wp14:textId="27E348BD">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0E8A4676" wp14:textId="5EE093F6">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40"/>
          <w:szCs w:val="40"/>
          <w:lang w:val="en-US"/>
        </w:rPr>
      </w:pPr>
      <w:bookmarkStart w:name="_Toc635927289" w:id="2027087944"/>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Evaluation</w:t>
      </w:r>
      <w:bookmarkEnd w:id="2027087944"/>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 xml:space="preserve">  </w:t>
      </w:r>
    </w:p>
    <w:p xmlns:wp14="http://schemas.microsoft.com/office/word/2010/wordml" w:rsidP="408BD02F" wp14:paraId="1C490BAD" wp14:textId="6EFC13F7">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1A2866A" wp14:textId="7C23ACDA">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team-building exercises were somewhat beneficial in fostering an atmosphere of trust and collaboration (Schmidt et al. 2023). The personality tests and SWOT analysis offered significant insights into my learning style and how I can more effectively navigate my career. Nonetheless, certain concepts, like Holland’s career theory and the Johari Window model, appeared more abstract and posed greater difficulties in practical application. The evaluation of this module revealed various strengths and difficulties that played a significant role in my personal growth. Mchunu and Durban University of Technology (2020) identified analogous concerns related to teamwork and the implementation of theoretical ideas in reality, as students had difficulties in team dynamics and practical application during project-based learning. The Johari Window and the Honey &amp; Mumford personality test provided valuable insights into my strengths and areas for improvement. Leadership theory, shaped by ideas such as Maslow's motivation and Holland's career, offers a complex but fulfilling path of personal growth because of its inherent contradictions.  Moreover, the Myers-Briggs test and personal SWOT analysis compelled me to face elements of my personality and career goals that I had overlooked, pushing me to venture beyond my comfort zone, Benzaghta et al. (2021) assert that SWOT analysis is used by both academics and practitioners as a strategic planning instrument to evaluate organizational conditions. I have gained a stronger sense of security in my personal branding and self-awareness, recognizing how these insights can significantly impact my growth, even in the face of challenges. </w:t>
      </w:r>
    </w:p>
    <w:p xmlns:wp14="http://schemas.microsoft.com/office/word/2010/wordml" w:rsidP="408BD02F" wp14:paraId="6FE1A5CD" wp14:textId="7F4ED129">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module session was a significant experience that intertwined essential learning with instances of unease, ultimately enhancing my comprehension of my identity and leadership capabilities. </w:t>
      </w:r>
    </w:p>
    <w:p xmlns:wp14="http://schemas.microsoft.com/office/word/2010/wordml" w:rsidP="408BD02F" wp14:paraId="44F099BD" wp14:textId="363B158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E02AB72" wp14:textId="75CFC75B">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240381C" wp14:textId="5DE43B4F">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93DC318" wp14:textId="157ECCBC">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378ABBF" wp14:textId="2451AABD">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6B72F9CE" wp14:textId="51BC1FFC">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72BD1661" wp14:textId="546B22FB">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40"/>
          <w:szCs w:val="40"/>
          <w:lang w:val="en-US"/>
        </w:rPr>
      </w:pPr>
      <w:bookmarkStart w:name="_Toc885350612" w:id="12114330"/>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Analysis</w:t>
      </w:r>
      <w:bookmarkEnd w:id="12114330"/>
    </w:p>
    <w:p xmlns:wp14="http://schemas.microsoft.com/office/word/2010/wordml" w:rsidP="408BD02F" wp14:paraId="6C25BE25" wp14:textId="7AE79F4F">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Based on my experience, practical activities and theoretical frameworks provided a solid foundation for self-awareness and professional development. The tasks helped me develop by making me think about my skills and character. However educational, the theoretical components needed more time to fully absorb and integrate into my progress.  Diversity and engagement in the module's design helped personal and professional progress. Creating a conducive learning environment and community through introduction and welcoming activities was crucial. Team-building activities improved interaction and cooperation throughout the session.  </w:t>
      </w:r>
    </w:p>
    <w:p xmlns:wp14="http://schemas.microsoft.com/office/word/2010/wordml" w:rsidP="408BD02F" wp14:paraId="0BC202DA" wp14:textId="0EE982FD">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Reflective practice was highlighted, urging us to critically assess our experiences and advancements. Instruments like the Honey &amp; Mumford personality test and personal SWOT analysis provide critical insights into individual strengths and shortcomings, enhancing self-awareness. Puyt et al. (2023) indicate that the roots of SWOT analysis may be traced back to its precursor, the SOFT method, which continues to be essential for strategic decision-making and self-assessment in organizational and personal situations. The Myers-Briggs examination is frequently utilized, however it might pigeonhole personality traits by simplifying them. If provided with many frameworks, individuals may struggle to internalize and apply the ideas. Implementing the Personal Development Plan and SMART objectives encouraged proactive goal-setting and responsibility.  The participants' comprehension of their motivations and professional objectives was augmented by ideas such as Maslow's motivation theory and Ikigai, which also facilitated a deeper knowledge of their leadership style. Understanding Ikigai, which is the intersection of what I am excellent at, what the world needs, what I can be paid for, and what I adore (Dash, 2024), has given me a more profound understanding of my motivations and has clarified my sense of purpose. I could have reduced my initial concern by trusting our tutor, Muhamed, and building confidence from the start. This highlights the need of trust and a helpful mentor in self-discovery and personal development.The programmer laid the groundwork for personal and professional growth. Its efficacy could be improved with minor changes, such as extra time for theoretical component assimilation. Reflection helped me connect with the material and find a unique way to present my classwork.</w:t>
      </w:r>
    </w:p>
    <w:p xmlns:wp14="http://schemas.microsoft.com/office/word/2010/wordml" w:rsidP="408BD02F" wp14:paraId="73318E49" wp14:textId="1D04B562">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1ED3601" wp14:textId="4A45398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7721B9B" wp14:textId="74D2B69C">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40"/>
          <w:szCs w:val="40"/>
          <w:lang w:val="en-US"/>
        </w:rPr>
      </w:pPr>
      <w:bookmarkStart w:name="_Toc1850560180" w:id="1314668609"/>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Conclusion</w:t>
      </w:r>
      <w:bookmarkEnd w:id="1314668609"/>
    </w:p>
    <w:p xmlns:wp14="http://schemas.microsoft.com/office/word/2010/wordml" w:rsidP="408BD02F" wp14:paraId="4F6F0E4A" wp14:textId="0EACB3B8">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course improved my self-awareness, teamwork, and strategic planning. Even though certain ideas are hard to apply, introspection and self-assessment are vital for progress. I agree that these models need more practical implementations. I now realize its importance to my personal and professional progress. The Honey &amp; Mumford personality test and Johari Window improved my self-awareness. I recognized potential to work better with my coworkers, especially Mohamed, by building trust and confidence.  </w:t>
      </w:r>
    </w:p>
    <w:p xmlns:wp14="http://schemas.microsoft.com/office/word/2010/wordml" w:rsidP="408BD02F" wp14:paraId="122CC7A8" wp14:textId="0F27A55C">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During this trip, I developed a profound respect for the importance of reflective practice. It prompted me to contemplate alternate solutions to many circumstances, emphasizing the need of adaptation and openness in good leadership. I now see that I could have navigated certain challenges more efficiently had I adopted a more flexible perspective earlier in the process. The congruence between my professional ambitions and personal preferences was elucidated via the formulation of my Personal Development Plan and my examination of ideas such as Ikigai and Maslow's hierarchy of needs. Comprehending my leadership style and its alignment with Holland’s career theory has afforded me more insight over my professional destiny. Henceforth, I will use SMART targets to guarantee measurable advancement in my personal branding and self-awareness initiatives. </w:t>
      </w:r>
    </w:p>
    <w:p xmlns:wp14="http://schemas.microsoft.com/office/word/2010/wordml" w:rsidP="408BD02F" wp14:paraId="49BDB78B" wp14:textId="23BC4E44">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experience has shown that development is a continuous process, and that embracing reflective methods will facilitate better informed decision-making. In conclusion, I am better prepared to foster a development mentality and lead with confidence in both my personal and professional ambitions due to the knowledge gained from these sessions. </w:t>
      </w:r>
    </w:p>
    <w:p xmlns:wp14="http://schemas.microsoft.com/office/word/2010/wordml" w:rsidP="408BD02F" wp14:paraId="47677560" wp14:textId="4E35D047">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4372A01" wp14:textId="0F9C5EB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1B89CD7" wp14:textId="702CED8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FF9A545" wp14:textId="7F9AEB7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4B14F1CE" wp14:textId="6B02F3A7">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FA3C814" wp14:textId="24DCF6F5">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3686D3F" wp14:textId="6A80DC93">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717F6FA0" wp14:textId="119FAFC1">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17B252EE" wp14:textId="75005203">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81570A8" wp14:textId="0589F491">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40"/>
          <w:szCs w:val="40"/>
          <w:lang w:val="en-US"/>
        </w:rPr>
      </w:pPr>
      <w:bookmarkStart w:name="_Toc1893318817" w:id="229717607"/>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Action plan</w:t>
      </w:r>
      <w:bookmarkEnd w:id="229717607"/>
    </w:p>
    <w:p xmlns:wp14="http://schemas.microsoft.com/office/word/2010/wordml" w:rsidP="408BD02F" wp14:paraId="7EB1140C" wp14:textId="632A1098">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7EEEBFC7" wp14:textId="0E8F8331">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In the future, I want to persist in using reflective methods in both academic and professional contexts. I will re-examine ideas such as Holland’s career theory and the Johari Window to enhance my comprehension and implement these theories in future initiatives. I want to establish more SMART goals and consistently revise my Personal Development Plan to monitor my progress and ensure alignment with my long-term objectives. In line with the findings of Hakvoort et al. (2022), who emphasize the importance of translating knowledge into practice, I plan to take a more proactive approach in applying theoretical knowledge to real-world tasks in my future projects one important step I will take is to seek advice from my lecturer, Muhammad, more frequently and openly express my thoughts and feelings. By doing this, I will be able to gain valuable feedback and guidance to improve my work. I also recognize the need to be more ambitious in class, ask more questions, and engage more actively with the material to become a better student.</w:t>
      </w:r>
    </w:p>
    <w:p xmlns:wp14="http://schemas.microsoft.com/office/word/2010/wordml" w:rsidP="408BD02F" wp14:paraId="34B4DF1E" wp14:textId="3F2EB73E">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Furthermore, I plan to work harder under pressure, improve my time management, and challenge myself to take on more complex tasks. This will not only help me grow academically but also prepare me for professional challenges in the future.</w:t>
      </w:r>
    </w:p>
    <w:p xmlns:wp14="http://schemas.microsoft.com/office/word/2010/wordml" w:rsidP="408BD02F" wp14:paraId="325130BC" wp14:textId="41CE4D0F">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B2972EE" wp14:textId="0FAE94FF">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E6EEFE7" wp14:textId="39FE1037">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3701058" wp14:textId="451A7AD4">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474205ED" wp14:textId="6446D90A">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72552A47" wp14:textId="0185B616">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B181833" wp14:textId="54817BA1">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925C310" wp14:textId="1CA06E5E">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C063354" wp14:textId="48B0F881">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3891B9EA" wp14:textId="21048C73">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5D583B77" wp14:textId="3ADD068B">
      <w:pPr>
        <w:pStyle w:val="Heading1"/>
        <w:keepNext w:val="1"/>
        <w:keepLines w:val="1"/>
        <w:spacing w:before="360" w:after="80"/>
        <w:rPr>
          <w:rFonts w:ascii="Arial Nova" w:hAnsi="Arial Nova" w:eastAsia="Arial Nova" w:cs="Arial Nova"/>
          <w:b w:val="0"/>
          <w:bCs w:val="0"/>
          <w:i w:val="0"/>
          <w:iCs w:val="0"/>
          <w:caps w:val="0"/>
          <w:smallCaps w:val="0"/>
          <w:noProof w:val="0"/>
          <w:color w:val="0F4761" w:themeColor="accent1" w:themeTint="FF" w:themeShade="BF"/>
          <w:sz w:val="40"/>
          <w:szCs w:val="40"/>
          <w:lang w:val="en-US"/>
        </w:rPr>
      </w:pPr>
      <w:bookmarkStart w:name="_Toc1989272856" w:id="47327732"/>
      <w:r w:rsidRPr="408BD02F" w:rsidR="561FF0FD">
        <w:rPr>
          <w:rFonts w:ascii="Arial Nova" w:hAnsi="Arial Nova" w:eastAsia="Arial Nova" w:cs="Arial Nova"/>
          <w:b w:val="0"/>
          <w:bCs w:val="0"/>
          <w:i w:val="0"/>
          <w:iCs w:val="0"/>
          <w:caps w:val="0"/>
          <w:smallCaps w:val="0"/>
          <w:noProof w:val="0"/>
          <w:color w:val="0F4761" w:themeColor="accent1" w:themeTint="FF" w:themeShade="BF"/>
          <w:sz w:val="40"/>
          <w:szCs w:val="40"/>
          <w:lang w:val="en-US"/>
        </w:rPr>
        <w:t>Reference List</w:t>
      </w:r>
      <w:bookmarkEnd w:id="47327732"/>
    </w:p>
    <w:p xmlns:wp14="http://schemas.microsoft.com/office/word/2010/wordml" w:rsidP="408BD02F" wp14:paraId="0C3A13A5" wp14:textId="573BB545">
      <w:pPr>
        <w:rPr>
          <w:rFonts w:ascii="Arial Nova" w:hAnsi="Arial Nova" w:eastAsia="Arial Nova" w:cs="Arial Nova"/>
          <w:b w:val="0"/>
          <w:bCs w:val="0"/>
          <w:i w:val="0"/>
          <w:iCs w:val="0"/>
          <w:caps w:val="0"/>
          <w:smallCaps w:val="0"/>
          <w:noProof w:val="0"/>
          <w:color w:val="2A2A2A"/>
          <w:sz w:val="24"/>
          <w:szCs w:val="24"/>
          <w:lang w:val="en-US"/>
        </w:rPr>
      </w:pP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Benzaghta, M.A. et al. 2021. SWOT analysis applications: An integrative literature review. </w:t>
      </w:r>
      <w:r w:rsidRPr="408BD02F" w:rsidR="561FF0FD">
        <w:rPr>
          <w:rFonts w:ascii="Arial Nova" w:hAnsi="Arial Nova" w:eastAsia="Arial Nova" w:cs="Arial Nova"/>
          <w:b w:val="0"/>
          <w:bCs w:val="0"/>
          <w:i w:val="1"/>
          <w:iCs w:val="1"/>
          <w:caps w:val="0"/>
          <w:smallCaps w:val="0"/>
          <w:noProof w:val="0"/>
          <w:color w:val="0D0D0D" w:themeColor="text1" w:themeTint="F2" w:themeShade="FF"/>
          <w:sz w:val="24"/>
          <w:szCs w:val="24"/>
          <w:lang w:val="en-US"/>
        </w:rPr>
        <w:t xml:space="preserve">Journal of Global Business Insights </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1–1, pp. 55–73. Available at: </w:t>
      </w:r>
      <w:hyperlink r:id="R2464081775634fe5">
        <w:r w:rsidRPr="408BD02F" w:rsidR="561FF0FD">
          <w:rPr>
            <w:rStyle w:val="Hyperlink"/>
            <w:rFonts w:ascii="Arial Nova" w:hAnsi="Arial Nova" w:eastAsia="Arial Nova" w:cs="Arial Nova"/>
            <w:b w:val="0"/>
            <w:bCs w:val="0"/>
            <w:i w:val="0"/>
            <w:iCs w:val="0"/>
            <w:caps w:val="0"/>
            <w:smallCaps w:val="0"/>
            <w:strike w:val="0"/>
            <w:dstrike w:val="0"/>
            <w:noProof w:val="0"/>
            <w:sz w:val="24"/>
            <w:szCs w:val="24"/>
            <w:lang w:val="en-US"/>
          </w:rPr>
          <w:t>https://pdfs.semanticscholar.org/1ce6/a88073a1fedd93547b395c7b1898970736ad.pdf?_gl=1*tut8zr*_ga*NDAzNjE4MjY3LjE2ODkwNjE1NDY.*_ga_H7P4ZT52H5*MTY4OTkyNjM2Ny4yLjEuMTY4OTkyNjQwMi4yNS4wLjA</w:t>
        </w:r>
      </w:hyperlink>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 </w:t>
      </w:r>
      <w:r w:rsidRPr="408BD02F" w:rsidR="561FF0FD">
        <w:rPr>
          <w:rFonts w:ascii="Arial Nova" w:hAnsi="Arial Nova" w:eastAsia="Arial Nova" w:cs="Arial Nova"/>
          <w:b w:val="0"/>
          <w:bCs w:val="0"/>
          <w:i w:val="0"/>
          <w:iCs w:val="0"/>
          <w:caps w:val="0"/>
          <w:smallCaps w:val="0"/>
          <w:noProof w:val="0"/>
          <w:color w:val="2A2A2A"/>
          <w:sz w:val="24"/>
          <w:szCs w:val="24"/>
          <w:lang w:val="en-US"/>
        </w:rPr>
        <w:t>(Accessed: 20 October 2023).</w:t>
      </w:r>
    </w:p>
    <w:p xmlns:wp14="http://schemas.microsoft.com/office/word/2010/wordml" w:rsidP="408BD02F" wp14:paraId="5799213D" wp14:textId="7F63647D">
      <w:pPr>
        <w:rPr>
          <w:rFonts w:ascii="Arial Nova" w:hAnsi="Arial Nova" w:eastAsia="Arial Nova" w:cs="Arial Nova"/>
          <w:b w:val="0"/>
          <w:bCs w:val="0"/>
          <w:i w:val="0"/>
          <w:iCs w:val="0"/>
          <w:caps w:val="0"/>
          <w:smallCaps w:val="0"/>
          <w:noProof w:val="0"/>
          <w:color w:val="0D0D0D" w:themeColor="text1" w:themeTint="F2" w:themeShade="FF"/>
          <w:sz w:val="24"/>
          <w:szCs w:val="24"/>
          <w:lang w:val="en-US"/>
        </w:rPr>
      </w:pP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Cottrell, S. (2021)</w:t>
      </w:r>
      <w:r w:rsidRPr="408BD02F" w:rsidR="561FF0FD">
        <w:rPr>
          <w:rFonts w:ascii="Arial Nova" w:hAnsi="Arial Nova" w:eastAsia="Arial Nova" w:cs="Arial Nova"/>
          <w:b w:val="0"/>
          <w:bCs w:val="0"/>
          <w:i w:val="1"/>
          <w:iCs w:val="1"/>
          <w:caps w:val="0"/>
          <w:smallCaps w:val="0"/>
          <w:noProof w:val="0"/>
          <w:color w:val="0D0D0D" w:themeColor="text1" w:themeTint="F2" w:themeShade="FF"/>
          <w:sz w:val="24"/>
          <w:szCs w:val="24"/>
          <w:lang w:val="en-US"/>
        </w:rPr>
        <w:t xml:space="preserve"> Skills for success: personal development and employability</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4th edition. London:, Red Globe Press.</w:t>
      </w:r>
    </w:p>
    <w:p xmlns:wp14="http://schemas.microsoft.com/office/word/2010/wordml" w:rsidP="408BD02F" wp14:paraId="1B74E919" wp14:textId="3AF1DB05">
      <w:pPr>
        <w:rPr>
          <w:rFonts w:ascii="Arial Nova" w:hAnsi="Arial Nova" w:eastAsia="Arial Nova" w:cs="Arial Nova"/>
          <w:b w:val="0"/>
          <w:bCs w:val="0"/>
          <w:i w:val="0"/>
          <w:iCs w:val="0"/>
          <w:caps w:val="0"/>
          <w:smallCaps w:val="0"/>
          <w:noProof w:val="0"/>
          <w:color w:val="0D0D0D" w:themeColor="text1" w:themeTint="F2" w:themeShade="FF"/>
          <w:sz w:val="24"/>
          <w:szCs w:val="24"/>
          <w:lang w:val="en-US"/>
        </w:rPr>
      </w:pP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Dash, J.P., 2024. Finding Your Ikigai</w:t>
      </w:r>
      <w:r w:rsidRPr="408BD02F" w:rsidR="561FF0FD">
        <w:rPr>
          <w:rFonts w:ascii="Arial Nova" w:hAnsi="Arial Nova" w:eastAsia="Arial Nova" w:cs="Arial Nova"/>
          <w:b w:val="0"/>
          <w:bCs w:val="0"/>
          <w:i w:val="1"/>
          <w:iCs w:val="1"/>
          <w:caps w:val="0"/>
          <w:smallCaps w:val="0"/>
          <w:noProof w:val="0"/>
          <w:color w:val="0D0D0D" w:themeColor="text1" w:themeTint="F2" w:themeShade="FF"/>
          <w:sz w:val="24"/>
          <w:szCs w:val="24"/>
          <w:lang w:val="en-US"/>
        </w:rPr>
        <w:t xml:space="preserve">: A Journey Through the Lives of Leaders </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vol-1. India: BlueRose Publishers.</w:t>
      </w:r>
    </w:p>
    <w:p xmlns:wp14="http://schemas.microsoft.com/office/word/2010/wordml" w:rsidP="408BD02F" wp14:paraId="5C2830B7" wp14:textId="1C9FB3F8">
      <w:pPr>
        <w:rPr>
          <w:rFonts w:ascii="Arial Nova" w:hAnsi="Arial Nova" w:eastAsia="Arial Nova" w:cs="Arial Nova"/>
          <w:b w:val="0"/>
          <w:bCs w:val="0"/>
          <w:i w:val="0"/>
          <w:iCs w:val="0"/>
          <w:caps w:val="0"/>
          <w:smallCaps w:val="0"/>
          <w:noProof w:val="0"/>
          <w:color w:val="0D0D0D" w:themeColor="text1" w:themeTint="F2" w:themeShade="FF"/>
          <w:sz w:val="24"/>
          <w:szCs w:val="24"/>
          <w:lang w:val="en-US"/>
        </w:rPr>
      </w:pP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Gallagher, K. (2022) </w:t>
      </w:r>
      <w:r w:rsidRPr="408BD02F" w:rsidR="561FF0FD">
        <w:rPr>
          <w:rFonts w:ascii="Arial Nova" w:hAnsi="Arial Nova" w:eastAsia="Arial Nova" w:cs="Arial Nova"/>
          <w:b w:val="0"/>
          <w:bCs w:val="0"/>
          <w:i w:val="1"/>
          <w:iCs w:val="1"/>
          <w:caps w:val="0"/>
          <w:smallCaps w:val="0"/>
          <w:noProof w:val="0"/>
          <w:color w:val="0D0D0D" w:themeColor="text1" w:themeTint="F2" w:themeShade="FF"/>
          <w:sz w:val="24"/>
          <w:szCs w:val="24"/>
          <w:lang w:val="en-US"/>
        </w:rPr>
        <w:t xml:space="preserve">Essential study and employment skills for business and management </w:t>
      </w:r>
      <w:r w:rsidRPr="408BD02F" w:rsidR="561FF0FD">
        <w:rPr>
          <w:rFonts w:ascii="Arial Nova" w:hAnsi="Arial Nova" w:eastAsia="Arial Nova" w:cs="Arial Nova"/>
          <w:b w:val="0"/>
          <w:bCs w:val="0"/>
          <w:i w:val="1"/>
          <w:iCs w:val="1"/>
          <w:caps w:val="0"/>
          <w:smallCaps w:val="0"/>
          <w:noProof w:val="0"/>
          <w:color w:val="0D0D0D" w:themeColor="text1" w:themeTint="F2" w:themeShade="FF"/>
          <w:sz w:val="24"/>
          <w:szCs w:val="24"/>
          <w:lang w:val="en-US"/>
        </w:rPr>
        <w:t>students</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 Fourth edition. </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Oxford :</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Oxford University Press.</w:t>
      </w:r>
    </w:p>
    <w:p xmlns:wp14="http://schemas.microsoft.com/office/word/2010/wordml" w:rsidP="408BD02F" wp14:paraId="45973853" wp14:textId="0A2A8606">
      <w:pPr>
        <w:rPr>
          <w:rFonts w:ascii="Arial Nova" w:hAnsi="Arial Nova" w:eastAsia="Arial Nova" w:cs="Arial Nova"/>
          <w:b w:val="0"/>
          <w:bCs w:val="0"/>
          <w:i w:val="0"/>
          <w:iCs w:val="0"/>
          <w:caps w:val="0"/>
          <w:smallCaps w:val="0"/>
          <w:noProof w:val="0"/>
          <w:color w:val="0D0D0D" w:themeColor="text1" w:themeTint="F2" w:themeShade="FF"/>
          <w:sz w:val="24"/>
          <w:szCs w:val="24"/>
          <w:lang w:val="en-US"/>
        </w:rPr>
      </w:pP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Gibbs, G. (1988), Learning by doing: </w:t>
      </w:r>
      <w:r w:rsidRPr="408BD02F" w:rsidR="561FF0FD">
        <w:rPr>
          <w:rFonts w:ascii="Arial Nova" w:hAnsi="Arial Nova" w:eastAsia="Arial Nova" w:cs="Arial Nova"/>
          <w:b w:val="0"/>
          <w:bCs w:val="0"/>
          <w:i w:val="1"/>
          <w:iCs w:val="1"/>
          <w:caps w:val="0"/>
          <w:smallCaps w:val="0"/>
          <w:noProof w:val="0"/>
          <w:color w:val="0D0D0D" w:themeColor="text1" w:themeTint="F2" w:themeShade="FF"/>
          <w:sz w:val="24"/>
          <w:szCs w:val="24"/>
          <w:lang w:val="en-US"/>
        </w:rPr>
        <w:t>A guide to teaching and learning methods, Further Education Unit,</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 London. </w:t>
      </w:r>
    </w:p>
    <w:p xmlns:wp14="http://schemas.microsoft.com/office/word/2010/wordml" w:rsidP="408BD02F" wp14:paraId="6EC0BF2C" wp14:textId="437460DF">
      <w:pPr>
        <w:rPr>
          <w:rFonts w:ascii="Arial Nova" w:hAnsi="Arial Nova" w:eastAsia="Arial Nova" w:cs="Arial Nova"/>
          <w:b w:val="0"/>
          <w:bCs w:val="0"/>
          <w:i w:val="0"/>
          <w:iCs w:val="0"/>
          <w:caps w:val="0"/>
          <w:smallCaps w:val="0"/>
          <w:noProof w:val="0"/>
          <w:color w:val="2A2A2A"/>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Handayani, E. and Riyanto, S. 2021. Understanding the Interrelationship Between Career and Professional Development and Job Satisfaction. </w:t>
      </w:r>
      <w:r w:rsidRPr="408BD02F" w:rsidR="561FF0FD">
        <w:rPr>
          <w:rFonts w:ascii="Arial Nova" w:hAnsi="Arial Nova" w:eastAsia="Arial Nova" w:cs="Arial Nova"/>
          <w:b w:val="0"/>
          <w:bCs w:val="0"/>
          <w:i w:val="1"/>
          <w:iCs w:val="1"/>
          <w:caps w:val="0"/>
          <w:smallCaps w:val="0"/>
          <w:noProof w:val="0"/>
          <w:color w:val="000000" w:themeColor="text1" w:themeTint="FF" w:themeShade="FF"/>
          <w:sz w:val="24"/>
          <w:szCs w:val="24"/>
          <w:lang w:val="en-US"/>
        </w:rPr>
        <w:t>JURNAL MANAJEMEN BISNIS</w:t>
      </w: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8(2), pp. 276–284. Available at: </w:t>
      </w:r>
      <w:hyperlink r:id="R7a69b75888ed4bfa">
        <w:r w:rsidRPr="408BD02F" w:rsidR="561FF0FD">
          <w:rPr>
            <w:rStyle w:val="Hyperlink"/>
            <w:rFonts w:ascii="Arial Nova" w:hAnsi="Arial Nova" w:eastAsia="Arial Nova" w:cs="Arial Nova"/>
            <w:b w:val="0"/>
            <w:bCs w:val="0"/>
            <w:i w:val="0"/>
            <w:iCs w:val="0"/>
            <w:caps w:val="0"/>
            <w:smallCaps w:val="0"/>
            <w:strike w:val="0"/>
            <w:dstrike w:val="0"/>
            <w:noProof w:val="0"/>
            <w:sz w:val="24"/>
            <w:szCs w:val="24"/>
            <w:lang w:val="en-US"/>
          </w:rPr>
          <w:t>https://doi.org/10.33096/jmb.v8i2.118</w:t>
        </w:r>
      </w:hyperlink>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408BD02F" w:rsidR="561FF0FD">
        <w:rPr>
          <w:rFonts w:ascii="Arial Nova" w:hAnsi="Arial Nova" w:eastAsia="Arial Nova" w:cs="Arial Nova"/>
          <w:b w:val="0"/>
          <w:bCs w:val="0"/>
          <w:i w:val="0"/>
          <w:iCs w:val="0"/>
          <w:caps w:val="0"/>
          <w:smallCaps w:val="0"/>
          <w:noProof w:val="0"/>
          <w:color w:val="2A2A2A"/>
          <w:sz w:val="24"/>
          <w:szCs w:val="24"/>
          <w:lang w:val="en-US"/>
        </w:rPr>
        <w:t>(Accessed: 19 October 2023).</w:t>
      </w:r>
    </w:p>
    <w:p xmlns:wp14="http://schemas.microsoft.com/office/word/2010/wordml" w:rsidP="408BD02F" wp14:paraId="60959B01" wp14:textId="485A4548">
      <w:pPr>
        <w:rPr>
          <w:rFonts w:ascii="Arial Nova" w:hAnsi="Arial Nova" w:eastAsia="Arial Nova" w:cs="Arial Nova"/>
          <w:b w:val="0"/>
          <w:bCs w:val="0"/>
          <w:i w:val="0"/>
          <w:iCs w:val="0"/>
          <w:caps w:val="0"/>
          <w:smallCaps w:val="0"/>
          <w:noProof w:val="0"/>
          <w:color w:val="2A2A2A"/>
          <w:sz w:val="24"/>
          <w:szCs w:val="24"/>
          <w:lang w:val="en-US"/>
        </w:rPr>
      </w:pPr>
      <w:r w:rsidRPr="408BD02F" w:rsidR="561FF0FD">
        <w:rPr>
          <w:rFonts w:ascii="Arial" w:hAnsi="Arial" w:eastAsia="Arial" w:cs="Arial"/>
          <w:b w:val="0"/>
          <w:bCs w:val="0"/>
          <w:i w:val="0"/>
          <w:iCs w:val="0"/>
          <w:caps w:val="0"/>
          <w:smallCaps w:val="0"/>
          <w:noProof w:val="0"/>
          <w:color w:val="222222"/>
          <w:sz w:val="24"/>
          <w:szCs w:val="24"/>
          <w:lang w:val="en-US"/>
        </w:rPr>
        <w:t xml:space="preserve">Hakvoort, L., Dikken, J., Cramer-Kruit, J., Van Nieuwenhuyzen, K.M.-, Van Der Schaaf, M. and Schuurmans, M. 2022. Factors that influence continuing professional development over a nursing career: A scoping review. </w:t>
      </w:r>
      <w:r w:rsidRPr="408BD02F" w:rsidR="561FF0FD">
        <w:rPr>
          <w:rFonts w:ascii="Arial" w:hAnsi="Arial" w:eastAsia="Arial" w:cs="Arial"/>
          <w:b w:val="0"/>
          <w:bCs w:val="0"/>
          <w:i w:val="1"/>
          <w:iCs w:val="1"/>
          <w:caps w:val="0"/>
          <w:smallCaps w:val="0"/>
          <w:noProof w:val="0"/>
          <w:color w:val="222222"/>
          <w:sz w:val="24"/>
          <w:szCs w:val="24"/>
          <w:lang w:val="en-US"/>
        </w:rPr>
        <w:t>Nurse Education in Practice</w:t>
      </w:r>
      <w:r w:rsidRPr="408BD02F" w:rsidR="561FF0FD">
        <w:rPr>
          <w:rFonts w:ascii="Arial" w:hAnsi="Arial" w:eastAsia="Arial" w:cs="Arial"/>
          <w:b w:val="0"/>
          <w:bCs w:val="0"/>
          <w:i w:val="0"/>
          <w:iCs w:val="0"/>
          <w:caps w:val="0"/>
          <w:smallCaps w:val="0"/>
          <w:noProof w:val="0"/>
          <w:color w:val="222222"/>
          <w:sz w:val="24"/>
          <w:szCs w:val="24"/>
          <w:lang w:val="en-US"/>
        </w:rPr>
        <w:t xml:space="preserve"> 65, p. 103481. Available at: </w:t>
      </w:r>
      <w:hyperlink r:id="Ra344b9e13f514b49">
        <w:r w:rsidRPr="408BD02F" w:rsidR="561FF0FD">
          <w:rPr>
            <w:rStyle w:val="Hyperlink"/>
            <w:rFonts w:ascii="Arial" w:hAnsi="Arial" w:eastAsia="Arial" w:cs="Arial"/>
            <w:b w:val="0"/>
            <w:bCs w:val="0"/>
            <w:i w:val="0"/>
            <w:iCs w:val="0"/>
            <w:caps w:val="0"/>
            <w:smallCaps w:val="0"/>
            <w:strike w:val="0"/>
            <w:dstrike w:val="0"/>
            <w:noProof w:val="0"/>
            <w:sz w:val="24"/>
            <w:szCs w:val="24"/>
            <w:lang w:val="en-US"/>
          </w:rPr>
          <w:t>https://doi.org/10.1016/j.nepr.2022.103481</w:t>
        </w:r>
      </w:hyperlink>
      <w:r w:rsidRPr="408BD02F" w:rsidR="561FF0FD">
        <w:rPr>
          <w:rFonts w:ascii="Arial" w:hAnsi="Arial" w:eastAsia="Arial" w:cs="Arial"/>
          <w:b w:val="0"/>
          <w:bCs w:val="0"/>
          <w:i w:val="0"/>
          <w:iCs w:val="0"/>
          <w:caps w:val="0"/>
          <w:smallCaps w:val="0"/>
          <w:noProof w:val="0"/>
          <w:color w:val="222222"/>
          <w:sz w:val="24"/>
          <w:szCs w:val="24"/>
          <w:lang w:val="en-US"/>
        </w:rPr>
        <w:t xml:space="preserve">. </w:t>
      </w:r>
      <w:r w:rsidRPr="408BD02F" w:rsidR="561FF0FD">
        <w:rPr>
          <w:rFonts w:ascii="Arial Nova" w:hAnsi="Arial Nova" w:eastAsia="Arial Nova" w:cs="Arial Nova"/>
          <w:b w:val="0"/>
          <w:bCs w:val="0"/>
          <w:i w:val="0"/>
          <w:iCs w:val="0"/>
          <w:caps w:val="0"/>
          <w:smallCaps w:val="0"/>
          <w:noProof w:val="0"/>
          <w:color w:val="2A2A2A"/>
          <w:sz w:val="24"/>
          <w:szCs w:val="24"/>
          <w:lang w:val="en-US"/>
        </w:rPr>
        <w:t>(Accessed: 21 October 2023).</w:t>
      </w:r>
    </w:p>
    <w:p xmlns:wp14="http://schemas.microsoft.com/office/word/2010/wordml" w:rsidP="408BD02F" wp14:paraId="01F08326" wp14:textId="1A6A8A31">
      <w:pPr>
        <w:rPr>
          <w:rFonts w:ascii="Arial Nova" w:hAnsi="Arial Nova" w:eastAsia="Arial Nova" w:cs="Arial Nova"/>
          <w:b w:val="0"/>
          <w:bCs w:val="0"/>
          <w:i w:val="0"/>
          <w:iCs w:val="0"/>
          <w:caps w:val="0"/>
          <w:smallCaps w:val="0"/>
          <w:noProof w:val="0"/>
          <w:color w:val="2A2A2A"/>
          <w:sz w:val="24"/>
          <w:szCs w:val="24"/>
          <w:lang w:val="en-US"/>
        </w:rPr>
      </w:pPr>
      <w:r w:rsidRPr="408BD02F" w:rsidR="561FF0FD">
        <w:rPr>
          <w:rFonts w:ascii="Arial Nova" w:hAnsi="Arial Nova" w:eastAsia="Arial Nova" w:cs="Arial Nova"/>
          <w:b w:val="0"/>
          <w:bCs w:val="0"/>
          <w:i w:val="0"/>
          <w:iCs w:val="0"/>
          <w:caps w:val="0"/>
          <w:smallCaps w:val="0"/>
          <w:noProof w:val="0"/>
          <w:color w:val="2A2A2A"/>
          <w:sz w:val="24"/>
          <w:szCs w:val="24"/>
          <w:lang w:val="en-US"/>
        </w:rPr>
        <w:t xml:space="preserve">Mchunu, P.J. and Durban University of Technology (2020) </w:t>
      </w:r>
      <w:r w:rsidRPr="408BD02F" w:rsidR="561FF0FD">
        <w:rPr>
          <w:rFonts w:ascii="Arial Nova" w:hAnsi="Arial Nova" w:eastAsia="Arial Nova" w:cs="Arial Nova"/>
          <w:b w:val="0"/>
          <w:bCs w:val="0"/>
          <w:i w:val="1"/>
          <w:iCs w:val="1"/>
          <w:caps w:val="0"/>
          <w:smallCaps w:val="0"/>
          <w:noProof w:val="0"/>
          <w:color w:val="2A2A2A"/>
          <w:sz w:val="24"/>
          <w:szCs w:val="24"/>
          <w:lang w:val="en-US"/>
        </w:rPr>
        <w:t>Students’ reflections on collaborated project-based learning in the Department of Ecotourism</w:t>
      </w:r>
      <w:r w:rsidRPr="408BD02F" w:rsidR="561FF0FD">
        <w:rPr>
          <w:rFonts w:ascii="Arial Nova" w:hAnsi="Arial Nova" w:eastAsia="Arial Nova" w:cs="Arial Nova"/>
          <w:b w:val="0"/>
          <w:bCs w:val="0"/>
          <w:i w:val="0"/>
          <w:iCs w:val="0"/>
          <w:caps w:val="0"/>
          <w:smallCaps w:val="0"/>
          <w:noProof w:val="0"/>
          <w:color w:val="2A2A2A"/>
          <w:sz w:val="24"/>
          <w:szCs w:val="24"/>
          <w:lang w:val="en-US"/>
        </w:rPr>
        <w:t xml:space="preserve">. Available at: </w:t>
      </w:r>
      <w:hyperlink r:id="R10332666c4384995">
        <w:r w:rsidRPr="408BD02F" w:rsidR="561FF0FD">
          <w:rPr>
            <w:rStyle w:val="Hyperlink"/>
            <w:rFonts w:ascii="Arial Nova" w:hAnsi="Arial Nova" w:eastAsia="Arial Nova" w:cs="Arial Nova"/>
            <w:b w:val="0"/>
            <w:bCs w:val="0"/>
            <w:i w:val="0"/>
            <w:iCs w:val="0"/>
            <w:caps w:val="0"/>
            <w:smallCaps w:val="0"/>
            <w:strike w:val="0"/>
            <w:dstrike w:val="0"/>
            <w:noProof w:val="0"/>
            <w:sz w:val="24"/>
            <w:szCs w:val="24"/>
            <w:lang w:val="en-US"/>
          </w:rPr>
          <w:t>https://www.ajhtl.com/uploads/7/1/6/3/7163688/article_41_vol_9_1__2020_dut.pdf</w:t>
        </w:r>
      </w:hyperlink>
      <w:r w:rsidRPr="408BD02F" w:rsidR="561FF0FD">
        <w:rPr>
          <w:rFonts w:ascii="Arial Nova" w:hAnsi="Arial Nova" w:eastAsia="Arial Nova" w:cs="Arial Nova"/>
          <w:b w:val="0"/>
          <w:bCs w:val="0"/>
          <w:i w:val="0"/>
          <w:iCs w:val="0"/>
          <w:caps w:val="0"/>
          <w:smallCaps w:val="0"/>
          <w:noProof w:val="0"/>
          <w:color w:val="2A2A2A"/>
          <w:sz w:val="24"/>
          <w:szCs w:val="24"/>
          <w:lang w:val="en-US"/>
        </w:rPr>
        <w:t xml:space="preserve">  (Accessed: 20 October 2023).</w:t>
      </w:r>
    </w:p>
    <w:p xmlns:wp14="http://schemas.microsoft.com/office/word/2010/wordml" w:rsidP="408BD02F" wp14:paraId="012F7409" wp14:textId="136BB7F8">
      <w:pPr>
        <w:rPr>
          <w:rFonts w:ascii="Arial Nova" w:hAnsi="Arial Nova" w:eastAsia="Arial Nova" w:cs="Arial Nova"/>
          <w:b w:val="0"/>
          <w:bCs w:val="0"/>
          <w:i w:val="0"/>
          <w:iCs w:val="0"/>
          <w:caps w:val="0"/>
          <w:smallCaps w:val="0"/>
          <w:noProof w:val="0"/>
          <w:color w:val="2A2A2A"/>
          <w:sz w:val="24"/>
          <w:szCs w:val="24"/>
          <w:lang w:val="en-US"/>
        </w:rPr>
      </w:pPr>
      <w:r w:rsidRPr="408BD02F" w:rsidR="561FF0FD">
        <w:rPr>
          <w:rFonts w:ascii="Arial Nova" w:hAnsi="Arial Nova" w:eastAsia="Arial Nova" w:cs="Arial Nova"/>
          <w:b w:val="0"/>
          <w:bCs w:val="0"/>
          <w:i w:val="0"/>
          <w:iCs w:val="0"/>
          <w:caps w:val="0"/>
          <w:smallCaps w:val="0"/>
          <w:noProof w:val="0"/>
          <w:color w:val="2A2A2A"/>
          <w:sz w:val="24"/>
          <w:szCs w:val="24"/>
          <w:lang w:val="en-US"/>
        </w:rPr>
        <w:t xml:space="preserve">Noltemeyer, A., James, A.G., Bush, K., Bergen, D., Barrios, V. and Patton, J. 2020. The Relationship between Deficiency Needs and Growth Needs: The Continuing Investigation of Maslow’s Theory. Child &amp; Youth Services 42(1), pp. 24–42. Available at: </w:t>
      </w:r>
      <w:hyperlink r:id="R20c407c76f6c4032">
        <w:r w:rsidRPr="408BD02F" w:rsidR="561FF0FD">
          <w:rPr>
            <w:rStyle w:val="Hyperlink"/>
            <w:rFonts w:ascii="Arial Nova" w:hAnsi="Arial Nova" w:eastAsia="Arial Nova" w:cs="Arial Nova"/>
            <w:b w:val="0"/>
            <w:bCs w:val="0"/>
            <w:i w:val="0"/>
            <w:iCs w:val="0"/>
            <w:caps w:val="0"/>
            <w:smallCaps w:val="0"/>
            <w:strike w:val="0"/>
            <w:dstrike w:val="0"/>
            <w:noProof w:val="0"/>
            <w:sz w:val="24"/>
            <w:szCs w:val="24"/>
            <w:lang w:val="en-US"/>
          </w:rPr>
          <w:t>https://doi.org/10.1080/0145935x.2020.1818558</w:t>
        </w:r>
      </w:hyperlink>
      <w:r w:rsidRPr="408BD02F" w:rsidR="561FF0FD">
        <w:rPr>
          <w:rFonts w:ascii="Arial Nova" w:hAnsi="Arial Nova" w:eastAsia="Arial Nova" w:cs="Arial Nova"/>
          <w:b w:val="0"/>
          <w:bCs w:val="0"/>
          <w:i w:val="0"/>
          <w:iCs w:val="0"/>
          <w:caps w:val="0"/>
          <w:smallCaps w:val="0"/>
          <w:noProof w:val="0"/>
          <w:color w:val="2A2A2A"/>
          <w:sz w:val="24"/>
          <w:szCs w:val="24"/>
          <w:lang w:val="en-US"/>
        </w:rPr>
        <w:t>. (Accessed: 24 October 2023)</w:t>
      </w:r>
    </w:p>
    <w:p xmlns:wp14="http://schemas.microsoft.com/office/word/2010/wordml" w:rsidP="408BD02F" wp14:paraId="58F52A01" wp14:textId="36724FFB">
      <w:pPr>
        <w:rPr>
          <w:rFonts w:ascii="Arial Nova" w:hAnsi="Arial Nova" w:eastAsia="Arial Nova" w:cs="Arial Nova"/>
          <w:b w:val="0"/>
          <w:bCs w:val="0"/>
          <w:i w:val="0"/>
          <w:iCs w:val="0"/>
          <w:caps w:val="0"/>
          <w:smallCaps w:val="0"/>
          <w:noProof w:val="0"/>
          <w:color w:val="0D0D0D" w:themeColor="text1" w:themeTint="F2" w:themeShade="FF"/>
          <w:sz w:val="24"/>
          <w:szCs w:val="24"/>
          <w:lang w:val="en-US"/>
        </w:rPr>
      </w:pP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Puyt, R.W., Lie, F.B. and Wilderom, C.P.M. 2023. </w:t>
      </w:r>
      <w:r w:rsidRPr="408BD02F" w:rsidR="561FF0FD">
        <w:rPr>
          <w:rFonts w:ascii="Arial Nova" w:hAnsi="Arial Nova" w:eastAsia="Arial Nova" w:cs="Arial Nova"/>
          <w:b w:val="0"/>
          <w:bCs w:val="0"/>
          <w:i w:val="1"/>
          <w:iCs w:val="1"/>
          <w:caps w:val="0"/>
          <w:smallCaps w:val="0"/>
          <w:noProof w:val="0"/>
          <w:color w:val="0D0D0D" w:themeColor="text1" w:themeTint="F2" w:themeShade="FF"/>
          <w:sz w:val="24"/>
          <w:szCs w:val="24"/>
          <w:lang w:val="en-US"/>
        </w:rPr>
        <w:t>The origins of SWOT analysis. Long Range Planning</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 56(3), p. 102304. Available at: </w:t>
      </w:r>
      <w:hyperlink r:id="R24c3d000baea4914">
        <w:r w:rsidRPr="408BD02F" w:rsidR="561FF0FD">
          <w:rPr>
            <w:rStyle w:val="Hyperlink"/>
            <w:rFonts w:ascii="Arial Nova" w:hAnsi="Arial Nova" w:eastAsia="Arial Nova" w:cs="Arial Nova"/>
            <w:b w:val="0"/>
            <w:bCs w:val="0"/>
            <w:i w:val="0"/>
            <w:iCs w:val="0"/>
            <w:caps w:val="0"/>
            <w:smallCaps w:val="0"/>
            <w:strike w:val="0"/>
            <w:dstrike w:val="0"/>
            <w:noProof w:val="0"/>
            <w:sz w:val="24"/>
            <w:szCs w:val="24"/>
            <w:lang w:val="en-US"/>
          </w:rPr>
          <w:t>https://doi.org/10.1016/j.lrp.2023.102304</w:t>
        </w:r>
      </w:hyperlink>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 </w:t>
      </w:r>
      <w:r w:rsidRPr="408BD02F" w:rsidR="561FF0FD">
        <w:rPr>
          <w:rFonts w:ascii="Arial Nova" w:hAnsi="Arial Nova" w:eastAsia="Arial Nova" w:cs="Arial Nova"/>
          <w:b w:val="0"/>
          <w:bCs w:val="0"/>
          <w:i w:val="0"/>
          <w:iCs w:val="0"/>
          <w:caps w:val="0"/>
          <w:smallCaps w:val="0"/>
          <w:noProof w:val="0"/>
          <w:color w:val="2A2A2A"/>
          <w:sz w:val="24"/>
          <w:szCs w:val="24"/>
          <w:lang w:val="en-US"/>
        </w:rPr>
        <w:t>(Accessed: 18 October 2023).</w:t>
      </w:r>
      <w:r w:rsidRPr="408BD02F" w:rsidR="561FF0FD">
        <w:rPr>
          <w:rFonts w:ascii="Arial Nova" w:hAnsi="Arial Nova" w:eastAsia="Arial Nova" w:cs="Arial Nova"/>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08BD02F" wp14:paraId="7048D611" wp14:textId="6A85EC6D">
      <w:pPr>
        <w:rPr>
          <w:rFonts w:ascii="Arial Nova" w:hAnsi="Arial Nova" w:eastAsia="Arial Nova" w:cs="Arial Nova"/>
          <w:b w:val="0"/>
          <w:bCs w:val="0"/>
          <w:i w:val="0"/>
          <w:iCs w:val="0"/>
          <w:caps w:val="0"/>
          <w:smallCaps w:val="0"/>
          <w:noProof w:val="0"/>
          <w:color w:val="2A2A2A"/>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Schmidt, J.M., Porter, J.T., Rivera-Amill, V. and Appleyard, C.B. 2023. </w:t>
      </w:r>
      <w:r w:rsidRPr="408BD02F" w:rsidR="561FF0F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Promoting crucial team building, collaboration, and communication skills in graduate students through interactive retreats. AJP Advances in Physiology Education </w:t>
      </w: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47(4), pp. 919–929. Available at: </w:t>
      </w:r>
      <w:hyperlink r:id="R39cdbdbfc9e94e5d">
        <w:r w:rsidRPr="408BD02F" w:rsidR="561FF0FD">
          <w:rPr>
            <w:rStyle w:val="Hyperlink"/>
            <w:rFonts w:ascii="Arial Nova" w:hAnsi="Arial Nova" w:eastAsia="Arial Nova" w:cs="Arial Nova"/>
            <w:b w:val="0"/>
            <w:bCs w:val="0"/>
            <w:i w:val="0"/>
            <w:iCs w:val="0"/>
            <w:caps w:val="0"/>
            <w:smallCaps w:val="0"/>
            <w:strike w:val="0"/>
            <w:dstrike w:val="0"/>
            <w:noProof w:val="0"/>
            <w:sz w:val="24"/>
            <w:szCs w:val="24"/>
            <w:lang w:val="en-US"/>
          </w:rPr>
          <w:t>https://doi.org/10.1152/advan.00125.2023</w:t>
        </w:r>
      </w:hyperlink>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408BD02F" w:rsidR="561FF0FD">
        <w:rPr>
          <w:rFonts w:ascii="Arial Nova" w:hAnsi="Arial Nova" w:eastAsia="Arial Nova" w:cs="Arial Nova"/>
          <w:b w:val="0"/>
          <w:bCs w:val="0"/>
          <w:i w:val="0"/>
          <w:iCs w:val="0"/>
          <w:caps w:val="0"/>
          <w:smallCaps w:val="0"/>
          <w:noProof w:val="0"/>
          <w:color w:val="2A2A2A"/>
          <w:sz w:val="24"/>
          <w:szCs w:val="24"/>
          <w:lang w:val="en-US"/>
        </w:rPr>
        <w:t>(Accessed: 18 October 2023).</w:t>
      </w:r>
    </w:p>
    <w:p xmlns:wp14="http://schemas.microsoft.com/office/word/2010/wordml" w:rsidP="408BD02F" wp14:paraId="38596C93" wp14:textId="250459D6">
      <w:pPr>
        <w:rPr>
          <w:rFonts w:ascii="Arial Nova" w:hAnsi="Arial Nova" w:eastAsia="Arial Nova" w:cs="Arial Nova"/>
          <w:b w:val="0"/>
          <w:bCs w:val="0"/>
          <w:i w:val="0"/>
          <w:iCs w:val="0"/>
          <w:caps w:val="0"/>
          <w:smallCaps w:val="0"/>
          <w:noProof w:val="0"/>
          <w:color w:val="2A2A2A"/>
          <w:sz w:val="24"/>
          <w:szCs w:val="24"/>
          <w:lang w:val="en-US"/>
        </w:rPr>
      </w:pPr>
      <w:r w:rsidRPr="408BD02F" w:rsidR="561FF0FD">
        <w:rPr>
          <w:rFonts w:ascii="Arial Nova" w:hAnsi="Arial Nova" w:eastAsia="Arial Nova" w:cs="Arial Nova"/>
          <w:b w:val="0"/>
          <w:bCs w:val="0"/>
          <w:i w:val="0"/>
          <w:iCs w:val="0"/>
          <w:caps w:val="0"/>
          <w:smallCaps w:val="0"/>
          <w:noProof w:val="0"/>
          <w:color w:val="2A2A2A"/>
          <w:sz w:val="24"/>
          <w:szCs w:val="24"/>
          <w:lang w:val="en-US"/>
        </w:rPr>
        <w:t xml:space="preserve">Sicora, A. (2010). Figure 2. Gibbs reflective cycle (Gibbs, 1988). [online] ResearchGate. Available at: </w:t>
      </w:r>
      <w:hyperlink r:id="R7abc0bc61ba24a3a">
        <w:r w:rsidRPr="408BD02F" w:rsidR="561FF0FD">
          <w:rPr>
            <w:rStyle w:val="Hyperlink"/>
            <w:rFonts w:ascii="Arial Nova" w:hAnsi="Arial Nova" w:eastAsia="Arial Nova" w:cs="Arial Nova"/>
            <w:b w:val="0"/>
            <w:bCs w:val="0"/>
            <w:i w:val="0"/>
            <w:iCs w:val="0"/>
            <w:caps w:val="0"/>
            <w:smallCaps w:val="0"/>
            <w:strike w:val="0"/>
            <w:dstrike w:val="0"/>
            <w:noProof w:val="0"/>
            <w:sz w:val="24"/>
            <w:szCs w:val="24"/>
            <w:lang w:val="en-US"/>
          </w:rPr>
          <w:t>https://www.researchgate.net/figure/Gibbs-reflective-cycle-Gibbs-1988_fig1_281318373</w:t>
        </w:r>
      </w:hyperlink>
      <w:r w:rsidRPr="408BD02F" w:rsidR="561FF0FD">
        <w:rPr>
          <w:rFonts w:ascii="Arial Nova" w:hAnsi="Arial Nova" w:eastAsia="Arial Nova" w:cs="Arial Nova"/>
          <w:b w:val="0"/>
          <w:bCs w:val="0"/>
          <w:i w:val="0"/>
          <w:iCs w:val="0"/>
          <w:caps w:val="0"/>
          <w:smallCaps w:val="0"/>
          <w:noProof w:val="0"/>
          <w:color w:val="2A2A2A"/>
          <w:sz w:val="24"/>
          <w:szCs w:val="24"/>
          <w:lang w:val="en-US"/>
        </w:rPr>
        <w:t>. (Accessed: 24 October 2023).</w:t>
      </w:r>
    </w:p>
    <w:p xmlns:wp14="http://schemas.microsoft.com/office/word/2010/wordml" w:rsidP="408BD02F" wp14:paraId="77F42415" wp14:textId="3F2E5491">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Subject Guides: Academic writing: a practical guide:</w:t>
      </w:r>
      <w:r w:rsidRPr="408BD02F" w:rsidR="561FF0FD">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Reflective writing</w:t>
      </w:r>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(2024). Available at: </w:t>
      </w:r>
      <w:hyperlink r:id="Rd267c29d80954f27">
        <w:r w:rsidRPr="408BD02F" w:rsidR="561FF0FD">
          <w:rPr>
            <w:rStyle w:val="Hyperlink"/>
            <w:rFonts w:ascii="Arial Nova" w:hAnsi="Arial Nova" w:eastAsia="Arial Nova" w:cs="Arial Nova"/>
            <w:b w:val="0"/>
            <w:bCs w:val="0"/>
            <w:i w:val="0"/>
            <w:iCs w:val="0"/>
            <w:caps w:val="0"/>
            <w:smallCaps w:val="0"/>
            <w:strike w:val="0"/>
            <w:dstrike w:val="0"/>
            <w:noProof w:val="0"/>
            <w:sz w:val="24"/>
            <w:szCs w:val="24"/>
            <w:lang w:val="en-US"/>
          </w:rPr>
          <w:t>https://subjectguides.york.ac.uk/academic-writing/reflective</w:t>
        </w:r>
      </w:hyperlink>
      <w:r w:rsidRPr="408BD02F" w:rsidR="561FF0FD">
        <w:rPr>
          <w:rFonts w:ascii="Arial Nova" w:hAnsi="Arial Nova" w:eastAsia="Arial Nova" w:cs="Arial Nova"/>
          <w:b w:val="0"/>
          <w:bCs w:val="0"/>
          <w:i w:val="0"/>
          <w:iCs w:val="0"/>
          <w:caps w:val="0"/>
          <w:smallCaps w:val="0"/>
          <w:noProof w:val="0"/>
          <w:color w:val="000000" w:themeColor="text1" w:themeTint="FF" w:themeShade="FF"/>
          <w:sz w:val="24"/>
          <w:szCs w:val="24"/>
          <w:lang w:val="en-US"/>
        </w:rPr>
        <w:t>.(Acces date 23/10/2024)</w:t>
      </w:r>
    </w:p>
    <w:p xmlns:wp14="http://schemas.microsoft.com/office/word/2010/wordml" w:rsidP="408BD02F" wp14:paraId="5A60E932" wp14:textId="60853C42">
      <w:pPr>
        <w:spacing w:after="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408BD02F" wp14:paraId="2C078E63" wp14:textId="3BF27134">
      <w:pPr>
        <w:pStyle w:val="Normal"/>
        <w:spacing w:after="0" w:line="480" w:lineRule="auto"/>
        <w:rPr>
          <w:rFonts w:ascii="Arial Nova" w:hAnsi="Arial Nova" w:eastAsia="Arial Nova" w:cs="Arial Nova"/>
          <w:b w:val="0"/>
          <w:bCs w:val="0"/>
          <w:i w:val="0"/>
          <w:iCs w:val="0"/>
          <w:caps w:val="0"/>
          <w:smallCaps w:val="0"/>
          <w:noProof w:val="0"/>
          <w:color w:val="2A2A2A"/>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389D89"/>
    <w:rsid w:val="05F00FFD"/>
    <w:rsid w:val="1F676A78"/>
    <w:rsid w:val="25833581"/>
    <w:rsid w:val="370BDD24"/>
    <w:rsid w:val="408BD02F"/>
    <w:rsid w:val="561FF0FD"/>
    <w:rsid w:val="64389D89"/>
    <w:rsid w:val="70B73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89D89"/>
  <w15:chartTrackingRefBased/>
  <w15:docId w15:val="{A293267B-3BF5-4AB6-89C7-97582F600A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8363448114a4390" /><Relationship Type="http://schemas.openxmlformats.org/officeDocument/2006/relationships/hyperlink" Target="https://pdfs.semanticscholar.org/1ce6/a88073a1fedd93547b395c7b1898970736ad.pdf?_gl=1*tut8zr*_ga*NDAzNjE4MjY3LjE2ODkwNjE1NDY.*_ga_H7P4ZT52H5*MTY4OTkyNjM2Ny4yLjEuMTY4OTkyNjQwMi4yNS4wLjA" TargetMode="External" Id="R2464081775634fe5" /><Relationship Type="http://schemas.openxmlformats.org/officeDocument/2006/relationships/hyperlink" Target="https://doi.org/10.33096/jmb.v8i2.118" TargetMode="External" Id="R7a69b75888ed4bfa" /><Relationship Type="http://schemas.openxmlformats.org/officeDocument/2006/relationships/hyperlink" Target="https://doi.org/10.1016/j.nepr.2022.103481" TargetMode="External" Id="Ra344b9e13f514b49" /><Relationship Type="http://schemas.openxmlformats.org/officeDocument/2006/relationships/hyperlink" Target="https://www.ajhtl.com/uploads/7/1/6/3/7163688/article_41_vol_9_1__2020_dut.pdf" TargetMode="External" Id="R10332666c4384995" /><Relationship Type="http://schemas.openxmlformats.org/officeDocument/2006/relationships/hyperlink" Target="https://doi.org/10.1080/0145935x.2020.1818558" TargetMode="External" Id="R20c407c76f6c4032" /><Relationship Type="http://schemas.openxmlformats.org/officeDocument/2006/relationships/hyperlink" Target="https://doi.org/10.1016/j.lrp.2023.102304" TargetMode="External" Id="R24c3d000baea4914" /><Relationship Type="http://schemas.openxmlformats.org/officeDocument/2006/relationships/hyperlink" Target="https://doi.org/10.1152/advan.00125.2023" TargetMode="External" Id="R39cdbdbfc9e94e5d" /><Relationship Type="http://schemas.openxmlformats.org/officeDocument/2006/relationships/hyperlink" Target="https://www.researchgate.net/figure/Gibbs-reflective-cycle-Gibbs-1988_fig1_281318373" TargetMode="External" Id="R7abc0bc61ba24a3a" /><Relationship Type="http://schemas.openxmlformats.org/officeDocument/2006/relationships/hyperlink" Target="https://subjectguides.york.ac.uk/academic-writing/reflective" TargetMode="External" Id="Rd267c29d80954f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2024-10-25T13:22:50.6211515Z</dcterms:created>
  <dcterms:modified xsi:type="dcterms:W3CDTF">2024-10-25T13:26:13.1985566Z</dcterms:modified>
  <dc:creator>Alexandra-Maria Zara (2329733)</dc:creator>
  <lastModifiedBy>Alexandra-Maria Zara (2329733)</lastModifiedBy>
</coreProperties>
</file>