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7948B" w14:textId="77777777" w:rsidR="00C12EE6" w:rsidRPr="00C12EE6" w:rsidRDefault="00C12EE6" w:rsidP="00C12EE6">
      <w:pPr>
        <w:jc w:val="center"/>
        <w:rPr>
          <w:rFonts w:ascii="Times New Roman" w:hAnsi="Times New Roman" w:cs="Times New Roman"/>
          <w:b/>
          <w:bCs/>
          <w:color w:val="000000"/>
          <w:sz w:val="40"/>
          <w:szCs w:val="40"/>
          <w:lang w:val="en-GB"/>
        </w:rPr>
      </w:pPr>
    </w:p>
    <w:p w14:paraId="1157C29C" w14:textId="77777777" w:rsidR="00C12EE6" w:rsidRPr="00C12EE6" w:rsidRDefault="00C12EE6" w:rsidP="00C12EE6">
      <w:pPr>
        <w:jc w:val="center"/>
        <w:rPr>
          <w:rFonts w:ascii="Times New Roman" w:hAnsi="Times New Roman" w:cs="Times New Roman"/>
          <w:b/>
          <w:bCs/>
          <w:color w:val="000000"/>
          <w:sz w:val="40"/>
          <w:szCs w:val="40"/>
          <w:lang w:val="en-GB"/>
        </w:rPr>
      </w:pPr>
    </w:p>
    <w:p w14:paraId="7BF02F50" w14:textId="77777777" w:rsidR="00C12EE6" w:rsidRPr="00C12EE6" w:rsidRDefault="00C12EE6" w:rsidP="00C12EE6">
      <w:pPr>
        <w:jc w:val="center"/>
        <w:rPr>
          <w:rFonts w:ascii="Times New Roman" w:hAnsi="Times New Roman" w:cs="Times New Roman"/>
          <w:b/>
          <w:bCs/>
          <w:color w:val="000000"/>
          <w:sz w:val="40"/>
          <w:szCs w:val="40"/>
          <w:lang w:val="en-GB"/>
        </w:rPr>
      </w:pPr>
    </w:p>
    <w:p w14:paraId="5BD2D485" w14:textId="77777777" w:rsidR="00C12EE6" w:rsidRPr="00C12EE6" w:rsidRDefault="00C12EE6" w:rsidP="00C12EE6">
      <w:pPr>
        <w:jc w:val="center"/>
        <w:rPr>
          <w:rFonts w:ascii="Times New Roman" w:hAnsi="Times New Roman" w:cs="Times New Roman"/>
          <w:b/>
          <w:bCs/>
          <w:color w:val="000000"/>
          <w:sz w:val="40"/>
          <w:szCs w:val="40"/>
          <w:lang w:val="en-GB"/>
        </w:rPr>
      </w:pPr>
    </w:p>
    <w:p w14:paraId="3E141393" w14:textId="77777777" w:rsidR="00C12EE6" w:rsidRPr="00C12EE6" w:rsidRDefault="00C12EE6" w:rsidP="00C12EE6">
      <w:pPr>
        <w:jc w:val="center"/>
        <w:rPr>
          <w:rFonts w:ascii="Times New Roman" w:hAnsi="Times New Roman" w:cs="Times New Roman"/>
          <w:b/>
          <w:bCs/>
          <w:color w:val="000000"/>
          <w:sz w:val="40"/>
          <w:szCs w:val="40"/>
          <w:lang w:val="en-GB"/>
        </w:rPr>
      </w:pPr>
    </w:p>
    <w:p w14:paraId="61959CD2" w14:textId="77777777" w:rsidR="00C12EE6" w:rsidRPr="00C12EE6" w:rsidRDefault="00C12EE6" w:rsidP="00C12EE6">
      <w:pPr>
        <w:jc w:val="center"/>
        <w:rPr>
          <w:rFonts w:ascii="Times New Roman" w:hAnsi="Times New Roman" w:cs="Times New Roman"/>
          <w:b/>
          <w:bCs/>
          <w:color w:val="000000"/>
          <w:sz w:val="40"/>
          <w:szCs w:val="40"/>
          <w:lang w:val="en-GB"/>
        </w:rPr>
      </w:pPr>
    </w:p>
    <w:p w14:paraId="09F4705F" w14:textId="77777777" w:rsidR="00C12EE6" w:rsidRPr="00C12EE6" w:rsidRDefault="00C12EE6" w:rsidP="00C12EE6">
      <w:pPr>
        <w:jc w:val="center"/>
        <w:rPr>
          <w:rFonts w:ascii="Times New Roman" w:hAnsi="Times New Roman" w:cs="Times New Roman"/>
          <w:b/>
          <w:bCs/>
          <w:color w:val="000000"/>
          <w:sz w:val="40"/>
          <w:szCs w:val="40"/>
          <w:lang w:val="en-GB"/>
        </w:rPr>
      </w:pPr>
    </w:p>
    <w:p w14:paraId="4D5EC412" w14:textId="77777777" w:rsidR="00C12EE6" w:rsidRPr="00C12EE6" w:rsidRDefault="00C12EE6" w:rsidP="00C12EE6">
      <w:pPr>
        <w:jc w:val="center"/>
        <w:rPr>
          <w:rFonts w:ascii="Times New Roman" w:hAnsi="Times New Roman" w:cs="Times New Roman"/>
          <w:b/>
          <w:bCs/>
          <w:color w:val="000000"/>
          <w:sz w:val="40"/>
          <w:szCs w:val="40"/>
          <w:lang w:val="en-GB"/>
        </w:rPr>
      </w:pPr>
    </w:p>
    <w:p w14:paraId="30744893" w14:textId="77777777" w:rsidR="00C12EE6" w:rsidRPr="00C12EE6" w:rsidRDefault="00C12EE6" w:rsidP="00C12EE6">
      <w:pPr>
        <w:jc w:val="center"/>
        <w:rPr>
          <w:rFonts w:ascii="Times New Roman" w:hAnsi="Times New Roman" w:cs="Times New Roman"/>
          <w:b/>
          <w:bCs/>
          <w:color w:val="000000"/>
          <w:sz w:val="40"/>
          <w:szCs w:val="40"/>
          <w:lang w:val="en-GB"/>
        </w:rPr>
      </w:pPr>
    </w:p>
    <w:p w14:paraId="3E57BB52" w14:textId="77777777" w:rsidR="00C12EE6" w:rsidRPr="00C12EE6" w:rsidRDefault="00C12EE6" w:rsidP="00C12EE6">
      <w:pPr>
        <w:jc w:val="center"/>
        <w:rPr>
          <w:rFonts w:ascii="Times New Roman" w:hAnsi="Times New Roman" w:cs="Times New Roman"/>
          <w:b/>
          <w:bCs/>
          <w:color w:val="000000"/>
          <w:sz w:val="40"/>
          <w:szCs w:val="40"/>
          <w:lang w:val="en-GB"/>
        </w:rPr>
      </w:pPr>
    </w:p>
    <w:p w14:paraId="699D90DA" w14:textId="77777777" w:rsidR="00C12EE6" w:rsidRPr="00C12EE6" w:rsidRDefault="00C12EE6" w:rsidP="00C12EE6">
      <w:pPr>
        <w:jc w:val="center"/>
        <w:rPr>
          <w:rFonts w:ascii="Times New Roman" w:hAnsi="Times New Roman" w:cs="Times New Roman"/>
          <w:b/>
          <w:bCs/>
          <w:color w:val="000000"/>
          <w:sz w:val="40"/>
          <w:szCs w:val="40"/>
          <w:lang w:val="en-GB"/>
        </w:rPr>
      </w:pPr>
    </w:p>
    <w:p w14:paraId="6D5E404D" w14:textId="77777777" w:rsidR="00C12EE6" w:rsidRPr="00C12EE6" w:rsidRDefault="00C12EE6" w:rsidP="00C12EE6">
      <w:pPr>
        <w:jc w:val="center"/>
        <w:rPr>
          <w:rFonts w:ascii="Times New Roman" w:hAnsi="Times New Roman" w:cs="Times New Roman"/>
          <w:b/>
          <w:bCs/>
          <w:color w:val="000000"/>
          <w:sz w:val="40"/>
          <w:szCs w:val="40"/>
          <w:lang w:val="en-GB"/>
        </w:rPr>
      </w:pPr>
    </w:p>
    <w:p w14:paraId="157FCB0D" w14:textId="5CCADBC7" w:rsidR="00C12EE6" w:rsidRPr="00C12EE6" w:rsidRDefault="00C12EE6" w:rsidP="00C12EE6">
      <w:pPr>
        <w:jc w:val="center"/>
        <w:rPr>
          <w:rFonts w:ascii="Times New Roman" w:eastAsia="Times New Roman" w:hAnsi="Times New Roman" w:cs="Times New Roman"/>
          <w:b/>
          <w:bCs/>
          <w:color w:val="000000"/>
          <w:kern w:val="0"/>
          <w:sz w:val="40"/>
          <w:szCs w:val="40"/>
          <w:lang w:val="en-GB" w:eastAsia="en-IN"/>
          <w14:ligatures w14:val="none"/>
        </w:rPr>
      </w:pPr>
      <w:r w:rsidRPr="00C12EE6">
        <w:rPr>
          <w:rFonts w:ascii="Times New Roman" w:hAnsi="Times New Roman" w:cs="Times New Roman"/>
          <w:b/>
          <w:bCs/>
          <w:color w:val="000000"/>
          <w:sz w:val="40"/>
          <w:szCs w:val="40"/>
          <w:lang w:val="en-GB"/>
        </w:rPr>
        <w:t>Report</w:t>
      </w:r>
      <w:r w:rsidRPr="00C12EE6">
        <w:rPr>
          <w:rFonts w:ascii="Times New Roman" w:hAnsi="Times New Roman" w:cs="Times New Roman"/>
          <w:b/>
          <w:bCs/>
          <w:color w:val="000000"/>
          <w:sz w:val="40"/>
          <w:szCs w:val="40"/>
          <w:lang w:val="en-GB"/>
        </w:rPr>
        <w:br w:type="page"/>
      </w:r>
    </w:p>
    <w:sdt>
      <w:sdtPr>
        <w:rPr>
          <w:rFonts w:asciiTheme="minorHAnsi" w:eastAsiaTheme="minorHAnsi" w:hAnsiTheme="minorHAnsi" w:cstheme="minorBidi"/>
          <w:color w:val="auto"/>
          <w:kern w:val="2"/>
          <w:sz w:val="22"/>
          <w:szCs w:val="22"/>
          <w:lang w:val="en-GB"/>
          <w14:ligatures w14:val="standardContextual"/>
        </w:rPr>
        <w:id w:val="1843040534"/>
        <w:docPartObj>
          <w:docPartGallery w:val="Table of Contents"/>
          <w:docPartUnique/>
        </w:docPartObj>
      </w:sdtPr>
      <w:sdtEndPr>
        <w:rPr>
          <w:b/>
          <w:bCs/>
          <w:noProof/>
        </w:rPr>
      </w:sdtEndPr>
      <w:sdtContent>
        <w:p w14:paraId="04830A6E" w14:textId="17A8846F" w:rsidR="00C12EE6" w:rsidRPr="00C12EE6" w:rsidRDefault="00C12EE6" w:rsidP="00C12EE6">
          <w:pPr>
            <w:pStyle w:val="TOCHeading"/>
            <w:spacing w:line="360" w:lineRule="auto"/>
            <w:jc w:val="center"/>
            <w:rPr>
              <w:rFonts w:ascii="Times New Roman" w:hAnsi="Times New Roman" w:cs="Times New Roman"/>
              <w:b/>
              <w:bCs/>
              <w:color w:val="auto"/>
              <w:sz w:val="28"/>
              <w:szCs w:val="28"/>
              <w:lang w:val="en-GB"/>
            </w:rPr>
          </w:pPr>
          <w:r w:rsidRPr="00C12EE6">
            <w:rPr>
              <w:rFonts w:ascii="Times New Roman" w:hAnsi="Times New Roman" w:cs="Times New Roman"/>
              <w:b/>
              <w:bCs/>
              <w:color w:val="auto"/>
              <w:sz w:val="28"/>
              <w:szCs w:val="28"/>
              <w:lang w:val="en-GB"/>
            </w:rPr>
            <w:t>Table of Contents</w:t>
          </w:r>
        </w:p>
        <w:p w14:paraId="1E9192EA" w14:textId="5D990D86" w:rsidR="00C12EE6" w:rsidRPr="00C12EE6" w:rsidRDefault="00C12EE6" w:rsidP="00C12EE6">
          <w:pPr>
            <w:pStyle w:val="TOC1"/>
            <w:tabs>
              <w:tab w:val="right" w:leader="dot" w:pos="9016"/>
            </w:tabs>
            <w:spacing w:line="360" w:lineRule="auto"/>
            <w:jc w:val="both"/>
            <w:rPr>
              <w:rFonts w:ascii="Times New Roman" w:hAnsi="Times New Roman" w:cs="Times New Roman"/>
              <w:noProof/>
              <w:sz w:val="24"/>
              <w:szCs w:val="24"/>
              <w:lang w:val="en-GB"/>
            </w:rPr>
          </w:pPr>
          <w:r w:rsidRPr="00C12EE6">
            <w:rPr>
              <w:rFonts w:ascii="Times New Roman" w:hAnsi="Times New Roman" w:cs="Times New Roman"/>
              <w:sz w:val="24"/>
              <w:szCs w:val="24"/>
              <w:lang w:val="en-GB"/>
            </w:rPr>
            <w:fldChar w:fldCharType="begin"/>
          </w:r>
          <w:r w:rsidRPr="00C12EE6">
            <w:rPr>
              <w:rFonts w:ascii="Times New Roman" w:hAnsi="Times New Roman" w:cs="Times New Roman"/>
              <w:sz w:val="24"/>
              <w:szCs w:val="24"/>
              <w:lang w:val="en-GB"/>
            </w:rPr>
            <w:instrText xml:space="preserve"> TOC \o "1-3" \h \z \u </w:instrText>
          </w:r>
          <w:r w:rsidRPr="00C12EE6">
            <w:rPr>
              <w:rFonts w:ascii="Times New Roman" w:hAnsi="Times New Roman" w:cs="Times New Roman"/>
              <w:sz w:val="24"/>
              <w:szCs w:val="24"/>
              <w:lang w:val="en-GB"/>
            </w:rPr>
            <w:fldChar w:fldCharType="separate"/>
          </w:r>
          <w:hyperlink w:anchor="_Toc134026391" w:history="1">
            <w:r w:rsidRPr="00C12EE6">
              <w:rPr>
                <w:rStyle w:val="Hyperlink"/>
                <w:rFonts w:ascii="Times New Roman" w:hAnsi="Times New Roman" w:cs="Times New Roman"/>
                <w:noProof/>
                <w:sz w:val="24"/>
                <w:szCs w:val="24"/>
                <w:lang w:val="en-GB"/>
              </w:rPr>
              <w:t>Introduction</w:t>
            </w:r>
            <w:r w:rsidRPr="00C12EE6">
              <w:rPr>
                <w:rFonts w:ascii="Times New Roman" w:hAnsi="Times New Roman" w:cs="Times New Roman"/>
                <w:noProof/>
                <w:webHidden/>
                <w:sz w:val="24"/>
                <w:szCs w:val="24"/>
                <w:lang w:val="en-GB"/>
              </w:rPr>
              <w:tab/>
            </w:r>
            <w:r w:rsidRPr="00C12EE6">
              <w:rPr>
                <w:rFonts w:ascii="Times New Roman" w:hAnsi="Times New Roman" w:cs="Times New Roman"/>
                <w:noProof/>
                <w:webHidden/>
                <w:sz w:val="24"/>
                <w:szCs w:val="24"/>
                <w:lang w:val="en-GB"/>
              </w:rPr>
              <w:fldChar w:fldCharType="begin"/>
            </w:r>
            <w:r w:rsidRPr="00C12EE6">
              <w:rPr>
                <w:rFonts w:ascii="Times New Roman" w:hAnsi="Times New Roman" w:cs="Times New Roman"/>
                <w:noProof/>
                <w:webHidden/>
                <w:sz w:val="24"/>
                <w:szCs w:val="24"/>
                <w:lang w:val="en-GB"/>
              </w:rPr>
              <w:instrText xml:space="preserve"> PAGEREF _Toc134026391 \h </w:instrText>
            </w:r>
            <w:r w:rsidRPr="00C12EE6">
              <w:rPr>
                <w:rFonts w:ascii="Times New Roman" w:hAnsi="Times New Roman" w:cs="Times New Roman"/>
                <w:noProof/>
                <w:webHidden/>
                <w:sz w:val="24"/>
                <w:szCs w:val="24"/>
                <w:lang w:val="en-GB"/>
              </w:rPr>
            </w:r>
            <w:r w:rsidRPr="00C12EE6">
              <w:rPr>
                <w:rFonts w:ascii="Times New Roman" w:hAnsi="Times New Roman" w:cs="Times New Roman"/>
                <w:noProof/>
                <w:webHidden/>
                <w:sz w:val="24"/>
                <w:szCs w:val="24"/>
                <w:lang w:val="en-GB"/>
              </w:rPr>
              <w:fldChar w:fldCharType="separate"/>
            </w:r>
            <w:r w:rsidRPr="00C12EE6">
              <w:rPr>
                <w:rFonts w:ascii="Times New Roman" w:hAnsi="Times New Roman" w:cs="Times New Roman"/>
                <w:noProof/>
                <w:webHidden/>
                <w:sz w:val="24"/>
                <w:szCs w:val="24"/>
                <w:lang w:val="en-GB"/>
              </w:rPr>
              <w:t>3</w:t>
            </w:r>
            <w:r w:rsidRPr="00C12EE6">
              <w:rPr>
                <w:rFonts w:ascii="Times New Roman" w:hAnsi="Times New Roman" w:cs="Times New Roman"/>
                <w:noProof/>
                <w:webHidden/>
                <w:sz w:val="24"/>
                <w:szCs w:val="24"/>
                <w:lang w:val="en-GB"/>
              </w:rPr>
              <w:fldChar w:fldCharType="end"/>
            </w:r>
          </w:hyperlink>
        </w:p>
        <w:p w14:paraId="51BDE57C" w14:textId="691AA014" w:rsidR="00C12EE6" w:rsidRPr="00C12EE6" w:rsidRDefault="00000000" w:rsidP="00C12EE6">
          <w:pPr>
            <w:pStyle w:val="TOC1"/>
            <w:tabs>
              <w:tab w:val="right" w:leader="dot" w:pos="9016"/>
            </w:tabs>
            <w:spacing w:line="360" w:lineRule="auto"/>
            <w:jc w:val="both"/>
            <w:rPr>
              <w:rFonts w:ascii="Times New Roman" w:hAnsi="Times New Roman" w:cs="Times New Roman"/>
              <w:noProof/>
              <w:sz w:val="24"/>
              <w:szCs w:val="24"/>
              <w:lang w:val="en-GB"/>
            </w:rPr>
          </w:pPr>
          <w:hyperlink w:anchor="_Toc134026392" w:history="1">
            <w:r w:rsidR="00C12EE6" w:rsidRPr="00C12EE6">
              <w:rPr>
                <w:rStyle w:val="Hyperlink"/>
                <w:rFonts w:ascii="Times New Roman" w:hAnsi="Times New Roman" w:cs="Times New Roman"/>
                <w:noProof/>
                <w:sz w:val="24"/>
                <w:szCs w:val="24"/>
                <w:lang w:val="en-GB"/>
              </w:rPr>
              <w:t>Current State of the Labor Market in the UK</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_Toc134026392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3</w:t>
            </w:r>
            <w:r w:rsidR="00C12EE6" w:rsidRPr="00C12EE6">
              <w:rPr>
                <w:rFonts w:ascii="Times New Roman" w:hAnsi="Times New Roman" w:cs="Times New Roman"/>
                <w:noProof/>
                <w:webHidden/>
                <w:sz w:val="24"/>
                <w:szCs w:val="24"/>
                <w:lang w:val="en-GB"/>
              </w:rPr>
              <w:fldChar w:fldCharType="end"/>
            </w:r>
          </w:hyperlink>
        </w:p>
        <w:p w14:paraId="7D19B503" w14:textId="442682EF"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3" w:history="1">
            <w:r w:rsidR="00C12EE6" w:rsidRPr="00C12EE6">
              <w:rPr>
                <w:rStyle w:val="Hyperlink"/>
                <w:rFonts w:ascii="Times New Roman" w:hAnsi="Times New Roman" w:cs="Times New Roman"/>
                <w:noProof/>
                <w:sz w:val="24"/>
                <w:szCs w:val="24"/>
                <w:lang w:val="en-GB"/>
              </w:rPr>
              <w:t>Employment and Unemployment Rates</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_Toc134026393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3</w:t>
            </w:r>
            <w:r w:rsidR="00C12EE6" w:rsidRPr="00C12EE6">
              <w:rPr>
                <w:rFonts w:ascii="Times New Roman" w:hAnsi="Times New Roman" w:cs="Times New Roman"/>
                <w:noProof/>
                <w:webHidden/>
                <w:sz w:val="24"/>
                <w:szCs w:val="24"/>
                <w:lang w:val="en-GB"/>
              </w:rPr>
              <w:fldChar w:fldCharType="end"/>
            </w:r>
          </w:hyperlink>
        </w:p>
        <w:p w14:paraId="5E4234AA" w14:textId="4A31AF9A"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4" w:history="1">
            <w:r w:rsidR="00C12EE6" w:rsidRPr="00C12EE6">
              <w:rPr>
                <w:rStyle w:val="Hyperlink"/>
                <w:rFonts w:ascii="Times New Roman" w:hAnsi="Times New Roman" w:cs="Times New Roman"/>
                <w:noProof/>
                <w:sz w:val="24"/>
                <w:szCs w:val="24"/>
                <w:lang w:val="en-GB"/>
              </w:rPr>
              <w:t>Job Vacancies</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_Toc134026394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4</w:t>
            </w:r>
            <w:r w:rsidR="00C12EE6" w:rsidRPr="00C12EE6">
              <w:rPr>
                <w:rFonts w:ascii="Times New Roman" w:hAnsi="Times New Roman" w:cs="Times New Roman"/>
                <w:noProof/>
                <w:webHidden/>
                <w:sz w:val="24"/>
                <w:szCs w:val="24"/>
                <w:lang w:val="en-GB"/>
              </w:rPr>
              <w:fldChar w:fldCharType="end"/>
            </w:r>
          </w:hyperlink>
        </w:p>
        <w:p w14:paraId="2CEB5246" w14:textId="0BA266FB"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5" w:history="1">
            <w:r w:rsidR="00C12EE6" w:rsidRPr="00C12EE6">
              <w:rPr>
                <w:rStyle w:val="Hyperlink"/>
                <w:rFonts w:ascii="Times New Roman" w:hAnsi="Times New Roman" w:cs="Times New Roman"/>
                <w:noProof/>
                <w:sz w:val="24"/>
                <w:szCs w:val="24"/>
                <w:lang w:val="en-GB"/>
              </w:rPr>
              <w:t>Industries</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_Toc134026395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4</w:t>
            </w:r>
            <w:r w:rsidR="00C12EE6" w:rsidRPr="00C12EE6">
              <w:rPr>
                <w:rFonts w:ascii="Times New Roman" w:hAnsi="Times New Roman" w:cs="Times New Roman"/>
                <w:noProof/>
                <w:webHidden/>
                <w:sz w:val="24"/>
                <w:szCs w:val="24"/>
                <w:lang w:val="en-GB"/>
              </w:rPr>
              <w:fldChar w:fldCharType="end"/>
            </w:r>
          </w:hyperlink>
        </w:p>
        <w:p w14:paraId="5AC00C36" w14:textId="5D112371"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6" w:history="1">
            <w:r w:rsidR="00C12EE6" w:rsidRPr="00C12EE6">
              <w:rPr>
                <w:rStyle w:val="Hyperlink"/>
                <w:rFonts w:ascii="Times New Roman" w:hAnsi="Times New Roman" w:cs="Times New Roman"/>
                <w:noProof/>
                <w:sz w:val="24"/>
                <w:szCs w:val="24"/>
                <w:lang w:val="en-GB"/>
              </w:rPr>
              <w:t>Labor Shortages</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_Toc134026396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5</w:t>
            </w:r>
            <w:r w:rsidR="00C12EE6" w:rsidRPr="00C12EE6">
              <w:rPr>
                <w:rFonts w:ascii="Times New Roman" w:hAnsi="Times New Roman" w:cs="Times New Roman"/>
                <w:noProof/>
                <w:webHidden/>
                <w:sz w:val="24"/>
                <w:szCs w:val="24"/>
                <w:lang w:val="en-GB"/>
              </w:rPr>
              <w:fldChar w:fldCharType="end"/>
            </w:r>
          </w:hyperlink>
        </w:p>
        <w:p w14:paraId="14A16A15" w14:textId="209957BD" w:rsidR="00C12EE6" w:rsidRPr="00C12EE6" w:rsidRDefault="00000000" w:rsidP="00C12EE6">
          <w:pPr>
            <w:pStyle w:val="TOC1"/>
            <w:tabs>
              <w:tab w:val="right" w:leader="dot" w:pos="9016"/>
            </w:tabs>
            <w:spacing w:line="360" w:lineRule="auto"/>
            <w:jc w:val="both"/>
            <w:rPr>
              <w:rFonts w:ascii="Times New Roman" w:hAnsi="Times New Roman" w:cs="Times New Roman"/>
              <w:noProof/>
              <w:sz w:val="24"/>
              <w:szCs w:val="24"/>
              <w:lang w:val="en-GB"/>
            </w:rPr>
          </w:pPr>
          <w:hyperlink w:anchor="_Toc134026397" w:history="1">
            <w:r w:rsidR="00C12EE6" w:rsidRPr="00C12EE6">
              <w:rPr>
                <w:rStyle w:val="Hyperlink"/>
                <w:rFonts w:ascii="Times New Roman" w:hAnsi="Times New Roman" w:cs="Times New Roman"/>
                <w:noProof/>
                <w:sz w:val="24"/>
                <w:szCs w:val="24"/>
                <w:lang w:val="en-GB"/>
              </w:rPr>
              <w:t>The emerging changes in Human Resource Strategies in the post Covid, post Brexit external environment</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_Toc134026397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6</w:t>
            </w:r>
            <w:r w:rsidR="00C12EE6" w:rsidRPr="00C12EE6">
              <w:rPr>
                <w:rFonts w:ascii="Times New Roman" w:hAnsi="Times New Roman" w:cs="Times New Roman"/>
                <w:noProof/>
                <w:webHidden/>
                <w:sz w:val="24"/>
                <w:szCs w:val="24"/>
                <w:lang w:val="en-GB"/>
              </w:rPr>
              <w:fldChar w:fldCharType="end"/>
            </w:r>
          </w:hyperlink>
        </w:p>
        <w:p w14:paraId="0F6F61C7" w14:textId="342CBAF7"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8" w:history="1">
            <w:r w:rsidR="00C12EE6" w:rsidRPr="00C12EE6">
              <w:rPr>
                <w:rStyle w:val="Hyperlink"/>
                <w:rFonts w:ascii="Times New Roman" w:hAnsi="Times New Roman" w:cs="Times New Roman"/>
                <w:noProof/>
                <w:sz w:val="24"/>
                <w:szCs w:val="24"/>
                <w:lang w:val="en-GB"/>
              </w:rPr>
              <w:t>Remote Work</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_Toc134026398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6</w:t>
            </w:r>
            <w:r w:rsidR="00C12EE6" w:rsidRPr="00C12EE6">
              <w:rPr>
                <w:rFonts w:ascii="Times New Roman" w:hAnsi="Times New Roman" w:cs="Times New Roman"/>
                <w:noProof/>
                <w:webHidden/>
                <w:sz w:val="24"/>
                <w:szCs w:val="24"/>
                <w:lang w:val="en-GB"/>
              </w:rPr>
              <w:fldChar w:fldCharType="end"/>
            </w:r>
          </w:hyperlink>
        </w:p>
        <w:p w14:paraId="3F06C0F9" w14:textId="6EADF081"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399" w:history="1">
            <w:r w:rsidR="00C12EE6" w:rsidRPr="00C12EE6">
              <w:rPr>
                <w:rStyle w:val="Hyperlink"/>
                <w:rFonts w:ascii="Times New Roman" w:hAnsi="Times New Roman" w:cs="Times New Roman"/>
                <w:noProof/>
                <w:sz w:val="24"/>
                <w:szCs w:val="24"/>
                <w:lang w:val="en-GB"/>
              </w:rPr>
              <w:t>Digital Technologies</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_Toc134026399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6</w:t>
            </w:r>
            <w:r w:rsidR="00C12EE6" w:rsidRPr="00C12EE6">
              <w:rPr>
                <w:rFonts w:ascii="Times New Roman" w:hAnsi="Times New Roman" w:cs="Times New Roman"/>
                <w:noProof/>
                <w:webHidden/>
                <w:sz w:val="24"/>
                <w:szCs w:val="24"/>
                <w:lang w:val="en-GB"/>
              </w:rPr>
              <w:fldChar w:fldCharType="end"/>
            </w:r>
          </w:hyperlink>
        </w:p>
        <w:p w14:paraId="0125D459" w14:textId="65F7772B"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400" w:history="1">
            <w:r w:rsidR="00C12EE6" w:rsidRPr="00C12EE6">
              <w:rPr>
                <w:rStyle w:val="Hyperlink"/>
                <w:rFonts w:ascii="Times New Roman" w:hAnsi="Times New Roman" w:cs="Times New Roman"/>
                <w:noProof/>
                <w:sz w:val="24"/>
                <w:szCs w:val="24"/>
                <w:lang w:val="en-GB"/>
              </w:rPr>
              <w:t>Employee Wellbeing</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_Toc134026400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7</w:t>
            </w:r>
            <w:r w:rsidR="00C12EE6" w:rsidRPr="00C12EE6">
              <w:rPr>
                <w:rFonts w:ascii="Times New Roman" w:hAnsi="Times New Roman" w:cs="Times New Roman"/>
                <w:noProof/>
                <w:webHidden/>
                <w:sz w:val="24"/>
                <w:szCs w:val="24"/>
                <w:lang w:val="en-GB"/>
              </w:rPr>
              <w:fldChar w:fldCharType="end"/>
            </w:r>
          </w:hyperlink>
        </w:p>
        <w:p w14:paraId="234FFD2D" w14:textId="57631F3E"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401" w:history="1">
            <w:r w:rsidR="00C12EE6" w:rsidRPr="00C12EE6">
              <w:rPr>
                <w:rStyle w:val="Hyperlink"/>
                <w:rFonts w:ascii="Times New Roman" w:hAnsi="Times New Roman" w:cs="Times New Roman"/>
                <w:noProof/>
                <w:sz w:val="24"/>
                <w:szCs w:val="24"/>
                <w:lang w:val="en-GB"/>
              </w:rPr>
              <w:t>Diversity and Inclusion</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_Toc134026401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7</w:t>
            </w:r>
            <w:r w:rsidR="00C12EE6" w:rsidRPr="00C12EE6">
              <w:rPr>
                <w:rFonts w:ascii="Times New Roman" w:hAnsi="Times New Roman" w:cs="Times New Roman"/>
                <w:noProof/>
                <w:webHidden/>
                <w:sz w:val="24"/>
                <w:szCs w:val="24"/>
                <w:lang w:val="en-GB"/>
              </w:rPr>
              <w:fldChar w:fldCharType="end"/>
            </w:r>
          </w:hyperlink>
        </w:p>
        <w:p w14:paraId="4EB06C95" w14:textId="483EA974"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402" w:history="1">
            <w:r w:rsidR="00C12EE6" w:rsidRPr="00C12EE6">
              <w:rPr>
                <w:rStyle w:val="Hyperlink"/>
                <w:rFonts w:ascii="Times New Roman" w:hAnsi="Times New Roman" w:cs="Times New Roman"/>
                <w:noProof/>
                <w:sz w:val="24"/>
                <w:szCs w:val="24"/>
                <w:lang w:val="en-GB"/>
              </w:rPr>
              <w:t>Talent Management</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_Toc134026402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7</w:t>
            </w:r>
            <w:r w:rsidR="00C12EE6" w:rsidRPr="00C12EE6">
              <w:rPr>
                <w:rFonts w:ascii="Times New Roman" w:hAnsi="Times New Roman" w:cs="Times New Roman"/>
                <w:noProof/>
                <w:webHidden/>
                <w:sz w:val="24"/>
                <w:szCs w:val="24"/>
                <w:lang w:val="en-GB"/>
              </w:rPr>
              <w:fldChar w:fldCharType="end"/>
            </w:r>
          </w:hyperlink>
        </w:p>
        <w:p w14:paraId="61426F2C" w14:textId="4A7845A1" w:rsidR="00C12EE6" w:rsidRPr="00C12EE6" w:rsidRDefault="00000000" w:rsidP="00C12EE6">
          <w:pPr>
            <w:pStyle w:val="TOC2"/>
            <w:tabs>
              <w:tab w:val="right" w:leader="dot" w:pos="9016"/>
            </w:tabs>
            <w:spacing w:line="360" w:lineRule="auto"/>
            <w:jc w:val="both"/>
            <w:rPr>
              <w:rFonts w:ascii="Times New Roman" w:hAnsi="Times New Roman" w:cs="Times New Roman"/>
              <w:noProof/>
              <w:sz w:val="24"/>
              <w:szCs w:val="24"/>
              <w:lang w:val="en-GB"/>
            </w:rPr>
          </w:pPr>
          <w:hyperlink w:anchor="_Toc134026403" w:history="1">
            <w:r w:rsidR="00C12EE6" w:rsidRPr="00C12EE6">
              <w:rPr>
                <w:rStyle w:val="Hyperlink"/>
                <w:rFonts w:ascii="Times New Roman" w:hAnsi="Times New Roman" w:cs="Times New Roman"/>
                <w:noProof/>
                <w:sz w:val="24"/>
                <w:szCs w:val="24"/>
                <w:lang w:val="en-GB"/>
              </w:rPr>
              <w:t>Reskilling and Upskilling</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_Toc134026403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8</w:t>
            </w:r>
            <w:r w:rsidR="00C12EE6" w:rsidRPr="00C12EE6">
              <w:rPr>
                <w:rFonts w:ascii="Times New Roman" w:hAnsi="Times New Roman" w:cs="Times New Roman"/>
                <w:noProof/>
                <w:webHidden/>
                <w:sz w:val="24"/>
                <w:szCs w:val="24"/>
                <w:lang w:val="en-GB"/>
              </w:rPr>
              <w:fldChar w:fldCharType="end"/>
            </w:r>
          </w:hyperlink>
        </w:p>
        <w:p w14:paraId="4CAFE7D1" w14:textId="2218003C" w:rsidR="00C12EE6" w:rsidRPr="00C12EE6" w:rsidRDefault="00000000" w:rsidP="00C12EE6">
          <w:pPr>
            <w:pStyle w:val="TOC1"/>
            <w:tabs>
              <w:tab w:val="right" w:leader="dot" w:pos="9016"/>
            </w:tabs>
            <w:spacing w:line="360" w:lineRule="auto"/>
            <w:jc w:val="both"/>
            <w:rPr>
              <w:rFonts w:ascii="Times New Roman" w:hAnsi="Times New Roman" w:cs="Times New Roman"/>
              <w:noProof/>
              <w:sz w:val="24"/>
              <w:szCs w:val="24"/>
              <w:lang w:val="en-GB"/>
            </w:rPr>
          </w:pPr>
          <w:hyperlink w:anchor="_Toc134026404" w:history="1">
            <w:r w:rsidR="00C12EE6" w:rsidRPr="00C12EE6">
              <w:rPr>
                <w:rStyle w:val="Hyperlink"/>
                <w:rFonts w:ascii="Times New Roman" w:hAnsi="Times New Roman" w:cs="Times New Roman"/>
                <w:noProof/>
                <w:sz w:val="24"/>
                <w:szCs w:val="24"/>
                <w:lang w:val="en-GB"/>
              </w:rPr>
              <w:t>Conclusion</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_Toc134026404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8</w:t>
            </w:r>
            <w:r w:rsidR="00C12EE6" w:rsidRPr="00C12EE6">
              <w:rPr>
                <w:rFonts w:ascii="Times New Roman" w:hAnsi="Times New Roman" w:cs="Times New Roman"/>
                <w:noProof/>
                <w:webHidden/>
                <w:sz w:val="24"/>
                <w:szCs w:val="24"/>
                <w:lang w:val="en-GB"/>
              </w:rPr>
              <w:fldChar w:fldCharType="end"/>
            </w:r>
          </w:hyperlink>
        </w:p>
        <w:p w14:paraId="135D07EF" w14:textId="7036A62A" w:rsidR="00C12EE6" w:rsidRPr="00C12EE6" w:rsidRDefault="00000000" w:rsidP="00C12EE6">
          <w:pPr>
            <w:pStyle w:val="TOC1"/>
            <w:tabs>
              <w:tab w:val="right" w:leader="dot" w:pos="9016"/>
            </w:tabs>
            <w:spacing w:line="360" w:lineRule="auto"/>
            <w:jc w:val="both"/>
            <w:rPr>
              <w:rFonts w:ascii="Times New Roman" w:hAnsi="Times New Roman" w:cs="Times New Roman"/>
              <w:noProof/>
              <w:sz w:val="24"/>
              <w:szCs w:val="24"/>
              <w:lang w:val="en-GB"/>
            </w:rPr>
          </w:pPr>
          <w:hyperlink w:anchor="_Toc134026405" w:history="1">
            <w:r w:rsidR="00C12EE6" w:rsidRPr="00C12EE6">
              <w:rPr>
                <w:rStyle w:val="Hyperlink"/>
                <w:rFonts w:ascii="Times New Roman" w:hAnsi="Times New Roman" w:cs="Times New Roman"/>
                <w:noProof/>
                <w:sz w:val="24"/>
                <w:szCs w:val="24"/>
                <w:lang w:val="en-GB"/>
              </w:rPr>
              <w:t>Reference</w:t>
            </w:r>
            <w:r w:rsidR="00C12EE6" w:rsidRPr="00C12EE6">
              <w:rPr>
                <w:rFonts w:ascii="Times New Roman" w:hAnsi="Times New Roman" w:cs="Times New Roman"/>
                <w:noProof/>
                <w:webHidden/>
                <w:sz w:val="24"/>
                <w:szCs w:val="24"/>
                <w:lang w:val="en-GB"/>
              </w:rPr>
              <w:tab/>
            </w:r>
            <w:r w:rsidR="00C12EE6" w:rsidRPr="00C12EE6">
              <w:rPr>
                <w:rFonts w:ascii="Times New Roman" w:hAnsi="Times New Roman" w:cs="Times New Roman"/>
                <w:noProof/>
                <w:webHidden/>
                <w:sz w:val="24"/>
                <w:szCs w:val="24"/>
                <w:lang w:val="en-GB"/>
              </w:rPr>
              <w:fldChar w:fldCharType="begin"/>
            </w:r>
            <w:r w:rsidR="00C12EE6" w:rsidRPr="00C12EE6">
              <w:rPr>
                <w:rFonts w:ascii="Times New Roman" w:hAnsi="Times New Roman" w:cs="Times New Roman"/>
                <w:noProof/>
                <w:webHidden/>
                <w:sz w:val="24"/>
                <w:szCs w:val="24"/>
                <w:lang w:val="en-GB"/>
              </w:rPr>
              <w:instrText xml:space="preserve"> PAGEREF _Toc134026405 \h </w:instrText>
            </w:r>
            <w:r w:rsidR="00C12EE6" w:rsidRPr="00C12EE6">
              <w:rPr>
                <w:rFonts w:ascii="Times New Roman" w:hAnsi="Times New Roman" w:cs="Times New Roman"/>
                <w:noProof/>
                <w:webHidden/>
                <w:sz w:val="24"/>
                <w:szCs w:val="24"/>
                <w:lang w:val="en-GB"/>
              </w:rPr>
            </w:r>
            <w:r w:rsidR="00C12EE6" w:rsidRPr="00C12EE6">
              <w:rPr>
                <w:rFonts w:ascii="Times New Roman" w:hAnsi="Times New Roman" w:cs="Times New Roman"/>
                <w:noProof/>
                <w:webHidden/>
                <w:sz w:val="24"/>
                <w:szCs w:val="24"/>
                <w:lang w:val="en-GB"/>
              </w:rPr>
              <w:fldChar w:fldCharType="separate"/>
            </w:r>
            <w:r w:rsidR="00C12EE6" w:rsidRPr="00C12EE6">
              <w:rPr>
                <w:rFonts w:ascii="Times New Roman" w:hAnsi="Times New Roman" w:cs="Times New Roman"/>
                <w:noProof/>
                <w:webHidden/>
                <w:sz w:val="24"/>
                <w:szCs w:val="24"/>
                <w:lang w:val="en-GB"/>
              </w:rPr>
              <w:t>10</w:t>
            </w:r>
            <w:r w:rsidR="00C12EE6" w:rsidRPr="00C12EE6">
              <w:rPr>
                <w:rFonts w:ascii="Times New Roman" w:hAnsi="Times New Roman" w:cs="Times New Roman"/>
                <w:noProof/>
                <w:webHidden/>
                <w:sz w:val="24"/>
                <w:szCs w:val="24"/>
                <w:lang w:val="en-GB"/>
              </w:rPr>
              <w:fldChar w:fldCharType="end"/>
            </w:r>
          </w:hyperlink>
        </w:p>
        <w:p w14:paraId="3233BF61" w14:textId="7B917E55" w:rsidR="00C12EE6" w:rsidRPr="00C12EE6" w:rsidRDefault="00C12EE6" w:rsidP="00C12EE6">
          <w:pPr>
            <w:spacing w:line="360" w:lineRule="auto"/>
            <w:jc w:val="both"/>
            <w:rPr>
              <w:lang w:val="en-GB"/>
            </w:rPr>
          </w:pPr>
          <w:r w:rsidRPr="00C12EE6">
            <w:rPr>
              <w:rFonts w:ascii="Times New Roman" w:hAnsi="Times New Roman" w:cs="Times New Roman"/>
              <w:b/>
              <w:bCs/>
              <w:noProof/>
              <w:sz w:val="24"/>
              <w:szCs w:val="24"/>
              <w:lang w:val="en-GB"/>
            </w:rPr>
            <w:fldChar w:fldCharType="end"/>
          </w:r>
        </w:p>
      </w:sdtContent>
    </w:sdt>
    <w:p w14:paraId="4AECCAF3" w14:textId="77777777" w:rsidR="00C12EE6" w:rsidRPr="00C12EE6" w:rsidRDefault="00C12EE6">
      <w:pPr>
        <w:rPr>
          <w:rFonts w:ascii="Times New Roman" w:eastAsia="Times New Roman" w:hAnsi="Times New Roman" w:cs="Times New Roman"/>
          <w:b/>
          <w:bCs/>
          <w:color w:val="000000"/>
          <w:kern w:val="0"/>
          <w:sz w:val="24"/>
          <w:szCs w:val="24"/>
          <w:lang w:val="en-GB" w:eastAsia="en-IN"/>
          <w14:ligatures w14:val="none"/>
        </w:rPr>
      </w:pPr>
      <w:r w:rsidRPr="00C12EE6">
        <w:rPr>
          <w:b/>
          <w:bCs/>
          <w:color w:val="000000"/>
          <w:lang w:val="en-GB"/>
        </w:rPr>
        <w:br w:type="page"/>
      </w:r>
    </w:p>
    <w:p w14:paraId="0E5DEF60" w14:textId="629D6306" w:rsidR="00C12EE6" w:rsidRPr="00C12EE6" w:rsidRDefault="00C12EE6" w:rsidP="00C12EE6">
      <w:pPr>
        <w:pStyle w:val="Heading1"/>
        <w:rPr>
          <w:lang w:val="en-GB"/>
        </w:rPr>
      </w:pPr>
      <w:bookmarkStart w:id="0" w:name="_Toc134026391"/>
      <w:r w:rsidRPr="00C12EE6">
        <w:rPr>
          <w:lang w:val="en-GB"/>
        </w:rPr>
        <w:lastRenderedPageBreak/>
        <w:t>Introduction</w:t>
      </w:r>
      <w:bookmarkEnd w:id="0"/>
      <w:r w:rsidRPr="00C12EE6">
        <w:rPr>
          <w:lang w:val="en-GB"/>
        </w:rPr>
        <w:t> </w:t>
      </w:r>
    </w:p>
    <w:p w14:paraId="44B4F5DD"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The employment sector in the UK has experienced notable transformations in the past few years </w:t>
      </w:r>
      <w:proofErr w:type="gramStart"/>
      <w:r w:rsidRPr="00C12EE6">
        <w:rPr>
          <w:color w:val="000000"/>
          <w:lang w:val="en-GB"/>
        </w:rPr>
        <w:t>due to the effects</w:t>
      </w:r>
      <w:proofErr w:type="gramEnd"/>
      <w:r w:rsidRPr="00C12EE6">
        <w:rPr>
          <w:color w:val="000000"/>
          <w:lang w:val="en-GB"/>
        </w:rPr>
        <w:t xml:space="preserve"> of Brexit and the COVID-19 outbreak. The global health crisis has resulted in extensive disturbances to the job sector, such as heightened joblessness figures, workforce scarcities, and work routine modifications. In the meantime, Brexit has led to the UK exiting the European Union (EU) and the end of unrestricted movement of workers, causing more unpredictability and disturbance. The present condition of the </w:t>
      </w:r>
      <w:proofErr w:type="spellStart"/>
      <w:r w:rsidRPr="00C12EE6">
        <w:rPr>
          <w:color w:val="000000"/>
          <w:lang w:val="en-GB"/>
        </w:rPr>
        <w:t>labor</w:t>
      </w:r>
      <w:proofErr w:type="spellEnd"/>
      <w:r w:rsidRPr="00C12EE6">
        <w:rPr>
          <w:color w:val="000000"/>
          <w:lang w:val="en-GB"/>
        </w:rPr>
        <w:t xml:space="preserve"> market in the UK is marked by a blend of progress and obstacles. On the other hand, the joblessness rate has been decreasing, and the quantity of employment opportunities has hit unprecedented levels, suggesting a recuperating workforce. Conversely, specific sectors have been severely impacted by the pandemic, leading to employment reductions, whereas </w:t>
      </w:r>
      <w:proofErr w:type="gramStart"/>
      <w:r w:rsidRPr="00C12EE6">
        <w:rPr>
          <w:color w:val="000000"/>
          <w:lang w:val="en-GB"/>
        </w:rPr>
        <w:t>a number of</w:t>
      </w:r>
      <w:proofErr w:type="gramEnd"/>
      <w:r w:rsidRPr="00C12EE6">
        <w:rPr>
          <w:color w:val="000000"/>
          <w:lang w:val="en-GB"/>
        </w:rPr>
        <w:t xml:space="preserve"> industries are still struggling with a scarcity of workers. Moreover, the aftermath of Brexit has generated extra obstacles for enterprises, specifically those dependent on employees from the EU. Given this situation, HR strategies have needed to adjust to the fresh external circumstances. Enterprises have had to reconsider their strategy for hiring, educating, and overseeing staff due to the pandemic and Brexit. Telecommuting and integrating electronic tools have become more widespread, while worker welfare, variety, and inclusiveness have received more focus. The purpose of this report is to present a summary of the present condition of the </w:t>
      </w:r>
      <w:proofErr w:type="spellStart"/>
      <w:r w:rsidRPr="00C12EE6">
        <w:rPr>
          <w:color w:val="000000"/>
          <w:lang w:val="en-GB"/>
        </w:rPr>
        <w:t>labor</w:t>
      </w:r>
      <w:proofErr w:type="spellEnd"/>
      <w:r w:rsidRPr="00C12EE6">
        <w:rPr>
          <w:color w:val="000000"/>
          <w:lang w:val="en-GB"/>
        </w:rPr>
        <w:t xml:space="preserve"> market in the UK, encompassing significant economic and employment metrics. It will additionally investigate the developing modifications in personnel approaches that have emerged in reaction to the external environment following COVID and Brexit. The analysis will examine the information and patterns to offer perspectives on the obstacles and possibilities confronting enterprises and the workforce in the United Kingdom.</w:t>
      </w:r>
    </w:p>
    <w:p w14:paraId="6D48FDC4" w14:textId="77777777" w:rsidR="00C12EE6" w:rsidRPr="00C12EE6" w:rsidRDefault="00C12EE6" w:rsidP="00C12EE6">
      <w:pPr>
        <w:pStyle w:val="Heading1"/>
        <w:rPr>
          <w:lang w:val="en-GB"/>
        </w:rPr>
      </w:pPr>
      <w:bookmarkStart w:id="1" w:name="_Toc134026392"/>
      <w:r w:rsidRPr="00C12EE6">
        <w:rPr>
          <w:lang w:val="en-GB"/>
        </w:rPr>
        <w:lastRenderedPageBreak/>
        <w:t>Current State of the Labor Market in the UK</w:t>
      </w:r>
      <w:bookmarkEnd w:id="1"/>
    </w:p>
    <w:p w14:paraId="594A0508" w14:textId="3A8D2D55" w:rsidR="00C12EE6" w:rsidRPr="00C12EE6" w:rsidRDefault="00C12EE6" w:rsidP="00C12EE6">
      <w:pPr>
        <w:jc w:val="center"/>
        <w:rPr>
          <w:lang w:val="en-GB"/>
        </w:rPr>
      </w:pPr>
      <w:r w:rsidRPr="00C12EE6">
        <w:rPr>
          <w:noProof/>
          <w:lang w:val="en-GB"/>
        </w:rPr>
        <w:drawing>
          <wp:inline distT="0" distB="0" distL="0" distR="0" wp14:anchorId="18CF1AEF" wp14:editId="108916F1">
            <wp:extent cx="4146550" cy="3081659"/>
            <wp:effectExtent l="19050" t="19050" r="25400" b="23495"/>
            <wp:docPr id="1" name="Picture 1" descr="UK employment rate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mployment rate 2022 | Statis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51534" cy="3085363"/>
                    </a:xfrm>
                    <a:prstGeom prst="rect">
                      <a:avLst/>
                    </a:prstGeom>
                    <a:noFill/>
                    <a:ln>
                      <a:solidFill>
                        <a:schemeClr val="tx1"/>
                      </a:solidFill>
                    </a:ln>
                  </pic:spPr>
                </pic:pic>
              </a:graphicData>
            </a:graphic>
          </wp:inline>
        </w:drawing>
      </w:r>
    </w:p>
    <w:p w14:paraId="5554155A" w14:textId="30EDF7D3" w:rsidR="00C12EE6" w:rsidRPr="00C12EE6" w:rsidRDefault="00C12EE6" w:rsidP="00C12EE6">
      <w:pPr>
        <w:jc w:val="center"/>
        <w:rPr>
          <w:rFonts w:ascii="Times New Roman" w:hAnsi="Times New Roman" w:cs="Times New Roman"/>
          <w:b/>
          <w:bCs/>
          <w:i/>
          <w:iCs/>
          <w:sz w:val="24"/>
          <w:szCs w:val="24"/>
          <w:lang w:val="en-GB"/>
        </w:rPr>
      </w:pPr>
      <w:r w:rsidRPr="00C12EE6">
        <w:rPr>
          <w:rFonts w:ascii="Times New Roman" w:hAnsi="Times New Roman" w:cs="Times New Roman"/>
          <w:b/>
          <w:bCs/>
          <w:i/>
          <w:iCs/>
          <w:sz w:val="24"/>
          <w:szCs w:val="24"/>
          <w:lang w:val="en-GB"/>
        </w:rPr>
        <w:t xml:space="preserve">Figure: Employment rate in UK </w:t>
      </w:r>
    </w:p>
    <w:p w14:paraId="77B95566" w14:textId="43C67F67" w:rsidR="00C12EE6" w:rsidRPr="00C12EE6" w:rsidRDefault="00C12EE6" w:rsidP="00C12EE6">
      <w:pPr>
        <w:jc w:val="center"/>
        <w:rPr>
          <w:rFonts w:ascii="Times New Roman" w:hAnsi="Times New Roman" w:cs="Times New Roman"/>
          <w:b/>
          <w:bCs/>
          <w:i/>
          <w:iCs/>
          <w:sz w:val="24"/>
          <w:szCs w:val="24"/>
          <w:lang w:val="en-GB"/>
        </w:rPr>
      </w:pPr>
      <w:r w:rsidRPr="00C12EE6">
        <w:rPr>
          <w:rFonts w:ascii="Times New Roman" w:hAnsi="Times New Roman" w:cs="Times New Roman"/>
          <w:b/>
          <w:bCs/>
          <w:i/>
          <w:iCs/>
          <w:sz w:val="24"/>
          <w:szCs w:val="24"/>
          <w:lang w:val="en-GB"/>
        </w:rPr>
        <w:t>Source: UK employment rate (2022)</w:t>
      </w:r>
    </w:p>
    <w:p w14:paraId="243C4A48"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The COVID-19 pandemic and Brexit have had a notable effect on the UK's job market, causing a blend of difficulties and progress in the recovery process (</w:t>
      </w:r>
      <w:r w:rsidRPr="00C12EE6">
        <w:rPr>
          <w:color w:val="222222"/>
          <w:shd w:val="clear" w:color="auto" w:fill="FFFFFF"/>
          <w:lang w:val="en-GB"/>
        </w:rPr>
        <w:t>Portes, 2022</w:t>
      </w:r>
      <w:r w:rsidRPr="00C12EE6">
        <w:rPr>
          <w:color w:val="000000"/>
          <w:lang w:val="en-GB"/>
        </w:rPr>
        <w:t>). The global health crisis has resulted in significant disturbances to the job sector, such as elevated joblessness figures, workforce scarcities, and work routine alterations. In the meantime, Brexit has caused the UK to exit the European Union (EU) and the absence of unrestricted movement of labour, leading to more unpredictability and disturbance.</w:t>
      </w:r>
    </w:p>
    <w:p w14:paraId="37FA6C39" w14:textId="77777777" w:rsidR="00C12EE6" w:rsidRPr="00C12EE6" w:rsidRDefault="00C12EE6" w:rsidP="00C12EE6">
      <w:pPr>
        <w:pStyle w:val="Heading2"/>
        <w:rPr>
          <w:lang w:val="en-GB"/>
        </w:rPr>
      </w:pPr>
      <w:bookmarkStart w:id="2" w:name="_Toc134026393"/>
      <w:r w:rsidRPr="00C12EE6">
        <w:rPr>
          <w:lang w:val="en-GB"/>
        </w:rPr>
        <w:t>Employment and Unemployment Rates</w:t>
      </w:r>
      <w:bookmarkEnd w:id="2"/>
    </w:p>
    <w:p w14:paraId="1D1685CD"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The job and joblessness rates are crucial signals of the wellness of the labour market in the UK. The rate of employment calculates the proportion of the population of working age who are employed, whereas the rate of unemployment calculates the proportion of the workforce who are without a job and actively searching for employment. The outbreak of COVID-19 has greatly influenced the rates of both job availability and joblessness in the United Kingdom. Amidst the first lockdowns in 2020, there was a significant decline in the rate of employment, dropping to a minimum of 73.3% between May and July 2020 (</w:t>
      </w:r>
      <w:r w:rsidRPr="00C12EE6">
        <w:rPr>
          <w:color w:val="222222"/>
          <w:shd w:val="clear" w:color="auto" w:fill="FFFFFF"/>
          <w:lang w:val="en-GB"/>
        </w:rPr>
        <w:t xml:space="preserve">Hanieh and </w:t>
      </w:r>
      <w:proofErr w:type="spellStart"/>
      <w:r w:rsidRPr="00C12EE6">
        <w:rPr>
          <w:color w:val="222222"/>
          <w:shd w:val="clear" w:color="auto" w:fill="FFFFFF"/>
          <w:lang w:val="en-GB"/>
        </w:rPr>
        <w:t>Ziadah</w:t>
      </w:r>
      <w:proofErr w:type="spellEnd"/>
      <w:r w:rsidRPr="00C12EE6">
        <w:rPr>
          <w:color w:val="222222"/>
          <w:shd w:val="clear" w:color="auto" w:fill="FFFFFF"/>
          <w:lang w:val="en-GB"/>
        </w:rPr>
        <w:t>, 2022</w:t>
      </w:r>
      <w:r w:rsidRPr="00C12EE6">
        <w:rPr>
          <w:color w:val="000000"/>
          <w:lang w:val="en-GB"/>
        </w:rPr>
        <w:t>). This mainly happened because of the pandemic, which led to businesses shutting down or decreasing their activities.</w:t>
      </w:r>
    </w:p>
    <w:p w14:paraId="0417BAB4"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Nevertheless, following the relaxation of lockdown measures and the distribution of vaccines, the job rate has been slowly rising, suggesting a recuperating job market. The joblessness </w:t>
      </w:r>
      <w:r w:rsidRPr="00C12EE6">
        <w:rPr>
          <w:color w:val="000000"/>
          <w:lang w:val="en-GB"/>
        </w:rPr>
        <w:lastRenderedPageBreak/>
        <w:t>percentage has also been declining since its highest point in the beginning of 2021. The government's temporary leave of absence programme has helped companies retain their staff during the outbreak. The employment rate is still lower than it was before the pandemic. The job market still requires further progress to achieve complete recovery. In addition, the percentage of unemployed individuals has not returned to its pre-COVID-19 level, indicating that there are still challenges for those searching for employment in the current job market.</w:t>
      </w:r>
    </w:p>
    <w:p w14:paraId="1D624BD5" w14:textId="77777777" w:rsidR="00C12EE6" w:rsidRPr="00C12EE6" w:rsidRDefault="00C12EE6" w:rsidP="00C12EE6">
      <w:pPr>
        <w:pStyle w:val="Heading2"/>
        <w:rPr>
          <w:lang w:val="en-GB"/>
        </w:rPr>
      </w:pPr>
      <w:bookmarkStart w:id="3" w:name="_Toc134026394"/>
      <w:r w:rsidRPr="00C12EE6">
        <w:rPr>
          <w:lang w:val="en-GB"/>
        </w:rPr>
        <w:t>Job Vacancies</w:t>
      </w:r>
      <w:bookmarkEnd w:id="3"/>
    </w:p>
    <w:p w14:paraId="5F03E5F2"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Job vacancies in the UK indicate the demand for labour in the economy. Job vacancies were greatly affected by the COVID-19 pandemic, experiencing a notable decrease during the first lockdowns in 2020 (</w:t>
      </w:r>
      <w:r w:rsidRPr="00C12EE6">
        <w:rPr>
          <w:color w:val="222222"/>
          <w:shd w:val="clear" w:color="auto" w:fill="FFFFFF"/>
          <w:lang w:val="en-GB"/>
        </w:rPr>
        <w:t xml:space="preserve">Khan, </w:t>
      </w:r>
      <w:proofErr w:type="gramStart"/>
      <w:r w:rsidRPr="00C12EE6">
        <w:rPr>
          <w:color w:val="222222"/>
          <w:shd w:val="clear" w:color="auto" w:fill="FFFFFF"/>
          <w:lang w:val="en-GB"/>
        </w:rPr>
        <w:t>Shah</w:t>
      </w:r>
      <w:proofErr w:type="gramEnd"/>
      <w:r w:rsidRPr="00C12EE6">
        <w:rPr>
          <w:color w:val="222222"/>
          <w:shd w:val="clear" w:color="auto" w:fill="FFFFFF"/>
          <w:lang w:val="en-GB"/>
        </w:rPr>
        <w:t xml:space="preserve"> and Shah, 2021</w:t>
      </w:r>
      <w:r w:rsidRPr="00C12EE6">
        <w:rPr>
          <w:color w:val="000000"/>
          <w:lang w:val="en-GB"/>
        </w:rPr>
        <w:t xml:space="preserve">). After the restrictions were eased and vaccines were rolled out, job vacancies started to increase slowly, which shows that the labour market is recovering. According to </w:t>
      </w:r>
      <w:proofErr w:type="spellStart"/>
      <w:r w:rsidRPr="00C12EE6">
        <w:rPr>
          <w:color w:val="222222"/>
          <w:shd w:val="clear" w:color="auto" w:fill="FFFFFF"/>
          <w:lang w:val="en-GB"/>
        </w:rPr>
        <w:t>Marcén</w:t>
      </w:r>
      <w:proofErr w:type="spellEnd"/>
      <w:r w:rsidRPr="00C12EE6">
        <w:rPr>
          <w:color w:val="222222"/>
          <w:shd w:val="clear" w:color="auto" w:fill="FFFFFF"/>
          <w:lang w:val="en-GB"/>
        </w:rPr>
        <w:t xml:space="preserve"> and Morales (2021</w:t>
      </w:r>
      <w:r w:rsidRPr="00C12EE6">
        <w:rPr>
          <w:color w:val="000000"/>
          <w:lang w:val="en-GB"/>
        </w:rPr>
        <w:t>), the UK labour market received a positive sign with the report of 1.05 million job vacancies in the three months leading up to December 2021. Job vacancies are on the rise, indicating that businesses are bouncing back from the pandemic and seeking to recruit additional staff. Job vacancies have increased due to manufacturing, professional services, and healthcare industries (</w:t>
      </w:r>
      <w:proofErr w:type="spellStart"/>
      <w:r w:rsidRPr="00C12EE6">
        <w:rPr>
          <w:color w:val="222222"/>
          <w:shd w:val="clear" w:color="auto" w:fill="FFFFFF"/>
          <w:lang w:val="en-GB"/>
        </w:rPr>
        <w:t>Siriwardhana</w:t>
      </w:r>
      <w:proofErr w:type="spellEnd"/>
      <w:r w:rsidRPr="00C12EE6">
        <w:rPr>
          <w:color w:val="222222"/>
          <w:shd w:val="clear" w:color="auto" w:fill="FFFFFF"/>
          <w:lang w:val="en-GB"/>
        </w:rPr>
        <w:t xml:space="preserve"> </w:t>
      </w:r>
      <w:r w:rsidRPr="00C12EE6">
        <w:rPr>
          <w:i/>
          <w:iCs/>
          <w:color w:val="222222"/>
          <w:shd w:val="clear" w:color="auto" w:fill="FFFFFF"/>
          <w:lang w:val="en-GB"/>
        </w:rPr>
        <w:t xml:space="preserve">et al. </w:t>
      </w:r>
      <w:r w:rsidRPr="00C12EE6">
        <w:rPr>
          <w:color w:val="222222"/>
          <w:shd w:val="clear" w:color="auto" w:fill="FFFFFF"/>
          <w:lang w:val="en-GB"/>
        </w:rPr>
        <w:t>2021</w:t>
      </w:r>
      <w:r w:rsidRPr="00C12EE6">
        <w:rPr>
          <w:color w:val="000000"/>
          <w:lang w:val="en-GB"/>
        </w:rPr>
        <w:t>). Freedom of movement for EU workers has been lost after Brexit. Additionally, job openings vary among various areas in the United Kingdom. The ONS reported that job vacancies were highest in London and the South East, and lowest in the North East (</w:t>
      </w:r>
      <w:r w:rsidRPr="00C12EE6">
        <w:rPr>
          <w:color w:val="222222"/>
          <w:shd w:val="clear" w:color="auto" w:fill="FFFFFF"/>
          <w:lang w:val="en-GB"/>
        </w:rPr>
        <w:t xml:space="preserve">Flor </w:t>
      </w:r>
      <w:r w:rsidRPr="00C12EE6">
        <w:rPr>
          <w:i/>
          <w:iCs/>
          <w:color w:val="222222"/>
          <w:shd w:val="clear" w:color="auto" w:fill="FFFFFF"/>
          <w:lang w:val="en-GB"/>
        </w:rPr>
        <w:t xml:space="preserve">et al. </w:t>
      </w:r>
      <w:r w:rsidRPr="00C12EE6">
        <w:rPr>
          <w:color w:val="222222"/>
          <w:shd w:val="clear" w:color="auto" w:fill="FFFFFF"/>
          <w:lang w:val="en-GB"/>
        </w:rPr>
        <w:t>2022</w:t>
      </w:r>
      <w:r w:rsidRPr="00C12EE6">
        <w:rPr>
          <w:color w:val="000000"/>
          <w:lang w:val="en-GB"/>
        </w:rPr>
        <w:t>). The statement emphasises the necessity of specific measures to tackle the differences between regions and guarantee that employment options are within reach for everyone.</w:t>
      </w:r>
    </w:p>
    <w:p w14:paraId="33995E44" w14:textId="77777777" w:rsidR="00C12EE6" w:rsidRPr="00C12EE6" w:rsidRDefault="00C12EE6" w:rsidP="00C12EE6">
      <w:pPr>
        <w:pStyle w:val="Heading2"/>
        <w:rPr>
          <w:lang w:val="en-GB"/>
        </w:rPr>
      </w:pPr>
      <w:bookmarkStart w:id="4" w:name="_Toc134026395"/>
      <w:r w:rsidRPr="00C12EE6">
        <w:rPr>
          <w:lang w:val="en-GB"/>
        </w:rPr>
        <w:t>Industries</w:t>
      </w:r>
      <w:bookmarkEnd w:id="4"/>
      <w:r w:rsidRPr="00C12EE6">
        <w:rPr>
          <w:lang w:val="en-GB"/>
        </w:rPr>
        <w:t> </w:t>
      </w:r>
    </w:p>
    <w:p w14:paraId="1DC21904"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COVID-19 pandemic has impacted industries in the UK in different ways. The pandemic has impacted various industries in different ways, with some showing greater resilience than others. The pandemic has caused a 23.5% decrease in employment within the accommodation and food services sector (</w:t>
      </w:r>
      <w:r w:rsidRPr="00C12EE6">
        <w:rPr>
          <w:color w:val="222222"/>
          <w:shd w:val="clear" w:color="auto" w:fill="FFFFFF"/>
          <w:lang w:val="en-GB"/>
        </w:rPr>
        <w:t xml:space="preserve">Akinyooye and </w:t>
      </w:r>
      <w:proofErr w:type="spellStart"/>
      <w:r w:rsidRPr="00C12EE6">
        <w:rPr>
          <w:color w:val="222222"/>
          <w:shd w:val="clear" w:color="auto" w:fill="FFFFFF"/>
          <w:lang w:val="en-GB"/>
        </w:rPr>
        <w:t>Nezamis</w:t>
      </w:r>
      <w:proofErr w:type="spellEnd"/>
      <w:r w:rsidRPr="00C12EE6">
        <w:rPr>
          <w:color w:val="222222"/>
          <w:shd w:val="clear" w:color="auto" w:fill="FFFFFF"/>
          <w:lang w:val="en-GB"/>
        </w:rPr>
        <w:t>, 2021</w:t>
      </w:r>
      <w:r w:rsidRPr="00C12EE6">
        <w:rPr>
          <w:color w:val="000000"/>
          <w:lang w:val="en-GB"/>
        </w:rPr>
        <w:t xml:space="preserve">). Lockdowns have limited gatherings and shut down eateries, bars, and other hospitality establishments, which is the reason for this. Reopening businesses face challenges like supply chain disruptions and labour shortages despite the easing of restrictions. According to </w:t>
      </w:r>
      <w:r w:rsidRPr="00C12EE6">
        <w:rPr>
          <w:color w:val="222222"/>
          <w:shd w:val="clear" w:color="auto" w:fill="FFFFFF"/>
          <w:lang w:val="en-GB"/>
        </w:rPr>
        <w:t xml:space="preserve">Baral </w:t>
      </w:r>
      <w:r w:rsidRPr="00C12EE6">
        <w:rPr>
          <w:i/>
          <w:iCs/>
          <w:color w:val="222222"/>
          <w:shd w:val="clear" w:color="auto" w:fill="FFFFFF"/>
          <w:lang w:val="en-GB"/>
        </w:rPr>
        <w:t xml:space="preserve">et al. </w:t>
      </w:r>
      <w:r w:rsidRPr="00C12EE6">
        <w:rPr>
          <w:color w:val="000000"/>
          <w:lang w:val="en-GB"/>
        </w:rPr>
        <w:t>(2022), construction sector employment has dropped by 4.7% from pre-pandemic levels. Lockdowns have caused interruptions in construction projects and there is now a reduced demand for new construction projects.</w:t>
      </w:r>
    </w:p>
    <w:p w14:paraId="3A467EC7"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Information and communication, finance and insurance, and public administration and defence are sectors that have shown more resilience. Information and communication sector </w:t>
      </w:r>
      <w:r w:rsidRPr="00C12EE6">
        <w:rPr>
          <w:color w:val="000000"/>
          <w:lang w:val="en-GB"/>
        </w:rPr>
        <w:lastRenderedPageBreak/>
        <w:t>employment has increased by 6.1% from pre-pandemic levels (</w:t>
      </w:r>
      <w:r w:rsidRPr="00C12EE6">
        <w:rPr>
          <w:color w:val="222222"/>
          <w:shd w:val="clear" w:color="auto" w:fill="FFFFFF"/>
          <w:lang w:val="en-GB"/>
        </w:rPr>
        <w:t xml:space="preserve">Claeys </w:t>
      </w:r>
      <w:r w:rsidRPr="00C12EE6">
        <w:rPr>
          <w:i/>
          <w:iCs/>
          <w:color w:val="222222"/>
          <w:shd w:val="clear" w:color="auto" w:fill="FFFFFF"/>
          <w:lang w:val="en-GB"/>
        </w:rPr>
        <w:t xml:space="preserve">et al. </w:t>
      </w:r>
      <w:r w:rsidRPr="00C12EE6">
        <w:rPr>
          <w:color w:val="222222"/>
          <w:shd w:val="clear" w:color="auto" w:fill="FFFFFF"/>
          <w:lang w:val="en-GB"/>
        </w:rPr>
        <w:t>2021</w:t>
      </w:r>
      <w:r w:rsidRPr="00C12EE6">
        <w:rPr>
          <w:color w:val="000000"/>
          <w:lang w:val="en-GB"/>
        </w:rPr>
        <w:t>). The pandemic has led to an increased demand for remote work and digital technologies. Finance and insurance sector employment has risen by 0.8% from pre-pandemic levels and has remained steady (</w:t>
      </w:r>
      <w:r w:rsidRPr="00C12EE6">
        <w:rPr>
          <w:color w:val="222222"/>
          <w:shd w:val="clear" w:color="auto" w:fill="FFFFFF"/>
          <w:lang w:val="en-GB"/>
        </w:rPr>
        <w:t>Gordon and Sayed, 2022</w:t>
      </w:r>
      <w:r w:rsidRPr="00C12EE6">
        <w:rPr>
          <w:color w:val="000000"/>
          <w:lang w:val="en-GB"/>
        </w:rPr>
        <w:t>). This is due to the sector's ability to work remotely and the higher demand for financial services during the pandemic. Adaptability and resilience are crucial for businesses to withstand external shocks, as demonstrated by the pandemic. Human resource strategies will undergo significant changes due to remote work and digital technologies.</w:t>
      </w:r>
    </w:p>
    <w:p w14:paraId="3D7A6758" w14:textId="77777777" w:rsidR="00C12EE6" w:rsidRPr="00C12EE6" w:rsidRDefault="00C12EE6" w:rsidP="00C12EE6">
      <w:pPr>
        <w:pStyle w:val="Heading2"/>
        <w:rPr>
          <w:lang w:val="en-GB"/>
        </w:rPr>
      </w:pPr>
      <w:bookmarkStart w:id="5" w:name="_Toc134026396"/>
      <w:r w:rsidRPr="00C12EE6">
        <w:rPr>
          <w:lang w:val="en-GB"/>
        </w:rPr>
        <w:t>Labor Shortages</w:t>
      </w:r>
      <w:bookmarkEnd w:id="5"/>
      <w:r w:rsidRPr="00C12EE6">
        <w:rPr>
          <w:lang w:val="en-GB"/>
        </w:rPr>
        <w:t> </w:t>
      </w:r>
    </w:p>
    <w:p w14:paraId="1BDB66A6"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Shortage of workers is a major challenge in the labour market of the United Kingdom, especially in specific industries. This issue has been influenced by both the pandemic and Brexit. Workers in the hospitality industry have resigned from their jobs due to concerns about health and safety related to the pandemic. Shortage of workers in certain sectors is causing problems for businesses to meet their needs. Pandemic has caused disruption in global supply chains. Raw materials and intermediate goods are insufficient. Limited production capacity results in a shortage of finished products.</w:t>
      </w:r>
    </w:p>
    <w:p w14:paraId="4AFDB350"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According to </w:t>
      </w:r>
      <w:r w:rsidRPr="00C12EE6">
        <w:rPr>
          <w:color w:val="222222"/>
          <w:shd w:val="clear" w:color="auto" w:fill="FFFFFF"/>
          <w:lang w:val="en-GB"/>
        </w:rPr>
        <w:t>Hesketh, Summers and Kleinman (2021</w:t>
      </w:r>
      <w:r w:rsidRPr="00C12EE6">
        <w:rPr>
          <w:color w:val="000000"/>
          <w:lang w:val="en-GB"/>
        </w:rPr>
        <w:t xml:space="preserve">), labour shortages have worsened due to Brexit, which has eliminated the free movement of workers from the EU. UK businesses have previously depended on EU labour, particularly in the hospitality, construction, and agriculture sectors. Post-Brexit, these labourers encounter fresh limitations on their capacity to toil in the United Kingdom. Labour shortages in specific industries were caused by the decline of EU workers in the UK. Shortage of HGV drivers is causing disruptions in the supply chain, leading to product scarcities and higher prices. One of the visible effects of labour shortages is present in this situation. The British Chambers of Commerce has urged the government to </w:t>
      </w:r>
      <w:proofErr w:type="gramStart"/>
      <w:r w:rsidRPr="00C12EE6">
        <w:rPr>
          <w:color w:val="000000"/>
          <w:lang w:val="en-GB"/>
        </w:rPr>
        <w:t>take action</w:t>
      </w:r>
      <w:proofErr w:type="gramEnd"/>
      <w:r w:rsidRPr="00C12EE6">
        <w:rPr>
          <w:color w:val="000000"/>
          <w:lang w:val="en-GB"/>
        </w:rPr>
        <w:t xml:space="preserve"> by implementing measures like easing immigration rules for specific sectors, boosting investment in education and development, and enhancing working conditions for drivers.</w:t>
      </w:r>
    </w:p>
    <w:p w14:paraId="01D4E912" w14:textId="2A0ACB42" w:rsidR="00C12EE6" w:rsidRPr="00C12EE6" w:rsidRDefault="00C12EE6" w:rsidP="00C12EE6">
      <w:pPr>
        <w:pStyle w:val="Heading1"/>
        <w:rPr>
          <w:lang w:val="en-GB"/>
        </w:rPr>
      </w:pPr>
      <w:bookmarkStart w:id="6" w:name="_Toc134026397"/>
      <w:r w:rsidRPr="00C12EE6">
        <w:rPr>
          <w:lang w:val="en-GB"/>
        </w:rPr>
        <w:t>The emerging changes in Human Resource Strategies in the post Covid, post Brexit external environment</w:t>
      </w:r>
      <w:bookmarkEnd w:id="6"/>
      <w:r w:rsidRPr="00C12EE6">
        <w:rPr>
          <w:lang w:val="en-GB"/>
        </w:rPr>
        <w:t xml:space="preserve"> </w:t>
      </w:r>
    </w:p>
    <w:p w14:paraId="5FFE0552"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The COVID-19 pandemic and Brexit have caused many organisations to rethink their HR strategies. Their approach to recruiting, training, and managing employees is included. The pandemic has led to faster adoption of digital technologies in the workplace. Loss of free movement of workers from the EU due to Brexit has resulted in increased uncertainty and disruption. </w:t>
      </w:r>
    </w:p>
    <w:p w14:paraId="2F1EF3F5" w14:textId="77777777" w:rsidR="00C12EE6" w:rsidRPr="00C12EE6" w:rsidRDefault="00C12EE6" w:rsidP="00C12EE6">
      <w:pPr>
        <w:pStyle w:val="Heading2"/>
        <w:rPr>
          <w:lang w:val="en-GB"/>
        </w:rPr>
      </w:pPr>
      <w:bookmarkStart w:id="7" w:name="_Toc134026398"/>
      <w:r w:rsidRPr="00C12EE6">
        <w:rPr>
          <w:lang w:val="en-GB"/>
        </w:rPr>
        <w:lastRenderedPageBreak/>
        <w:t>Remote Work</w:t>
      </w:r>
      <w:bookmarkEnd w:id="7"/>
      <w:r w:rsidRPr="00C12EE6">
        <w:rPr>
          <w:lang w:val="en-GB"/>
        </w:rPr>
        <w:t> </w:t>
      </w:r>
    </w:p>
    <w:p w14:paraId="5181CE54"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Remote work has become a major change in human resource strategies after COVID and Brexit (</w:t>
      </w:r>
      <w:proofErr w:type="spellStart"/>
      <w:r w:rsidRPr="00C12EE6">
        <w:rPr>
          <w:color w:val="222222"/>
          <w:shd w:val="clear" w:color="auto" w:fill="FFFFFF"/>
          <w:lang w:val="en-GB"/>
        </w:rPr>
        <w:t>Roumpi</w:t>
      </w:r>
      <w:proofErr w:type="spellEnd"/>
      <w:r w:rsidRPr="00C12EE6">
        <w:rPr>
          <w:color w:val="222222"/>
          <w:shd w:val="clear" w:color="auto" w:fill="FFFFFF"/>
          <w:lang w:val="en-GB"/>
        </w:rPr>
        <w:t>, 2021</w:t>
      </w:r>
      <w:r w:rsidRPr="00C12EE6">
        <w:rPr>
          <w:color w:val="000000"/>
          <w:lang w:val="en-GB"/>
        </w:rPr>
        <w:t>). The adoption of digital technologies has made remote work possible and it has important effects on recruitment, training, and management. Remote work can benefit employees and employers. It offers employees more flexibility in their work location and schedule, which can enhance their work-life balance. Remote work benefits employers by lowering expenses, boosting efficiency, and drawing in skilled workers from a broader range of locations.</w:t>
      </w:r>
    </w:p>
    <w:p w14:paraId="7BD53B90"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Remote work has its own set of challenges, including the need for effective communication and collaboration, employee motivation and engagement, and monitoring performance. HR professionals need to create innovative methods for overseeing remote teams, delivering remote training and development, and evaluating candidates' eligibility for remote work. The labour market after the pandemic and Brexit is expected to involve remote work as a significant factor (</w:t>
      </w:r>
      <w:proofErr w:type="spellStart"/>
      <w:r w:rsidRPr="00C12EE6">
        <w:rPr>
          <w:color w:val="222222"/>
          <w:shd w:val="clear" w:color="auto" w:fill="FFFFFF"/>
          <w:lang w:val="en-GB"/>
        </w:rPr>
        <w:t>Roumpi</w:t>
      </w:r>
      <w:proofErr w:type="spellEnd"/>
      <w:r w:rsidRPr="00C12EE6">
        <w:rPr>
          <w:color w:val="222222"/>
          <w:shd w:val="clear" w:color="auto" w:fill="FFFFFF"/>
          <w:lang w:val="en-GB"/>
        </w:rPr>
        <w:t>, 2021</w:t>
      </w:r>
      <w:r w:rsidRPr="00C12EE6">
        <w:rPr>
          <w:color w:val="000000"/>
          <w:lang w:val="en-GB"/>
        </w:rPr>
        <w:t>). HR professionals need to adjust to this change to ensure their organisations thrive.</w:t>
      </w:r>
    </w:p>
    <w:p w14:paraId="3E5AF55B" w14:textId="77777777" w:rsidR="00C12EE6" w:rsidRPr="00C12EE6" w:rsidRDefault="00C12EE6" w:rsidP="00C12EE6">
      <w:pPr>
        <w:pStyle w:val="Heading2"/>
        <w:rPr>
          <w:lang w:val="en-GB"/>
        </w:rPr>
      </w:pPr>
      <w:bookmarkStart w:id="8" w:name="_Toc134026399"/>
      <w:r w:rsidRPr="00C12EE6">
        <w:rPr>
          <w:lang w:val="en-GB"/>
        </w:rPr>
        <w:t>Digital Technologies</w:t>
      </w:r>
      <w:bookmarkEnd w:id="8"/>
    </w:p>
    <w:p w14:paraId="42836938"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COVID-19 pandemic has sped up the adoption of digital technologies. Organisations have had to adapt to remote work and other changes in the business environment. Recruitment, training, and management in the labour market after the pandemic and Brexit are significantly impacted by digital technologies. Efficiency, productivity, and innovation can be improved with digital technologies. They can also help organisations manage remote teams better. Video conferencing and collaboration tools aid communication and teamwork among remote team members. Identifying necessary digital skills for various job positions and providing training and development to employees is crucial for HR professionals to ensure success in the digital workplace. The individual should possess the ability to handle data and guarantee compliance with data privacy and security regulations. The use of digital technologies will remain significant in the labour market after the pandemic and Brexit (</w:t>
      </w:r>
      <w:r w:rsidRPr="00C12EE6">
        <w:rPr>
          <w:color w:val="222222"/>
          <w:shd w:val="clear" w:color="auto" w:fill="FFFFFF"/>
          <w:lang w:val="en-GB"/>
        </w:rPr>
        <w:t>Patricia, 2020</w:t>
      </w:r>
      <w:r w:rsidRPr="00C12EE6">
        <w:rPr>
          <w:color w:val="000000"/>
          <w:lang w:val="en-GB"/>
        </w:rPr>
        <w:t>). HR professionals should adjust to this new work style to guarantee their organization's success.</w:t>
      </w:r>
    </w:p>
    <w:p w14:paraId="466855EC" w14:textId="77777777" w:rsidR="00C12EE6" w:rsidRPr="00C12EE6" w:rsidRDefault="00C12EE6" w:rsidP="00C12EE6">
      <w:pPr>
        <w:pStyle w:val="Heading2"/>
        <w:rPr>
          <w:lang w:val="en-GB"/>
        </w:rPr>
      </w:pPr>
      <w:bookmarkStart w:id="9" w:name="_Toc134026400"/>
      <w:r w:rsidRPr="00C12EE6">
        <w:rPr>
          <w:lang w:val="en-GB"/>
        </w:rPr>
        <w:t>Employee Wellbeing</w:t>
      </w:r>
      <w:bookmarkEnd w:id="9"/>
    </w:p>
    <w:p w14:paraId="2BB50AA3"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HR professionals are now prioritizing employee wellbeing in the aftermath of the pandemic and Brexit (</w:t>
      </w:r>
      <w:r w:rsidRPr="00C12EE6">
        <w:rPr>
          <w:color w:val="222222"/>
          <w:shd w:val="clear" w:color="auto" w:fill="FFFFFF"/>
          <w:lang w:val="en-GB"/>
        </w:rPr>
        <w:t xml:space="preserve">Anderson </w:t>
      </w:r>
      <w:proofErr w:type="spellStart"/>
      <w:r w:rsidRPr="00C12EE6">
        <w:rPr>
          <w:color w:val="222222"/>
          <w:shd w:val="clear" w:color="auto" w:fill="FFFFFF"/>
          <w:lang w:val="en-GB"/>
        </w:rPr>
        <w:t>iet</w:t>
      </w:r>
      <w:proofErr w:type="spellEnd"/>
      <w:r w:rsidRPr="00C12EE6">
        <w:rPr>
          <w:color w:val="222222"/>
          <w:shd w:val="clear" w:color="auto" w:fill="FFFFFF"/>
          <w:lang w:val="en-GB"/>
        </w:rPr>
        <w:t xml:space="preserve"> al. 2021</w:t>
      </w:r>
      <w:r w:rsidRPr="00C12EE6">
        <w:rPr>
          <w:color w:val="000000"/>
          <w:lang w:val="en-GB"/>
        </w:rPr>
        <w:t xml:space="preserve">). Amidst the pandemic, </w:t>
      </w:r>
      <w:proofErr w:type="gramStart"/>
      <w:r w:rsidRPr="00C12EE6">
        <w:rPr>
          <w:color w:val="000000"/>
          <w:lang w:val="en-GB"/>
        </w:rPr>
        <w:t>it's</w:t>
      </w:r>
      <w:proofErr w:type="gramEnd"/>
      <w:r w:rsidRPr="00C12EE6">
        <w:rPr>
          <w:color w:val="000000"/>
          <w:lang w:val="en-GB"/>
        </w:rPr>
        <w:t xml:space="preserve"> crucial to uphold the well-being of staff members' physical and mental health. Remote work, isolation, and uncertainty have caused increased stress and anxiety for many. Companies are putting resources into programs that improve the well-being of their employees, including mental health aid, adaptable work </w:t>
      </w:r>
      <w:r w:rsidRPr="00C12EE6">
        <w:rPr>
          <w:color w:val="000000"/>
          <w:lang w:val="en-GB"/>
        </w:rPr>
        <w:lastRenderedPageBreak/>
        <w:t>schedules, and staff support initiatives. Develop strategies to sustain a well-balanced professional and personal life and avoid exhaustion among staff, particularly in telecommuting scenarios where it may be difficult to distinguish between them. HR professionals are responsible for this.</w:t>
      </w:r>
    </w:p>
    <w:p w14:paraId="5B65E921"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Focusing on the health and happiness of workers can benefit both the workers and the company's success. Employees who receive support and feel valued are usually more motivated, engaged, and productive, resulting in improved organizational performance. HR professionals must adapt to the changing demands of employees in the job market following the pandemic and Brexit (</w:t>
      </w:r>
      <w:r w:rsidRPr="00C12EE6">
        <w:rPr>
          <w:color w:val="222222"/>
          <w:shd w:val="clear" w:color="auto" w:fill="FFFFFF"/>
          <w:lang w:val="en-GB"/>
        </w:rPr>
        <w:t xml:space="preserve">Anderson </w:t>
      </w:r>
      <w:proofErr w:type="spellStart"/>
      <w:r w:rsidRPr="00C12EE6">
        <w:rPr>
          <w:color w:val="222222"/>
          <w:shd w:val="clear" w:color="auto" w:fill="FFFFFF"/>
          <w:lang w:val="en-GB"/>
        </w:rPr>
        <w:t>iet</w:t>
      </w:r>
      <w:proofErr w:type="spellEnd"/>
      <w:r w:rsidRPr="00C12EE6">
        <w:rPr>
          <w:color w:val="222222"/>
          <w:shd w:val="clear" w:color="auto" w:fill="FFFFFF"/>
          <w:lang w:val="en-GB"/>
        </w:rPr>
        <w:t xml:space="preserve"> al. 2021</w:t>
      </w:r>
      <w:r w:rsidRPr="00C12EE6">
        <w:rPr>
          <w:color w:val="000000"/>
          <w:lang w:val="en-GB"/>
        </w:rPr>
        <w:t>). Prioritizing employee well-being programs is crucial for ensuring the success of a company.</w:t>
      </w:r>
    </w:p>
    <w:p w14:paraId="6FAD6FA0" w14:textId="77777777" w:rsidR="00C12EE6" w:rsidRPr="00C12EE6" w:rsidRDefault="00C12EE6" w:rsidP="00C12EE6">
      <w:pPr>
        <w:pStyle w:val="Heading2"/>
        <w:rPr>
          <w:lang w:val="en-GB"/>
        </w:rPr>
      </w:pPr>
      <w:bookmarkStart w:id="10" w:name="_Toc134026401"/>
      <w:r w:rsidRPr="00C12EE6">
        <w:rPr>
          <w:lang w:val="en-GB"/>
        </w:rPr>
        <w:t>Diversity and Inclusion</w:t>
      </w:r>
      <w:bookmarkEnd w:id="10"/>
    </w:p>
    <w:p w14:paraId="6BA048C1"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Importance of diversity and inclusion in the </w:t>
      </w:r>
      <w:proofErr w:type="spellStart"/>
      <w:r w:rsidRPr="00C12EE6">
        <w:rPr>
          <w:color w:val="000000"/>
          <w:lang w:val="en-GB"/>
        </w:rPr>
        <w:t>labor</w:t>
      </w:r>
      <w:proofErr w:type="spellEnd"/>
      <w:r w:rsidRPr="00C12EE6">
        <w:rPr>
          <w:color w:val="000000"/>
          <w:lang w:val="en-GB"/>
        </w:rPr>
        <w:t xml:space="preserve"> market has increased post pandemic and Brexit. Social justice movements like Black Lives Matter emphasize the significance of establishing discrimination-free workplaces (</w:t>
      </w:r>
      <w:proofErr w:type="spellStart"/>
      <w:r w:rsidRPr="00C12EE6">
        <w:rPr>
          <w:color w:val="222222"/>
          <w:shd w:val="clear" w:color="auto" w:fill="FFFFFF"/>
          <w:lang w:val="en-GB"/>
        </w:rPr>
        <w:t>Wozolek</w:t>
      </w:r>
      <w:proofErr w:type="spellEnd"/>
      <w:r w:rsidRPr="00C12EE6">
        <w:rPr>
          <w:color w:val="222222"/>
          <w:shd w:val="clear" w:color="auto" w:fill="FFFFFF"/>
          <w:lang w:val="en-GB"/>
        </w:rPr>
        <w:t>, 2022</w:t>
      </w:r>
      <w:r w:rsidRPr="00C12EE6">
        <w:rPr>
          <w:color w:val="000000"/>
          <w:lang w:val="en-GB"/>
        </w:rPr>
        <w:t>). Companies are putting resources into programs and learning opportunities that promote diversity and inclusiveness in order to establish a friendlier work environment. Fair and unbiased recruitment processes, diversity promotion in leadership positions, and unconscious bias training are important actions. Encouraging variety and embracing inclusiveness has advantages for both workers and the organization's success. Varied teams bring different viewpoints and concepts, resulting in increased creativity and originality. Workplaces that are inclusive have increased rates of employee engagement and retention.</w:t>
      </w:r>
    </w:p>
    <w:p w14:paraId="7F140939" w14:textId="77777777" w:rsidR="00C12EE6" w:rsidRPr="00C12EE6" w:rsidRDefault="00C12EE6" w:rsidP="00C12EE6">
      <w:pPr>
        <w:pStyle w:val="Heading2"/>
        <w:rPr>
          <w:lang w:val="en-GB"/>
        </w:rPr>
      </w:pPr>
      <w:bookmarkStart w:id="11" w:name="_Toc134026402"/>
      <w:r w:rsidRPr="00C12EE6">
        <w:rPr>
          <w:lang w:val="en-GB"/>
        </w:rPr>
        <w:t>Talent Management</w:t>
      </w:r>
      <w:bookmarkEnd w:id="11"/>
    </w:p>
    <w:p w14:paraId="3EB2CC50"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Importance of talent management has risen in the external environment after the pandemic and Brexit (</w:t>
      </w:r>
      <w:proofErr w:type="spellStart"/>
      <w:r w:rsidRPr="00C12EE6">
        <w:rPr>
          <w:color w:val="222222"/>
          <w:shd w:val="clear" w:color="auto" w:fill="FFFFFF"/>
          <w:lang w:val="en-GB"/>
        </w:rPr>
        <w:t>Vaiman</w:t>
      </w:r>
      <w:proofErr w:type="spellEnd"/>
      <w:r w:rsidRPr="00C12EE6">
        <w:rPr>
          <w:color w:val="222222"/>
          <w:shd w:val="clear" w:color="auto" w:fill="FFFFFF"/>
          <w:lang w:val="en-GB"/>
        </w:rPr>
        <w:t xml:space="preserve"> </w:t>
      </w:r>
      <w:r w:rsidRPr="00C12EE6">
        <w:rPr>
          <w:i/>
          <w:iCs/>
          <w:color w:val="222222"/>
          <w:shd w:val="clear" w:color="auto" w:fill="FFFFFF"/>
          <w:lang w:val="en-GB"/>
        </w:rPr>
        <w:t xml:space="preserve">et al. </w:t>
      </w:r>
      <w:r w:rsidRPr="00C12EE6">
        <w:rPr>
          <w:color w:val="222222"/>
          <w:shd w:val="clear" w:color="auto" w:fill="FFFFFF"/>
          <w:lang w:val="en-GB"/>
        </w:rPr>
        <w:t>2021</w:t>
      </w:r>
      <w:r w:rsidRPr="00C12EE6">
        <w:rPr>
          <w:color w:val="000000"/>
          <w:lang w:val="en-GB"/>
        </w:rPr>
        <w:t xml:space="preserve">). Identifying and retaining top talent is crucial for organizations in a competitive </w:t>
      </w:r>
      <w:proofErr w:type="spellStart"/>
      <w:r w:rsidRPr="00C12EE6">
        <w:rPr>
          <w:color w:val="000000"/>
          <w:lang w:val="en-GB"/>
        </w:rPr>
        <w:t>labor</w:t>
      </w:r>
      <w:proofErr w:type="spellEnd"/>
      <w:r w:rsidRPr="00C12EE6">
        <w:rPr>
          <w:color w:val="000000"/>
          <w:lang w:val="en-GB"/>
        </w:rPr>
        <w:t xml:space="preserve"> market. Effective performance management systems, career development pathways, and talent retention strategies are necessary for this. HR professionals need to adjust to evolving </w:t>
      </w:r>
      <w:proofErr w:type="spellStart"/>
      <w:r w:rsidRPr="00C12EE6">
        <w:rPr>
          <w:color w:val="000000"/>
          <w:lang w:val="en-GB"/>
        </w:rPr>
        <w:t>labor</w:t>
      </w:r>
      <w:proofErr w:type="spellEnd"/>
      <w:r w:rsidRPr="00C12EE6">
        <w:rPr>
          <w:color w:val="000000"/>
          <w:lang w:val="en-GB"/>
        </w:rPr>
        <w:t xml:space="preserve"> market situations, including skill requirements and </w:t>
      </w:r>
      <w:proofErr w:type="spellStart"/>
      <w:r w:rsidRPr="00C12EE6">
        <w:rPr>
          <w:color w:val="000000"/>
          <w:lang w:val="en-GB"/>
        </w:rPr>
        <w:t>labor</w:t>
      </w:r>
      <w:proofErr w:type="spellEnd"/>
      <w:r w:rsidRPr="00C12EE6">
        <w:rPr>
          <w:color w:val="000000"/>
          <w:lang w:val="en-GB"/>
        </w:rPr>
        <w:t xml:space="preserve"> shortages, to secure the necessary talent to stay competitive. Investing in training and development programs to upskill existing employees and adopting new recruitment strategies to attract new talent may be necessary. Talent management that is effective can aid organizations in achieving innovation and productivity gains. It also provides employees with opportunities for career development and advancement. Ensuring that organizations possess the appropriate skills and talent to </w:t>
      </w:r>
      <w:proofErr w:type="spellStart"/>
      <w:r w:rsidRPr="00C12EE6">
        <w:rPr>
          <w:color w:val="000000"/>
          <w:lang w:val="en-GB"/>
        </w:rPr>
        <w:t>fulfill</w:t>
      </w:r>
      <w:proofErr w:type="spellEnd"/>
      <w:r w:rsidRPr="00C12EE6">
        <w:rPr>
          <w:color w:val="000000"/>
          <w:lang w:val="en-GB"/>
        </w:rPr>
        <w:t xml:space="preserve"> their evolving business requirements is also beneficial. Adaptability to the changing </w:t>
      </w:r>
      <w:proofErr w:type="spellStart"/>
      <w:r w:rsidRPr="00C12EE6">
        <w:rPr>
          <w:color w:val="000000"/>
          <w:lang w:val="en-GB"/>
        </w:rPr>
        <w:t>labor</w:t>
      </w:r>
      <w:proofErr w:type="spellEnd"/>
      <w:r w:rsidRPr="00C12EE6">
        <w:rPr>
          <w:color w:val="000000"/>
          <w:lang w:val="en-GB"/>
        </w:rPr>
        <w:t xml:space="preserve"> </w:t>
      </w:r>
      <w:r w:rsidRPr="00C12EE6">
        <w:rPr>
          <w:color w:val="000000"/>
          <w:lang w:val="en-GB"/>
        </w:rPr>
        <w:lastRenderedPageBreak/>
        <w:t>market after the pandemic and Brexit is crucial for HR professionals. They should also invest in effective talent management strategies to ensure their organization's success.</w:t>
      </w:r>
    </w:p>
    <w:p w14:paraId="6C54F599" w14:textId="77777777" w:rsidR="00C12EE6" w:rsidRPr="00C12EE6" w:rsidRDefault="00C12EE6" w:rsidP="00C12EE6">
      <w:pPr>
        <w:pStyle w:val="Heading2"/>
        <w:rPr>
          <w:lang w:val="en-GB"/>
        </w:rPr>
      </w:pPr>
      <w:bookmarkStart w:id="12" w:name="_Toc134026403"/>
      <w:r w:rsidRPr="00C12EE6">
        <w:rPr>
          <w:lang w:val="en-GB"/>
        </w:rPr>
        <w:t>Reskilling and Upskilling</w:t>
      </w:r>
      <w:bookmarkEnd w:id="12"/>
    </w:p>
    <w:p w14:paraId="125ED4F0"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Importance of reskilling and upskilling has risen in the </w:t>
      </w:r>
      <w:proofErr w:type="spellStart"/>
      <w:r w:rsidRPr="00C12EE6">
        <w:rPr>
          <w:color w:val="000000"/>
          <w:lang w:val="en-GB"/>
        </w:rPr>
        <w:t>labor</w:t>
      </w:r>
      <w:proofErr w:type="spellEnd"/>
      <w:r w:rsidRPr="00C12EE6">
        <w:rPr>
          <w:color w:val="000000"/>
          <w:lang w:val="en-GB"/>
        </w:rPr>
        <w:t xml:space="preserve"> market after the pandemic and Brexit. Workers must develop new skills to meet changing </w:t>
      </w:r>
      <w:proofErr w:type="spellStart"/>
      <w:r w:rsidRPr="00C12EE6">
        <w:rPr>
          <w:color w:val="000000"/>
          <w:lang w:val="en-GB"/>
        </w:rPr>
        <w:t>labor</w:t>
      </w:r>
      <w:proofErr w:type="spellEnd"/>
      <w:r w:rsidRPr="00C12EE6">
        <w:rPr>
          <w:color w:val="000000"/>
          <w:lang w:val="en-GB"/>
        </w:rPr>
        <w:t xml:space="preserve"> market demands due to the pandemic and Brexit (</w:t>
      </w:r>
      <w:r w:rsidRPr="00C12EE6">
        <w:rPr>
          <w:color w:val="222222"/>
          <w:shd w:val="clear" w:color="auto" w:fill="FFFFFF"/>
          <w:lang w:val="en-GB"/>
        </w:rPr>
        <w:t xml:space="preserve">Portes and </w:t>
      </w:r>
      <w:proofErr w:type="spellStart"/>
      <w:r w:rsidRPr="00C12EE6">
        <w:rPr>
          <w:color w:val="222222"/>
          <w:shd w:val="clear" w:color="auto" w:fill="FFFFFF"/>
          <w:lang w:val="en-GB"/>
        </w:rPr>
        <w:t>Springford</w:t>
      </w:r>
      <w:proofErr w:type="spellEnd"/>
      <w:r w:rsidRPr="00C12EE6">
        <w:rPr>
          <w:color w:val="222222"/>
          <w:shd w:val="clear" w:color="auto" w:fill="FFFFFF"/>
          <w:lang w:val="en-GB"/>
        </w:rPr>
        <w:t>, 2023</w:t>
      </w:r>
      <w:r w:rsidRPr="00C12EE6">
        <w:rPr>
          <w:color w:val="000000"/>
          <w:lang w:val="en-GB"/>
        </w:rPr>
        <w:t xml:space="preserve">). Organizations invest in reskilling and upskilling programs to develop their workforce and provide opportunities for new workers. It may require creating instructional courses for acquiring digital competencies or delivering education on topics like leadership or project management. Programs for reskilling and upskilling can narrow the divide between the abilities that employees possess and the abilities that companies require. Improving organizational performance and enhancing workers' employability and career prospects can be achieved through this. HR professionals should adapt to the evolving </w:t>
      </w:r>
      <w:proofErr w:type="spellStart"/>
      <w:r w:rsidRPr="00C12EE6">
        <w:rPr>
          <w:color w:val="000000"/>
          <w:lang w:val="en-GB"/>
        </w:rPr>
        <w:t>labor</w:t>
      </w:r>
      <w:proofErr w:type="spellEnd"/>
      <w:r w:rsidRPr="00C12EE6">
        <w:rPr>
          <w:color w:val="000000"/>
          <w:lang w:val="en-GB"/>
        </w:rPr>
        <w:t xml:space="preserve"> market after the pandemic and Brexit. They should invest in reskilling and upskilling programs to equip workers with the necessary skills to thrive in the changing </w:t>
      </w:r>
      <w:proofErr w:type="spellStart"/>
      <w:r w:rsidRPr="00C12EE6">
        <w:rPr>
          <w:color w:val="000000"/>
          <w:lang w:val="en-GB"/>
        </w:rPr>
        <w:t>labor</w:t>
      </w:r>
      <w:proofErr w:type="spellEnd"/>
      <w:r w:rsidRPr="00C12EE6">
        <w:rPr>
          <w:color w:val="000000"/>
          <w:lang w:val="en-GB"/>
        </w:rPr>
        <w:t xml:space="preserve"> market.</w:t>
      </w:r>
    </w:p>
    <w:p w14:paraId="5B1BB375" w14:textId="77777777" w:rsidR="00C12EE6" w:rsidRPr="00C12EE6" w:rsidRDefault="00C12EE6" w:rsidP="00C12EE6">
      <w:pPr>
        <w:pStyle w:val="Heading1"/>
        <w:rPr>
          <w:lang w:val="en-GB"/>
        </w:rPr>
      </w:pPr>
      <w:bookmarkStart w:id="13" w:name="_Toc134026404"/>
      <w:r w:rsidRPr="00C12EE6">
        <w:rPr>
          <w:lang w:val="en-GB"/>
        </w:rPr>
        <w:t>Conclusion</w:t>
      </w:r>
      <w:bookmarkEnd w:id="13"/>
      <w:r w:rsidRPr="00C12EE6">
        <w:rPr>
          <w:lang w:val="en-GB"/>
        </w:rPr>
        <w:t> </w:t>
      </w:r>
    </w:p>
    <w:p w14:paraId="50C07927"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000000"/>
          <w:lang w:val="en-GB"/>
        </w:rPr>
        <w:t xml:space="preserve">The UK </w:t>
      </w:r>
      <w:proofErr w:type="spellStart"/>
      <w:r w:rsidRPr="00C12EE6">
        <w:rPr>
          <w:color w:val="000000"/>
          <w:lang w:val="en-GB"/>
        </w:rPr>
        <w:t>labor</w:t>
      </w:r>
      <w:proofErr w:type="spellEnd"/>
      <w:r w:rsidRPr="00C12EE6">
        <w:rPr>
          <w:color w:val="000000"/>
          <w:lang w:val="en-GB"/>
        </w:rPr>
        <w:t xml:space="preserve"> market faces significant challenges in the external environment after the pandemic and Brexit. Remote work and digital technologies have been adopted faster due to the pandemic, and the </w:t>
      </w:r>
      <w:proofErr w:type="spellStart"/>
      <w:r w:rsidRPr="00C12EE6">
        <w:rPr>
          <w:color w:val="000000"/>
          <w:lang w:val="en-GB"/>
        </w:rPr>
        <w:t>labor</w:t>
      </w:r>
      <w:proofErr w:type="spellEnd"/>
      <w:r w:rsidRPr="00C12EE6">
        <w:rPr>
          <w:color w:val="000000"/>
          <w:lang w:val="en-GB"/>
        </w:rPr>
        <w:t xml:space="preserve"> market has been disrupted by Brexit, causing uncertainty. Adapting to changes is necessary for HR professionals. They should create new human resource strategies to tackle the challenges of the </w:t>
      </w:r>
      <w:proofErr w:type="spellStart"/>
      <w:r w:rsidRPr="00C12EE6">
        <w:rPr>
          <w:color w:val="000000"/>
          <w:lang w:val="en-GB"/>
        </w:rPr>
        <w:t>labor</w:t>
      </w:r>
      <w:proofErr w:type="spellEnd"/>
      <w:r w:rsidRPr="00C12EE6">
        <w:rPr>
          <w:color w:val="000000"/>
          <w:lang w:val="en-GB"/>
        </w:rPr>
        <w:t xml:space="preserve"> market after the pandemic and Brexit. Remote work, digital technologies, employee wellbeing, diversity and inclusion, talent management, and reskilling and upskilling are some of the topics covered. Remote work and digital technologies impact recruitment, training, and management. HR professionals need to create new strategies for managing remote teams, providing remote training and development, and evaluating candidates' suitability for remote work. Wellbeing and diversity, along with inclusion, are crucial for establishing workplaces that are inclusive, discrimination-free, and encourage employee engagement and productivity. Identifying and retaining top talent is crucial in a highly competitive </w:t>
      </w:r>
      <w:proofErr w:type="spellStart"/>
      <w:r w:rsidRPr="00C12EE6">
        <w:rPr>
          <w:color w:val="000000"/>
          <w:lang w:val="en-GB"/>
        </w:rPr>
        <w:t>labor</w:t>
      </w:r>
      <w:proofErr w:type="spellEnd"/>
      <w:r w:rsidRPr="00C12EE6">
        <w:rPr>
          <w:color w:val="000000"/>
          <w:lang w:val="en-GB"/>
        </w:rPr>
        <w:t xml:space="preserve"> market, and talent management is the key to achieving this. Reskilling and upskilling are crucial for acquiring new skills that align with evolving </w:t>
      </w:r>
      <w:proofErr w:type="spellStart"/>
      <w:r w:rsidRPr="00C12EE6">
        <w:rPr>
          <w:color w:val="000000"/>
          <w:lang w:val="en-GB"/>
        </w:rPr>
        <w:t>labor</w:t>
      </w:r>
      <w:proofErr w:type="spellEnd"/>
      <w:r w:rsidRPr="00C12EE6">
        <w:rPr>
          <w:color w:val="000000"/>
          <w:lang w:val="en-GB"/>
        </w:rPr>
        <w:t xml:space="preserve"> market requirements, and for securing the job opportunities and professional growth of employees. HR professionals need to adjust to the evolving </w:t>
      </w:r>
      <w:proofErr w:type="spellStart"/>
      <w:r w:rsidRPr="00C12EE6">
        <w:rPr>
          <w:color w:val="000000"/>
          <w:lang w:val="en-GB"/>
        </w:rPr>
        <w:t>labor</w:t>
      </w:r>
      <w:proofErr w:type="spellEnd"/>
      <w:r w:rsidRPr="00C12EE6">
        <w:rPr>
          <w:color w:val="000000"/>
          <w:lang w:val="en-GB"/>
        </w:rPr>
        <w:t xml:space="preserve"> market after the pandemic and Brexit. They should also implement new human resource strategies to guarantee their </w:t>
      </w:r>
      <w:r w:rsidRPr="00C12EE6">
        <w:rPr>
          <w:color w:val="000000"/>
          <w:lang w:val="en-GB"/>
        </w:rPr>
        <w:lastRenderedPageBreak/>
        <w:t>organizations' success. Necessary agility, innovation, and adaptability are required when facing external shocks. Investing in employees is crucial to provide them with the necessary skills and support to thrive in the evolving job market.</w:t>
      </w:r>
    </w:p>
    <w:p w14:paraId="2A0E431C" w14:textId="77777777" w:rsidR="00C12EE6" w:rsidRPr="00C12EE6" w:rsidRDefault="00C12EE6" w:rsidP="00C12EE6">
      <w:pPr>
        <w:spacing w:line="360" w:lineRule="auto"/>
        <w:jc w:val="both"/>
        <w:rPr>
          <w:rFonts w:ascii="Times New Roman" w:eastAsia="Times New Roman" w:hAnsi="Times New Roman" w:cs="Times New Roman"/>
          <w:b/>
          <w:bCs/>
          <w:color w:val="000000"/>
          <w:kern w:val="0"/>
          <w:sz w:val="24"/>
          <w:szCs w:val="24"/>
          <w:lang w:val="en-GB" w:eastAsia="en-IN"/>
          <w14:ligatures w14:val="none"/>
        </w:rPr>
      </w:pPr>
      <w:r w:rsidRPr="00C12EE6">
        <w:rPr>
          <w:rFonts w:ascii="Times New Roman" w:hAnsi="Times New Roman" w:cs="Times New Roman"/>
          <w:b/>
          <w:bCs/>
          <w:color w:val="000000"/>
          <w:sz w:val="24"/>
          <w:szCs w:val="24"/>
          <w:lang w:val="en-GB"/>
        </w:rPr>
        <w:br w:type="page"/>
      </w:r>
    </w:p>
    <w:p w14:paraId="02F4AB5B" w14:textId="09C6C8B3" w:rsidR="00C12EE6" w:rsidRPr="00C12EE6" w:rsidRDefault="00C12EE6" w:rsidP="00C12EE6">
      <w:pPr>
        <w:pStyle w:val="Heading1"/>
        <w:rPr>
          <w:lang w:val="en-GB"/>
        </w:rPr>
      </w:pPr>
      <w:bookmarkStart w:id="14" w:name="_Toc134026405"/>
      <w:r w:rsidRPr="00C12EE6">
        <w:rPr>
          <w:lang w:val="en-GB"/>
        </w:rPr>
        <w:lastRenderedPageBreak/>
        <w:t>Reference</w:t>
      </w:r>
      <w:bookmarkEnd w:id="14"/>
    </w:p>
    <w:p w14:paraId="594B107C"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Akinyooye, L. and </w:t>
      </w:r>
      <w:proofErr w:type="spellStart"/>
      <w:r w:rsidRPr="00C12EE6">
        <w:rPr>
          <w:color w:val="222222"/>
          <w:shd w:val="clear" w:color="auto" w:fill="FFFFFF"/>
          <w:lang w:val="en-GB"/>
        </w:rPr>
        <w:t>Nezamis</w:t>
      </w:r>
      <w:proofErr w:type="spellEnd"/>
      <w:r w:rsidRPr="00C12EE6">
        <w:rPr>
          <w:color w:val="222222"/>
          <w:shd w:val="clear" w:color="auto" w:fill="FFFFFF"/>
          <w:lang w:val="en-GB"/>
        </w:rPr>
        <w:t xml:space="preserve">, E., 2021. As the COVID-19 pandemic affects the nation, hires and turnover reach record highs in 2020. </w:t>
      </w:r>
      <w:r w:rsidRPr="00C12EE6">
        <w:rPr>
          <w:i/>
          <w:iCs/>
          <w:color w:val="222222"/>
          <w:shd w:val="clear" w:color="auto" w:fill="FFFFFF"/>
          <w:lang w:val="en-GB"/>
        </w:rPr>
        <w:t>Monthly Lab. Rev.</w:t>
      </w:r>
      <w:r w:rsidRPr="00C12EE6">
        <w:rPr>
          <w:color w:val="222222"/>
          <w:shd w:val="clear" w:color="auto" w:fill="FFFFFF"/>
          <w:lang w:val="en-GB"/>
        </w:rPr>
        <w:t xml:space="preserve">, </w:t>
      </w:r>
      <w:r w:rsidRPr="00C12EE6">
        <w:rPr>
          <w:i/>
          <w:iCs/>
          <w:color w:val="222222"/>
          <w:shd w:val="clear" w:color="auto" w:fill="FFFFFF"/>
          <w:lang w:val="en-GB"/>
        </w:rPr>
        <w:t>144</w:t>
      </w:r>
      <w:r w:rsidRPr="00C12EE6">
        <w:rPr>
          <w:color w:val="222222"/>
          <w:shd w:val="clear" w:color="auto" w:fill="FFFFFF"/>
          <w:lang w:val="en-GB"/>
        </w:rPr>
        <w:t xml:space="preserve">, p.1. Available at: </w:t>
      </w:r>
      <w:hyperlink r:id="rId8" w:history="1">
        <w:r w:rsidRPr="00C12EE6">
          <w:rPr>
            <w:rStyle w:val="Hyperlink"/>
            <w:rFonts w:eastAsiaTheme="majorEastAsia"/>
            <w:color w:val="1155CC"/>
            <w:shd w:val="clear" w:color="auto" w:fill="FFFFFF"/>
            <w:lang w:val="en-GB"/>
          </w:rPr>
          <w:t>https://fraser.stlouisfed.org/files/docs/publications/bls_mlr/bls_mlr_202106.pdf</w:t>
        </w:r>
      </w:hyperlink>
    </w:p>
    <w:p w14:paraId="2FC446D4"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Anderson, M., O'Neill, C., Clark, J.M., Street, A., Woods, M., Johnston-Webber, C., Charlesworth, A., Whyte, M., Foster, M., Majeed, A. and Pitchforth, E., 2021. Securing a sustainable and fit-for-purpose UK health and care workforce. </w:t>
      </w:r>
      <w:r w:rsidRPr="00C12EE6">
        <w:rPr>
          <w:i/>
          <w:iCs/>
          <w:color w:val="222222"/>
          <w:shd w:val="clear" w:color="auto" w:fill="FFFFFF"/>
          <w:lang w:val="en-GB"/>
        </w:rPr>
        <w:t>The Lancet</w:t>
      </w:r>
      <w:r w:rsidRPr="00C12EE6">
        <w:rPr>
          <w:color w:val="222222"/>
          <w:shd w:val="clear" w:color="auto" w:fill="FFFFFF"/>
          <w:lang w:val="en-GB"/>
        </w:rPr>
        <w:t xml:space="preserve">, </w:t>
      </w:r>
      <w:r w:rsidRPr="00C12EE6">
        <w:rPr>
          <w:i/>
          <w:iCs/>
          <w:color w:val="222222"/>
          <w:shd w:val="clear" w:color="auto" w:fill="FFFFFF"/>
          <w:lang w:val="en-GB"/>
        </w:rPr>
        <w:t>397</w:t>
      </w:r>
      <w:r w:rsidRPr="00C12EE6">
        <w:rPr>
          <w:color w:val="222222"/>
          <w:shd w:val="clear" w:color="auto" w:fill="FFFFFF"/>
          <w:lang w:val="en-GB"/>
        </w:rPr>
        <w:t xml:space="preserve">(10288), pp.1992-2011. Available at: </w:t>
      </w:r>
      <w:hyperlink r:id="rId9" w:history="1">
        <w:r w:rsidRPr="00C12EE6">
          <w:rPr>
            <w:rStyle w:val="Hyperlink"/>
            <w:rFonts w:eastAsiaTheme="majorEastAsia"/>
            <w:color w:val="1155CC"/>
            <w:shd w:val="clear" w:color="auto" w:fill="FFFFFF"/>
            <w:lang w:val="en-GB"/>
          </w:rPr>
          <w:t>https://www.ncbi.nlm.nih.gov/pmc/articles/PMC9634455/</w:t>
        </w:r>
      </w:hyperlink>
    </w:p>
    <w:p w14:paraId="17DE0E6E"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Baral, A., Liang, Y., Li, M., Gonzalez, M., </w:t>
      </w:r>
      <w:proofErr w:type="spellStart"/>
      <w:r w:rsidRPr="00C12EE6">
        <w:rPr>
          <w:color w:val="222222"/>
          <w:shd w:val="clear" w:color="auto" w:fill="FFFFFF"/>
          <w:lang w:val="en-GB"/>
        </w:rPr>
        <w:t>Shahandashti</w:t>
      </w:r>
      <w:proofErr w:type="spellEnd"/>
      <w:r w:rsidRPr="00C12EE6">
        <w:rPr>
          <w:color w:val="222222"/>
          <w:shd w:val="clear" w:color="auto" w:fill="FFFFFF"/>
          <w:lang w:val="en-GB"/>
        </w:rPr>
        <w:t xml:space="preserve">, M. and Ashuri, B., 2022. Impact of COVID-19 on the Diversity of the Construction Workforce. </w:t>
      </w:r>
      <w:r w:rsidRPr="00C12EE6">
        <w:rPr>
          <w:i/>
          <w:iCs/>
          <w:color w:val="222222"/>
          <w:shd w:val="clear" w:color="auto" w:fill="FFFFFF"/>
          <w:lang w:val="en-GB"/>
        </w:rPr>
        <w:t>Natural Hazards Review</w:t>
      </w:r>
      <w:r w:rsidRPr="00C12EE6">
        <w:rPr>
          <w:color w:val="222222"/>
          <w:shd w:val="clear" w:color="auto" w:fill="FFFFFF"/>
          <w:lang w:val="en-GB"/>
        </w:rPr>
        <w:t xml:space="preserve">, </w:t>
      </w:r>
      <w:r w:rsidRPr="00C12EE6">
        <w:rPr>
          <w:i/>
          <w:iCs/>
          <w:color w:val="222222"/>
          <w:shd w:val="clear" w:color="auto" w:fill="FFFFFF"/>
          <w:lang w:val="en-GB"/>
        </w:rPr>
        <w:t>23</w:t>
      </w:r>
      <w:r w:rsidRPr="00C12EE6">
        <w:rPr>
          <w:color w:val="222222"/>
          <w:shd w:val="clear" w:color="auto" w:fill="FFFFFF"/>
          <w:lang w:val="en-GB"/>
        </w:rPr>
        <w:t xml:space="preserve">(3), p.04022015. Available at: </w:t>
      </w:r>
      <w:hyperlink r:id="rId10" w:history="1">
        <w:r w:rsidRPr="00C12EE6">
          <w:rPr>
            <w:rStyle w:val="Hyperlink"/>
            <w:rFonts w:eastAsiaTheme="majorEastAsia"/>
            <w:color w:val="1155CC"/>
            <w:shd w:val="clear" w:color="auto" w:fill="FFFFFF"/>
            <w:lang w:val="en-GB"/>
          </w:rPr>
          <w:t>https://www.researchgate.net/profile/Anil-Baral-2/publication/358336336_Impact_of_COVID-19_on_the_Diversity_of_the_Construction_Workforce/links/6256fb274173a21a0d0f91ac/Impact-of-COVID-19-on-the-Diversity-of-the-Construction-Workforce.pdf</w:t>
        </w:r>
      </w:hyperlink>
    </w:p>
    <w:p w14:paraId="3CDC5C84"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Claeys, G., Darvas, Z.M., Demertzis, M. and Wolff, G.B., 2021. </w:t>
      </w:r>
      <w:r w:rsidRPr="00C12EE6">
        <w:rPr>
          <w:i/>
          <w:iCs/>
          <w:color w:val="222222"/>
          <w:shd w:val="clear" w:color="auto" w:fill="FFFFFF"/>
          <w:lang w:val="en-GB"/>
        </w:rPr>
        <w:t>The great COVID-19 divergence: managing a sustainable and equitable recovery in the European Union</w:t>
      </w:r>
      <w:r w:rsidRPr="00C12EE6">
        <w:rPr>
          <w:color w:val="222222"/>
          <w:shd w:val="clear" w:color="auto" w:fill="FFFFFF"/>
          <w:lang w:val="en-GB"/>
        </w:rPr>
        <w:t xml:space="preserve">. Bruegel. Available at: </w:t>
      </w:r>
      <w:hyperlink r:id="rId11" w:history="1">
        <w:r w:rsidRPr="00C12EE6">
          <w:rPr>
            <w:rStyle w:val="Hyperlink"/>
            <w:rFonts w:eastAsiaTheme="majorEastAsia"/>
            <w:color w:val="1155CC"/>
            <w:shd w:val="clear" w:color="auto" w:fill="FFFFFF"/>
            <w:lang w:val="en-GB"/>
          </w:rPr>
          <w:t>https://www.econstor.eu/bitstream/10419/251064/1/1776156129.pdf</w:t>
        </w:r>
      </w:hyperlink>
    </w:p>
    <w:p w14:paraId="6CD60386"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Flor, L.S., Friedman, J., Spencer, C.N., Cagney, J., Arrieta, A., Herbert, M.E., Stein, C., Mullany, E.C., Hon, J., Patwardhan, </w:t>
      </w:r>
      <w:proofErr w:type="gramStart"/>
      <w:r w:rsidRPr="00C12EE6">
        <w:rPr>
          <w:color w:val="222222"/>
          <w:shd w:val="clear" w:color="auto" w:fill="FFFFFF"/>
          <w:lang w:val="en-GB"/>
        </w:rPr>
        <w:t>V.</w:t>
      </w:r>
      <w:proofErr w:type="gramEnd"/>
      <w:r w:rsidRPr="00C12EE6">
        <w:rPr>
          <w:color w:val="222222"/>
          <w:shd w:val="clear" w:color="auto" w:fill="FFFFFF"/>
          <w:lang w:val="en-GB"/>
        </w:rPr>
        <w:t xml:space="preserve"> and Barber, R.M., 2022. Quantifying the effects of the COVID-19 pandemic on gender equality on health, social, and economic indicators: a comprehensive review of data from March, 2020, to September, 2021. </w:t>
      </w:r>
      <w:r w:rsidRPr="00C12EE6">
        <w:rPr>
          <w:i/>
          <w:iCs/>
          <w:color w:val="222222"/>
          <w:shd w:val="clear" w:color="auto" w:fill="FFFFFF"/>
          <w:lang w:val="en-GB"/>
        </w:rPr>
        <w:t>The Lancet</w:t>
      </w:r>
      <w:r w:rsidRPr="00C12EE6">
        <w:rPr>
          <w:color w:val="222222"/>
          <w:shd w:val="clear" w:color="auto" w:fill="FFFFFF"/>
          <w:lang w:val="en-GB"/>
        </w:rPr>
        <w:t xml:space="preserve">, </w:t>
      </w:r>
      <w:r w:rsidRPr="00C12EE6">
        <w:rPr>
          <w:i/>
          <w:iCs/>
          <w:color w:val="222222"/>
          <w:shd w:val="clear" w:color="auto" w:fill="FFFFFF"/>
          <w:lang w:val="en-GB"/>
        </w:rPr>
        <w:t>399</w:t>
      </w:r>
      <w:r w:rsidRPr="00C12EE6">
        <w:rPr>
          <w:color w:val="222222"/>
          <w:shd w:val="clear" w:color="auto" w:fill="FFFFFF"/>
          <w:lang w:val="en-GB"/>
        </w:rPr>
        <w:t xml:space="preserve">(10344), pp.2381-2397. Available at: </w:t>
      </w:r>
      <w:hyperlink r:id="rId12" w:history="1">
        <w:r w:rsidRPr="00C12EE6">
          <w:rPr>
            <w:rStyle w:val="Hyperlink"/>
            <w:rFonts w:eastAsiaTheme="majorEastAsia"/>
            <w:color w:val="1155CC"/>
            <w:shd w:val="clear" w:color="auto" w:fill="FFFFFF"/>
            <w:lang w:val="en-GB"/>
          </w:rPr>
          <w:t>https://www.thelancet.com/journals/lancet/article/PIIS0140-6736(22)00008-3/fulltext?ref=sparrow.science</w:t>
        </w:r>
      </w:hyperlink>
    </w:p>
    <w:p w14:paraId="69522822"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Gordon, R.J. and Sayed, H., 2022. </w:t>
      </w:r>
      <w:r w:rsidRPr="00C12EE6">
        <w:rPr>
          <w:i/>
          <w:iCs/>
          <w:color w:val="222222"/>
          <w:shd w:val="clear" w:color="auto" w:fill="FFFFFF"/>
          <w:lang w:val="en-GB"/>
        </w:rPr>
        <w:t>A New Interpretation of Productivity Growth Dynamics in the Pre-Pandemic and Pandemic Era US Economy, 1950-2022</w:t>
      </w:r>
      <w:r w:rsidRPr="00C12EE6">
        <w:rPr>
          <w:color w:val="222222"/>
          <w:shd w:val="clear" w:color="auto" w:fill="FFFFFF"/>
          <w:lang w:val="en-GB"/>
        </w:rPr>
        <w:t xml:space="preserve"> (No. w30267). National Bureau of Economic Research. Available at: </w:t>
      </w:r>
      <w:hyperlink r:id="rId13" w:history="1">
        <w:r w:rsidRPr="00C12EE6">
          <w:rPr>
            <w:rStyle w:val="Hyperlink"/>
            <w:rFonts w:eastAsiaTheme="majorEastAsia"/>
            <w:color w:val="1155CC"/>
            <w:shd w:val="clear" w:color="auto" w:fill="FFFFFF"/>
            <w:lang w:val="en-GB"/>
          </w:rPr>
          <w:t>https://www.nber.org/system/files/working_papers/w30267/w30267.pdf</w:t>
        </w:r>
      </w:hyperlink>
    </w:p>
    <w:p w14:paraId="0FDA9551"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Hanieh, A. and </w:t>
      </w:r>
      <w:proofErr w:type="spellStart"/>
      <w:r w:rsidRPr="00C12EE6">
        <w:rPr>
          <w:color w:val="222222"/>
          <w:shd w:val="clear" w:color="auto" w:fill="FFFFFF"/>
          <w:lang w:val="en-GB"/>
        </w:rPr>
        <w:t>Ziadah</w:t>
      </w:r>
      <w:proofErr w:type="spellEnd"/>
      <w:r w:rsidRPr="00C12EE6">
        <w:rPr>
          <w:color w:val="222222"/>
          <w:shd w:val="clear" w:color="auto" w:fill="FFFFFF"/>
          <w:lang w:val="en-GB"/>
        </w:rPr>
        <w:t xml:space="preserve">, R., 2022. Pandemic Effects: COVID‐19 and the Crisis of Development in the Middle East. </w:t>
      </w:r>
      <w:r w:rsidRPr="00C12EE6">
        <w:rPr>
          <w:i/>
          <w:iCs/>
          <w:color w:val="222222"/>
          <w:shd w:val="clear" w:color="auto" w:fill="FFFFFF"/>
          <w:lang w:val="en-GB"/>
        </w:rPr>
        <w:t>Development and Change</w:t>
      </w:r>
      <w:r w:rsidRPr="00C12EE6">
        <w:rPr>
          <w:color w:val="222222"/>
          <w:shd w:val="clear" w:color="auto" w:fill="FFFFFF"/>
          <w:lang w:val="en-GB"/>
        </w:rPr>
        <w:t xml:space="preserve">, </w:t>
      </w:r>
      <w:r w:rsidRPr="00C12EE6">
        <w:rPr>
          <w:i/>
          <w:iCs/>
          <w:color w:val="222222"/>
          <w:shd w:val="clear" w:color="auto" w:fill="FFFFFF"/>
          <w:lang w:val="en-GB"/>
        </w:rPr>
        <w:t>53</w:t>
      </w:r>
      <w:r w:rsidRPr="00C12EE6">
        <w:rPr>
          <w:color w:val="222222"/>
          <w:shd w:val="clear" w:color="auto" w:fill="FFFFFF"/>
          <w:lang w:val="en-GB"/>
        </w:rPr>
        <w:t xml:space="preserve">(6), pp.1308-1334. Available at: </w:t>
      </w:r>
      <w:hyperlink r:id="rId14" w:history="1">
        <w:r w:rsidRPr="00C12EE6">
          <w:rPr>
            <w:rStyle w:val="Hyperlink"/>
            <w:rFonts w:eastAsiaTheme="majorEastAsia"/>
            <w:color w:val="1155CC"/>
            <w:shd w:val="clear" w:color="auto" w:fill="FFFFFF"/>
            <w:lang w:val="en-GB"/>
          </w:rPr>
          <w:t>https://onlinelibrary.wiley.com/doi/pdf/10.1111/dech.12727</w:t>
        </w:r>
      </w:hyperlink>
    </w:p>
    <w:p w14:paraId="4F9F0CA8"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Hesketh, R., Summers, J. and Kleinman, M., 2021. Implications of the post-Brexit immigration system for temporary migration routes. Available at: </w:t>
      </w:r>
      <w:hyperlink r:id="rId15" w:history="1">
        <w:r w:rsidRPr="00C12EE6">
          <w:rPr>
            <w:rStyle w:val="Hyperlink"/>
            <w:rFonts w:eastAsiaTheme="majorEastAsia"/>
            <w:color w:val="1155CC"/>
            <w:shd w:val="clear" w:color="auto" w:fill="FFFFFF"/>
            <w:lang w:val="en-GB"/>
          </w:rPr>
          <w:t>https://kclpure.kcl.ac.uk/portal/files/161600942/implications_of_the_post_brexit_immigration_system_for_temporary_migration_routes.pdf</w:t>
        </w:r>
      </w:hyperlink>
    </w:p>
    <w:p w14:paraId="23B566C5"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lastRenderedPageBreak/>
        <w:t xml:space="preserve">Khan, I., Shah, D. and Shah, S.S., 2021. COVID-19 pandemic and its positive impacts on environment: an updated review. </w:t>
      </w:r>
      <w:r w:rsidRPr="00C12EE6">
        <w:rPr>
          <w:i/>
          <w:iCs/>
          <w:color w:val="222222"/>
          <w:shd w:val="clear" w:color="auto" w:fill="FFFFFF"/>
          <w:lang w:val="en-GB"/>
        </w:rPr>
        <w:t>International Journal of Environmental Science and Technology</w:t>
      </w:r>
      <w:r w:rsidRPr="00C12EE6">
        <w:rPr>
          <w:color w:val="222222"/>
          <w:shd w:val="clear" w:color="auto" w:fill="FFFFFF"/>
          <w:lang w:val="en-GB"/>
        </w:rPr>
        <w:t xml:space="preserve">, </w:t>
      </w:r>
      <w:r w:rsidRPr="00C12EE6">
        <w:rPr>
          <w:i/>
          <w:iCs/>
          <w:color w:val="222222"/>
          <w:shd w:val="clear" w:color="auto" w:fill="FFFFFF"/>
          <w:lang w:val="en-GB"/>
        </w:rPr>
        <w:t>18</w:t>
      </w:r>
      <w:r w:rsidRPr="00C12EE6">
        <w:rPr>
          <w:color w:val="222222"/>
          <w:shd w:val="clear" w:color="auto" w:fill="FFFFFF"/>
          <w:lang w:val="en-GB"/>
        </w:rPr>
        <w:t xml:space="preserve">, pp.521-530. Available at: </w:t>
      </w:r>
      <w:hyperlink r:id="rId16" w:history="1">
        <w:r w:rsidRPr="00C12EE6">
          <w:rPr>
            <w:rStyle w:val="Hyperlink"/>
            <w:rFonts w:eastAsiaTheme="majorEastAsia"/>
            <w:color w:val="1155CC"/>
            <w:shd w:val="clear" w:color="auto" w:fill="FFFFFF"/>
            <w:lang w:val="en-GB"/>
          </w:rPr>
          <w:t>https://link.springer.com/article/10.1007/s13762-020-03021-3</w:t>
        </w:r>
      </w:hyperlink>
    </w:p>
    <w:p w14:paraId="01344FF6" w14:textId="77777777" w:rsidR="00C12EE6" w:rsidRPr="00C12EE6" w:rsidRDefault="00C12EE6" w:rsidP="00C12EE6">
      <w:pPr>
        <w:pStyle w:val="NormalWeb"/>
        <w:spacing w:before="0" w:beforeAutospacing="0" w:after="0" w:afterAutospacing="0" w:line="360" w:lineRule="auto"/>
        <w:jc w:val="both"/>
        <w:rPr>
          <w:lang w:val="en-GB"/>
        </w:rPr>
      </w:pPr>
      <w:proofErr w:type="spellStart"/>
      <w:r w:rsidRPr="00C12EE6">
        <w:rPr>
          <w:color w:val="222222"/>
          <w:shd w:val="clear" w:color="auto" w:fill="FFFFFF"/>
          <w:lang w:val="en-GB"/>
        </w:rPr>
        <w:t>Marcén</w:t>
      </w:r>
      <w:proofErr w:type="spellEnd"/>
      <w:r w:rsidRPr="00C12EE6">
        <w:rPr>
          <w:color w:val="222222"/>
          <w:shd w:val="clear" w:color="auto" w:fill="FFFFFF"/>
          <w:lang w:val="en-GB"/>
        </w:rPr>
        <w:t xml:space="preserve">, M. and Morales, M., 2021. The intensity of COVID‐19 nonpharmaceutical interventions and </w:t>
      </w:r>
      <w:proofErr w:type="spellStart"/>
      <w:r w:rsidRPr="00C12EE6">
        <w:rPr>
          <w:color w:val="222222"/>
          <w:shd w:val="clear" w:color="auto" w:fill="FFFFFF"/>
          <w:lang w:val="en-GB"/>
        </w:rPr>
        <w:t>labor</w:t>
      </w:r>
      <w:proofErr w:type="spellEnd"/>
      <w:r w:rsidRPr="00C12EE6">
        <w:rPr>
          <w:color w:val="222222"/>
          <w:shd w:val="clear" w:color="auto" w:fill="FFFFFF"/>
          <w:lang w:val="en-GB"/>
        </w:rPr>
        <w:t xml:space="preserve"> market outcomes in the public sector. </w:t>
      </w:r>
      <w:r w:rsidRPr="00C12EE6">
        <w:rPr>
          <w:i/>
          <w:iCs/>
          <w:color w:val="222222"/>
          <w:shd w:val="clear" w:color="auto" w:fill="FFFFFF"/>
          <w:lang w:val="en-GB"/>
        </w:rPr>
        <w:t>Journal of regional science</w:t>
      </w:r>
      <w:r w:rsidRPr="00C12EE6">
        <w:rPr>
          <w:color w:val="222222"/>
          <w:shd w:val="clear" w:color="auto" w:fill="FFFFFF"/>
          <w:lang w:val="en-GB"/>
        </w:rPr>
        <w:t xml:space="preserve">, </w:t>
      </w:r>
      <w:r w:rsidRPr="00C12EE6">
        <w:rPr>
          <w:i/>
          <w:iCs/>
          <w:color w:val="222222"/>
          <w:shd w:val="clear" w:color="auto" w:fill="FFFFFF"/>
          <w:lang w:val="en-GB"/>
        </w:rPr>
        <w:t>61</w:t>
      </w:r>
      <w:r w:rsidRPr="00C12EE6">
        <w:rPr>
          <w:color w:val="222222"/>
          <w:shd w:val="clear" w:color="auto" w:fill="FFFFFF"/>
          <w:lang w:val="en-GB"/>
        </w:rPr>
        <w:t xml:space="preserve">(4), pp.775-798. Available at: </w:t>
      </w:r>
      <w:hyperlink r:id="rId17" w:history="1">
        <w:r w:rsidRPr="00C12EE6">
          <w:rPr>
            <w:rStyle w:val="Hyperlink"/>
            <w:rFonts w:eastAsiaTheme="majorEastAsia"/>
            <w:color w:val="1155CC"/>
            <w:shd w:val="clear" w:color="auto" w:fill="FFFFFF"/>
            <w:lang w:val="en-GB"/>
          </w:rPr>
          <w:t>https://onlinelibrary.wiley.com/doi/pdfdirect/10.1111/jors.12535</w:t>
        </w:r>
      </w:hyperlink>
    </w:p>
    <w:p w14:paraId="4EEC5347"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Patricia, A., 2020. LABOR MARKET AND SUSTAINABLE DEVELOPMENT IN THE CONTEXT OF THE ‘NEW NORMAL’–THREATS AND OPPORTUNITIES. </w:t>
      </w:r>
      <w:r w:rsidRPr="00C12EE6">
        <w:rPr>
          <w:i/>
          <w:iCs/>
          <w:color w:val="222222"/>
          <w:shd w:val="clear" w:color="auto" w:fill="FFFFFF"/>
          <w:lang w:val="en-GB"/>
        </w:rPr>
        <w:t xml:space="preserve">Annals </w:t>
      </w:r>
      <w:proofErr w:type="spellStart"/>
      <w:r w:rsidRPr="00C12EE6">
        <w:rPr>
          <w:i/>
          <w:iCs/>
          <w:color w:val="222222"/>
          <w:shd w:val="clear" w:color="auto" w:fill="FFFFFF"/>
          <w:lang w:val="en-GB"/>
        </w:rPr>
        <w:t>of'Constantin</w:t>
      </w:r>
      <w:proofErr w:type="spellEnd"/>
      <w:r w:rsidRPr="00C12EE6">
        <w:rPr>
          <w:i/>
          <w:iCs/>
          <w:color w:val="222222"/>
          <w:shd w:val="clear" w:color="auto" w:fill="FFFFFF"/>
          <w:lang w:val="en-GB"/>
        </w:rPr>
        <w:t xml:space="preserve"> </w:t>
      </w:r>
      <w:proofErr w:type="spellStart"/>
      <w:r w:rsidRPr="00C12EE6">
        <w:rPr>
          <w:i/>
          <w:iCs/>
          <w:color w:val="222222"/>
          <w:shd w:val="clear" w:color="auto" w:fill="FFFFFF"/>
          <w:lang w:val="en-GB"/>
        </w:rPr>
        <w:t>Brancusi'University</w:t>
      </w:r>
      <w:proofErr w:type="spellEnd"/>
      <w:r w:rsidRPr="00C12EE6">
        <w:rPr>
          <w:i/>
          <w:iCs/>
          <w:color w:val="222222"/>
          <w:shd w:val="clear" w:color="auto" w:fill="FFFFFF"/>
          <w:lang w:val="en-GB"/>
        </w:rPr>
        <w:t xml:space="preserve"> of Targu-Jiu. Economy Series</w:t>
      </w:r>
      <w:r w:rsidRPr="00C12EE6">
        <w:rPr>
          <w:color w:val="222222"/>
          <w:shd w:val="clear" w:color="auto" w:fill="FFFFFF"/>
          <w:lang w:val="en-GB"/>
        </w:rPr>
        <w:t xml:space="preserve">, </w:t>
      </w:r>
      <w:r w:rsidRPr="00C12EE6">
        <w:rPr>
          <w:i/>
          <w:iCs/>
          <w:color w:val="222222"/>
          <w:shd w:val="clear" w:color="auto" w:fill="FFFFFF"/>
          <w:lang w:val="en-GB"/>
        </w:rPr>
        <w:t>20</w:t>
      </w:r>
      <w:r w:rsidRPr="00C12EE6">
        <w:rPr>
          <w:color w:val="222222"/>
          <w:shd w:val="clear" w:color="auto" w:fill="FFFFFF"/>
          <w:lang w:val="en-GB"/>
        </w:rPr>
        <w:t xml:space="preserve">(5). Available at: </w:t>
      </w:r>
      <w:hyperlink r:id="rId18" w:history="1">
        <w:r w:rsidRPr="00C12EE6">
          <w:rPr>
            <w:rStyle w:val="Hyperlink"/>
            <w:rFonts w:eastAsiaTheme="majorEastAsia"/>
            <w:color w:val="1155CC"/>
            <w:shd w:val="clear" w:color="auto" w:fill="FFFFFF"/>
            <w:lang w:val="en-GB"/>
          </w:rPr>
          <w:t>https://www.utgjiu.ro/revista/ec/pdf/2020-05/28_Ardeljan.pdf</w:t>
        </w:r>
      </w:hyperlink>
    </w:p>
    <w:p w14:paraId="5B43AC80"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Portes, J. and </w:t>
      </w:r>
      <w:proofErr w:type="spellStart"/>
      <w:r w:rsidRPr="00C12EE6">
        <w:rPr>
          <w:color w:val="222222"/>
          <w:shd w:val="clear" w:color="auto" w:fill="FFFFFF"/>
          <w:lang w:val="en-GB"/>
        </w:rPr>
        <w:t>Springford</w:t>
      </w:r>
      <w:proofErr w:type="spellEnd"/>
      <w:r w:rsidRPr="00C12EE6">
        <w:rPr>
          <w:color w:val="222222"/>
          <w:shd w:val="clear" w:color="auto" w:fill="FFFFFF"/>
          <w:lang w:val="en-GB"/>
        </w:rPr>
        <w:t xml:space="preserve">, J., 2023. </w:t>
      </w:r>
      <w:r w:rsidRPr="00C12EE6">
        <w:rPr>
          <w:i/>
          <w:iCs/>
          <w:color w:val="222222"/>
          <w:shd w:val="clear" w:color="auto" w:fill="FFFFFF"/>
          <w:lang w:val="en-GB"/>
        </w:rPr>
        <w:t>The Impact of the Post-Brexit Migration System on the UK Labour Market</w:t>
      </w:r>
      <w:r w:rsidRPr="00C12EE6">
        <w:rPr>
          <w:color w:val="222222"/>
          <w:shd w:val="clear" w:color="auto" w:fill="FFFFFF"/>
          <w:lang w:val="en-GB"/>
        </w:rPr>
        <w:t xml:space="preserve"> (No. 15883). Institute of Labor Economics (IZA). Available at: </w:t>
      </w:r>
      <w:hyperlink r:id="rId19" w:history="1">
        <w:r w:rsidRPr="00C12EE6">
          <w:rPr>
            <w:rStyle w:val="Hyperlink"/>
            <w:rFonts w:eastAsiaTheme="majorEastAsia"/>
            <w:color w:val="1155CC"/>
            <w:shd w:val="clear" w:color="auto" w:fill="FFFFFF"/>
            <w:lang w:val="en-GB"/>
          </w:rPr>
          <w:t>https://docs.iza.org/dp15883.pdf</w:t>
        </w:r>
      </w:hyperlink>
    </w:p>
    <w:p w14:paraId="4E3D8A68" w14:textId="77777777" w:rsidR="00C12EE6" w:rsidRPr="00C12EE6" w:rsidRDefault="00C12EE6" w:rsidP="00C12EE6">
      <w:pPr>
        <w:pStyle w:val="NormalWeb"/>
        <w:spacing w:before="0" w:beforeAutospacing="0" w:after="0" w:afterAutospacing="0" w:line="360" w:lineRule="auto"/>
        <w:jc w:val="both"/>
        <w:rPr>
          <w:lang w:val="en-GB"/>
        </w:rPr>
      </w:pPr>
      <w:r w:rsidRPr="00C12EE6">
        <w:rPr>
          <w:color w:val="222222"/>
          <w:shd w:val="clear" w:color="auto" w:fill="FFFFFF"/>
          <w:lang w:val="en-GB"/>
        </w:rPr>
        <w:t xml:space="preserve">Portes, J., 2022. Immigration and the UK Economy after Brexit. </w:t>
      </w:r>
      <w:r w:rsidRPr="00C12EE6">
        <w:rPr>
          <w:i/>
          <w:iCs/>
          <w:color w:val="222222"/>
          <w:shd w:val="clear" w:color="auto" w:fill="FFFFFF"/>
          <w:lang w:val="en-GB"/>
        </w:rPr>
        <w:t>Oxford Review of Economic Policy</w:t>
      </w:r>
      <w:r w:rsidRPr="00C12EE6">
        <w:rPr>
          <w:color w:val="222222"/>
          <w:shd w:val="clear" w:color="auto" w:fill="FFFFFF"/>
          <w:lang w:val="en-GB"/>
        </w:rPr>
        <w:t xml:space="preserve">, </w:t>
      </w:r>
      <w:r w:rsidRPr="00C12EE6">
        <w:rPr>
          <w:i/>
          <w:iCs/>
          <w:color w:val="222222"/>
          <w:shd w:val="clear" w:color="auto" w:fill="FFFFFF"/>
          <w:lang w:val="en-GB"/>
        </w:rPr>
        <w:t>38</w:t>
      </w:r>
      <w:r w:rsidRPr="00C12EE6">
        <w:rPr>
          <w:color w:val="222222"/>
          <w:shd w:val="clear" w:color="auto" w:fill="FFFFFF"/>
          <w:lang w:val="en-GB"/>
        </w:rPr>
        <w:t xml:space="preserve">(1), pp.82-96. Available at: </w:t>
      </w:r>
      <w:hyperlink r:id="rId20" w:history="1">
        <w:r w:rsidRPr="00C12EE6">
          <w:rPr>
            <w:rStyle w:val="Hyperlink"/>
            <w:rFonts w:eastAsiaTheme="majorEastAsia"/>
            <w:color w:val="1155CC"/>
            <w:shd w:val="clear" w:color="auto" w:fill="FFFFFF"/>
            <w:lang w:val="en-GB"/>
          </w:rPr>
          <w:t>https://academic.oup.com/oxrep/article-pdf/38/1/82/42274075/grab045.pdf</w:t>
        </w:r>
      </w:hyperlink>
    </w:p>
    <w:p w14:paraId="29F3A4CE" w14:textId="77777777" w:rsidR="00C12EE6" w:rsidRPr="00C12EE6" w:rsidRDefault="00C12EE6" w:rsidP="00C12EE6">
      <w:pPr>
        <w:pStyle w:val="NormalWeb"/>
        <w:spacing w:before="0" w:beforeAutospacing="0" w:after="0" w:afterAutospacing="0" w:line="360" w:lineRule="auto"/>
        <w:jc w:val="both"/>
        <w:rPr>
          <w:lang w:val="en-GB"/>
        </w:rPr>
      </w:pPr>
      <w:proofErr w:type="spellStart"/>
      <w:r w:rsidRPr="00C12EE6">
        <w:rPr>
          <w:color w:val="222222"/>
          <w:shd w:val="clear" w:color="auto" w:fill="FFFFFF"/>
          <w:lang w:val="en-GB"/>
        </w:rPr>
        <w:t>Roumpi</w:t>
      </w:r>
      <w:proofErr w:type="spellEnd"/>
      <w:r w:rsidRPr="00C12EE6">
        <w:rPr>
          <w:color w:val="222222"/>
          <w:shd w:val="clear" w:color="auto" w:fill="FFFFFF"/>
          <w:lang w:val="en-GB"/>
        </w:rPr>
        <w:t xml:space="preserve">, D., 2021. Rethinking the strategic management of human resources: lessons learned from Covid-19 and the way forward in building resilience. </w:t>
      </w:r>
      <w:r w:rsidRPr="00C12EE6">
        <w:rPr>
          <w:i/>
          <w:iCs/>
          <w:color w:val="222222"/>
          <w:shd w:val="clear" w:color="auto" w:fill="FFFFFF"/>
          <w:lang w:val="en-GB"/>
        </w:rPr>
        <w:t>International Journal of Organizational Analysis</w:t>
      </w:r>
      <w:r w:rsidRPr="00C12EE6">
        <w:rPr>
          <w:color w:val="222222"/>
          <w:shd w:val="clear" w:color="auto" w:fill="FFFFFF"/>
          <w:lang w:val="en-GB"/>
        </w:rPr>
        <w:t xml:space="preserve">, (ahead-of-print). Available at: </w:t>
      </w:r>
      <w:hyperlink r:id="rId21" w:history="1">
        <w:r w:rsidRPr="00C12EE6">
          <w:rPr>
            <w:rStyle w:val="Hyperlink"/>
            <w:rFonts w:eastAsiaTheme="majorEastAsia"/>
            <w:color w:val="1155CC"/>
            <w:shd w:val="clear" w:color="auto" w:fill="FFFFFF"/>
            <w:lang w:val="en-GB"/>
          </w:rPr>
          <w:t>https://www.emerald.com/insight/content/doi/10.1108/IJOA-09-2021-2974/full/html?fbclid=IwAR3huRDMPhk0QHQNUd2XlceI0jcwUoalyKOaxSU7vIrRMRuuwS2o6Pm57jw&amp;utm_source=TrendMD&amp;utm_medium=cpc&amp;utm_campaign=International_Journal_of_Organizational_Analysis_TrendMD_0&amp;WT.mc_id=Emerald_TrendMD_0</w:t>
        </w:r>
      </w:hyperlink>
    </w:p>
    <w:p w14:paraId="03063155" w14:textId="77777777" w:rsidR="00C12EE6" w:rsidRPr="00C12EE6" w:rsidRDefault="00C12EE6" w:rsidP="00C12EE6">
      <w:pPr>
        <w:pStyle w:val="NormalWeb"/>
        <w:spacing w:before="0" w:beforeAutospacing="0" w:after="0" w:afterAutospacing="0" w:line="360" w:lineRule="auto"/>
        <w:jc w:val="both"/>
        <w:rPr>
          <w:lang w:val="en-GB"/>
        </w:rPr>
      </w:pPr>
      <w:proofErr w:type="spellStart"/>
      <w:r w:rsidRPr="00C12EE6">
        <w:rPr>
          <w:color w:val="222222"/>
          <w:shd w:val="clear" w:color="auto" w:fill="FFFFFF"/>
          <w:lang w:val="en-GB"/>
        </w:rPr>
        <w:t>Siriwardhana</w:t>
      </w:r>
      <w:proofErr w:type="spellEnd"/>
      <w:r w:rsidRPr="00C12EE6">
        <w:rPr>
          <w:color w:val="222222"/>
          <w:shd w:val="clear" w:color="auto" w:fill="FFFFFF"/>
          <w:lang w:val="en-GB"/>
        </w:rPr>
        <w:t xml:space="preserve">, Y., Gür, G., </w:t>
      </w:r>
      <w:proofErr w:type="spellStart"/>
      <w:r w:rsidRPr="00C12EE6">
        <w:rPr>
          <w:color w:val="222222"/>
          <w:shd w:val="clear" w:color="auto" w:fill="FFFFFF"/>
          <w:lang w:val="en-GB"/>
        </w:rPr>
        <w:t>Ylianttila</w:t>
      </w:r>
      <w:proofErr w:type="spellEnd"/>
      <w:r w:rsidRPr="00C12EE6">
        <w:rPr>
          <w:color w:val="222222"/>
          <w:shd w:val="clear" w:color="auto" w:fill="FFFFFF"/>
          <w:lang w:val="en-GB"/>
        </w:rPr>
        <w:t xml:space="preserve">, M. and Liyanage, M., 2021. The role of 5G for digital healthcare against COVID-19 pandemic: Opportunities and challenges. </w:t>
      </w:r>
      <w:proofErr w:type="spellStart"/>
      <w:r w:rsidRPr="00C12EE6">
        <w:rPr>
          <w:i/>
          <w:iCs/>
          <w:color w:val="222222"/>
          <w:shd w:val="clear" w:color="auto" w:fill="FFFFFF"/>
          <w:lang w:val="en-GB"/>
        </w:rPr>
        <w:t>Ict</w:t>
      </w:r>
      <w:proofErr w:type="spellEnd"/>
      <w:r w:rsidRPr="00C12EE6">
        <w:rPr>
          <w:i/>
          <w:iCs/>
          <w:color w:val="222222"/>
          <w:shd w:val="clear" w:color="auto" w:fill="FFFFFF"/>
          <w:lang w:val="en-GB"/>
        </w:rPr>
        <w:t xml:space="preserve"> Express</w:t>
      </w:r>
      <w:r w:rsidRPr="00C12EE6">
        <w:rPr>
          <w:color w:val="222222"/>
          <w:shd w:val="clear" w:color="auto" w:fill="FFFFFF"/>
          <w:lang w:val="en-GB"/>
        </w:rPr>
        <w:t xml:space="preserve">, </w:t>
      </w:r>
      <w:r w:rsidRPr="00C12EE6">
        <w:rPr>
          <w:i/>
          <w:iCs/>
          <w:color w:val="222222"/>
          <w:shd w:val="clear" w:color="auto" w:fill="FFFFFF"/>
          <w:lang w:val="en-GB"/>
        </w:rPr>
        <w:t>7</w:t>
      </w:r>
      <w:r w:rsidRPr="00C12EE6">
        <w:rPr>
          <w:color w:val="222222"/>
          <w:shd w:val="clear" w:color="auto" w:fill="FFFFFF"/>
          <w:lang w:val="en-GB"/>
        </w:rPr>
        <w:t xml:space="preserve">(2), pp.244-252. Available at: </w:t>
      </w:r>
      <w:hyperlink r:id="rId22" w:history="1">
        <w:r w:rsidRPr="00C12EE6">
          <w:rPr>
            <w:rStyle w:val="Hyperlink"/>
            <w:rFonts w:eastAsiaTheme="majorEastAsia"/>
            <w:color w:val="1155CC"/>
            <w:shd w:val="clear" w:color="auto" w:fill="FFFFFF"/>
            <w:lang w:val="en-GB"/>
          </w:rPr>
          <w:t>https://www.sciencedirect.com/science/article/pii/S2405959520304744</w:t>
        </w:r>
      </w:hyperlink>
    </w:p>
    <w:p w14:paraId="1F9F29BA" w14:textId="77777777" w:rsidR="00C12EE6" w:rsidRPr="00C12EE6" w:rsidRDefault="00C12EE6" w:rsidP="00C12EE6">
      <w:pPr>
        <w:pStyle w:val="NormalWeb"/>
        <w:spacing w:before="0" w:beforeAutospacing="0" w:after="0" w:afterAutospacing="0" w:line="360" w:lineRule="auto"/>
        <w:jc w:val="both"/>
        <w:rPr>
          <w:lang w:val="en-GB"/>
        </w:rPr>
      </w:pPr>
      <w:proofErr w:type="spellStart"/>
      <w:r w:rsidRPr="00C12EE6">
        <w:rPr>
          <w:color w:val="222222"/>
          <w:shd w:val="clear" w:color="auto" w:fill="FFFFFF"/>
          <w:lang w:val="en-GB"/>
        </w:rPr>
        <w:t>Vaiman</w:t>
      </w:r>
      <w:proofErr w:type="spellEnd"/>
      <w:r w:rsidRPr="00C12EE6">
        <w:rPr>
          <w:color w:val="222222"/>
          <w:shd w:val="clear" w:color="auto" w:fill="FFFFFF"/>
          <w:lang w:val="en-GB"/>
        </w:rPr>
        <w:t xml:space="preserve">, V., Cascio, W.F., Collings, D.G. and Swider, B.W., 2021. The shifting boundaries of talent management. </w:t>
      </w:r>
      <w:r w:rsidRPr="00C12EE6">
        <w:rPr>
          <w:i/>
          <w:iCs/>
          <w:color w:val="222222"/>
          <w:shd w:val="clear" w:color="auto" w:fill="FFFFFF"/>
          <w:lang w:val="en-GB"/>
        </w:rPr>
        <w:t>Human Resource Management</w:t>
      </w:r>
      <w:r w:rsidRPr="00C12EE6">
        <w:rPr>
          <w:color w:val="222222"/>
          <w:shd w:val="clear" w:color="auto" w:fill="FFFFFF"/>
          <w:lang w:val="en-GB"/>
        </w:rPr>
        <w:t xml:space="preserve">, </w:t>
      </w:r>
      <w:r w:rsidRPr="00C12EE6">
        <w:rPr>
          <w:i/>
          <w:iCs/>
          <w:color w:val="222222"/>
          <w:shd w:val="clear" w:color="auto" w:fill="FFFFFF"/>
          <w:lang w:val="en-GB"/>
        </w:rPr>
        <w:t>60</w:t>
      </w:r>
      <w:r w:rsidRPr="00C12EE6">
        <w:rPr>
          <w:color w:val="222222"/>
          <w:shd w:val="clear" w:color="auto" w:fill="FFFFFF"/>
          <w:lang w:val="en-GB"/>
        </w:rPr>
        <w:t xml:space="preserve">(2), pp.253-257. Available at: </w:t>
      </w:r>
      <w:hyperlink r:id="rId23" w:history="1">
        <w:r w:rsidRPr="00C12EE6">
          <w:rPr>
            <w:rStyle w:val="Hyperlink"/>
            <w:rFonts w:eastAsiaTheme="majorEastAsia"/>
            <w:color w:val="1155CC"/>
            <w:shd w:val="clear" w:color="auto" w:fill="FFFFFF"/>
            <w:lang w:val="en-GB"/>
          </w:rPr>
          <w:t>https://www.researchgate.net/profile/Vlad-Vaiman-2/publication/349967658_The_shifting_boundaries_of_talent_management/links/6400fa5a0cf1030a566794b7/The-shifting-boundaries-of-talent-management.pdf</w:t>
        </w:r>
      </w:hyperlink>
    </w:p>
    <w:p w14:paraId="38107F9E" w14:textId="77777777" w:rsidR="00C12EE6" w:rsidRPr="00C12EE6" w:rsidRDefault="00C12EE6" w:rsidP="00C12EE6">
      <w:pPr>
        <w:pStyle w:val="NormalWeb"/>
        <w:spacing w:before="0" w:beforeAutospacing="0" w:after="0" w:afterAutospacing="0" w:line="360" w:lineRule="auto"/>
        <w:jc w:val="both"/>
        <w:rPr>
          <w:lang w:val="en-GB"/>
        </w:rPr>
      </w:pPr>
      <w:proofErr w:type="spellStart"/>
      <w:r w:rsidRPr="00C12EE6">
        <w:rPr>
          <w:color w:val="222222"/>
          <w:shd w:val="clear" w:color="auto" w:fill="FFFFFF"/>
          <w:lang w:val="en-GB"/>
        </w:rPr>
        <w:lastRenderedPageBreak/>
        <w:t>Wozolek</w:t>
      </w:r>
      <w:proofErr w:type="spellEnd"/>
      <w:r w:rsidRPr="00C12EE6">
        <w:rPr>
          <w:color w:val="222222"/>
          <w:shd w:val="clear" w:color="auto" w:fill="FFFFFF"/>
          <w:lang w:val="en-GB"/>
        </w:rPr>
        <w:t xml:space="preserve">, B. ed., 2022. </w:t>
      </w:r>
      <w:r w:rsidRPr="00C12EE6">
        <w:rPr>
          <w:i/>
          <w:iCs/>
          <w:color w:val="222222"/>
          <w:shd w:val="clear" w:color="auto" w:fill="FFFFFF"/>
          <w:lang w:val="en-GB"/>
        </w:rPr>
        <w:t>Black Lives Matter in US Schools: Race, Education, and Resistance</w:t>
      </w:r>
      <w:r w:rsidRPr="00C12EE6">
        <w:rPr>
          <w:color w:val="222222"/>
          <w:shd w:val="clear" w:color="auto" w:fill="FFFFFF"/>
          <w:lang w:val="en-GB"/>
        </w:rPr>
        <w:t xml:space="preserve">. State University of New York Press. Available at: </w:t>
      </w:r>
      <w:hyperlink r:id="rId24" w:history="1">
        <w:r w:rsidRPr="00C12EE6">
          <w:rPr>
            <w:rStyle w:val="Hyperlink"/>
            <w:rFonts w:eastAsiaTheme="majorEastAsia"/>
            <w:color w:val="1155CC"/>
            <w:shd w:val="clear" w:color="auto" w:fill="FFFFFF"/>
            <w:lang w:val="en-GB"/>
          </w:rPr>
          <w:t>https://books.google.com/books?hl=en&amp;lr=&amp;id=ESVbEAAAQBAJ&amp;oi=fnd&amp;pg=PT7&amp;dq=Social+justice+movements+like+Black+Lives+Matter+emphasize+the+significance+of+establishing+discrimination-free+workplaces&amp;ots=_pVR3qFSec&amp;sig=gPtPLo8c5Iw1ZU6Yi7OweY80pLM</w:t>
        </w:r>
      </w:hyperlink>
    </w:p>
    <w:p w14:paraId="06BB6912" w14:textId="77777777" w:rsidR="00C12EE6" w:rsidRPr="00C12EE6" w:rsidRDefault="00C12EE6" w:rsidP="00C12EE6">
      <w:pPr>
        <w:pStyle w:val="NormalWeb"/>
        <w:spacing w:before="0" w:beforeAutospacing="0" w:after="240" w:afterAutospacing="0" w:line="360" w:lineRule="atLeast"/>
        <w:rPr>
          <w:color w:val="000000"/>
          <w:lang w:val="en-GB"/>
        </w:rPr>
      </w:pPr>
      <w:r w:rsidRPr="00C12EE6">
        <w:rPr>
          <w:i/>
          <w:iCs/>
          <w:color w:val="000000"/>
          <w:lang w:val="en-GB"/>
        </w:rPr>
        <w:t>UK employment rate 2022 | Statista</w:t>
      </w:r>
      <w:r w:rsidRPr="00C12EE6">
        <w:rPr>
          <w:color w:val="000000"/>
          <w:lang w:val="en-GB"/>
        </w:rPr>
        <w:t> 2022, Statista, Statista, viewed 3 May 2023, &lt;https://www.statista.com/statistics/281992/employment-rate-in-the-united-kingdom/&gt;.</w:t>
      </w:r>
    </w:p>
    <w:p w14:paraId="0956D2A8" w14:textId="77777777" w:rsidR="00C12EE6" w:rsidRPr="00C12EE6" w:rsidRDefault="00C12EE6" w:rsidP="00C12EE6">
      <w:pPr>
        <w:pStyle w:val="NormalWeb"/>
        <w:spacing w:before="0" w:beforeAutospacing="0" w:after="240" w:afterAutospacing="0" w:line="360" w:lineRule="atLeast"/>
        <w:rPr>
          <w:color w:val="000000"/>
          <w:lang w:val="en-GB"/>
        </w:rPr>
      </w:pPr>
    </w:p>
    <w:p w14:paraId="5EBA8BC3" w14:textId="77777777" w:rsidR="00C12EE6" w:rsidRPr="00C12EE6" w:rsidRDefault="00C12EE6" w:rsidP="00C12EE6">
      <w:pPr>
        <w:pStyle w:val="NormalWeb"/>
        <w:rPr>
          <w:color w:val="000000"/>
          <w:lang w:val="en-GB"/>
        </w:rPr>
      </w:pPr>
      <w:r w:rsidRPr="00C12EE6">
        <w:rPr>
          <w:color w:val="000000"/>
          <w:lang w:val="en-GB"/>
        </w:rPr>
        <w:t>‌</w:t>
      </w:r>
    </w:p>
    <w:p w14:paraId="47D3F283" w14:textId="77777777" w:rsidR="00D31F87" w:rsidRPr="00C12EE6" w:rsidRDefault="00D31F87" w:rsidP="00C12EE6">
      <w:pPr>
        <w:spacing w:line="360" w:lineRule="auto"/>
        <w:jc w:val="both"/>
        <w:rPr>
          <w:rFonts w:ascii="Times New Roman" w:hAnsi="Times New Roman" w:cs="Times New Roman"/>
          <w:sz w:val="24"/>
          <w:szCs w:val="24"/>
          <w:lang w:val="en-GB"/>
        </w:rPr>
      </w:pPr>
    </w:p>
    <w:sectPr w:rsidR="00D31F87" w:rsidRPr="00C12EE6" w:rsidSect="00C12EE6">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468FA" w14:textId="77777777" w:rsidR="00455D1C" w:rsidRDefault="00455D1C" w:rsidP="00C12EE6">
      <w:pPr>
        <w:spacing w:after="0" w:line="240" w:lineRule="auto"/>
      </w:pPr>
      <w:r>
        <w:separator/>
      </w:r>
    </w:p>
  </w:endnote>
  <w:endnote w:type="continuationSeparator" w:id="0">
    <w:p w14:paraId="6E551D53" w14:textId="77777777" w:rsidR="00455D1C" w:rsidRDefault="00455D1C" w:rsidP="00C12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17021495"/>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6B22A58A" w14:textId="41D58782" w:rsidR="00C12EE6" w:rsidRPr="00C12EE6" w:rsidRDefault="00C12EE6">
            <w:pPr>
              <w:pStyle w:val="Footer"/>
              <w:jc w:val="right"/>
              <w:rPr>
                <w:rFonts w:ascii="Times New Roman" w:hAnsi="Times New Roman" w:cs="Times New Roman"/>
                <w:sz w:val="24"/>
                <w:szCs w:val="24"/>
              </w:rPr>
            </w:pPr>
            <w:r w:rsidRPr="00C12EE6">
              <w:rPr>
                <w:rFonts w:ascii="Times New Roman" w:hAnsi="Times New Roman" w:cs="Times New Roman"/>
                <w:sz w:val="24"/>
                <w:szCs w:val="24"/>
              </w:rPr>
              <w:t xml:space="preserve">Page </w:t>
            </w:r>
            <w:r w:rsidRPr="00C12EE6">
              <w:rPr>
                <w:rFonts w:ascii="Times New Roman" w:hAnsi="Times New Roman" w:cs="Times New Roman"/>
                <w:b/>
                <w:bCs/>
                <w:sz w:val="24"/>
                <w:szCs w:val="24"/>
              </w:rPr>
              <w:fldChar w:fldCharType="begin"/>
            </w:r>
            <w:r w:rsidRPr="00C12EE6">
              <w:rPr>
                <w:rFonts w:ascii="Times New Roman" w:hAnsi="Times New Roman" w:cs="Times New Roman"/>
                <w:b/>
                <w:bCs/>
                <w:sz w:val="24"/>
                <w:szCs w:val="24"/>
              </w:rPr>
              <w:instrText xml:space="preserve"> PAGE </w:instrText>
            </w:r>
            <w:r w:rsidRPr="00C12EE6">
              <w:rPr>
                <w:rFonts w:ascii="Times New Roman" w:hAnsi="Times New Roman" w:cs="Times New Roman"/>
                <w:b/>
                <w:bCs/>
                <w:sz w:val="24"/>
                <w:szCs w:val="24"/>
              </w:rPr>
              <w:fldChar w:fldCharType="separate"/>
            </w:r>
            <w:r w:rsidRPr="00C12EE6">
              <w:rPr>
                <w:rFonts w:ascii="Times New Roman" w:hAnsi="Times New Roman" w:cs="Times New Roman"/>
                <w:b/>
                <w:bCs/>
                <w:noProof/>
                <w:sz w:val="24"/>
                <w:szCs w:val="24"/>
              </w:rPr>
              <w:t>2</w:t>
            </w:r>
            <w:r w:rsidRPr="00C12EE6">
              <w:rPr>
                <w:rFonts w:ascii="Times New Roman" w:hAnsi="Times New Roman" w:cs="Times New Roman"/>
                <w:b/>
                <w:bCs/>
                <w:sz w:val="24"/>
                <w:szCs w:val="24"/>
              </w:rPr>
              <w:fldChar w:fldCharType="end"/>
            </w:r>
            <w:r w:rsidRPr="00C12EE6">
              <w:rPr>
                <w:rFonts w:ascii="Times New Roman" w:hAnsi="Times New Roman" w:cs="Times New Roman"/>
                <w:sz w:val="24"/>
                <w:szCs w:val="24"/>
              </w:rPr>
              <w:t xml:space="preserve"> of </w:t>
            </w:r>
            <w:r w:rsidRPr="00C12EE6">
              <w:rPr>
                <w:rFonts w:ascii="Times New Roman" w:hAnsi="Times New Roman" w:cs="Times New Roman"/>
                <w:b/>
                <w:bCs/>
                <w:sz w:val="24"/>
                <w:szCs w:val="24"/>
              </w:rPr>
              <w:fldChar w:fldCharType="begin"/>
            </w:r>
            <w:r w:rsidRPr="00C12EE6">
              <w:rPr>
                <w:rFonts w:ascii="Times New Roman" w:hAnsi="Times New Roman" w:cs="Times New Roman"/>
                <w:b/>
                <w:bCs/>
                <w:sz w:val="24"/>
                <w:szCs w:val="24"/>
              </w:rPr>
              <w:instrText xml:space="preserve"> NUMPAGES  </w:instrText>
            </w:r>
            <w:r w:rsidRPr="00C12EE6">
              <w:rPr>
                <w:rFonts w:ascii="Times New Roman" w:hAnsi="Times New Roman" w:cs="Times New Roman"/>
                <w:b/>
                <w:bCs/>
                <w:sz w:val="24"/>
                <w:szCs w:val="24"/>
              </w:rPr>
              <w:fldChar w:fldCharType="separate"/>
            </w:r>
            <w:r w:rsidRPr="00C12EE6">
              <w:rPr>
                <w:rFonts w:ascii="Times New Roman" w:hAnsi="Times New Roman" w:cs="Times New Roman"/>
                <w:b/>
                <w:bCs/>
                <w:noProof/>
                <w:sz w:val="24"/>
                <w:szCs w:val="24"/>
              </w:rPr>
              <w:t>2</w:t>
            </w:r>
            <w:r w:rsidRPr="00C12EE6">
              <w:rPr>
                <w:rFonts w:ascii="Times New Roman" w:hAnsi="Times New Roman" w:cs="Times New Roman"/>
                <w:b/>
                <w:bCs/>
                <w:sz w:val="24"/>
                <w:szCs w:val="24"/>
              </w:rPr>
              <w:fldChar w:fldCharType="end"/>
            </w:r>
          </w:p>
        </w:sdtContent>
      </w:sdt>
    </w:sdtContent>
  </w:sdt>
  <w:p w14:paraId="6EBA8233" w14:textId="77777777" w:rsidR="00C12EE6" w:rsidRPr="00C12EE6" w:rsidRDefault="00C12EE6">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72E1C" w14:textId="77777777" w:rsidR="00455D1C" w:rsidRDefault="00455D1C" w:rsidP="00C12EE6">
      <w:pPr>
        <w:spacing w:after="0" w:line="240" w:lineRule="auto"/>
      </w:pPr>
      <w:r>
        <w:separator/>
      </w:r>
    </w:p>
  </w:footnote>
  <w:footnote w:type="continuationSeparator" w:id="0">
    <w:p w14:paraId="387A8BF4" w14:textId="77777777" w:rsidR="00455D1C" w:rsidRDefault="00455D1C" w:rsidP="00C12E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EE6"/>
    <w:rsid w:val="000839A8"/>
    <w:rsid w:val="00455D1C"/>
    <w:rsid w:val="00657D91"/>
    <w:rsid w:val="009140C0"/>
    <w:rsid w:val="00A639DA"/>
    <w:rsid w:val="00C12EE6"/>
    <w:rsid w:val="00D31F87"/>
    <w:rsid w:val="00DA29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4270A"/>
  <w15:chartTrackingRefBased/>
  <w15:docId w15:val="{8546F023-F759-46CB-9C0B-4DEFEBFF0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EE6"/>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C12EE6"/>
    <w:pPr>
      <w:keepNext/>
      <w:keepLines/>
      <w:spacing w:before="40" w:after="0"/>
      <w:outlineLvl w:val="1"/>
    </w:pPr>
    <w:rPr>
      <w:rFonts w:ascii="Times New Roman" w:eastAsiaTheme="majorEastAsia" w:hAnsi="Times New Roman"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2EE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C12EE6"/>
    <w:rPr>
      <w:color w:val="0000FF"/>
      <w:u w:val="single"/>
    </w:rPr>
  </w:style>
  <w:style w:type="character" w:customStyle="1" w:styleId="Heading1Char">
    <w:name w:val="Heading 1 Char"/>
    <w:basedOn w:val="DefaultParagraphFont"/>
    <w:link w:val="Heading1"/>
    <w:uiPriority w:val="9"/>
    <w:rsid w:val="00C12EE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12EE6"/>
    <w:rPr>
      <w:rFonts w:ascii="Times New Roman" w:eastAsiaTheme="majorEastAsia" w:hAnsi="Times New Roman" w:cstheme="majorBidi"/>
      <w:b/>
      <w:i/>
      <w:sz w:val="26"/>
      <w:szCs w:val="26"/>
    </w:rPr>
  </w:style>
  <w:style w:type="paragraph" w:styleId="Header">
    <w:name w:val="header"/>
    <w:basedOn w:val="Normal"/>
    <w:link w:val="HeaderChar"/>
    <w:uiPriority w:val="99"/>
    <w:unhideWhenUsed/>
    <w:rsid w:val="00C12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EE6"/>
  </w:style>
  <w:style w:type="paragraph" w:styleId="Footer">
    <w:name w:val="footer"/>
    <w:basedOn w:val="Normal"/>
    <w:link w:val="FooterChar"/>
    <w:uiPriority w:val="99"/>
    <w:unhideWhenUsed/>
    <w:rsid w:val="00C12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EE6"/>
  </w:style>
  <w:style w:type="paragraph" w:styleId="TOCHeading">
    <w:name w:val="TOC Heading"/>
    <w:basedOn w:val="Heading1"/>
    <w:next w:val="Normal"/>
    <w:uiPriority w:val="39"/>
    <w:unhideWhenUsed/>
    <w:qFormat/>
    <w:rsid w:val="00C12EE6"/>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12EE6"/>
    <w:pPr>
      <w:spacing w:after="100"/>
    </w:pPr>
  </w:style>
  <w:style w:type="paragraph" w:styleId="TOC2">
    <w:name w:val="toc 2"/>
    <w:basedOn w:val="Normal"/>
    <w:next w:val="Normal"/>
    <w:autoRedefine/>
    <w:uiPriority w:val="39"/>
    <w:unhideWhenUsed/>
    <w:rsid w:val="00C12E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0718">
      <w:bodyDiv w:val="1"/>
      <w:marLeft w:val="0"/>
      <w:marRight w:val="0"/>
      <w:marTop w:val="0"/>
      <w:marBottom w:val="0"/>
      <w:divBdr>
        <w:top w:val="none" w:sz="0" w:space="0" w:color="auto"/>
        <w:left w:val="none" w:sz="0" w:space="0" w:color="auto"/>
        <w:bottom w:val="none" w:sz="0" w:space="0" w:color="auto"/>
        <w:right w:val="none" w:sz="0" w:space="0" w:color="auto"/>
      </w:divBdr>
    </w:div>
    <w:div w:id="104621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aser.stlouisfed.org/files/docs/publications/bls_mlr/bls_mlr_202106.pdf" TargetMode="External"/><Relationship Id="rId13" Type="http://schemas.openxmlformats.org/officeDocument/2006/relationships/hyperlink" Target="https://www.nber.org/system/files/working_papers/w30267/w30267.pdf" TargetMode="External"/><Relationship Id="rId18" Type="http://schemas.openxmlformats.org/officeDocument/2006/relationships/hyperlink" Target="https://www.utgjiu.ro/revista/ec/pdf/2020-05/28_Ardeljan.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merald.com/insight/content/doi/10.1108/IJOA-09-2021-2974/full/html?fbclid=IwAR3huRDMPhk0QHQNUd2XlceI0jcwUoalyKOaxSU7vIrRMRuuwS2o6Pm57jw&amp;utm_source=TrendMD&amp;utm_medium=cpc&amp;utm_campaign=International_Journal_of_Organizational_Analysis_TrendMD_0&amp;WT.mc_id=Emerald_TrendMD_0" TargetMode="External"/><Relationship Id="rId7" Type="http://schemas.openxmlformats.org/officeDocument/2006/relationships/image" Target="media/image1.png"/><Relationship Id="rId12" Type="http://schemas.openxmlformats.org/officeDocument/2006/relationships/hyperlink" Target="https://www.thelancet.com/journals/lancet/article/PIIS0140-6736(22)00008-3/fulltext?ref=sparrow.science" TargetMode="External"/><Relationship Id="rId17" Type="http://schemas.openxmlformats.org/officeDocument/2006/relationships/hyperlink" Target="https://onlinelibrary.wiley.com/doi/pdfdirect/10.1111/jors.12535"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article/10.1007/s13762-020-03021-3" TargetMode="External"/><Relationship Id="rId20" Type="http://schemas.openxmlformats.org/officeDocument/2006/relationships/hyperlink" Target="https://academic.oup.com/oxrep/article-pdf/38/1/82/42274075/grab045.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stor.eu/bitstream/10419/251064/1/1776156129.pdf" TargetMode="External"/><Relationship Id="rId24" Type="http://schemas.openxmlformats.org/officeDocument/2006/relationships/hyperlink" Target="https://books.google.com/books?hl=en&amp;lr=&amp;id=ESVbEAAAQBAJ&amp;oi=fnd&amp;pg=PT7&amp;dq=Social+justice+movements+like+Black+Lives+Matter+emphasize+the+significance+of+establishing+discrimination-free+workplaces&amp;ots=_pVR3qFSec&amp;sig=gPtPLo8c5Iw1ZU6Yi7OweY80pLM" TargetMode="External"/><Relationship Id="rId5" Type="http://schemas.openxmlformats.org/officeDocument/2006/relationships/footnotes" Target="footnotes.xml"/><Relationship Id="rId15" Type="http://schemas.openxmlformats.org/officeDocument/2006/relationships/hyperlink" Target="https://kclpure.kcl.ac.uk/portal/files/161600942/implications_of_the_post_brexit_immigration_system_for_temporary_migration_routes.pdf" TargetMode="External"/><Relationship Id="rId23" Type="http://schemas.openxmlformats.org/officeDocument/2006/relationships/hyperlink" Target="https://www.researchgate.net/profile/Vlad-Vaiman-2/publication/349967658_The_shifting_boundaries_of_talent_management/links/6400fa5a0cf1030a566794b7/The-shifting-boundaries-of-talent-management.pdf" TargetMode="External"/><Relationship Id="rId10" Type="http://schemas.openxmlformats.org/officeDocument/2006/relationships/hyperlink" Target="https://www.researchgate.net/profile/Anil-Baral-2/publication/358336336_Impact_of_COVID-19_on_the_Diversity_of_the_Construction_Workforce/links/6256fb274173a21a0d0f91ac/Impact-of-COVID-19-on-the-Diversity-of-the-Construction-Workforce.pdf" TargetMode="External"/><Relationship Id="rId19" Type="http://schemas.openxmlformats.org/officeDocument/2006/relationships/hyperlink" Target="https://docs.iza.org/dp15883.pdf" TargetMode="External"/><Relationship Id="rId4" Type="http://schemas.openxmlformats.org/officeDocument/2006/relationships/webSettings" Target="webSettings.xml"/><Relationship Id="rId9" Type="http://schemas.openxmlformats.org/officeDocument/2006/relationships/hyperlink" Target="https://www.ncbi.nlm.nih.gov/pmc/articles/PMC9634455/" TargetMode="External"/><Relationship Id="rId14" Type="http://schemas.openxmlformats.org/officeDocument/2006/relationships/hyperlink" Target="https://onlinelibrary.wiley.com/doi/pdf/10.1111/dech.12727" TargetMode="External"/><Relationship Id="rId22" Type="http://schemas.openxmlformats.org/officeDocument/2006/relationships/hyperlink" Target="https://www.sciencedirect.com/science/article/pii/S240595952030474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08BFD-4E26-462B-8C8F-C0B1D9AE8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3963</Words>
  <Characters>22593</Characters>
  <Application>Microsoft Office Word</Application>
  <DocSecurity>0</DocSecurity>
  <Lines>188</Lines>
  <Paragraphs>53</Paragraphs>
  <ScaleCrop>false</ScaleCrop>
  <Company/>
  <LinksUpToDate>false</LinksUpToDate>
  <CharactersWithSpaces>26503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Ginnish arora</cp:lastModifiedBy>
  <cp:revision>2</cp:revision>
  <dcterms:created xsi:type="dcterms:W3CDTF">2023-09-06T23:35:00Z</dcterms:created>
  <dcterms:modified xsi:type="dcterms:W3CDTF">2023-09-06T23:35:00Z</dcterms:modified>
</cp:coreProperties>
</file>