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480" w:lineRule="auto"/>
        <w:jc w:val="center"/>
        <w:rPr>
          <w:rFonts w:ascii="Times New Roman" w:hAnsi="Times New Roman" w:eastAsia="宋体"/>
          <w:sz w:val="24"/>
        </w:rPr>
      </w:pPr>
      <w:r>
        <w:rPr>
          <w:rFonts w:ascii="Times New Roman" w:hAnsi="Times New Roman"/>
          <w:sz w:val="24"/>
        </w:rPr>
        <w:t>Student Name</w:t>
      </w:r>
      <w:r>
        <w:rPr>
          <w:rFonts w:hint="eastAsia" w:ascii="Times New Roman" w:hAnsi="Times New Roman" w:eastAsia="宋体"/>
          <w:sz w:val="24"/>
        </w:rPr>
        <w:t>:</w:t>
      </w:r>
      <w:r>
        <w:rPr>
          <w:rFonts w:hint="eastAsia" w:ascii="Times New Roman" w:hAnsi="Times New Roman" w:eastAsia="宋体" w:cs="Times New Roman"/>
          <w:sz w:val="24"/>
        </w:rPr>
        <w:t>JinHua Ou</w:t>
      </w:r>
    </w:p>
    <w:p>
      <w:pPr>
        <w:spacing w:line="480" w:lineRule="auto"/>
        <w:ind w:firstLine="3360" w:firstLineChars="1400"/>
        <w:jc w:val="left"/>
        <w:rPr>
          <w:rFonts w:ascii="Times New Roman" w:hAnsi="Times New Roman" w:eastAsia="宋体" w:cs="Times New Roman"/>
          <w:sz w:val="24"/>
        </w:rPr>
      </w:pPr>
      <w:r>
        <w:rPr>
          <w:rFonts w:ascii="Times New Roman" w:hAnsi="Times New Roman" w:cs="Times New Roman"/>
          <w:sz w:val="24"/>
        </w:rPr>
        <w:t>Student</w:t>
      </w:r>
      <w:r>
        <w:rPr>
          <w:rFonts w:hint="eastAsia" w:ascii="Times New Roman" w:hAnsi="Times New Roman" w:eastAsia="宋体" w:cs="Times New Roman"/>
          <w:sz w:val="24"/>
        </w:rPr>
        <w:t xml:space="preserve"> ID</w:t>
      </w:r>
      <w:r>
        <w:rPr>
          <w:rFonts w:ascii="Times New Roman" w:hAnsi="Times New Roman" w:cs="Times New Roman"/>
          <w:sz w:val="24"/>
        </w:rPr>
        <w:t>:</w:t>
      </w:r>
      <w:r>
        <w:rPr>
          <w:rFonts w:hint="eastAsia" w:ascii="Times New Roman" w:hAnsi="Times New Roman" w:eastAsia="宋体" w:cs="Times New Roman"/>
          <w:sz w:val="24"/>
        </w:rPr>
        <w:t xml:space="preserve"> 2230382</w:t>
      </w:r>
    </w:p>
    <w:p>
      <w:pPr>
        <w:widowControl/>
        <w:jc w:val="center"/>
        <w:rPr>
          <w:rFonts w:ascii="Times New Roman" w:hAnsi="Times New Roman" w:cs="Times New Roman"/>
          <w:sz w:val="24"/>
        </w:rPr>
      </w:pPr>
      <w:r>
        <w:rPr>
          <w:rFonts w:ascii="Times New Roman" w:hAnsi="Times New Roman" w:cs="Times New Roman"/>
          <w:sz w:val="24"/>
        </w:rPr>
        <w:t>Course:</w:t>
      </w:r>
      <w:r>
        <w:rPr>
          <w:rFonts w:ascii="Times New Roman" w:hAnsi="Times New Roman" w:eastAsia="宋体" w:cs="Times New Roman"/>
          <w:color w:val="000000"/>
          <w:kern w:val="0"/>
          <w:sz w:val="24"/>
          <w:lang w:bidi="ar"/>
        </w:rPr>
        <w:t>Education Project</w:t>
      </w:r>
    </w:p>
    <w:p>
      <w:pPr>
        <w:spacing w:line="480" w:lineRule="auto"/>
        <w:jc w:val="center"/>
        <w:rPr>
          <w:rFonts w:ascii="Times New Roman" w:hAnsi="Times New Roman" w:cs="Times New Roman"/>
          <w:sz w:val="24"/>
        </w:rPr>
      </w:pPr>
      <w:r>
        <w:rPr>
          <w:rFonts w:ascii="Times New Roman" w:hAnsi="Times New Roman" w:cs="Times New Roman"/>
          <w:sz w:val="24"/>
        </w:rPr>
        <w:t xml:space="preserve">Word Count: </w:t>
      </w:r>
      <w:r>
        <w:rPr>
          <w:rFonts w:hint="eastAsia" w:ascii="Times New Roman" w:hAnsi="Times New Roman" w:cs="Times New Roman"/>
          <w:sz w:val="24"/>
          <w:lang w:val="en-US" w:eastAsia="zh-CN"/>
        </w:rPr>
        <w:t>5</w:t>
      </w:r>
      <w:r>
        <w:rPr>
          <w:rFonts w:hint="eastAsia" w:ascii="Times New Roman" w:hAnsi="Times New Roman" w:eastAsia="宋体" w:cs="Times New Roman"/>
          <w:sz w:val="24"/>
        </w:rPr>
        <w:t>,</w:t>
      </w:r>
      <w:r>
        <w:rPr>
          <w:rFonts w:hint="eastAsia" w:ascii="Times New Roman" w:hAnsi="Times New Roman" w:eastAsia="宋体" w:cs="Times New Roman"/>
          <w:sz w:val="24"/>
          <w:lang w:val="en-US" w:eastAsia="zh-CN"/>
        </w:rPr>
        <w:t>865</w:t>
      </w:r>
      <w:r>
        <w:rPr>
          <w:rFonts w:ascii="Times New Roman" w:hAnsi="Times New Roman" w:cs="Times New Roman"/>
          <w:sz w:val="24"/>
        </w:rPr>
        <w:t xml:space="preserve"> words</w:t>
      </w:r>
    </w:p>
    <w:p>
      <w:pPr>
        <w:spacing w:line="360" w:lineRule="auto"/>
        <w:jc w:val="center"/>
        <w:rPr>
          <w:rFonts w:ascii="Times New Roman" w:hAnsi="Times New Roman" w:eastAsia="宋体" w:cs="Times New Roman"/>
          <w:bCs/>
          <w:sz w:val="24"/>
        </w:rPr>
      </w:pPr>
      <w:r>
        <w:rPr>
          <w:rFonts w:hint="eastAsia" w:ascii="Times New Roman" w:hAnsi="Times New Roman" w:eastAsia="宋体" w:cs="Times New Roman"/>
          <w:sz w:val="24"/>
        </w:rPr>
        <w:t>Lecturer</w:t>
      </w:r>
      <w:r>
        <w:rPr>
          <w:rFonts w:ascii="Times New Roman" w:hAnsi="Times New Roman" w:eastAsia="宋体" w:cs="Times New Roman"/>
          <w:sz w:val="24"/>
        </w:rPr>
        <w:t>:</w:t>
      </w:r>
      <w:r>
        <w:rPr>
          <w:rFonts w:hint="eastAsia" w:ascii="Times New Roman" w:hAnsi="Times New Roman" w:eastAsia="宋体" w:cs="Times New Roman"/>
          <w:sz w:val="24"/>
        </w:rPr>
        <w:t xml:space="preserve"> </w:t>
      </w:r>
      <w:r>
        <w:rPr>
          <w:rFonts w:ascii="Times New Roman" w:hAnsi="Times New Roman" w:cs="Times New Roman"/>
          <w:bCs/>
          <w:sz w:val="24"/>
        </w:rPr>
        <w:t>Sue James</w:t>
      </w:r>
    </w:p>
    <w:p>
      <w:pPr>
        <w:spacing w:line="360" w:lineRule="auto"/>
        <w:jc w:val="center"/>
        <w:rPr>
          <w:rFonts w:ascii="Times New Roman" w:hAnsi="Times New Roman" w:cs="Times New Roman"/>
          <w:sz w:val="24"/>
        </w:rPr>
      </w:pPr>
      <w:r>
        <w:rPr>
          <w:rFonts w:hint="eastAsia" w:ascii="Times New Roman" w:hAnsi="Times New Roman" w:eastAsia="宋体" w:cs="Times New Roman"/>
          <w:sz w:val="24"/>
        </w:rPr>
        <w:t>Due date: 11/09/2023</w:t>
      </w: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jc w:val="center"/>
        <w:rPr>
          <w:rFonts w:ascii="Times New Roman" w:hAnsi="Times New Roman" w:cs="Times New Roman"/>
          <w:sz w:val="24"/>
        </w:rPr>
      </w:pPr>
      <w:r>
        <w:rPr>
          <w:rFonts w:hint="eastAsia" w:ascii="Times New Roman" w:hAnsi="Times New Roman" w:cs="Times New Roman"/>
          <w:b/>
          <w:bCs/>
          <w:sz w:val="32"/>
          <w:szCs w:val="32"/>
        </w:rPr>
        <w:t>E</w:t>
      </w:r>
      <w:r>
        <w:rPr>
          <w:rFonts w:ascii="Times New Roman" w:hAnsi="Times New Roman" w:cs="Times New Roman"/>
          <w:b/>
          <w:bCs/>
          <w:sz w:val="32"/>
          <w:szCs w:val="32"/>
        </w:rPr>
        <w:t>xploring ways to integrate global citizenship education into the high school physics curriculum</w:t>
      </w:r>
    </w:p>
    <w:p>
      <w:pPr>
        <w:spacing w:line="360" w:lineRule="auto"/>
        <w:rPr>
          <w:rFonts w:ascii="Times New Roman" w:hAnsi="Times New Roman" w:cs="Times New Roman"/>
          <w:b/>
          <w:bCs/>
          <w:sz w:val="24"/>
        </w:rPr>
      </w:pPr>
      <w:r>
        <w:rPr>
          <w:rFonts w:ascii="Times New Roman" w:hAnsi="Times New Roman" w:cs="Times New Roman"/>
          <w:b/>
          <w:bCs/>
          <w:sz w:val="24"/>
        </w:rPr>
        <w:t>1 Introduction</w:t>
      </w:r>
    </w:p>
    <w:p>
      <w:pPr>
        <w:spacing w:line="360" w:lineRule="auto"/>
        <w:rPr>
          <w:rFonts w:ascii="Times New Roman" w:hAnsi="Times New Roman" w:cs="Times New Roman"/>
          <w:b/>
          <w:bCs/>
          <w:sz w:val="24"/>
        </w:rPr>
      </w:pPr>
      <w:r>
        <w:rPr>
          <w:rFonts w:ascii="Times New Roman" w:hAnsi="Times New Roman" w:cs="Times New Roman"/>
          <w:b/>
          <w:bCs/>
          <w:sz w:val="24"/>
        </w:rPr>
        <w:t>Research background</w:t>
      </w:r>
    </w:p>
    <w:p>
      <w:pPr>
        <w:spacing w:line="360" w:lineRule="auto"/>
        <w:ind w:firstLine="420"/>
        <w:rPr>
          <w:rFonts w:ascii="Times New Roman" w:hAnsi="Times New Roman" w:cs="Times New Roman"/>
          <w:sz w:val="24"/>
        </w:rPr>
      </w:pPr>
      <w:r>
        <w:rPr>
          <w:rFonts w:ascii="Times New Roman" w:hAnsi="Times New Roman" w:cs="Times New Roman"/>
          <w:sz w:val="24"/>
        </w:rPr>
        <w:t>Since the third industrial revolution represented by information technology, the wave of globalization, spearheaded by economic globalization, has been sweeping across the world</w:t>
      </w:r>
      <w:r>
        <w:rPr>
          <w:rFonts w:hint="eastAsia" w:ascii="Times New Roman" w:hAnsi="Times New Roman" w:cs="Times New Roman"/>
          <w:sz w:val="24"/>
        </w:rPr>
        <w:t xml:space="preserve"> </w:t>
      </w:r>
      <w:r>
        <w:rPr>
          <w:rFonts w:hint="eastAsia" w:ascii="Times New Roman" w:hAnsi="Times New Roman" w:cs="Times New Roman"/>
          <w:sz w:val="24"/>
        </w:rPr>
        <w:fldChar w:fldCharType="begin"/>
      </w:r>
      <w:r>
        <w:rPr>
          <w:rFonts w:hint="eastAsia" w:ascii="Times New Roman" w:hAnsi="Times New Roman" w:cs="Times New Roman"/>
          <w:sz w:val="24"/>
        </w:rPr>
        <w:instrText xml:space="preserve"> ADDIN EN.CITE &lt;EndNote&gt;&lt;Cite&gt;&lt;Author&gt;Estellés&lt;/Author&gt;&lt;Year&gt;2021&lt;/Year&gt;&lt;RecNum&gt;228&lt;/RecNum&gt;&lt;DisplayText&gt;(Estellés and Fischman, 2021)&lt;/DisplayText&gt;&lt;record&gt;&lt;rec-number&gt;228&lt;/rec-number&gt;&lt;foreign-keys&gt;&lt;key app="EN" db-id="s0epvpwscaes51edwawvta59vwf02d2xad9d" timestamp="1692271218"&gt;228&lt;/key&gt;&lt;/foreign-keys&gt;&lt;ref-type name="Journal Article"&gt;17&lt;/ref-type&gt;&lt;contributors&gt;&lt;authors&gt;&lt;author&gt;Estellés, Marta&lt;/author&gt;&lt;author&gt;Fischman, Gustavo E&lt;/author&gt;&lt;/authors&gt;&lt;/contributors&gt;&lt;titles&gt;&lt;title&gt;Who needs global citizenship education? A review of the literature on teacher education&lt;/title&gt;&lt;secondary-title&gt;Journal of Teacher Education&lt;/secondary-title&gt;&lt;/titles&gt;&lt;periodical&gt;&lt;full-title&gt;Journal of Teacher Education&lt;/full-title&gt;&lt;/periodical&gt;&lt;pages&gt;223-236&lt;/pages&gt;&lt;volume&gt;72&lt;/volume&gt;&lt;number&gt;2&lt;/number&gt;&lt;dates&gt;&lt;year&gt;2021&lt;/year&gt;&lt;/dates&gt;&lt;isbn&gt;0022-4871&lt;/isbn&gt;&lt;urls&gt;&lt;/urls&gt;&lt;/record&gt;&lt;/Cite&gt;&lt;/EndNote&gt;</w:instrText>
      </w:r>
      <w:r>
        <w:rPr>
          <w:rFonts w:hint="eastAsia" w:ascii="Times New Roman" w:hAnsi="Times New Roman" w:cs="Times New Roman"/>
          <w:sz w:val="24"/>
        </w:rPr>
        <w:fldChar w:fldCharType="separate"/>
      </w:r>
      <w:r>
        <w:rPr>
          <w:rFonts w:hint="eastAsia" w:ascii="Times New Roman" w:hAnsi="Times New Roman" w:cs="Times New Roman"/>
          <w:sz w:val="24"/>
        </w:rPr>
        <w:t>(Estellés and Fischman, 2021)</w:t>
      </w:r>
      <w:r>
        <w:rPr>
          <w:rFonts w:hint="eastAsia" w:ascii="Times New Roman" w:hAnsi="Times New Roman" w:cs="Times New Roman"/>
          <w:sz w:val="24"/>
        </w:rPr>
        <w:fldChar w:fldCharType="end"/>
      </w:r>
      <w:r>
        <w:rPr>
          <w:rFonts w:ascii="Times New Roman" w:hAnsi="Times New Roman" w:cs="Times New Roman"/>
          <w:sz w:val="24"/>
        </w:rPr>
        <w:t>. It has long gone beyond the borders of the developed countries in the West, out of the scholars' study, to the world, to the masses, to daily life, and has become the mantra of government officials down to the general public; it has become the common spatial and temporal realm that every "villager of the earth" from New York to Shanghai, from the cosmopolitan city to the tribes in Africa has to face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&lt;EndNote&gt;&lt;Cite&gt;&lt;Author&gt;Shultz&lt;/Author&gt;&lt;Year&gt;2007&lt;/Year&gt;&lt;RecNum&gt;225&lt;/RecNum&gt;&lt;DisplayText&gt;(Shultz, 2007)&lt;/DisplayText&gt;&lt;record&gt;&lt;rec-number&gt;225&lt;/rec-number&gt;&lt;foreign-keys&gt;&lt;key app="EN" db-id="s0epvpwscaes51edwawvta59vwf02d2xad9d" timestamp="1692271187"&gt;225&lt;/key&gt;&lt;/foreign-keys&gt;&lt;ref-type name="Journal Article"&gt;17&lt;/ref-type&gt;&lt;contributors&gt;&lt;authors&gt;&lt;author&gt;Shultz, Lynette&lt;/author&gt;&lt;/authors&gt;&lt;/contributors&gt;&lt;titles&gt;&lt;title&gt;Educating for global citizenship: Conflicting agendas and understandings&lt;/title&gt;&lt;secondary-title&gt;Alberta Journal of Educational Research&lt;/secondary-title&gt;&lt;/titles&gt;&lt;periodical&gt;&lt;full-title&gt;Alberta Journal of Educational Research&lt;/full-title&gt;&lt;/periodical&gt;&lt;volume&gt;53&lt;/volume&gt;&lt;number&gt;3&lt;/number&gt;&lt;dates&gt;&lt;year&gt;2007&lt;/year&gt;&lt;/dates&gt;&lt;isbn&gt;1923-1857&lt;/isbn&gt;&lt;urls&gt;&lt;/urls&gt;&lt;/record&gt;&lt;/Cite&gt;&lt;/EndNote&gt;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(Shultz, 2007)</w:t>
      </w:r>
      <w:r>
        <w:rPr>
          <w:rFonts w:ascii="Times New Roman" w:hAnsi="Times New Roman" w:cs="Times New Roman"/>
          <w:sz w:val="24"/>
        </w:rPr>
        <w:fldChar w:fldCharType="end"/>
      </w:r>
      <w:r>
        <w:rPr>
          <w:rFonts w:ascii="Times New Roman" w:hAnsi="Times New Roman" w:cs="Times New Roman"/>
          <w:sz w:val="24"/>
        </w:rPr>
        <w:t>. However, while the world has been connected as never before, more and more global problems have arisen as the trend of globalization has become deeper and deeper. Crises such as war, poverty, environmental pollution, population explosion, resource scarcity, transnational crime, international terrorism and nuclear proliferation are challenging world peace and security. Many of these crises are caused by misunderstanding or lack of understanding of each other's cultures, and most of them can be resolved through civic education, especially in higher education. For this reason, the development of globally minded and action-oriented "global citizens" has gained worldwide attention, and this is the key to education for global citizenship</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&lt;EndNote&gt;&lt;Cite&gt;&lt;Author&gt;Davies&lt;/Author&gt;&lt;Year&gt;2010&lt;/Year&gt;&lt;RecNum&gt;232&lt;/RecNum&gt;&lt;DisplayText&gt;(Davies and Pike, 2010)&lt;/DisplayText&gt;&lt;record&gt;&lt;rec-number&gt;232&lt;/rec-number&gt;&lt;foreign-keys&gt;&lt;key app="EN" db-id="s0epvpwscaes51edwawvta59vwf02d2xad9d" timestamp="1692271264"&gt;232&lt;/key&gt;&lt;/foreign-keys&gt;&lt;ref-type name="Journal Article"&gt;17&lt;/ref-type&gt;&lt;contributors&gt;&lt;authors&gt;&lt;author&gt;Davies, Ian&lt;/author&gt;&lt;author&gt;Pike, Graham&lt;/author&gt;&lt;/authors&gt;&lt;/contributors&gt;&lt;titles&gt;&lt;title&gt;Global citizenship education: Challenges and possibilities&lt;/title&gt;&lt;secondary-title&gt;The handbook of practice and research in study abroad&lt;/secondary-title&gt;&lt;/titles&gt;&lt;periodical&gt;&lt;full-title&gt;The handbook of practice and research in study abroad&lt;/full-title&gt;&lt;/periodical&gt;&lt;pages&gt;83-100&lt;/pages&gt;&lt;dates&gt;&lt;year&gt;2010&lt;/year&gt;&lt;/dates&gt;&lt;urls&gt;&lt;/urls&gt;&lt;/record&gt;&lt;/Cite&gt;&lt;/EndNote&gt;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(Davies and Pike, 2010)</w:t>
      </w:r>
      <w:r>
        <w:rPr>
          <w:rFonts w:ascii="Times New Roman" w:hAnsi="Times New Roman" w:cs="Times New Roman"/>
          <w:sz w:val="24"/>
        </w:rPr>
        <w:fldChar w:fldCharType="end"/>
      </w:r>
      <w:r>
        <w:rPr>
          <w:rFonts w:ascii="Times New Roman" w:hAnsi="Times New Roman" w:cs="Times New Roman"/>
          <w:sz w:val="24"/>
        </w:rPr>
        <w:t>.</w:t>
      </w:r>
    </w:p>
    <w:p>
      <w:pPr>
        <w:spacing w:line="360" w:lineRule="auto"/>
        <w:ind w:firstLine="420"/>
        <w:rPr>
          <w:rFonts w:ascii="Times New Roman" w:hAnsi="Times New Roman" w:cs="Times New Roman"/>
          <w:sz w:val="24"/>
        </w:rPr>
      </w:pPr>
      <w:r>
        <w:rPr>
          <w:rFonts w:ascii="Times New Roman" w:hAnsi="Times New Roman" w:cs="Times New Roman"/>
          <w:sz w:val="24"/>
        </w:rPr>
        <w:t>Physics is a subject that requires strong logical thinking and is characterized by strong synthesis, modeling, and the need to make bold assumptions and then experiment. Especially in high school, the difficulty of the knowledge learned increases, thinking from image to abstraction, and more emphasis is placed on the examination of experimental ability and application ability</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&lt;EndNote&gt;&lt;Cite&gt;&lt;Author&gt;Suastra&lt;/Author&gt;&lt;Year&gt;2017&lt;/Year&gt;&lt;RecNum&gt;210&lt;/RecNum&gt;&lt;DisplayText&gt;(Suastra et al., 2017)&lt;/DisplayText&gt;&lt;record&gt;&lt;rec-number&gt;210&lt;/rec-number&gt;&lt;foreign-keys&gt;&lt;key app="EN" db-id="s0epvpwscaes51edwawvta59vwf02d2xad9d" timestamp="1692270882"&gt;210&lt;/key&gt;&lt;/foreign-keys&gt;&lt;ref-type name="Journal Article"&gt;17&lt;/ref-type&gt;&lt;contributors&gt;&lt;authors&gt;&lt;author&gt;Suastra, IW&lt;/author&gt;&lt;author&gt;Jatmiko, B&lt;/author&gt;&lt;author&gt;Ristiati, NP&lt;/author&gt;&lt;author&gt;Yasmini, LPB&lt;/author&gt;&lt;/authors&gt;&lt;/contributors&gt;&lt;titles&gt;&lt;title&gt;Developing characters based on local wisdom of bali in teaching physics in senior high school&lt;/title&gt;&lt;secondary-title&gt;Jurnal Pendidikan IPA Indonesia&lt;/secondary-title&gt;&lt;/titles&gt;&lt;periodical&gt;&lt;full-title&gt;Jurnal Pendidikan IPA Indonesia&lt;/full-title&gt;&lt;/periodical&gt;&lt;pages&gt;306-312&lt;/pages&gt;&lt;volume&gt;6&lt;/volume&gt;&lt;number&gt;2&lt;/number&gt;&lt;dates&gt;&lt;year&gt;2017&lt;/year&gt;&lt;/dates&gt;&lt;isbn&gt;2089-4392&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(Suastra et al., 2017)</w:t>
      </w:r>
      <w:r>
        <w:rPr>
          <w:rFonts w:ascii="Times New Roman" w:hAnsi="Times New Roman" w:cs="Times New Roman"/>
          <w:sz w:val="24"/>
        </w:rPr>
        <w:fldChar w:fldCharType="end"/>
      </w:r>
      <w:r>
        <w:rPr>
          <w:rFonts w:ascii="Times New Roman" w:hAnsi="Times New Roman" w:cs="Times New Roman"/>
          <w:sz w:val="24"/>
        </w:rPr>
        <w:t>. For high school physics, the education sector requires the ability to effectively improve students' conception of physics, scientific thinking, the ability of experimental investigation, as well as scientific attitude and responsibility. It is not difficult to find that learning physics has been not only the mastery of subject knowledge to make requirements, but also to make requirements for learning ability, physical subject literacy, and subject value</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&lt;EndNote&gt;&lt;Cite&gt;&lt;Author&gt;Chetty&lt;/Author&gt;&lt;Year&gt;2015&lt;/Year&gt;&lt;RecNum&gt;211&lt;/RecNum&gt;&lt;DisplayText&gt;(Chetty, 2015)&lt;/DisplayText&gt;&lt;record&gt;&lt;rec-number&gt;211&lt;/rec-number&gt;&lt;foreign-keys&gt;&lt;key app="EN" db-id="s0epvpwscaes51edwawvta59vwf02d2xad9d" timestamp="1692270912"&gt;211&lt;/key&gt;&lt;/foreign-keys&gt;&lt;ref-type name="Journal Article"&gt;17&lt;/ref-type&gt;&lt;contributors&gt;&lt;authors&gt;&lt;author&gt;Chetty, Naven&lt;/author&gt;&lt;/authors&gt;&lt;/contributors&gt;&lt;titles&gt;&lt;title&gt;Teaching teachers to teach physics to high school learners&lt;/title&gt;&lt;secondary-title&gt;Procedia-Social and Behavioral Sciences&lt;/secondary-title&gt;&lt;/titles&gt;&lt;periodical&gt;&lt;full-title&gt;Procedia-Social and Behavioral Sciences&lt;/full-title&gt;&lt;/periodical&gt;&lt;pages&gt;1886-1899&lt;/pages&gt;&lt;volume&gt;174&lt;/volume&gt;&lt;dates&gt;&lt;year&gt;2015&lt;/year&gt;&lt;/dates&gt;&lt;isbn&gt;1877-0428&lt;/isbn&gt;&lt;urls&gt;&lt;/urls&gt;&lt;/record&gt;&lt;/Cite&gt;&lt;/EndNote&gt;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(Chetty, 2015)</w:t>
      </w:r>
      <w:r>
        <w:rPr>
          <w:rFonts w:ascii="Times New Roman" w:hAnsi="Times New Roman" w:cs="Times New Roman"/>
          <w:sz w:val="24"/>
        </w:rPr>
        <w:fldChar w:fldCharType="end"/>
      </w:r>
      <w:r>
        <w:rPr>
          <w:rFonts w:ascii="Times New Roman" w:hAnsi="Times New Roman" w:cs="Times New Roman"/>
          <w:sz w:val="24"/>
        </w:rPr>
        <w:t>. Educational scholars believe that the integration of global citizenship and high school physics can effectively help students improve their core physical literacy, using the information technology platform as a tool for teacher-student communication and teaching, creating realistic scenarios for students, and encouraging learners to utilize the sense of experience to improve their hands-on experimental skills, cultivate scientific thinking, and develop scientific attitudes and values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&lt;EndNote&gt;&lt;Cite&gt;&lt;Author&gt;Buabeng&lt;/Author&gt;&lt;Year&gt;2014&lt;/Year&gt;&lt;RecNum&gt;212&lt;/RecNum&gt;&lt;DisplayText&gt;(Buabeng et al., 2014)&lt;/DisplayText&gt;&lt;record&gt;&lt;rec-number&gt;212&lt;/rec-number&gt;&lt;foreign-keys&gt;&lt;key app="EN" db-id="s0epvpwscaes51edwawvta59vwf02d2xad9d" timestamp="1692270929"&gt;212&lt;/key&gt;&lt;/foreign-keys&gt;&lt;ref-type name="Journal Article"&gt;17&lt;/ref-type&gt;&lt;contributors&gt;&lt;authors&gt;&lt;author&gt;Buabeng, Isaac&lt;/author&gt;&lt;author&gt;Ossei-Anto, Theophilus Aquinas&lt;/author&gt;&lt;author&gt;Ampiah, Joseph Ghartey&lt;/author&gt;&lt;/authors&gt;&lt;/contributors&gt;&lt;titles&gt;&lt;title&gt;An investigation into physics teaching in senior high schools&lt;/title&gt;&lt;/titles&gt;&lt;dates&gt;&lt;year&gt;2014&lt;/year&gt;&lt;/dates&gt;&lt;isbn&gt;2310-5496&lt;/isbn&gt;&lt;urls&gt;&lt;/urls&gt;&lt;/record&gt;&lt;/Cite&gt;&lt;/EndNote&gt;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(Buabeng et al., 2014)</w:t>
      </w:r>
      <w:r>
        <w:rPr>
          <w:rFonts w:ascii="Times New Roman" w:hAnsi="Times New Roman" w:cs="Times New Roman"/>
          <w:sz w:val="24"/>
        </w:rPr>
        <w:fldChar w:fldCharType="end"/>
      </w:r>
      <w:r>
        <w:rPr>
          <w:rFonts w:ascii="Times New Roman" w:hAnsi="Times New Roman" w:cs="Times New Roman"/>
          <w:sz w:val="24"/>
        </w:rPr>
        <w:t>.</w:t>
      </w:r>
    </w:p>
    <w:p>
      <w:pPr>
        <w:widowControl/>
        <w:spacing w:line="360" w:lineRule="auto"/>
        <w:rPr>
          <w:rFonts w:ascii="Times New Roman" w:hAnsi="Times New Roman" w:cs="Times New Roman"/>
          <w:b/>
          <w:bCs/>
          <w:sz w:val="24"/>
        </w:rPr>
      </w:pPr>
      <w:r>
        <w:rPr>
          <w:rFonts w:ascii="Times New Roman" w:hAnsi="Times New Roman" w:cs="Times New Roman"/>
          <w:b/>
          <w:bCs/>
          <w:sz w:val="24"/>
        </w:rPr>
        <w:t>Research Significance</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cs="Times New Roman"/>
          <w:sz w:val="24"/>
        </w:rPr>
        <w:t>Along with the rapid development of the Internet and globalization, the discipline of physics has become an important way of social life and economic development. Physics and the various applications derived from it have become the basis for human research in natural sciences, social problems, and engineering sciences. The study of global citizenship education is conducive to promoting the practice of citizenship education in schools to gradually penetrate into all levels of social and community development, thus realizing the rapid and healthy development of society and community</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&lt;EndNote&gt;&lt;Cite&gt;&lt;Author&gt;Gough&lt;/Author&gt;&lt;Year&gt;2018&lt;/Year&gt;&lt;RecNum&gt;233&lt;/RecNum&gt;&lt;DisplayText&gt;(Gough, 2018)&lt;/DisplayText&gt;&lt;record&gt;&lt;rec-number&gt;233&lt;/rec-number&gt;&lt;foreign-keys&gt;&lt;key app="EN" db-id="s0epvpwscaes51edwawvta59vwf02d2xad9d" timestamp="1692271279"&gt;233&lt;/key&gt;&lt;/foreign-keys&gt;&lt;ref-type name="Journal Article"&gt;17&lt;/ref-type&gt;&lt;contributors&gt;&lt;authors&gt;&lt;author&gt;Gough, Annette&lt;/author&gt;&lt;/authors&gt;&lt;/contributors&gt;&lt;titles&gt;&lt;title&gt;Sustainable development and global citizenship education: Challenging imperatives&lt;/title&gt;&lt;secondary-title&gt;The Palgrave handbook of global citizenship and education&lt;/secondary-title&gt;&lt;/titles&gt;&lt;periodical&gt;&lt;full-title&gt;The Palgrave handbook of global citizenship and education&lt;/full-title&gt;&lt;/periodical&gt;&lt;pages&gt;295-312&lt;/pages&gt;&lt;dates&gt;&lt;year&gt;2018&lt;/year&gt;&lt;/dates&gt;&lt;isbn&gt;1137597321&lt;/isbn&gt;&lt;urls&gt;&lt;/urls&gt;&lt;/record&gt;&lt;/Cite&gt;&lt;/EndNote&gt;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(Gough, 2018)</w:t>
      </w:r>
      <w:r>
        <w:rPr>
          <w:rFonts w:ascii="Times New Roman" w:hAnsi="Times New Roman" w:cs="Times New Roman"/>
          <w:sz w:val="24"/>
        </w:rPr>
        <w:fldChar w:fldCharType="end"/>
      </w:r>
      <w:r>
        <w:rPr>
          <w:rFonts w:ascii="Times New Roman" w:hAnsi="Times New Roman" w:cs="Times New Roman"/>
          <w:sz w:val="24"/>
        </w:rPr>
        <w:t>. Educational thought has obvious influence on educational practice, and through the study of global citizenship education, it can provide reference for the development of global citizenship education practice, thus effectively promoting the development of global citizenship education practice, and gradually expanding and penetrating into all levels of social and community development, so as to realize the rapid and healthy development of the whole society. Integrating EFA into high school physics courses can, on the one hand, stimulate citizens' interest in physics and love of science, and on the other hand, citizens can integrate some interesting phenomena of high school physics into their lives and truly experience the benefits of physics</w:t>
      </w:r>
      <w:r>
        <w:rPr>
          <w:rFonts w:ascii="Times New Roman" w:hAnsi="Times New Roman" w:cs="Times New Roman"/>
          <w:sz w:val="24"/>
        </w:rPr>
        <w:fldChar w:fldCharType="begin"/>
      </w:r>
      <w:r>
        <w:rPr>
          <w:rFonts w:ascii="Times New Roman" w:hAnsi="Times New Roman" w:cs="Times New Roman"/>
          <w:sz w:val="24"/>
        </w:rPr>
        <w:instrText xml:space="preserve"> ADDIN EN.CITE &lt;EndNote&gt;&lt;Cite&gt;&lt;Author&gt;De Wit&lt;/Author&gt;&lt;Year&gt;2021&lt;/Year&gt;&lt;RecNum&gt;230&lt;/RecNum&gt;&lt;DisplayText&gt;(De Wit and Altbach, 2021)&lt;/DisplayText&gt;&lt;record&gt;&lt;rec-number&gt;230&lt;/rec-number&gt;&lt;foreign-keys&gt;&lt;key app="EN" db-id="s0epvpwscaes51edwawvta59vwf02d2xad9d" timestamp="1692271241"&gt;230&lt;/key&gt;&lt;/foreign-keys&gt;&lt;ref-type name="Book Section"&gt;5&lt;/ref-type&gt;&lt;contributors&gt;&lt;authors&gt;&lt;author&gt;De Wit, Hans&lt;/author&gt;&lt;author&gt;Altbach, Philip G&lt;/author&gt;&lt;/authors&gt;&lt;/contributors&gt;&lt;titles&gt;&lt;title&gt;Internationalization in higher education: Global trends and recommendations for its future&lt;/title&gt;&lt;secondary-title&gt;Higher Education in the Next Decade&lt;/secondary-title&gt;&lt;/titles&gt;&lt;pages&gt;303-325&lt;/pages&gt;&lt;dates&gt;&lt;year&gt;2021&lt;/year&gt;&lt;/dates&gt;&lt;publisher&gt;Brill&lt;/publisher&gt;&lt;isbn&gt;9004462716&lt;/isbn&gt;&lt;urls&gt;&lt;/urls&gt;&lt;/record&gt;&lt;/Cite&gt;&lt;/EndNote&gt;</w:instrText>
      </w:r>
      <w:r>
        <w:rPr>
          <w:rFonts w:ascii="Times New Roman" w:hAnsi="Times New Roman" w:cs="Times New Roman"/>
          <w:sz w:val="24"/>
        </w:rPr>
        <w:fldChar w:fldCharType="separate"/>
      </w:r>
      <w:r>
        <w:rPr>
          <w:rFonts w:ascii="Times New Roman" w:hAnsi="Times New Roman" w:cs="Times New Roman"/>
          <w:sz w:val="24"/>
        </w:rPr>
        <w:t>(De Wit and Altbach, 2021)</w:t>
      </w:r>
      <w:r>
        <w:rPr>
          <w:rFonts w:ascii="Times New Roman" w:hAnsi="Times New Roman" w:cs="Times New Roman"/>
          <w:sz w:val="24"/>
        </w:rPr>
        <w:fldChar w:fldCharType="end"/>
      </w:r>
      <w:r>
        <w:rPr>
          <w:rFonts w:ascii="Times New Roman" w:hAnsi="Times New Roman" w:cs="Times New Roman"/>
          <w:sz w:val="24"/>
        </w:rPr>
        <w:t>.</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Research Questions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(1) What are the current problems in teaching the high school physics curriculum and global citizenship education?</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(2) How can global citizenship education be effectively integrated into the high school physics curriculum?</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Research Idea</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The research idea of this paper is to explore the new way out of global citizenship education based on the perspective of globalization. Firstly, we elaborate the impact of globalization on civic education, which is specifically manifested in the new requirements and new opportunities that globalization brings to civic education, and argue the necessity of studying civic education from the perspective of globalization. Secondly, we discuss the necessity of integrating global citizenship education into the physics curriculum of high school through the method of literature analysis, and finally, we give suggestions for the effective combination of the two.</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Research Methods</w:t>
      </w:r>
    </w:p>
    <w:p>
      <w:pPr>
        <w:widowControl/>
        <w:spacing w:line="360" w:lineRule="auto"/>
        <w:rPr>
          <w:rFonts w:ascii="Times New Roman" w:hAnsi="Times New Roman" w:eastAsia="宋体" w:cs="Times New Roman"/>
          <w:color w:val="000000"/>
          <w:kern w:val="0"/>
          <w:sz w:val="24"/>
          <w:lang w:bidi="ar"/>
        </w:rPr>
      </w:pPr>
      <w:r>
        <w:rPr>
          <w:rFonts w:hint="eastAsia" w:ascii="Times New Roman" w:hAnsi="Times New Roman" w:eastAsia="宋体" w:cs="Times New Roman"/>
          <w:b/>
          <w:bCs/>
          <w:color w:val="000000"/>
          <w:kern w:val="0"/>
          <w:sz w:val="24"/>
          <w:lang w:bidi="ar"/>
        </w:rPr>
        <w:t>Methodology of research on education</w:t>
      </w:r>
    </w:p>
    <w:p>
      <w:pPr>
        <w:widowControl/>
        <w:spacing w:line="360" w:lineRule="auto"/>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I. Philosophical methodology</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Philosophical methodology is the foundation of pedagogical research, which provides the basic perspective and thinking framework for research problems. In philosophical methodology, rational understanding, value neutrality and problem consciousness are important principles.</w:t>
      </w:r>
    </w:p>
    <w:p>
      <w:pPr>
        <w:widowControl/>
        <w:numPr>
          <w:ilvl w:val="0"/>
          <w:numId w:val="1"/>
        </w:numPr>
        <w:spacing w:line="360" w:lineRule="auto"/>
        <w:ind w:left="210" w:leftChars="10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Rational understanding: philosophical methodology emphasizes the use of rationality in the research process, and in-depth analysis of problems through observation, reasoning and argumentation. The principle of rational understanding requires the researcher to be objective and impartial in the research process, without personal emotions and prejudices.</w:t>
      </w:r>
    </w:p>
    <w:p>
      <w:pPr>
        <w:widowControl/>
        <w:spacing w:line="360" w:lineRule="auto"/>
        <w:ind w:firstLine="21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2. Value neutrality: Philosophical methodology advocates value neutrality in the research process, i.e., not judging the research object by personal values, but based on objective facts and letting data and facts speak for themselves. Value neutrality helps to avoid one-sidedness and subjectivity in research results.</w:t>
      </w:r>
    </w:p>
    <w:p>
      <w:pPr>
        <w:widowControl/>
        <w:spacing w:line="360" w:lineRule="auto"/>
        <w:ind w:firstLine="21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3. Problem Consciousness: Philosophical methodology emphasizes problem consciousness in the research process, i.e., being sensitive and curious to educational phenomena, identifying problems and asking questions so as to carry out in-depth research. Problem awareness is the prerequisite for research and the driving force that drives research forward.</w:t>
      </w:r>
    </w:p>
    <w:p>
      <w:pPr>
        <w:widowControl/>
        <w:spacing w:line="360" w:lineRule="auto"/>
        <w:rPr>
          <w:rFonts w:hint="default" w:ascii="Times New Roman" w:hAnsi="Times New Roman" w:eastAsia="宋体" w:cs="Times New Roman"/>
          <w:color w:val="000000"/>
          <w:kern w:val="0"/>
          <w:sz w:val="24"/>
          <w:lang w:bidi="ar"/>
        </w:rPr>
      </w:pPr>
      <w:r>
        <w:rPr>
          <w:rFonts w:hint="default" w:ascii="Times New Roman" w:hAnsi="Times New Roman" w:eastAsia="微软雅黑" w:cs="Times New Roman"/>
          <w:color w:val="000000"/>
          <w:kern w:val="0"/>
          <w:sz w:val="24"/>
          <w:lang w:bidi="ar"/>
        </w:rPr>
        <w:t>Ⅱ</w:t>
      </w:r>
      <w:r>
        <w:rPr>
          <w:rFonts w:hint="eastAsia" w:ascii="Times New Roman" w:hAnsi="Times New Roman" w:eastAsia="微软雅黑" w:cs="Times New Roman"/>
          <w:color w:val="000000"/>
          <w:kern w:val="0"/>
          <w:sz w:val="24"/>
          <w:lang w:val="en-US" w:eastAsia="zh-CN" w:bidi="ar"/>
        </w:rPr>
        <w:t>.</w:t>
      </w:r>
      <w:r>
        <w:rPr>
          <w:rFonts w:hint="default" w:ascii="Times New Roman" w:hAnsi="Times New Roman" w:eastAsia="宋体" w:cs="Times New Roman"/>
          <w:color w:val="000000"/>
          <w:kern w:val="0"/>
          <w:sz w:val="24"/>
          <w:lang w:bidi="ar"/>
        </w:rPr>
        <w:t>Scientific Methodology</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Scientific methodology occupies an important position in pedagogical research, which emphasizes positivism, objectivity and systematicity.</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1. Positivism: Scientific methodology advocates positivism, that is, obtaining data and facts, analyzing and interpreting them, and drawing conclusions through empirical means such as observation, experimentation, and investigation. Positivism requires that research results be verifiable and reproducible.</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2. Objectivity: Scientific methodology requires that objectivity be maintained in the research process, i.e., based on objective facts and avoiding subjectivity and bias as much as possible. Objectivity is the basic principle of scientific research, which is conducive to ensuring the reliability and accuracy of research results.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3. Systematic: Scientific methodology emphasizes following the principle of systematicity in the research process, i.e., conducting comprehensive and orderly research on the research object. Systematic research helps to reveal the inner connection and regularity of things.</w:t>
      </w:r>
    </w:p>
    <w:p>
      <w:pPr>
        <w:widowControl/>
        <w:spacing w:line="360" w:lineRule="auto"/>
        <w:rPr>
          <w:rFonts w:ascii="Times New Roman" w:hAnsi="Times New Roman" w:eastAsia="宋体" w:cs="Times New Roman"/>
          <w:b/>
          <w:bCs/>
          <w:color w:val="000000"/>
          <w:kern w:val="0"/>
          <w:sz w:val="24"/>
          <w:lang w:bidi="ar"/>
        </w:rPr>
      </w:pPr>
      <w:r>
        <w:rPr>
          <w:rFonts w:hint="eastAsia" w:ascii="Times New Roman" w:hAnsi="Times New Roman" w:eastAsia="宋体" w:cs="Times New Roman"/>
          <w:b/>
          <w:bCs/>
          <w:color w:val="000000"/>
          <w:kern w:val="0"/>
          <w:sz w:val="24"/>
          <w:lang w:bidi="ar"/>
        </w:rPr>
        <w:t>The research methodology utilized in this paper</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In this paper, we adopt the literature method, using Google Scholar, library, and ERIC (Educational Resource Information Center) to search and collect a large number of relevant literature about globalization, civic education, and civic education in various countries, including domestic and foreign works, journals, and doctoral and master's theses. Lay a theoretical foundation by reading and analyzing dialectically the literature in pedagogy, civic education, physics, sociology, and other related fields.</w:t>
      </w:r>
    </w:p>
    <w:p>
      <w:pPr>
        <w:widowControl/>
        <w:spacing w:line="360" w:lineRule="auto"/>
        <w:rPr>
          <w:rFonts w:ascii="Times New Roman" w:hAnsi="Times New Roman" w:eastAsia="宋体" w:cs="Times New Roman"/>
          <w:color w:val="000000"/>
          <w:kern w:val="0"/>
          <w:sz w:val="24"/>
          <w:lang w:bidi="ar"/>
        </w:rPr>
      </w:pPr>
    </w:p>
    <w:p>
      <w:pPr>
        <w:widowControl/>
        <w:spacing w:line="360" w:lineRule="auto"/>
        <w:rPr>
          <w:rFonts w:ascii="Times New Roman" w:hAnsi="Times New Roman" w:eastAsia="宋体" w:cs="Times New Roman"/>
          <w:color w:val="000000"/>
          <w:kern w:val="0"/>
          <w:sz w:val="24"/>
          <w:lang w:bidi="ar"/>
        </w:rPr>
      </w:pPr>
    </w:p>
    <w:p>
      <w:pPr>
        <w:widowControl/>
        <w:spacing w:line="360" w:lineRule="auto"/>
        <w:rPr>
          <w:rFonts w:ascii="Times New Roman" w:hAnsi="Times New Roman" w:eastAsia="宋体" w:cs="Times New Roman"/>
          <w:color w:val="000000"/>
          <w:kern w:val="0"/>
          <w:sz w:val="24"/>
          <w:lang w:bidi="ar"/>
        </w:rPr>
      </w:pPr>
    </w:p>
    <w:p>
      <w:pPr>
        <w:widowControl/>
        <w:spacing w:line="360" w:lineRule="auto"/>
        <w:rPr>
          <w:rFonts w:ascii="Times New Roman" w:hAnsi="Times New Roman" w:eastAsia="宋体" w:cs="Times New Roman"/>
          <w:color w:val="000000"/>
          <w:kern w:val="0"/>
          <w:sz w:val="24"/>
          <w:lang w:bidi="ar"/>
        </w:rPr>
      </w:pP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2 Literature Review</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2.1 Definition of Related Concepts</w:t>
      </w:r>
    </w:p>
    <w:p>
      <w:pPr>
        <w:widowControl/>
        <w:spacing w:line="360" w:lineRule="auto"/>
        <w:rPr>
          <w:rFonts w:ascii="Times New Roman" w:hAnsi="Times New Roman" w:eastAsia="宋体" w:cs="Times New Roman"/>
          <w:b/>
          <w:bCs/>
          <w:color w:val="000000"/>
          <w:kern w:val="0"/>
          <w:sz w:val="24"/>
          <w:lang w:bidi="ar"/>
        </w:rPr>
      </w:pPr>
      <w:r>
        <w:rPr>
          <w:rFonts w:hint="eastAsia" w:ascii="Times New Roman" w:hAnsi="Times New Roman" w:eastAsia="宋体" w:cs="Times New Roman"/>
          <w:b/>
          <w:bCs/>
          <w:color w:val="000000"/>
          <w:kern w:val="0"/>
          <w:sz w:val="24"/>
          <w:lang w:bidi="ar"/>
        </w:rPr>
        <w:t>2.1.1 Education for Global Citizenship</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The concept of global civil society seems to have a wider recognition and application than education for global citizenship, and many people even understand education for global citizenship as education for a global civil society</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&lt;EndNote&gt;&lt;Cite&gt;&lt;Author&gt;Novitra&lt;/Author&gt;&lt;Year&gt;2021&lt;/Year&gt;&lt;RecNum&gt;220&lt;/RecNum&gt;&lt;DisplayText&gt;(Novitra, 2021)&lt;/DisplayText&gt;&lt;record&gt;&lt;rec-number&gt;220&lt;/rec-number&gt;&lt;foreign-keys&gt;&lt;key app="EN" db-id="s0epvpwscaes51edwawvta59vwf02d2xad9d" timestamp="1692271123"&gt;220&lt;/key&gt;&lt;/foreign-keys&gt;&lt;ref-type name="Journal Article"&gt;17&lt;/ref-type&gt;&lt;contributors&gt;&lt;authors&gt;&lt;author&gt;Novitra, Fuja&lt;/author&gt;&lt;/authors&gt;&lt;/contributors&gt;&lt;titles&gt;&lt;title&gt;Development of Online-Based Inquiry Learning Model to Improve 21st-Century Skills of Physics Students in Senior High School&lt;/title&gt;&lt;secondary-title&gt;Eurasia Journal of Mathematics, Science and Technology Education&lt;/secondary-title&gt;&lt;/titles&gt;&lt;periodical&gt;&lt;full-title&gt;Eurasia Journal of Mathematics, Science and Technology Education&lt;/full-title&gt;&lt;/periodical&gt;&lt;volume&gt;17&lt;/volume&gt;&lt;number&gt;9&lt;/number&gt;&lt;dates&gt;&lt;year&gt;2021&lt;/year&gt;&lt;/dates&gt;&lt;urls&gt;&lt;/urls&gt;&lt;/record&gt;&lt;/Cite&gt;&lt;/EndNote&gt;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(Novitra, 2021)</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In fact, global citizenship education covers a social category that encompasses global civil society, but is not limited to it and refers to a larger category. But global citizenship education does have a direct relationship with the concept of global citizenship. Therefore, in order to define the connotation of global citizenship education, it is first necessary to clarify the meaning of the concept of global citizenship</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&lt;EndNote&gt;&lt;Cite&gt;&lt;Author&gt;Dilling&lt;/Author&gt;&lt;Year&gt;2022&lt;/Year&gt;&lt;RecNum&gt;222&lt;/RecNum&gt;&lt;DisplayText&gt;(Dilling and Kraus, 2022)&lt;/DisplayText&gt;&lt;record&gt;&lt;rec-number&gt;222&lt;/rec-number&gt;&lt;foreign-keys&gt;&lt;key app="EN" db-id="s0epvpwscaes51edwawvta59vwf02d2xad9d" timestamp="1692271146"&gt;222&lt;/key&gt;&lt;/foreign-keys&gt;&lt;ref-type name="Journal Article"&gt;17&lt;/ref-type&gt;&lt;contributors&gt;&lt;authors&gt;&lt;author&gt;Dilling, Frederik&lt;/author&gt;&lt;author&gt;Kraus, Simon F&lt;/author&gt;&lt;/authors&gt;&lt;/contributors&gt;&lt;titles&gt;&lt;title&gt;Historical Relations of Mathematics and Physics—an Overview and Implications for Teaching&lt;/title&gt;&lt;secondary-title&gt;Comparison of Mathematics and Physics Education II: Examples of Interdisciplinary Teaching at School&lt;/secondary-title&gt;&lt;/titles&gt;&lt;periodical&gt;&lt;full-title&gt;Comparison of Mathematics and Physics Education II: Examples of Interdisciplinary Teaching at School&lt;/full-title&gt;&lt;/periodical&gt;&lt;pages&gt;7-24&lt;/pages&gt;&lt;dates&gt;&lt;year&gt;2022&lt;/year&gt;&lt;/dates&gt;&lt;urls&gt;&lt;/urls&gt;&lt;/record&gt;&lt;/Cite&gt;&lt;/EndNote&gt;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(Dilling and Kraus, 2022)</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As the name suggests, global citizenship education is education for responsible global citizenship, and global citizenship is not only the concept of a global civil society, but also a broader global society, or simply, the citizens of the Earth. How then are the powers and duties of citizenship defined</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&lt;EndNote&gt;&lt;Cite&gt;&lt;Author&gt;Appiah&lt;/Author&gt;&lt;Year&gt;2008&lt;/Year&gt;&lt;RecNum&gt;223&lt;/RecNum&gt;&lt;DisplayText&gt;(Appiah, 2008)&lt;/DisplayText&gt;&lt;record&gt;&lt;rec-number&gt;223&lt;/rec-number&gt;&lt;foreign-keys&gt;&lt;key app="EN" db-id="s0epvpwscaes51edwawvta59vwf02d2xad9d" timestamp="1692271156"&gt;223&lt;/key&gt;&lt;/foreign-keys&gt;&lt;ref-type name="Journal Article"&gt;17&lt;/ref-type&gt;&lt;contributors&gt;&lt;authors&gt;&lt;author&gt;Appiah, Kwame Anthony&lt;/author&gt;&lt;/authors&gt;&lt;/contributors&gt;&lt;titles&gt;&lt;title&gt;Education for global citizenship&lt;/title&gt;&lt;secondary-title&gt;Teachers College Record&lt;/secondary-title&gt;&lt;/titles&gt;&lt;periodical&gt;&lt;full-title&gt;Teachers College Record&lt;/full-title&gt;&lt;/periodical&gt;&lt;pages&gt;83-99&lt;/pages&gt;&lt;volume&gt;110&lt;/volume&gt;&lt;number&gt;13&lt;/number&gt;&lt;dates&gt;&lt;year&gt;2008&lt;/year&gt;&lt;/dates&gt;&lt;isbn&gt;0161-4681&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(Appiah, 2008)</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Global citizenship emphasizes the individual's identification with himself or herself as a global citizen and adherence to a universal moral purpose, which is the essential characteristic of global citizenship. "Martha Nussbaum, a global citizenship educator, points out that global citizenship is a complementary identity to national citizenship, which enables citizens to go beyond a narrow sense of the nation-state, to have a world mindset, a global vision, and a sense of humanity, and to become citizens of the nation with a global mindset and a sense of humanity, transcending the limitations of geography and of a particular community, and to stand in a global. They become citizens of a country with a global outlook and a sense of humanity, transcending the limitations of geography and specific communities, and seeing things from a global perspective, from the perspective of all humanity</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&lt;EndNote&gt;&lt;Cite&gt;&lt;Author&gt;Leite&lt;/Author&gt;&lt;Year&gt;2022&lt;/Year&gt;&lt;RecNum&gt;227&lt;/RecNum&gt;&lt;DisplayText&gt;(Leite, 2022)&lt;/DisplayText&gt;&lt;record&gt;&lt;rec-number&gt;227&lt;/rec-number&gt;&lt;foreign-keys&gt;&lt;key app="EN" db-id="s0epvpwscaes51edwawvta59vwf02d2xad9d" timestamp="1692271208"&gt;227&lt;/key&gt;&lt;/foreign-keys&gt;&lt;ref-type name="Journal Article"&gt;17&lt;/ref-type&gt;&lt;contributors&gt;&lt;authors&gt;&lt;author&gt;Leite, Stephanie&lt;/author&gt;&lt;/authors&gt;&lt;/contributors&gt;&lt;titles&gt;&lt;title&gt;Using the SDGs for global citizenship education: Definitions, challenges, and opportunities&lt;/title&gt;&lt;secondary-title&gt;Globalisation, Societies and Education&lt;/secondary-title&gt;&lt;/titles&gt;&lt;periodical&gt;&lt;full-title&gt;Globalisation, Societies and Education&lt;/full-title&gt;&lt;/periodical&gt;&lt;pages&gt;401-413&lt;/pages&gt;&lt;volume&gt;20&lt;/volume&gt;&lt;number&gt;3&lt;/number&gt;&lt;dates&gt;&lt;year&gt;2022&lt;/year&gt;&lt;/dates&gt;&lt;isbn&gt;1476-7724&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(Leite, 2022)</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xml:space="preserve">. </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While the concept of global citizenship is still debated by different scholars, consensus on it is not difficult to uncover. There are at least two key points of agreement: first, that global citizenship encompasses both domestic and international dimensions without contradicting national citizenship; and second, that global citizenship carries the same connotations of both rights and duties. There are both humanitarian rights and obligations.</w:t>
      </w:r>
    </w:p>
    <w:p>
      <w:pPr>
        <w:widowControl/>
        <w:spacing w:line="360" w:lineRule="auto"/>
        <w:rPr>
          <w:rFonts w:ascii="Times New Roman" w:hAnsi="Times New Roman" w:eastAsia="宋体" w:cs="Times New Roman"/>
          <w:b/>
          <w:bCs/>
          <w:color w:val="000000"/>
          <w:kern w:val="0"/>
          <w:sz w:val="24"/>
          <w:lang w:bidi="ar"/>
        </w:rPr>
      </w:pPr>
      <w:r>
        <w:rPr>
          <w:rFonts w:hint="eastAsia" w:ascii="Times New Roman" w:hAnsi="Times New Roman" w:eastAsia="宋体" w:cs="Times New Roman"/>
          <w:b/>
          <w:bCs/>
          <w:color w:val="000000"/>
          <w:kern w:val="0"/>
          <w:sz w:val="24"/>
          <w:lang w:bidi="ar"/>
        </w:rPr>
        <w:t>2.1.2 Senior Secondary Physics Curriculum</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The Senior Secondary Physics Curriculum is a basic course in the field of natural sciences in general senior secondary schools, aiming at further improving students' scientific literacy and laying a foundation for their lifelong development. It covers the laws about the changes of everything in nature and the basic knowledge of physics, including physical phenomena, physical concepts, physical laws and physical theories</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&lt;EndNote&gt;&lt;Cite&gt;&lt;Author&gt;Suastra&lt;/Author&gt;&lt;Year&gt;2017&lt;/Year&gt;&lt;RecNum&gt;210&lt;/RecNum&gt;&lt;DisplayText&gt;(Suastra et al., 2017)&lt;/DisplayText&gt;&lt;record&gt;&lt;rec-number&gt;210&lt;/rec-number&gt;&lt;foreign-keys&gt;&lt;key app="EN" db-id="s0epvpwscaes51edwawvta59vwf02d2xad9d" timestamp="1692270882"&gt;210&lt;/key&gt;&lt;/foreign-keys&gt;&lt;ref-type name="Journal Article"&gt;17&lt;/ref-type&gt;&lt;contributors&gt;&lt;authors&gt;&lt;author&gt;Suastra, IW&lt;/author&gt;&lt;author&gt;Jatmiko, B&lt;/author&gt;&lt;author&gt;Ristiati, NP&lt;/author&gt;&lt;author&gt;Yasmini, LPB&lt;/author&gt;&lt;/authors&gt;&lt;/contributors&gt;&lt;titles&gt;&lt;title&gt;Developing characters based on local wisdom of bali in teaching physics in senior high school&lt;/title&gt;&lt;secondary-title&gt;Jurnal Pendidikan IPA Indonesia&lt;/secondary-title&gt;&lt;/titles&gt;&lt;periodical&gt;&lt;full-title&gt;Jurnal Pendidikan IPA Indonesia&lt;/full-title&gt;&lt;/periodical&gt;&lt;pages&gt;306-312&lt;/pages&gt;&lt;volume&gt;6&lt;/volume&gt;&lt;number&gt;2&lt;/number&gt;&lt;dates&gt;&lt;year&gt;2017&lt;/year&gt;&lt;/dates&gt;&lt;isbn&gt;2089-4392&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(Suastra et al., 2017)</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The objective of the Senior Secondary Physics Curriculum is to cultivate students' scientific literacy, improve their scientific knowledge, scientific methods and attitudes, and develop their innovative spirit and practical ability. At the same time, the senior secondary physics curriculum also serves as a foundation for students to enter university to study physics and related scientific fields</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&lt;EndNote&gt;&lt;Cite&gt;&lt;Author&gt;Hodapp&lt;/Author&gt;&lt;Year&gt;2009&lt;/Year&gt;&lt;RecNum&gt;214&lt;/RecNum&gt;&lt;DisplayText&gt;(Hodapp et al., 2009)&lt;/DisplayText&gt;&lt;record&gt;&lt;rec-number&gt;214&lt;/rec-number&gt;&lt;foreign-keys&gt;&lt;key app="EN" db-id="s0epvpwscaes51edwawvta59vwf02d2xad9d" timestamp="1692270959"&gt;214&lt;/key&gt;&lt;/foreign-keys&gt;&lt;ref-type name="Journal Article"&gt;17&lt;/ref-type&gt;&lt;contributors&gt;&lt;authors&gt;&lt;author&gt;Hodapp, Theodore&lt;/author&gt;&lt;author&gt;Hehn, Jack&lt;/author&gt;&lt;author&gt;Hein, Warren&lt;/author&gt;&lt;/authors&gt;&lt;/contributors&gt;&lt;titles&gt;&lt;title&gt;Preparing high-school physics teachers&lt;/title&gt;&lt;secondary-title&gt;Physics Today&lt;/secondary-title&gt;&lt;/titles&gt;&lt;periodical&gt;&lt;full-title&gt;Physics Today&lt;/full-title&gt;&lt;/periodical&gt;&lt;pages&gt;40-45&lt;/pages&gt;&lt;volume&gt;62&lt;/volume&gt;&lt;number&gt;2&lt;/number&gt;&lt;dates&gt;&lt;year&gt;2009&lt;/year&gt;&lt;/dates&gt;&lt;isbn&gt;0031-9228&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(Hodapp et al., 2009)</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w:t>
      </w:r>
    </w:p>
    <w:p>
      <w:pPr>
        <w:widowControl/>
        <w:spacing w:line="360" w:lineRule="auto"/>
        <w:rPr>
          <w:rFonts w:ascii="Times New Roman" w:hAnsi="Times New Roman" w:eastAsia="宋体" w:cs="Times New Roman"/>
          <w:b/>
          <w:bCs/>
          <w:color w:val="000000"/>
          <w:kern w:val="0"/>
          <w:sz w:val="24"/>
          <w:lang w:bidi="ar"/>
        </w:rPr>
      </w:pPr>
      <w:r>
        <w:rPr>
          <w:rFonts w:hint="eastAsia" w:ascii="Times New Roman" w:hAnsi="Times New Roman" w:eastAsia="宋体" w:cs="Times New Roman"/>
          <w:b/>
          <w:bCs/>
          <w:color w:val="000000"/>
          <w:kern w:val="0"/>
          <w:sz w:val="24"/>
          <w:lang w:bidi="ar"/>
        </w:rPr>
        <w:t>2.1.3 Relationship between civic education and senior secondary physics</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Civic education refers to the cultivation of citizens with a global perspective, intercultural communication skills and active participation in global governance through education. The senior secondary physics curriculum, as a basic course in the field of natural sciences, aims to develop students' scientific literacy and innovative spirit, and to lay the foundation for their lifelong development</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&lt;EndNote&gt;&lt;Cite&gt;&lt;Author&gt;Kennedy&lt;/Author&gt;&lt;Year&gt;2012&lt;/Year&gt;&lt;RecNum&gt;237&lt;/RecNum&gt;&lt;DisplayText&gt;(Kennedy, 2012)&lt;/DisplayText&gt;&lt;record&gt;&lt;rec-number&gt;237&lt;/rec-number&gt;&lt;foreign-keys&gt;&lt;key app="EN" db-id="s0epvpwscaes51edwawvta59vwf02d2xad9d" timestamp="1692271348"&gt;237&lt;/key&gt;&lt;/foreign-keys&gt;&lt;ref-type name="Journal Article"&gt;17&lt;/ref-type&gt;&lt;contributors&gt;&lt;authors&gt;&lt;author&gt;Kennedy, Kerry J&lt;/author&gt;&lt;/authors&gt;&lt;/contributors&gt;&lt;titles&gt;&lt;title&gt;Global trends in civic and citizenship education: What are the lessons for nation states?&lt;/title&gt;&lt;secondary-title&gt;Education Sciences&lt;/secondary-title&gt;&lt;/titles&gt;&lt;periodical&gt;&lt;full-title&gt;Education Sciences&lt;/full-title&gt;&lt;/periodical&gt;&lt;pages&gt;121-135&lt;/pages&gt;&lt;volume&gt;2&lt;/volume&gt;&lt;number&gt;3&lt;/number&gt;&lt;dates&gt;&lt;year&gt;2012&lt;/year&gt;&lt;/dates&gt;&lt;isbn&gt;2227-7102&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(Kennedy, 2012)</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In a broad sense, the senior secondary Physics Curriculum is also part of civic education because scientific literacy is one of the basic literacies necessary for modern citizens, and Physics, as a leading subject in the natural sciences, plays an important role in developing students' scientific literacy</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&lt;EndNote&gt;&lt;Cite&gt;&lt;Author&gt;Kim&lt;/Author&gt;&lt;Year&gt;2006&lt;/Year&gt;&lt;RecNum&gt;236&lt;/RecNum&gt;&lt;DisplayText&gt;(Kim and Ball-Rokeach, 2006)&lt;/DisplayText&gt;&lt;record&gt;&lt;rec-number&gt;236&lt;/rec-number&gt;&lt;foreign-keys&gt;&lt;key app="EN" db-id="s0epvpwscaes51edwawvta59vwf02d2xad9d" timestamp="1692271313"&gt;236&lt;/key&gt;&lt;/foreign-keys&gt;&lt;ref-type name="Journal Article"&gt;17&lt;/ref-type&gt;&lt;contributors&gt;&lt;authors&gt;&lt;author&gt;Kim, Yong-Chan&lt;/author&gt;&lt;author&gt;Ball-Rokeach, Sandra J&lt;/author&gt;&lt;/authors&gt;&lt;/contributors&gt;&lt;titles&gt;&lt;title&gt;Civic engagement from a communication infrastructure perspective&lt;/title&gt;&lt;secondary-title&gt;Communication Theory&lt;/secondary-title&gt;&lt;/titles&gt;&lt;periodical&gt;&lt;full-title&gt;Communication Theory&lt;/full-title&gt;&lt;/periodical&gt;&lt;pages&gt;173-197&lt;/pages&gt;&lt;volume&gt;16&lt;/volume&gt;&lt;number&gt;2&lt;/number&gt;&lt;dates&gt;&lt;year&gt;2006&lt;/year&gt;&lt;/dates&gt;&lt;isbn&gt;1050-3293&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(Kim and Ball-Rokeach, 2006)</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Specifically, the objectives of the senior secondary physics curriculum overlap with those of civic education. Civic education aims to cultivate citizens with a global perspective, intercultural communication skills and active participation in global governance, while one of the objectives of the senior secondary physics curriculum is to cultivate students' scientific literacy, so as to enable them to understand the laws of change of everything in the natural world and the basics of physics, so as to better understand and adapt to the natural world</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&lt;EndNote&gt;&lt;Cite&gt;&lt;Author&gt;Althof&lt;/Author&gt;&lt;Year&gt;2006&lt;/Year&gt;&lt;RecNum&gt;234&lt;/RecNum&gt;&lt;DisplayText&gt;(Althof and Berkowitz*, 2006)&lt;/DisplayText&gt;&lt;record&gt;&lt;rec-number&gt;234&lt;/rec-number&gt;&lt;foreign-keys&gt;&lt;key app="EN" db-id="s0epvpwscaes51edwawvta59vwf02d2xad9d" timestamp="1692271290"&gt;234&lt;/key&gt;&lt;/foreign-keys&gt;&lt;ref-type name="Journal Article"&gt;17&lt;/ref-type&gt;&lt;contributors&gt;&lt;authors&gt;&lt;author&gt;Althof, Wolfgang&lt;/author&gt;&lt;author&gt;Berkowitz*, Marvin W&lt;/author&gt;&lt;/authors&gt;&lt;/contributors&gt;&lt;titles&gt;&lt;title&gt;Moral education and character education: Their relationship and roles in citizenship education&lt;/title&gt;&lt;secondary-title&gt;Journal of moral education&lt;/secondary-title&gt;&lt;/titles&gt;&lt;periodical&gt;&lt;full-title&gt;Journal of moral education&lt;/full-title&gt;&lt;/periodical&gt;&lt;pages&gt;495-518&lt;/pages&gt;&lt;volume&gt;35&lt;/volume&gt;&lt;number&gt;4&lt;/number&gt;&lt;dates&gt;&lt;year&gt;2006&lt;/year&gt;&lt;/dates&gt;&lt;isbn&gt;0305-7240&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(Althof and Berkowitz*, 2006)</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xml:space="preserve">. </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In addition, the senior secondary physics curriculum also provides students with the basic knowledge for entering university to study physics and related scientific fields, which also plays an important role in cultivating students' scientific spirit and innovative spirit</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&lt;EndNote&gt;&lt;Cite&gt;&lt;Author&gt;Davies&lt;/Author&gt;&lt;Year&gt;2010&lt;/Year&gt;&lt;RecNum&gt;232&lt;/RecNum&gt;&lt;DisplayText&gt;(Davies and Pike, 2010)&lt;/DisplayText&gt;&lt;record&gt;&lt;rec-number&gt;232&lt;/rec-number&gt;&lt;foreign-keys&gt;&lt;key app="EN" db-id="s0epvpwscaes51edwawvta59vwf02d2xad9d" timestamp="1692271264"&gt;232&lt;/key&gt;&lt;/foreign-keys&gt;&lt;ref-type name="Journal Article"&gt;17&lt;/ref-type&gt;&lt;contributors&gt;&lt;authors&gt;&lt;author&gt;Davies, Ian&lt;/author&gt;&lt;author&gt;Pike, Graham&lt;/author&gt;&lt;/authors&gt;&lt;/contributors&gt;&lt;titles&gt;&lt;title&gt;Global citizenship education: Challenges and possibilities&lt;/title&gt;&lt;secondary-title&gt;The handbook of practice and research in study abroad&lt;/secondary-title&gt;&lt;/titles&gt;&lt;periodical&gt;&lt;full-title&gt;The handbook of practice and research in study abroad&lt;/full-title&gt;&lt;/periodical&gt;&lt;pages&gt;83-100&lt;/pages&gt;&lt;dates&gt;&lt;year&gt;2010&lt;/year&gt;&lt;/dates&gt;&lt;urls&gt;&lt;/urls&gt;&lt;/record&gt;&lt;/Cite&gt;&lt;/EndNote&gt;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(Davies and Pike, 2010)</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Through the study of the senior secondary physics curriculum, students can understand the development of physics, research methods and basic concepts, and master the basic theories and experimental skills of physics, thus laying a solid foundation for their future studies and careers.</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Therefore, it can be said that there is a close connection between the senior secondary physics curriculum and civic education, both of which aim to cultivate modern citizens with scientific literacy and innovative spirit, so as to contribute to the lifelong development of individuals and the sustainable development of society.</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2.2 Status of Research</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2.2.1 Status of teaching and learning in senior secondary school physics curriculum</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Physics teaching in high school has always been a key subject with unique advantages in practice and experiment. However, traditional physics teaching still has some problems, such as the disconnection between theory and practice and the lack of connection between knowledge points. These problems need to be solved by reforming physics teaching.</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In order to stimulate students' and citizens' interest in physics, teachers can talk about the history of physics in their lessons, such as which physicist formulated what laws and theorems at what time, and what kind of roles these laws played for the subsequent development of science</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&lt;EndNote&gt;&lt;Cite&gt;&lt;Author&gt;Lee&lt;/Author&gt;&lt;Year&gt;2022&lt;/Year&gt;&lt;RecNum&gt;219&lt;/RecNum&gt;&lt;DisplayText&gt;(Lee and Perret, 2022)&lt;/DisplayText&gt;&lt;record&gt;&lt;rec-number&gt;219&lt;/rec-number&gt;&lt;foreign-keys&gt;&lt;key app="EN" db-id="s0epvpwscaes51edwawvta59vwf02d2xad9d" timestamp="1692271105"&gt;219&lt;/key&gt;&lt;/foreign-keys&gt;&lt;ref-type name="Conference Proceedings"&gt;10&lt;/ref-type&gt;&lt;contributors&gt;&lt;authors&gt;&lt;author&gt;Lee, Irene&lt;/author&gt;&lt;author&gt;Perret, Beatriz&lt;/author&gt;&lt;/authors&gt;&lt;/contributors&gt;&lt;titles&gt;&lt;title&gt;Preparing High School Teachers to Integrate AI Methods into STEM Classrooms&lt;/title&gt;&lt;secondary-title&gt;Proceedings of the AAAI Conference on Artificial Intelligence&lt;/secondary-title&gt;&lt;/titles&gt;&lt;pages&gt;12783-12791&lt;/pages&gt;&lt;volume&gt;36&lt;/volume&gt;&lt;number&gt;11&lt;/number&gt;&lt;dates&gt;&lt;year&gt;2022&lt;/year&gt;&lt;/dates&gt;&lt;isbn&gt;2374-3468&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(Lee and Perret, 2022)</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The combination of the history of physics and physics teaching in order to achieve better teaching results has been a very early concern of foreign researchers, which is represented by the United States, a large number of works on the integration of the history of physics and physics teaching and major policies are also from the United States. Prof. Holton of the Department of History of Science of Harvard University pointed out the important role of the history of physics in pedagogy, and put forward the idea that physics teachers should apply the relevant contents of the history of science and philosophy to physics teaching, so as to enable students to better understand the concepts of physics and grasp the principles of physics more thoroughly</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&lt;EndNote&gt;&lt;Cite&gt;&lt;Author&gt;Casaburo&lt;/Author&gt;&lt;Year&gt;2021&lt;/Year&gt;&lt;RecNum&gt;218&lt;/RecNum&gt;&lt;DisplayText&gt;(Casaburo, 2021)&lt;/DisplayText&gt;&lt;record&gt;&lt;rec-number&gt;218&lt;/rec-number&gt;&lt;foreign-keys&gt;&lt;key app="EN" db-id="s0epvpwscaes51edwawvta59vwf02d2xad9d" timestamp="1692271093"&gt;218&lt;/key&gt;&lt;/foreign-keys&gt;&lt;ref-type name="Journal Article"&gt;17&lt;/ref-type&gt;&lt;contributors&gt;&lt;authors&gt;&lt;author&gt;Casaburo, Fausto&lt;/author&gt;&lt;/authors&gt;&lt;/contributors&gt;&lt;titles&gt;&lt;title&gt;Teaching physics by Arduino during COVID-19 pandemic: the free falling body experiment&lt;/title&gt;&lt;secondary-title&gt;Physics Education&lt;/secondary-title&gt;&lt;/titles&gt;&lt;periodical&gt;&lt;full-title&gt;Physics Education&lt;/full-title&gt;&lt;/periodical&gt;&lt;pages&gt;063001&lt;/pages&gt;&lt;volume&gt;56&lt;/volume&gt;&lt;number&gt;6&lt;/number&gt;&lt;dates&gt;&lt;year&gt;2021&lt;/year&gt;&lt;/dates&gt;&lt;isbn&gt;0031-9120&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(Casaburo, 2021)</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The idea of combining the history of physics and physics teaching put forward by Prof. Holton has had a profound impact on physics teaching (Rehman et al., 2021). Famous physicists in history also put forward their views on the integration of the history of physics into physics teaching. In the late 1950s, led by Rutherford and others, the Harvard Physics Course compiled by Harvard University contained the basic principles of physics commonly found in general physics textbooks, and also added many historical information about physics, which combined physics with contemporary production and life, and cited numerous examples embodying the importance of the history of physics(Bruneau et al., 2023). The book combines physics with contemporary production and life, and lists numerous examples that reflect the importance of the history of physics. It makes it possible to combine theory and practicality organically, with the goal of cultivating students' scientific thinking and improving their scientific quality</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&lt;EndNote&gt;&lt;Cite&gt;&lt;Author&gt;Renner&lt;/Author&gt;&lt;Year&gt;1988&lt;/Year&gt;&lt;RecNum&gt;215&lt;/RecNum&gt;&lt;DisplayText&gt;(Renner et al., 1988)&lt;/DisplayText&gt;&lt;record&gt;&lt;rec-number&gt;215&lt;/rec-number&gt;&lt;foreign-keys&gt;&lt;key app="EN" db-id="s0epvpwscaes51edwawvta59vwf02d2xad9d" timestamp="1692270968"&gt;215&lt;/key&gt;&lt;/foreign-keys&gt;&lt;ref-type name="Journal Article"&gt;17&lt;/ref-type&gt;&lt;contributors&gt;&lt;authors&gt;&lt;author&gt;Renner, John W&lt;/author&gt;&lt;author&gt;Abraham, Michael R&lt;/author&gt;&lt;author&gt;Birnie, Howard H&lt;/author&gt;&lt;/authors&gt;&lt;/contributors&gt;&lt;titles&gt;&lt;title&gt;The necessity of each phase of the learning cycle in teaching high school physics&lt;/title&gt;&lt;secondary-title&gt;Journal of Research in Science Teaching&lt;/secondary-title&gt;&lt;/titles&gt;&lt;periodical&gt;&lt;full-title&gt;Journal of Research in Science Teaching&lt;/full-title&gt;&lt;/periodical&gt;&lt;pages&gt;39-58&lt;/pages&gt;&lt;volume&gt;25&lt;/volume&gt;&lt;number&gt;1&lt;/number&gt;&lt;dates&gt;&lt;year&gt;1988&lt;/year&gt;&lt;/dates&gt;&lt;isbn&gt;0022-4308&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(Renner et al., 1988)</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xml:space="preserve">. </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In the United States, physics modeling is considered an important component of core physics literacy. American education experts believe that modeling is not just a process of hands-on practice, but also a process of higher-order cognitive thinking ability development, in which students can develop both activity ability and cognitive thinking ability in the process of modeling. In addition, for the quality of teaching in the teacher's classroom and the learning effectiveness of students, the physics education community in the U.S. has adopted a visual teaching assessment method.In 2018, the PDF version of a U.S. assessment tool dedicated to physics teacher education programs, PTEPA (Physics teacher education program analysis), was officially released, which, through six Tier 1 indicators for physics teachers, aiming to produce quality physics teachers. In the UK, the examination emphasizes the construction of students' knowledge and the cultivation of students' physical literacy, and the contextualization of physics questions is extracted from real-life situations</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&lt;EndNote&gt;&lt;Cite&gt;&lt;Author&gt;Buabeng&lt;/Author&gt;&lt;Year&gt;2014&lt;/Year&gt;&lt;RecNum&gt;212&lt;/RecNum&gt;&lt;DisplayText&gt;(Buabeng et al., 2014)&lt;/DisplayText&gt;&lt;record&gt;&lt;rec-number&gt;212&lt;/rec-number&gt;&lt;foreign-keys&gt;&lt;key app="EN" db-id="s0epvpwscaes51edwawvta59vwf02d2xad9d" timestamp="1692270929"&gt;212&lt;/key&gt;&lt;/foreign-keys&gt;&lt;ref-type name="Journal Article"&gt;17&lt;/ref-type&gt;&lt;contributors&gt;&lt;authors&gt;&lt;author&gt;Buabeng, Isaac&lt;/author&gt;&lt;author&gt;Ossei-Anto, Theophilus Aquinas&lt;/author&gt;&lt;author&gt;Ampiah, Joseph Ghartey&lt;/author&gt;&lt;/authors&gt;&lt;/contributors&gt;&lt;titles&gt;&lt;title&gt;An investigation into physics teaching in senior high schools&lt;/title&gt;&lt;/titles&gt;&lt;dates&gt;&lt;year&gt;2014&lt;/year&gt;&lt;/dates&gt;&lt;isbn&gt;2310-5496&lt;/isbn&gt;&lt;urls&gt;&lt;/urls&gt;&lt;/record&gt;&lt;/Cite&gt;&lt;/EndNote&gt;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(Buabeng et al., 2014)</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Moreover, at the teacher level, in order to attract more high-quality graduates into the physics teaching force, students with excellent results in physics in A-Level examinations are eligible to apply for scholarships and can specialize in physics during their university years</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&lt;EndNote&gt;&lt;Cite&gt;&lt;Author&gt;Smith&lt;/Author&gt;&lt;Year&gt;1995&lt;/Year&gt;&lt;RecNum&gt;213&lt;/RecNum&gt;&lt;DisplayText&gt;(Smith and Taylor, 1995)&lt;/DisplayText&gt;&lt;record&gt;&lt;rec-number&gt;213&lt;/rec-number&gt;&lt;foreign-keys&gt;&lt;key app="EN" db-id="s0epvpwscaes51edwawvta59vwf02d2xad9d" timestamp="1692270942"&gt;213&lt;/key&gt;&lt;/foreign-keys&gt;&lt;ref-type name="Journal Article"&gt;17&lt;/ref-type&gt;&lt;contributors&gt;&lt;authors&gt;&lt;author&gt;Smith, Richard C&lt;/author&gt;&lt;author&gt;Taylor, Edwin F&lt;/author&gt;&lt;/authors&gt;&lt;/contributors&gt;&lt;titles&gt;&lt;title&gt;Teaching physics on line&lt;/title&gt;&lt;secondary-title&gt;American Journal of Physics&lt;/secondary-title&gt;&lt;/titles&gt;&lt;periodical&gt;&lt;full-title&gt;American Journal of Physics&lt;/full-title&gt;&lt;/periodical&gt;&lt;pages&gt;1090-1096&lt;/pages&gt;&lt;volume&gt;63&lt;/volume&gt;&lt;number&gt;12&lt;/number&gt;&lt;dates&gt;&lt;year&gt;1995&lt;/year&gt;&lt;/dates&gt;&lt;isbn&gt;0002-9505&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(Smith and Taylor, 1995)</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Since 1996, Japan has specialized in curriculum practice and inquiry-based teaching to develop students' ability to explore nature, adapt to scientific and technological advances, and adapt to society</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&lt;EndNote&gt;&lt;Cite&gt;&lt;Author&gt;Suastra&lt;/Author&gt;&lt;Year&gt;2017&lt;/Year&gt;&lt;RecNum&gt;210&lt;/RecNum&gt;&lt;DisplayText&gt;(Suastra et al., 2017)&lt;/DisplayText&gt;&lt;record&gt;&lt;rec-number&gt;210&lt;/rec-number&gt;&lt;foreign-keys&gt;&lt;key app="EN" db-id="s0epvpwscaes51edwawvta59vwf02d2xad9d" timestamp="1692270882"&gt;210&lt;/key&gt;&lt;/foreign-keys&gt;&lt;ref-type name="Journal Article"&gt;17&lt;/ref-type&gt;&lt;contributors&gt;&lt;authors&gt;&lt;author&gt;Suastra, IW&lt;/author&gt;&lt;author&gt;Jatmiko, B&lt;/author&gt;&lt;author&gt;Ristiati, NP&lt;/author&gt;&lt;author&gt;Yasmini, LPB&lt;/author&gt;&lt;/authors&gt;&lt;/contributors&gt;&lt;titles&gt;&lt;title&gt;Developing characters based on local wisdom of bali in teaching physics in senior high school&lt;/title&gt;&lt;secondary-title&gt;Jurnal Pendidikan IPA Indonesia&lt;/secondary-title&gt;&lt;/titles&gt;&lt;periodical&gt;&lt;full-title&gt;Jurnal Pendidikan IPA Indonesia&lt;/full-title&gt;&lt;/periodical&gt;&lt;pages&gt;306-312&lt;/pages&gt;&lt;volume&gt;6&lt;/volume&gt;&lt;number&gt;2&lt;/number&gt;&lt;dates&gt;&lt;year&gt;2017&lt;/year&gt;&lt;/dates&gt;&lt;isbn&gt;2089-4392&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(Suastra et al., 2017)</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 Meanwhile, in order to effectively promote the balance of teachers and the flow of excellent resources, and to solve the problem of the uneven development of education in urban and rural areas, Japan has set up a system of regular mobility of teachers after the Second World War, and has promoted the rotation of teachers through the continuous improvement of legislation and so on</w:t>
      </w:r>
      <w:r>
        <w:rPr>
          <w:rFonts w:hint="eastAsia" w:ascii="Times New Roman" w:hAnsi="Times New Roman" w:eastAsia="宋体" w:cs="Times New Roman"/>
          <w:color w:val="000000"/>
          <w:kern w:val="0"/>
          <w:sz w:val="24"/>
          <w:lang w:bidi="ar"/>
        </w:rPr>
        <w:fldChar w:fldCharType="begin"/>
      </w:r>
      <w:r>
        <w:rPr>
          <w:rFonts w:hint="eastAsia" w:ascii="Times New Roman" w:hAnsi="Times New Roman" w:eastAsia="宋体" w:cs="Times New Roman"/>
          <w:color w:val="000000"/>
          <w:kern w:val="0"/>
          <w:sz w:val="24"/>
          <w:lang w:bidi="ar"/>
        </w:rPr>
        <w:instrText xml:space="preserve"> ADDIN EN.CITE &lt;EndNote&gt;&lt;Cite&gt;&lt;Author&gt;Smith&lt;/Author&gt;&lt;Year&gt;1995&lt;/Year&gt;&lt;RecNum&gt;213&lt;/RecNum&gt;&lt;DisplayText&gt;(Smith and Taylor, 1995)&lt;/DisplayText&gt;&lt;record&gt;&lt;rec-number&gt;213&lt;/rec-number&gt;&lt;foreign-keys&gt;&lt;key app="EN" db-id="s0epvpwscaes51edwawvta59vwf02d2xad9d" timestamp="1692270942"&gt;213&lt;/key&gt;&lt;/foreign-keys&gt;&lt;ref-type name="Journal Article"&gt;17&lt;/ref-type&gt;&lt;contributors&gt;&lt;authors&gt;&lt;author&gt;Smith, Richard C&lt;/author&gt;&lt;author&gt;Taylor, Edwin F&lt;/author&gt;&lt;/authors&gt;&lt;/contributors&gt;&lt;titles&gt;&lt;title&gt;Teaching physics on line&lt;/title&gt;&lt;secondary-title&gt;American Journal of Physics&lt;/secondary-title&gt;&lt;/titles&gt;&lt;periodical&gt;&lt;full-title&gt;American Journal of Physics&lt;/full-title&gt;&lt;/periodical&gt;&lt;pages&gt;1090-1096&lt;/pages&gt;&lt;volume&gt;63&lt;/volume&gt;&lt;number&gt;12&lt;/number&gt;&lt;dates&gt;&lt;year&gt;1995&lt;/year&gt;&lt;/dates&gt;&lt;isbn&gt;0002-9505&lt;/isbn&gt;&lt;urls&gt;&lt;/urls&gt;&lt;/record&gt;&lt;/Cite&gt;&lt;/EndNote&gt;</w:instrText>
      </w:r>
      <w:r>
        <w:rPr>
          <w:rFonts w:hint="eastAsia" w:ascii="Times New Roman" w:hAnsi="Times New Roman" w:eastAsia="宋体" w:cs="Times New Roman"/>
          <w:color w:val="000000"/>
          <w:kern w:val="0"/>
          <w:sz w:val="24"/>
          <w:lang w:bidi="ar"/>
        </w:rPr>
        <w:fldChar w:fldCharType="separate"/>
      </w:r>
      <w:r>
        <w:rPr>
          <w:rFonts w:hint="eastAsia" w:ascii="Times New Roman" w:hAnsi="Times New Roman" w:eastAsia="宋体" w:cs="Times New Roman"/>
          <w:color w:val="000000"/>
          <w:kern w:val="0"/>
          <w:sz w:val="24"/>
          <w:lang w:bidi="ar"/>
        </w:rPr>
        <w:t>(Smith and Taylor, 1995)</w:t>
      </w:r>
      <w:r>
        <w:rPr>
          <w:rFonts w:hint="eastAsia" w:ascii="Times New Roman" w:hAnsi="Times New Roman" w:eastAsia="宋体" w:cs="Times New Roman"/>
          <w:color w:val="000000"/>
          <w:kern w:val="0"/>
          <w:sz w:val="24"/>
          <w:lang w:bidi="ar"/>
        </w:rPr>
        <w:fldChar w:fldCharType="end"/>
      </w:r>
      <w:r>
        <w:rPr>
          <w:rFonts w:hint="eastAsia" w:ascii="Times New Roman" w:hAnsi="Times New Roman" w:eastAsia="宋体" w:cs="Times New Roman"/>
          <w:color w:val="000000"/>
          <w:kern w:val="0"/>
          <w:sz w:val="24"/>
          <w:lang w:bidi="ar"/>
        </w:rPr>
        <w:t>.</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2.2.</w:t>
      </w:r>
      <w:r>
        <w:rPr>
          <w:rFonts w:hint="eastAsia" w:ascii="Times New Roman" w:hAnsi="Times New Roman" w:eastAsia="宋体" w:cs="Times New Roman"/>
          <w:b/>
          <w:bCs/>
          <w:color w:val="000000"/>
          <w:kern w:val="0"/>
          <w:sz w:val="24"/>
          <w:lang w:bidi="ar"/>
        </w:rPr>
        <w:t>3</w:t>
      </w:r>
      <w:r>
        <w:rPr>
          <w:rFonts w:ascii="Times New Roman" w:hAnsi="Times New Roman" w:eastAsia="宋体" w:cs="Times New Roman"/>
          <w:b/>
          <w:bCs/>
          <w:color w:val="000000"/>
          <w:kern w:val="0"/>
          <w:sz w:val="24"/>
          <w:lang w:bidi="ar"/>
        </w:rPr>
        <w:t xml:space="preserve"> Status of Global Citizenship Education Research</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From the point of view of the development characteristics of civic education in modern times, social development is more and more inseparable from the driving role of civic education, and the importance of civic education has gradually deepened. Strengthening civic education to ensure that the comprehensive quality of citizens is improved is widely regarded as the basis for improving the social and political system and social civilization</w:t>
      </w:r>
      <w:r>
        <w:rPr>
          <w:rFonts w:ascii="Times New Roman" w:hAnsi="Times New Roman" w:eastAsia="宋体" w:cs="Times New Roman"/>
          <w:color w:val="000000"/>
          <w:kern w:val="0"/>
          <w:sz w:val="24"/>
          <w:lang w:bidi="ar"/>
        </w:rPr>
        <w:fldChar w:fldCharType="begin"/>
      </w:r>
      <w:r>
        <w:rPr>
          <w:rFonts w:ascii="Times New Roman" w:hAnsi="Times New Roman" w:eastAsia="宋体" w:cs="Times New Roman"/>
          <w:color w:val="000000"/>
          <w:kern w:val="0"/>
          <w:sz w:val="24"/>
          <w:lang w:bidi="ar"/>
        </w:rPr>
        <w:instrText xml:space="preserve"> ADDIN EN.CITE &lt;EndNote&gt;&lt;Cite&gt;&lt;Author&gt;Mannion&lt;/Author&gt;&lt;Year&gt;2016&lt;/Year&gt;&lt;RecNum&gt;224&lt;/RecNum&gt;&lt;DisplayText&gt;(Mannion et al., 2016)&lt;/DisplayText&gt;&lt;record&gt;&lt;rec-number&gt;224&lt;/rec-number&gt;&lt;foreign-keys&gt;&lt;key app="EN" db-id="s0epvpwscaes51edwawvta59vwf02d2xad9d" timestamp="1692271175"&gt;224&lt;/key&gt;&lt;/foreign-keys&gt;&lt;ref-type name="Book Section"&gt;5&lt;/ref-type&gt;&lt;contributors&gt;&lt;authors&gt;&lt;author&gt;Mannion, Greg&lt;/author&gt;&lt;author&gt;Biesta, Gert&lt;/author&gt;&lt;author&gt;Priestley, Mark&lt;/author&gt;&lt;author&gt;Ross, Hamish&lt;/author&gt;&lt;/authors&gt;&lt;/contributors&gt;&lt;titles&gt;&lt;title&gt;The global dimension in education and education for global citizenship: Genealogy and critique&lt;/title&gt;&lt;secondary-title&gt;The political economy of global citizenship education&lt;/secondary-title&gt;&lt;/titles&gt;&lt;pages&gt;134-147&lt;/pages&gt;&lt;dates&gt;&lt;year&gt;2016&lt;/year&gt;&lt;/dates&gt;&lt;publisher&gt;Routledge&lt;/publisher&gt;&lt;urls&gt;&lt;/urls&gt;&lt;/record&gt;&lt;/Cite&gt;&lt;/EndNote&gt;</w:instrText>
      </w:r>
      <w:r>
        <w:rPr>
          <w:rFonts w:ascii="Times New Roman" w:hAnsi="Times New Roman" w:eastAsia="宋体" w:cs="Times New Roman"/>
          <w:color w:val="000000"/>
          <w:kern w:val="0"/>
          <w:sz w:val="24"/>
          <w:lang w:bidi="ar"/>
        </w:rPr>
        <w:fldChar w:fldCharType="separate"/>
      </w:r>
      <w:r>
        <w:rPr>
          <w:rFonts w:ascii="Times New Roman" w:hAnsi="Times New Roman" w:eastAsia="宋体" w:cs="Times New Roman"/>
          <w:color w:val="000000"/>
          <w:kern w:val="0"/>
          <w:sz w:val="24"/>
          <w:lang w:bidi="ar"/>
        </w:rPr>
        <w:t>(Mannion et al., 2016)</w:t>
      </w:r>
      <w:r>
        <w:rPr>
          <w:rFonts w:ascii="Times New Roman" w:hAnsi="Times New Roman" w:eastAsia="宋体" w:cs="Times New Roman"/>
          <w:color w:val="000000"/>
          <w:kern w:val="0"/>
          <w:sz w:val="24"/>
          <w:lang w:bidi="ar"/>
        </w:rPr>
        <w:fldChar w:fldCharType="end"/>
      </w:r>
      <w:r>
        <w:rPr>
          <w:rFonts w:ascii="Times New Roman" w:hAnsi="Times New Roman" w:eastAsia="宋体" w:cs="Times New Roman"/>
          <w:color w:val="000000"/>
          <w:kern w:val="0"/>
          <w:sz w:val="24"/>
          <w:lang w:bidi="ar"/>
        </w:rPr>
        <w:t>. Civic education is regarded as an indispensable force for easing social conflicts at home and abroad, resolving international conflicts and disputes, and strengthening international exchanges and cooperation. The importance of civic education is also reflected in its function in the modernization process. Civic education has the functions of social integration and democratization</w:t>
      </w:r>
      <w:r>
        <w:rPr>
          <w:rFonts w:ascii="Times New Roman" w:hAnsi="Times New Roman" w:eastAsia="宋体" w:cs="Times New Roman"/>
          <w:color w:val="000000"/>
          <w:kern w:val="0"/>
          <w:sz w:val="24"/>
          <w:lang w:bidi="ar"/>
        </w:rPr>
        <w:fldChar w:fldCharType="begin"/>
      </w:r>
      <w:r>
        <w:rPr>
          <w:rFonts w:ascii="Times New Roman" w:hAnsi="Times New Roman" w:eastAsia="宋体" w:cs="Times New Roman"/>
          <w:color w:val="000000"/>
          <w:kern w:val="0"/>
          <w:sz w:val="24"/>
          <w:lang w:bidi="ar"/>
        </w:rPr>
        <w:instrText xml:space="preserve"> ADDIN EN.CITE &lt;EndNote&gt;&lt;Cite&gt;&lt;Author&gt;Myers&lt;/Author&gt;&lt;Year&gt;2006&lt;/Year&gt;&lt;RecNum&gt;226&lt;/RecNum&gt;&lt;DisplayText&gt;(Myers, 2006)&lt;/DisplayText&gt;&lt;record&gt;&lt;rec-number&gt;226&lt;/rec-number&gt;&lt;foreign-keys&gt;&lt;key app="EN" db-id="s0epvpwscaes51edwawvta59vwf02d2xad9d" timestamp="1692271199"&gt;226&lt;/key&gt;&lt;/foreign-keys&gt;&lt;ref-type name="Journal Article"&gt;17&lt;/ref-type&gt;&lt;contributors&gt;&lt;authors&gt;&lt;author&gt;Myers, John P&lt;/author&gt;&lt;/authors&gt;&lt;/contributors&gt;&lt;titles&gt;&lt;title&gt;Rethinking the social studies curriculum in the context of globalization: Education for global citizenship in the US&lt;/title&gt;&lt;secondary-title&gt;Theory &amp;amp; Research in Social Education&lt;/secondary-title&gt;&lt;/titles&gt;&lt;periodical&gt;&lt;full-title&gt;Theory &amp;amp; Research in Social Education&lt;/full-title&gt;&lt;/periodical&gt;&lt;pages&gt;370-394&lt;/pages&gt;&lt;volume&gt;34&lt;/volume&gt;&lt;number&gt;3&lt;/number&gt;&lt;dates&gt;&lt;year&gt;2006&lt;/year&gt;&lt;/dates&gt;&lt;isbn&gt;0093-3104&lt;/isbn&gt;&lt;urls&gt;&lt;/urls&gt;&lt;/record&gt;&lt;/Cite&gt;&lt;/EndNote&gt;</w:instrText>
      </w:r>
      <w:r>
        <w:rPr>
          <w:rFonts w:ascii="Times New Roman" w:hAnsi="Times New Roman" w:eastAsia="宋体" w:cs="Times New Roman"/>
          <w:color w:val="000000"/>
          <w:kern w:val="0"/>
          <w:sz w:val="24"/>
          <w:lang w:bidi="ar"/>
        </w:rPr>
        <w:fldChar w:fldCharType="separate"/>
      </w:r>
      <w:r>
        <w:rPr>
          <w:rFonts w:ascii="Times New Roman" w:hAnsi="Times New Roman" w:eastAsia="宋体" w:cs="Times New Roman"/>
          <w:color w:val="000000"/>
          <w:kern w:val="0"/>
          <w:sz w:val="24"/>
          <w:lang w:bidi="ar"/>
        </w:rPr>
        <w:t>(Myers, 2006)</w:t>
      </w:r>
      <w:r>
        <w:rPr>
          <w:rFonts w:ascii="Times New Roman" w:hAnsi="Times New Roman" w:eastAsia="宋体" w:cs="Times New Roman"/>
          <w:color w:val="000000"/>
          <w:kern w:val="0"/>
          <w:sz w:val="24"/>
          <w:lang w:bidi="ar"/>
        </w:rPr>
        <w:fldChar w:fldCharType="end"/>
      </w:r>
      <w:r>
        <w:rPr>
          <w:rFonts w:ascii="Times New Roman" w:hAnsi="Times New Roman" w:eastAsia="宋体" w:cs="Times New Roman"/>
          <w:color w:val="000000"/>
          <w:kern w:val="0"/>
          <w:sz w:val="24"/>
          <w:lang w:bidi="ar"/>
        </w:rPr>
        <w:t>.</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Civil society, global civil society and global citizenship education are all imported to China; in other words, the West has much more theoretical research and practical experience in this area than China</w:t>
      </w:r>
      <w:r>
        <w:rPr>
          <w:rFonts w:ascii="Times New Roman" w:hAnsi="Times New Roman" w:eastAsia="宋体" w:cs="Times New Roman"/>
          <w:color w:val="000000"/>
          <w:kern w:val="0"/>
          <w:sz w:val="24"/>
          <w:lang w:bidi="ar"/>
        </w:rPr>
        <w:fldChar w:fldCharType="begin"/>
      </w:r>
      <w:r>
        <w:rPr>
          <w:rFonts w:ascii="Times New Roman" w:hAnsi="Times New Roman" w:eastAsia="宋体" w:cs="Times New Roman"/>
          <w:color w:val="000000"/>
          <w:kern w:val="0"/>
          <w:sz w:val="24"/>
          <w:lang w:bidi="ar"/>
        </w:rPr>
        <w:instrText xml:space="preserve"> ADDIN EN.CITE &lt;EndNote&gt;&lt;Cite&gt;&lt;Author&gt;Davies&lt;/Author&gt;&lt;Year&gt;2010&lt;/Year&gt;&lt;RecNum&gt;232&lt;/RecNum&gt;&lt;DisplayText&gt;(Davies and Pike, 2010)&lt;/DisplayText&gt;&lt;record&gt;&lt;rec-number&gt;232&lt;/rec-number&gt;&lt;foreign-keys&gt;&lt;key app="EN" db-id="s0epvpwscaes51edwawvta59vwf02d2xad9d" timestamp="1692271264"&gt;232&lt;/key&gt;&lt;/foreign-keys&gt;&lt;ref-type name="Journal Article"&gt;17&lt;/ref-type&gt;&lt;contributors&gt;&lt;authors&gt;&lt;author&gt;Davies, Ian&lt;/author&gt;&lt;author&gt;Pike, Graham&lt;/author&gt;&lt;/authors&gt;&lt;/contributors&gt;&lt;titles&gt;&lt;title&gt;Global citizenship education: Challenges and possibilities&lt;/title&gt;&lt;secondary-title&gt;The handbook of practice and research in study abroad&lt;/secondary-title&gt;&lt;/titles&gt;&lt;periodical&gt;&lt;full-title&gt;The handbook of practice and research in study abroad&lt;/full-title&gt;&lt;/periodical&gt;&lt;pages&gt;83-100&lt;/pages&gt;&lt;dates&gt;&lt;year&gt;2010&lt;/year&gt;&lt;/dates&gt;&lt;urls&gt;&lt;/urls&gt;&lt;/record&gt;&lt;/Cite&gt;&lt;/EndNote&gt;</w:instrText>
      </w:r>
      <w:r>
        <w:rPr>
          <w:rFonts w:ascii="Times New Roman" w:hAnsi="Times New Roman" w:eastAsia="宋体" w:cs="Times New Roman"/>
          <w:color w:val="000000"/>
          <w:kern w:val="0"/>
          <w:sz w:val="24"/>
          <w:lang w:bidi="ar"/>
        </w:rPr>
        <w:fldChar w:fldCharType="separate"/>
      </w:r>
      <w:r>
        <w:rPr>
          <w:rFonts w:ascii="Times New Roman" w:hAnsi="Times New Roman" w:eastAsia="宋体" w:cs="Times New Roman"/>
          <w:color w:val="000000"/>
          <w:kern w:val="0"/>
          <w:sz w:val="24"/>
          <w:lang w:bidi="ar"/>
        </w:rPr>
        <w:t>(Davies and Pike, 2010)</w:t>
      </w:r>
      <w:r>
        <w:rPr>
          <w:rFonts w:ascii="Times New Roman" w:hAnsi="Times New Roman" w:eastAsia="宋体" w:cs="Times New Roman"/>
          <w:color w:val="000000"/>
          <w:kern w:val="0"/>
          <w:sz w:val="24"/>
          <w:lang w:bidi="ar"/>
        </w:rPr>
        <w:fldChar w:fldCharType="end"/>
      </w:r>
      <w:r>
        <w:rPr>
          <w:rFonts w:ascii="Times New Roman" w:hAnsi="Times New Roman" w:eastAsia="宋体" w:cs="Times New Roman"/>
          <w:color w:val="000000"/>
          <w:kern w:val="0"/>
          <w:sz w:val="24"/>
          <w:lang w:bidi="ar"/>
        </w:rPr>
        <w:t xml:space="preserve">. </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It is generally believed that "civil society" emphasizes the economic dimension, "civil society" emphasizes the political dimension, and "civil society" distinguishes itself from "official society". Civil society" is distinguished from "official" and implies the dualistic structure of "civil society and the state" in China's specific cultural tradition. In the West, the theory of "civil society" has a long history, which can be traced back to the ancient Greek period, when Aristotle explained in his Politics that civil society is the city-state or community. "With the constant pursuit of the good, a plurality of villages are fully united into a community for the purpose of living a good life, which grows larger and larger, and when this community is large enough to be self-sufficient or nearly self-sufficient, it gives rise to the city-state ...... Man is a political animal. A man who is not by nature contingently separated from the city-state is either a superman or a despicable man." Larry Ray, in his article "Civil Society and the Public Sphere," suggests that "civil society," like the public sphere, has its roots in Greek and Roman political philosophy (Aristotle's Politics and Cicero's On Citizenship) but is closer to the political philosophy of the 18th century. political philosophy of the 18th century. The meaning of "civil society" in this context has moved from the classical to the modern</w:t>
      </w:r>
      <w:r>
        <w:rPr>
          <w:rFonts w:ascii="Times New Roman" w:hAnsi="Times New Roman" w:eastAsia="宋体" w:cs="Times New Roman"/>
          <w:color w:val="000000"/>
          <w:kern w:val="0"/>
          <w:sz w:val="24"/>
          <w:lang w:bidi="ar"/>
        </w:rPr>
        <w:fldChar w:fldCharType="begin"/>
      </w:r>
      <w:r>
        <w:rPr>
          <w:rFonts w:ascii="Times New Roman" w:hAnsi="Times New Roman" w:eastAsia="宋体" w:cs="Times New Roman"/>
          <w:color w:val="000000"/>
          <w:kern w:val="0"/>
          <w:sz w:val="24"/>
          <w:lang w:bidi="ar"/>
        </w:rPr>
        <w:instrText xml:space="preserve"> ADDIN EN.CITE &lt;EndNote&gt;&lt;Cite&gt;&lt;Author&gt;De Wit&lt;/Author&gt;&lt;Year&gt;2021&lt;/Year&gt;&lt;RecNum&gt;230&lt;/RecNum&gt;&lt;DisplayText&gt;(De Wit and Altbach, 2021)&lt;/DisplayText&gt;&lt;record&gt;&lt;rec-number&gt;230&lt;/rec-number&gt;&lt;foreign-keys&gt;&lt;key app="EN" db-id="s0epvpwscaes51edwawvta59vwf02d2xad9d" timestamp="1692271241"&gt;230&lt;/key&gt;&lt;/foreign-keys&gt;&lt;ref-type name="Book Section"&gt;5&lt;/ref-type&gt;&lt;contributors&gt;&lt;authors&gt;&lt;author&gt;De Wit, Hans&lt;/author&gt;&lt;author&gt;Altbach, Philip G&lt;/author&gt;&lt;/authors&gt;&lt;/contributors&gt;&lt;titles&gt;&lt;title&gt;Internationalization in higher education: Global trends and recommendations for its future&lt;/title&gt;&lt;secondary-title&gt;Higher Education in the Next Decade&lt;/secondary-title&gt;&lt;/titles&gt;&lt;pages&gt;303-325&lt;/pages&gt;&lt;dates&gt;&lt;year&gt;2021&lt;/year&gt;&lt;/dates&gt;&lt;publisher&gt;Brill&lt;/publisher&gt;&lt;isbn&gt;9004462716&lt;/isbn&gt;&lt;urls&gt;&lt;/urls&gt;&lt;/record&gt;&lt;/Cite&gt;&lt;/EndNote&gt;</w:instrText>
      </w:r>
      <w:r>
        <w:rPr>
          <w:rFonts w:ascii="Times New Roman" w:hAnsi="Times New Roman" w:eastAsia="宋体" w:cs="Times New Roman"/>
          <w:color w:val="000000"/>
          <w:kern w:val="0"/>
          <w:sz w:val="24"/>
          <w:lang w:bidi="ar"/>
        </w:rPr>
        <w:fldChar w:fldCharType="separate"/>
      </w:r>
      <w:r>
        <w:rPr>
          <w:rFonts w:ascii="Times New Roman" w:hAnsi="Times New Roman" w:eastAsia="宋体" w:cs="Times New Roman"/>
          <w:color w:val="000000"/>
          <w:kern w:val="0"/>
          <w:sz w:val="24"/>
          <w:lang w:bidi="ar"/>
        </w:rPr>
        <w:t>(De Wit and Altbach, 2021)</w:t>
      </w:r>
      <w:r>
        <w:rPr>
          <w:rFonts w:ascii="Times New Roman" w:hAnsi="Times New Roman" w:eastAsia="宋体" w:cs="Times New Roman"/>
          <w:color w:val="000000"/>
          <w:kern w:val="0"/>
          <w:sz w:val="24"/>
          <w:lang w:bidi="ar"/>
        </w:rPr>
        <w:fldChar w:fldCharType="end"/>
      </w:r>
      <w:r>
        <w:rPr>
          <w:rFonts w:ascii="Times New Roman" w:hAnsi="Times New Roman" w:eastAsia="宋体" w:cs="Times New Roman"/>
          <w:color w:val="000000"/>
          <w:kern w:val="0"/>
          <w:sz w:val="24"/>
          <w:lang w:bidi="ar"/>
        </w:rPr>
        <w:t>. The text states that "the emphasis here is on the importance of the private sphere, economic transactions and associations, and the consequent limitations on the state. For many, though not all, theories of civil society, the importance of contracts and economic ties brought about the growth of associations and the political power of the European bourgeoisie</w:t>
      </w:r>
      <w:r>
        <w:rPr>
          <w:rFonts w:ascii="Times New Roman" w:hAnsi="Times New Roman" w:eastAsia="宋体" w:cs="Times New Roman"/>
          <w:color w:val="000000"/>
          <w:kern w:val="0"/>
          <w:sz w:val="24"/>
          <w:lang w:bidi="ar"/>
        </w:rPr>
        <w:fldChar w:fldCharType="begin"/>
      </w:r>
      <w:r>
        <w:rPr>
          <w:rFonts w:ascii="Times New Roman" w:hAnsi="Times New Roman" w:eastAsia="宋体" w:cs="Times New Roman"/>
          <w:color w:val="000000"/>
          <w:kern w:val="0"/>
          <w:sz w:val="24"/>
          <w:lang w:bidi="ar"/>
        </w:rPr>
        <w:instrText xml:space="preserve"> ADDIN EN.CITE &lt;EndNote&gt;&lt;Cite&gt;&lt;Author&gt;Mannion&lt;/Author&gt;&lt;Year&gt;2016&lt;/Year&gt;&lt;RecNum&gt;224&lt;/RecNum&gt;&lt;DisplayText&gt;(Mannion et al., 2016)&lt;/DisplayText&gt;&lt;record&gt;&lt;rec-number&gt;224&lt;/rec-number&gt;&lt;foreign-keys&gt;&lt;key app="EN" db-id="s0epvpwscaes51edwawvta59vwf02d2xad9d" timestamp="1692271175"&gt;224&lt;/key&gt;&lt;/foreign-keys&gt;&lt;ref-type name="Book Section"&gt;5&lt;/ref-type&gt;&lt;contributors&gt;&lt;authors&gt;&lt;author&gt;Mannion, Greg&lt;/author&gt;&lt;author&gt;Biesta, Gert&lt;/author&gt;&lt;author&gt;Priestley, Mark&lt;/author&gt;&lt;author&gt;Ross, Hamish&lt;/author&gt;&lt;/authors&gt;&lt;/contributors&gt;&lt;titles&gt;&lt;title&gt;The global dimension in education and education for global citizenship: Genealogy and critique&lt;/title&gt;&lt;secondary-title&gt;The political economy of global citizenship education&lt;/secondary-title&gt;&lt;/titles&gt;&lt;pages&gt;134-147&lt;/pages&gt;&lt;dates&gt;&lt;year&gt;2016&lt;/year&gt;&lt;/dates&gt;&lt;publisher&gt;Routledge&lt;/publisher&gt;&lt;urls&gt;&lt;/urls&gt;&lt;/record&gt;&lt;/Cite&gt;&lt;/EndNote&gt;</w:instrText>
      </w:r>
      <w:r>
        <w:rPr>
          <w:rFonts w:ascii="Times New Roman" w:hAnsi="Times New Roman" w:eastAsia="宋体" w:cs="Times New Roman"/>
          <w:color w:val="000000"/>
          <w:kern w:val="0"/>
          <w:sz w:val="24"/>
          <w:lang w:bidi="ar"/>
        </w:rPr>
        <w:fldChar w:fldCharType="separate"/>
      </w:r>
      <w:r>
        <w:rPr>
          <w:rFonts w:ascii="Times New Roman" w:hAnsi="Times New Roman" w:eastAsia="宋体" w:cs="Times New Roman"/>
          <w:color w:val="000000"/>
          <w:kern w:val="0"/>
          <w:sz w:val="24"/>
          <w:lang w:bidi="ar"/>
        </w:rPr>
        <w:t>(Mannion et al., 2016)</w:t>
      </w:r>
      <w:r>
        <w:rPr>
          <w:rFonts w:ascii="Times New Roman" w:hAnsi="Times New Roman" w:eastAsia="宋体" w:cs="Times New Roman"/>
          <w:color w:val="000000"/>
          <w:kern w:val="0"/>
          <w:sz w:val="24"/>
          <w:lang w:bidi="ar"/>
        </w:rPr>
        <w:fldChar w:fldCharType="end"/>
      </w:r>
      <w:r>
        <w:rPr>
          <w:rFonts w:ascii="Times New Roman" w:hAnsi="Times New Roman" w:eastAsia="宋体" w:cs="Times New Roman"/>
          <w:color w:val="000000"/>
          <w:kern w:val="0"/>
          <w:sz w:val="24"/>
          <w:lang w:bidi="ar"/>
        </w:rPr>
        <w:t xml:space="preserve">. Despite these differences in emphasis, many theorists have understood civil society as a public sphere of voluntary associations necessary for the stability of democracy". Throughout the development of the theory of civil society, it has been generally recognized that in ancient times "civil society" was "an ethical-political community of free and equal citizens under a legally defined legal system". political community". The relationship between the state and society at this stage of history was characterized by a high degree of unity between the "political state" and "civil society". </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The modern "civil society" refers to the socio-economic sphere outside the control of the state, and the state and society have changed from a state of high unity to a state and society. The modern "civil society" refers to the socio-economic sphere outside the control of the state, where the state and society have been transformed from a state of high degree of unity to a state of dualistic separation. The first to treat civil society as a political society Hegel was the first to make a theoretical distinction between civil society as a relative concept of political society and the state, and before Hegel, there was no modern concept of civil society. Before Hegel, there was no concept of civil society in the modern sense</w:t>
      </w:r>
      <w:r>
        <w:rPr>
          <w:rFonts w:ascii="Times New Roman" w:hAnsi="Times New Roman" w:eastAsia="宋体" w:cs="Times New Roman"/>
          <w:color w:val="000000"/>
          <w:kern w:val="0"/>
          <w:sz w:val="24"/>
          <w:lang w:bidi="ar"/>
        </w:rPr>
        <w:fldChar w:fldCharType="begin"/>
      </w:r>
      <w:r>
        <w:rPr>
          <w:rFonts w:ascii="Times New Roman" w:hAnsi="Times New Roman" w:eastAsia="宋体" w:cs="Times New Roman"/>
          <w:color w:val="000000"/>
          <w:kern w:val="0"/>
          <w:sz w:val="24"/>
          <w:lang w:bidi="ar"/>
        </w:rPr>
        <w:instrText xml:space="preserve"> ADDIN EN.CITE &lt;EndNote&gt;&lt;Cite&gt;&lt;Author&gt;Wraga&lt;/Author&gt;&lt;Year&gt;1993&lt;/Year&gt;&lt;RecNum&gt;235&lt;/RecNum&gt;&lt;DisplayText&gt;(Wraga, 1993)&lt;/DisplayText&gt;&lt;record&gt;&lt;rec-number&gt;235&lt;/rec-number&gt;&lt;foreign-keys&gt;&lt;key app="EN" db-id="s0epvpwscaes51edwawvta59vwf02d2xad9d" timestamp="1692271299"&gt;235&lt;/key&gt;&lt;/foreign-keys&gt;&lt;ref-type name="Journal Article"&gt;17&lt;/ref-type&gt;&lt;contributors&gt;&lt;authors&gt;&lt;author&gt;Wraga, William G&lt;/author&gt;&lt;/authors&gt;&lt;/contributors&gt;&lt;titles&gt;&lt;title&gt;The interdisciplinary imperative for citizenship education&lt;/title&gt;&lt;secondary-title&gt;Theory &amp;amp; Research in Social Education&lt;/secondary-title&gt;&lt;/titles&gt;&lt;periodical&gt;&lt;full-title&gt;Theory &amp;amp; Research in Social Education&lt;/full-title&gt;&lt;/periodical&gt;&lt;pages&gt;201-231&lt;/pages&gt;&lt;volume&gt;21&lt;/volume&gt;&lt;number&gt;3&lt;/number&gt;&lt;dates&gt;&lt;year&gt;1993&lt;/year&gt;&lt;/dates&gt;&lt;isbn&gt;0093-3104&lt;/isbn&gt;&lt;urls&gt;&lt;/urls&gt;&lt;/record&gt;&lt;/Cite&gt;&lt;/EndNote&gt;</w:instrText>
      </w:r>
      <w:r>
        <w:rPr>
          <w:rFonts w:ascii="Times New Roman" w:hAnsi="Times New Roman" w:eastAsia="宋体" w:cs="Times New Roman"/>
          <w:color w:val="000000"/>
          <w:kern w:val="0"/>
          <w:sz w:val="24"/>
          <w:lang w:bidi="ar"/>
        </w:rPr>
        <w:fldChar w:fldCharType="separate"/>
      </w:r>
      <w:r>
        <w:rPr>
          <w:rFonts w:ascii="Times New Roman" w:hAnsi="Times New Roman" w:eastAsia="宋体" w:cs="Times New Roman"/>
          <w:color w:val="000000"/>
          <w:kern w:val="0"/>
          <w:sz w:val="24"/>
          <w:lang w:bidi="ar"/>
        </w:rPr>
        <w:t>(Wraga, 1993)</w:t>
      </w:r>
      <w:r>
        <w:rPr>
          <w:rFonts w:ascii="Times New Roman" w:hAnsi="Times New Roman" w:eastAsia="宋体" w:cs="Times New Roman"/>
          <w:color w:val="000000"/>
          <w:kern w:val="0"/>
          <w:sz w:val="24"/>
          <w:lang w:bidi="ar"/>
        </w:rPr>
        <w:fldChar w:fldCharType="end"/>
      </w:r>
      <w:r>
        <w:rPr>
          <w:rFonts w:ascii="Times New Roman" w:hAnsi="Times New Roman" w:eastAsia="宋体" w:cs="Times New Roman"/>
          <w:color w:val="000000"/>
          <w:kern w:val="0"/>
          <w:sz w:val="24"/>
          <w:lang w:bidi="ar"/>
        </w:rPr>
        <w:t>. Marx absorbed the reasonable kernel of Hegel's theory of civil society and revised and improved it. Marx believed that the concept of civil society was a reflection of the reality of the separation of the political state and civil society</w:t>
      </w:r>
      <w:r>
        <w:rPr>
          <w:rFonts w:ascii="Times New Roman" w:hAnsi="Times New Roman" w:eastAsia="宋体" w:cs="Times New Roman"/>
          <w:color w:val="000000"/>
          <w:kern w:val="0"/>
          <w:sz w:val="24"/>
          <w:lang w:bidi="ar"/>
        </w:rPr>
        <w:fldChar w:fldCharType="begin"/>
      </w:r>
      <w:r>
        <w:rPr>
          <w:rFonts w:ascii="Times New Roman" w:hAnsi="Times New Roman" w:eastAsia="宋体" w:cs="Times New Roman"/>
          <w:color w:val="000000"/>
          <w:kern w:val="0"/>
          <w:sz w:val="24"/>
          <w:lang w:bidi="ar"/>
        </w:rPr>
        <w:instrText xml:space="preserve"> ADDIN EN.CITE &lt;EndNote&gt;&lt;Cite&gt;&lt;Author&gt;Davies&lt;/Author&gt;&lt;Year&gt;2010&lt;/Year&gt;&lt;RecNum&gt;232&lt;/RecNum&gt;&lt;DisplayText&gt;(Davies and Pike, 2010)&lt;/DisplayText&gt;&lt;record&gt;&lt;rec-number&gt;232&lt;/rec-number&gt;&lt;foreign-keys&gt;&lt;key app="EN" db-id="s0epvpwscaes51edwawvta59vwf02d2xad9d" timestamp="1692271264"&gt;232&lt;/key&gt;&lt;/foreign-keys&gt;&lt;ref-type name="Journal Article"&gt;17&lt;/ref-type&gt;&lt;contributors&gt;&lt;authors&gt;&lt;author&gt;Davies, Ian&lt;/author&gt;&lt;author&gt;Pike, Graham&lt;/author&gt;&lt;/authors&gt;&lt;/contributors&gt;&lt;titles&gt;&lt;title&gt;Global citizenship education: Challenges and possibilities&lt;/title&gt;&lt;secondary-title&gt;The handbook of practice and research in study abroad&lt;/secondary-title&gt;&lt;/titles&gt;&lt;periodical&gt;&lt;full-title&gt;The handbook of practice and research in study abroad&lt;/full-title&gt;&lt;/periodical&gt;&lt;pages&gt;83-100&lt;/pages&gt;&lt;dates&gt;&lt;year&gt;2010&lt;/year&gt;&lt;/dates&gt;&lt;urls&gt;&lt;/urls&gt;&lt;/record&gt;&lt;/Cite&gt;&lt;/EndNote&gt;</w:instrText>
      </w:r>
      <w:r>
        <w:rPr>
          <w:rFonts w:ascii="Times New Roman" w:hAnsi="Times New Roman" w:eastAsia="宋体" w:cs="Times New Roman"/>
          <w:color w:val="000000"/>
          <w:kern w:val="0"/>
          <w:sz w:val="24"/>
          <w:lang w:bidi="ar"/>
        </w:rPr>
        <w:fldChar w:fldCharType="separate"/>
      </w:r>
      <w:r>
        <w:rPr>
          <w:rFonts w:ascii="Times New Roman" w:hAnsi="Times New Roman" w:eastAsia="宋体" w:cs="Times New Roman"/>
          <w:color w:val="000000"/>
          <w:kern w:val="0"/>
          <w:sz w:val="24"/>
          <w:lang w:bidi="ar"/>
        </w:rPr>
        <w:t>(Davies and Pike, 2010)</w:t>
      </w:r>
      <w:r>
        <w:rPr>
          <w:rFonts w:ascii="Times New Roman" w:hAnsi="Times New Roman" w:eastAsia="宋体" w:cs="Times New Roman"/>
          <w:color w:val="000000"/>
          <w:kern w:val="0"/>
          <w:sz w:val="24"/>
          <w:lang w:bidi="ar"/>
        </w:rPr>
        <w:fldChar w:fldCharType="end"/>
      </w:r>
      <w:r>
        <w:rPr>
          <w:rFonts w:ascii="Times New Roman" w:hAnsi="Times New Roman" w:eastAsia="宋体" w:cs="Times New Roman"/>
          <w:color w:val="000000"/>
          <w:kern w:val="0"/>
          <w:sz w:val="24"/>
          <w:lang w:bidi="ar"/>
        </w:rPr>
        <w:t>. Marx believed that the concept of civil society was a reflection of the reality of the separation of the political state and civil society. He pointed out that "civil society consists of all the material interactions of individuals at a certain stage of the development of the productive forces. interactions. It includes the whole of commercial and industrial life at that stage, and therefore extends beyond the state and the nation. The term 'civil society' arose in the 18th century, when property relations had moved away from the communities of classical antiquity and the Middle Ages</w:t>
      </w:r>
      <w:r>
        <w:rPr>
          <w:rFonts w:ascii="Times New Roman" w:hAnsi="Times New Roman" w:eastAsia="宋体" w:cs="Times New Roman"/>
          <w:color w:val="000000"/>
          <w:kern w:val="0"/>
          <w:sz w:val="24"/>
          <w:lang w:bidi="ar"/>
        </w:rPr>
        <w:fldChar w:fldCharType="begin"/>
      </w:r>
      <w:r>
        <w:rPr>
          <w:rFonts w:ascii="Times New Roman" w:hAnsi="Times New Roman" w:eastAsia="宋体" w:cs="Times New Roman"/>
          <w:color w:val="000000"/>
          <w:kern w:val="0"/>
          <w:sz w:val="24"/>
          <w:lang w:bidi="ar"/>
        </w:rPr>
        <w:instrText xml:space="preserve"> ADDIN EN.CITE &lt;EndNote&gt;&lt;Cite&gt;&lt;Author&gt;Goren&lt;/Author&gt;&lt;Year&gt;2017&lt;/Year&gt;&lt;RecNum&gt;231&lt;/RecNum&gt;&lt;DisplayText&gt;(Goren and Yemini, 2017)&lt;/DisplayText&gt;&lt;record&gt;&lt;rec-number&gt;231&lt;/rec-number&gt;&lt;foreign-keys&gt;&lt;key app="EN" db-id="s0epvpwscaes51edwawvta59vwf02d2xad9d" timestamp="1692271252"&gt;231&lt;/key&gt;&lt;/foreign-keys&gt;&lt;ref-type name="Journal Article"&gt;17&lt;/ref-type&gt;&lt;contributors&gt;&lt;authors&gt;&lt;author&gt;Goren, Heela&lt;/author&gt;&lt;author&gt;Yemini, Miri&lt;/author&gt;&lt;/authors&gt;&lt;/contributors&gt;&lt;titles&gt;&lt;title&gt;The global citizenship education gap: Teacher perceptions of the relationship between global citizenship education and students’ socio-economic status&lt;/title&gt;&lt;secondary-title&gt;Teaching and Teacher Education&lt;/secondary-title&gt;&lt;/titles&gt;&lt;periodical&gt;&lt;full-title&gt;Teaching and Teacher Education&lt;/full-title&gt;&lt;/periodical&gt;&lt;pages&gt;9-22&lt;/pages&gt;&lt;volume&gt;67&lt;/volume&gt;&lt;dates&gt;&lt;year&gt;2017&lt;/year&gt;&lt;/dates&gt;&lt;isbn&gt;0742-051X&lt;/isbn&gt;&lt;urls&gt;&lt;/urls&gt;&lt;/record&gt;&lt;/Cite&gt;&lt;/EndNote&gt;</w:instrText>
      </w:r>
      <w:r>
        <w:rPr>
          <w:rFonts w:ascii="Times New Roman" w:hAnsi="Times New Roman" w:eastAsia="宋体" w:cs="Times New Roman"/>
          <w:color w:val="000000"/>
          <w:kern w:val="0"/>
          <w:sz w:val="24"/>
          <w:lang w:bidi="ar"/>
        </w:rPr>
        <w:fldChar w:fldCharType="separate"/>
      </w:r>
      <w:r>
        <w:rPr>
          <w:rFonts w:ascii="Times New Roman" w:hAnsi="Times New Roman" w:eastAsia="宋体" w:cs="Times New Roman"/>
          <w:color w:val="000000"/>
          <w:kern w:val="0"/>
          <w:sz w:val="24"/>
          <w:lang w:bidi="ar"/>
        </w:rPr>
        <w:t>(Goren and Yemini, 2017)</w:t>
      </w:r>
      <w:r>
        <w:rPr>
          <w:rFonts w:ascii="Times New Roman" w:hAnsi="Times New Roman" w:eastAsia="宋体" w:cs="Times New Roman"/>
          <w:color w:val="000000"/>
          <w:kern w:val="0"/>
          <w:sz w:val="24"/>
          <w:lang w:bidi="ar"/>
        </w:rPr>
        <w:fldChar w:fldCharType="end"/>
      </w:r>
      <w:r>
        <w:rPr>
          <w:rFonts w:ascii="Times New Roman" w:hAnsi="Times New Roman" w:eastAsia="宋体" w:cs="Times New Roman"/>
          <w:color w:val="000000"/>
          <w:kern w:val="0"/>
          <w:sz w:val="24"/>
          <w:lang w:bidi="ar"/>
        </w:rPr>
        <w:t xml:space="preserve">.  </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 xml:space="preserve">The main difference between the contemporary "civil society" and its predecessors is the separation of economic relations from "civil society" and the evolution of the dichotomy of the modern West based on "political state/civil society". The dichotomy based on "political state/civil society" in the modern West has evolved into the trichotomy based on "political society/economic society/civil society" in the contemporary West. It is mainly reflected in the ideas of Gramsci and Habermas. Gramsci believes that civil society does not belong to the field of economic activities in which people carry out labor and production, and does not belong to the economic base but is part of the superstructure, which, in his view, is divided into two major areas: one is "political society" and the other is "civil society". According to Habermas, civil society is a "private autonomous sphere" independent of the political state formed with the development of the capitalist market economy, which itself consists of two spheres: the first is the market economy system based on the capitalist private ownership system, which includes the labor market, the capital market, the commodity market and its control mechanism; The second is the socio-cultural system of private, unofficial organizations independent of the political State, including churches, cultural groups and societies, independent media, sports and recreational clubs, debating clubs, citizens' forums and associations, professional groups, political parties, trade unions and so on. </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According to Helmut Anheier, "global civil society" refers to the ideas, values, institutions, organizations, networks and personal spheres that exist between the family, the State and the marketplace, and that operate outside the social, political and economic constraints of the State. He points out that global civil society is driven by globalization and is a response to globalization, especially to the consequences of the spread and increased interconnectedness of global capitalism, and is an inevitable consequence of globalization. Akiyoshi Hoshino defines "global civil society" as "an arena for worldwide activities for the common happiness of mankind and for the interrelationships and struggles that result from these activities; a society that seeks to realize the basic human rights of people and groups in silence; a society that combines individual democratic struggles with a higher level of social cohesion; and a society that is a place for the realization of human rights, including the rights of people and groups in silence. It is a process of combining individual democratic struggles with higher universal human rights aspirations. ...... In any case, global civil society is an autonomous, anti-authoritarian construction of power in opposition to the domination of the power construction of the international system. That is to say, the difficulty of preserving civil society today within the territorial boundaries of a single state requires the establishment of legally guaranteed international domination on the basis of extensive relationships forged between civil societies. Global civil society is composed of supranational social movements, non-governmental organizations and citizens, which together with other subjects constitute actors in world politics." Paul Wapner defines "global civil society" as the realm of associational life that exists above the individual and below the state, but across national boundaries. He considers non-governmental organizations to be the main component of global civil society, which is not bound by national borders and includes almost all organizations that operate across national borders, from international scientific groups to transnational corporations to all other voluntary associations operating across borders; the global marketplace, dominated by transnational corporations, is an important economic basis for the functioning of global civil society</w:t>
      </w:r>
      <w:r>
        <w:rPr>
          <w:rFonts w:hint="eastAsia" w:ascii="Times New Roman" w:hAnsi="Times New Roman" w:eastAsia="宋体" w:cs="Times New Roman"/>
          <w:color w:val="000000"/>
          <w:kern w:val="0"/>
          <w:sz w:val="24"/>
          <w:lang w:bidi="ar"/>
        </w:rPr>
        <w:t>.</w:t>
      </w:r>
    </w:p>
    <w:p>
      <w:pPr>
        <w:widowControl/>
        <w:spacing w:line="360" w:lineRule="auto"/>
        <w:rPr>
          <w:rFonts w:ascii="Times New Roman" w:hAnsi="Times New Roman" w:eastAsia="宋体" w:cs="Times New Roman"/>
          <w:b/>
          <w:bCs/>
          <w:color w:val="000000"/>
          <w:kern w:val="0"/>
          <w:sz w:val="24"/>
          <w:lang w:bidi="ar"/>
        </w:rPr>
      </w:pPr>
      <w:r>
        <w:rPr>
          <w:rFonts w:hint="eastAsia" w:ascii="Times New Roman" w:hAnsi="Times New Roman" w:eastAsia="宋体" w:cs="Times New Roman"/>
          <w:b/>
          <w:bCs/>
          <w:color w:val="000000"/>
          <w:kern w:val="0"/>
          <w:sz w:val="24"/>
          <w:lang w:bidi="ar"/>
        </w:rPr>
        <w:t>2.2.4 Studies on the scientific literacy of citizens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It has been one hundred years since the emergence of scientific inquiry in school science curricula, during which people's understanding of scientific inquiry has deepened with the reform of science education. In the early days, people thought that science education was a static teaching of scientific knowledge, neglecting the cultivation of thinking, inquiry and attitude. Foreign attention to scientific inquiry can be traced back to the beginning of the last century, it can be said that Dewey is the first foreign educator to "inquiry thinking" into the field of education. Dewey believed that the way of thinking that opposes knowledge learning to the learner or to the learner's life experience is an "either/or" traditional way of thinking, which was strongly criticized by Dewey. Dewey first put forward the concept of scientific inquiry from the perspectives of sociology and philosophy of science, and believed that only after the integration of the inquiry process and the scientific method can be regarded as science. Dewey's theory of "learning by doing" was put forward on the basis of criticizing the traditional "didactic teaching" and "rote learning". Dewey's "learning by doing" emphasizes the living of the teaching method, and calls for replacing traditional teaching materials with experiential, active, and proactive assignments, and cultivating students' thinking, attitudes, and inquiry abilities through the interaction between the subject, the organism, and the surrounding environment.</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T</w:t>
      </w:r>
      <w:r>
        <w:rPr>
          <w:rFonts w:ascii="Times New Roman" w:hAnsi="Times New Roman" w:eastAsia="宋体" w:cs="Times New Roman"/>
          <w:color w:val="000000"/>
          <w:kern w:val="0"/>
          <w:sz w:val="24"/>
          <w:lang w:bidi="ar"/>
        </w:rPr>
        <w:t>o promote science education, the American educator Bruner proposed the reform of science textbooks in the 1940s. One of the characteristics of Bruner's textbooks is that they emphasize the process of inquiry and believe that teachers should cultivate students' ability to understand the world through inquiry activities. This textbook reform has had a remarkable effect on cultivating students' scientific attitude of exploring the inner laws of nature and active inquiry. Rutherford, the father of nuclear physics, cultivated a large number of scientists who have made outstanding achievements in their own research fields with his excellent ideas of science education. According to Rutherford, scientific inquiry is a blend of scientific knowledge and a special teaching technique possessed by the teacher, and the advancement of scientific knowledge depends to a large extent on the stimulation of scientific research and the guidance of the teacher to the students in the scientific method. Advances in education contribute to the quality of all people, and scholars' exploration of science education did not end in the 1940s; in the late 1950s, Schwab initiated the search for science education with the concepts of "science as inquiry" and "inquiry-based teaching and learning". Schwab believed that new scientific progress could only be achieved by constantly revising traditional scientific knowledge and methods through inquiry, and that the connotation of inquiry-based teaching and learning consisted of two parts: on the one hand, the scientific and inquiry nature of the teaching materials, and on the other hand, the need to guide the students to become independent participants in the process of inquiry in classroom teaching.</w:t>
      </w:r>
    </w:p>
    <w:p>
      <w:pPr>
        <w:widowControl/>
        <w:spacing w:line="360" w:lineRule="auto"/>
        <w:ind w:firstLine="420" w:firstLineChars="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In the 1990s, when American educators examined the history of science education in the United States, they mentioned that "inquiry" has been the main goal of science education in the past 30 years. The continuous progress of science has made science education pay more attention to scientific inquiry, and is committed to making scientific inquiry the core of science education, so the cultivation of human scientific literacy has become the ultimate goal of science education. Scientific inquiry first appeared in the curriculum standards in 1988, when the National Curriculum Standards issued by the United Kingdom put "scientific inquiry" at the core, and the status of scientific inquiry has been widely emphasized in the many revisions of the curriculum standards since then.</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The United States also caught up with the boom in science education at the end of the 20th century and promulgated the National Science Education Standards in 1995, in which the importance of scientific inquiry was clearly emphasized, the nature of science was explained, and scientific inquiry was given the five characteristics of questions, evidence, explanations, evaluations, and representations in all levels of education from kindergarten to grade 12. The first U.S. education standards not only focused on the "technical" aspects of developing students' inquiry skills, but also placed equal importance on students' thinking skills such as hypothesizing, analyzing, judging, and making inferences; on students' teamwork such as expressing themselves, cooperating, communicating, coordinating, and understanding; and on teachers' assessment of students' learning outcomes. At this time, scientific inquiry is given a triple meaning, namely, inquiry in terms of learning content, learning style, and teaching guiding ideology. It can be said that the United States in the exploration of science education to a certain extent in Dewey's "do learning" concept inherited. Inquiry is not only the behavior of scientists, students' inquiry behavior and scientists in the nature of the inquiry is not different, students can also be like scientists to carry out scientific inquiry activities.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In the 20th century, scientific inquiry focused on cultivating students' rationality through the scientific method. In order to pursue quality science education, foreign science education scholars have not stopped exploring scientific inquiry. The development of science and technology has also led to the continuous progress of science education, and after entering the 21st century, scientific inquiry has gradually become an important part of students' scientific literacy, which has matured in the continuous exploration of science educators. The change of scientific concepts has changed the goal of science education from cultivating "rational human beings" to cultivating "sound human beings". Scientific inquiry in this period is mainly manifested in the combination of dynamic and static situations, the search for evidence of scientific problems, and the use of scientific ideas to explain and defend the evidence presented, and scientific inquiry activities at this time are given a new meaning.</w:t>
      </w:r>
    </w:p>
    <w:p>
      <w:pPr>
        <w:widowControl/>
        <w:spacing w:line="360" w:lineRule="auto"/>
        <w:rPr>
          <w:rFonts w:ascii="Times New Roman" w:hAnsi="Times New Roman" w:eastAsia="宋体" w:cs="Times New Roman"/>
          <w:b/>
          <w:bCs/>
          <w:color w:val="000000"/>
          <w:kern w:val="0"/>
          <w:sz w:val="28"/>
          <w:szCs w:val="28"/>
          <w:lang w:bidi="ar"/>
        </w:rPr>
      </w:pPr>
      <w:r>
        <w:rPr>
          <w:rFonts w:hint="eastAsia" w:ascii="Times New Roman" w:hAnsi="Times New Roman" w:eastAsia="宋体" w:cs="Times New Roman"/>
          <w:b/>
          <w:bCs/>
          <w:color w:val="000000"/>
          <w:kern w:val="0"/>
          <w:sz w:val="28"/>
          <w:szCs w:val="28"/>
          <w:lang w:bidi="ar"/>
        </w:rPr>
        <w:t>Summarize and Analyze</w:t>
      </w:r>
    </w:p>
    <w:p>
      <w:pPr>
        <w:widowControl/>
        <w:spacing w:line="360" w:lineRule="auto"/>
        <w:ind w:firstLine="420"/>
        <w:rPr>
          <w:rFonts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We have studied several papers, some education scholars study civic education, some study high school physics teaching, few related scholars combine the two together. This paper proposes to combine the two, reflecting the uniqueness of this paper's research perspective. In nearly two decades of exploration, the educational community has basically reached a consensus on the understanding of scientific inquiry, that is, scientific inquiry is the process of guiding students to simulate scientists to explore the natural world in teaching, is the cognitive process of students to construct knowledge and learn the method of inquiry, is the main method for students to understand the world to improve their own inquiry literacy, and is the main way to implement the fundamental task of "building moral character" in the basic education curriculum in China. It is the main way to implement the fundamental task of "cultivating moral education" in China's basic education curriculum. Scientific inquiry has now become one of the essential qualities of students, and in the process of development, the elements of scientific inquiry literacy have been simplified into four major elements: question, evidence, explanation and communication.</w:t>
      </w:r>
    </w:p>
    <w:p>
      <w:pPr>
        <w:widowControl/>
        <w:spacing w:line="360" w:lineRule="auto"/>
        <w:rPr>
          <w:rFonts w:ascii="Times New Roman" w:hAnsi="Times New Roman" w:eastAsia="宋体" w:cs="Times New Roman"/>
          <w:color w:val="000000"/>
          <w:kern w:val="0"/>
          <w:sz w:val="24"/>
          <w:lang w:bidi="ar"/>
        </w:rPr>
      </w:pPr>
    </w:p>
    <w:p>
      <w:pPr>
        <w:widowControl/>
        <w:spacing w:line="360" w:lineRule="auto"/>
        <w:rPr>
          <w:rFonts w:ascii="Times New Roman" w:hAnsi="Times New Roman" w:eastAsia="宋体" w:cs="Times New Roman"/>
          <w:color w:val="000000"/>
          <w:kern w:val="0"/>
          <w:sz w:val="24"/>
          <w:lang w:bidi="ar"/>
        </w:rPr>
      </w:pP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8"/>
          <w:szCs w:val="28"/>
          <w:lang w:bidi="ar"/>
        </w:rPr>
        <w:t>Conclusions and recommendations</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Conclusion</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Civic education refers to the development of citizens with a global outlook, intercultural communication skills and active participation in global governance through education. As a basic course in the field of natural sciences, the senior secondary physics curriculum aims to cultivate students' scientific literacy and innovative spirit, laying a foundation for their lifelong development. In a broader sense, the senior secondary physics curriculum is also part of civic education because scientific literacy is one of the basic literacies necessary for modern citizens, and physics, as a leading subject in the natural sciences, plays an important role in the development of students' scientific literacy. This cultivation of scientific literacy includes many aspects such as scientific knowledge, scientific method, scientific attitude, etc., among which scientific knowledge is one of the core contents of citizens' scientific literacy. Therefore, it can be said that there is a close connection between the senior secondary physics curriculum and civic education, both of which are aimed at cultivating modern citizens with scientific literacy and innovative spirit, and contributing to the lifelong development of individuals and the sustainable development of society.</w:t>
      </w:r>
    </w:p>
    <w:p>
      <w:pPr>
        <w:widowControl/>
        <w:spacing w:line="360" w:lineRule="auto"/>
        <w:rPr>
          <w:rFonts w:ascii="Times New Roman" w:hAnsi="Times New Roman" w:eastAsia="宋体" w:cs="Times New Roman"/>
          <w:b/>
          <w:bCs/>
          <w:color w:val="000000"/>
          <w:kern w:val="0"/>
          <w:sz w:val="24"/>
          <w:lang w:bidi="ar"/>
        </w:rPr>
      </w:pPr>
      <w:r>
        <w:rPr>
          <w:rFonts w:ascii="Times New Roman" w:hAnsi="Times New Roman" w:eastAsia="宋体" w:cs="Times New Roman"/>
          <w:b/>
          <w:bCs/>
          <w:color w:val="000000"/>
          <w:kern w:val="0"/>
          <w:sz w:val="24"/>
          <w:lang w:bidi="ar"/>
        </w:rPr>
        <w:t>Recommendations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Education for global citizenship can be understood as education for the development of globally aware and internationally minded global citizens with the ability to act. This global awareness includes values awareness, intercultural awareness, global awareness, systems awareness, science and technology awareness, and participation awareness. The content of global citizenship education also focuses on knowledge, understanding, skills, values and attitudes, and the practice of global citizenship education is in full swing in countries around the world, especially in developed countries and some international organizations.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 xml:space="preserve">Global Citizenship Education already has relatively clear and detailed content requirements. Therefore, it has served as a good model for other countries to learn from. However, to learn from it does not mean to accept it in its entirety or to simply imitate it. Understanding it comprehensively, analyzing it in depth, grasping its essence and finally making optimal adjustments are the best ways to learn from it. The following conclusions can be drawn from the analysis and interpretation of the content of global citizenship education: </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1. Clarify teaching objectives: When designing a course, you need to clarify your teaching objectives. It helps to select appropriate teaching strategies and materials to meet the different needs and backgrounds of your students.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2. Adapt course content: For EFA students, some of the content of high school physics courses may be too complex or abstract. In such cases, you may consider adapting the course content to make it more relevant to EFA goals and student needs.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3. Use plain language: Students will better understand the course content if you explain physics concepts and problems in plain language whenever possible. To help students understand abstract physics concepts, you can also use visual teaching tools such as pictures, diagrams, and physical representations.</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 xml:space="preserve">4. Connecting physics to real-life: Connecting physics to real-life, may help students better understand abstract physics concepts and enhance their interest in learning. </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5. Conduct hands-on activities: Hands-on activities are an important part of the physics classroom. They are a great way to increase students' interest in learning and practical skills. 6. Create a cooperative learning environment: Establishing an active cooperative learning environment promotes students to communicate and cooperate with each other, and helps them to better understand and master physics knowledge. You can divide the students into groups and have them work together to accomplish some tasks or to discuss some problems with each other.</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7. Consider students' backgrounds and abilities: In the design and implementation of a physics curriculum, you must take into account students' backgrounds and abilities. For some students with less background, you can provide additional resources and support to help them adapt to the course.</w:t>
      </w:r>
    </w:p>
    <w:p>
      <w:pPr>
        <w:widowControl/>
        <w:spacing w:line="360" w:lineRule="auto"/>
        <w:ind w:firstLine="420"/>
        <w:rPr>
          <w:rFonts w:ascii="Times New Roman" w:hAnsi="Times New Roman" w:eastAsia="宋体" w:cs="Times New Roman"/>
          <w:color w:val="000000"/>
          <w:kern w:val="0"/>
          <w:sz w:val="24"/>
          <w:lang w:bidi="ar"/>
        </w:rPr>
      </w:pPr>
      <w:r>
        <w:rPr>
          <w:rFonts w:ascii="Times New Roman" w:hAnsi="Times New Roman" w:eastAsia="宋体" w:cs="Times New Roman"/>
          <w:color w:val="000000"/>
          <w:kern w:val="0"/>
          <w:sz w:val="24"/>
          <w:lang w:bidi="ar"/>
        </w:rPr>
        <w:t>This will improve the integration of EFA into the physics curricula of upper secondary schools.</w:t>
      </w: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p>
    <w:p>
      <w:pPr>
        <w:widowControl/>
        <w:spacing w:before="312" w:beforeLines="100" w:after="312" w:afterLines="100" w:line="360" w:lineRule="auto"/>
        <w:rPr>
          <w:rFonts w:ascii="Times New Roman" w:hAnsi="Times New Roman" w:eastAsia="宋体" w:cs="Times New Roman"/>
          <w:b/>
          <w:bCs/>
          <w:color w:val="000000"/>
          <w:kern w:val="0"/>
          <w:sz w:val="28"/>
          <w:szCs w:val="28"/>
          <w:lang w:bidi="ar"/>
        </w:rPr>
      </w:pPr>
      <w:bookmarkStart w:id="0" w:name="_GoBack"/>
      <w:bookmarkEnd w:id="0"/>
    </w:p>
    <w:p>
      <w:pPr>
        <w:widowControl/>
        <w:spacing w:before="312" w:beforeLines="100" w:after="312" w:afterLines="100" w:line="360" w:lineRule="auto"/>
        <w:jc w:val="center"/>
        <w:rPr>
          <w:rFonts w:ascii="Times New Roman" w:hAnsi="Times New Roman" w:eastAsia="宋体" w:cs="Times New Roman"/>
          <w:b/>
          <w:bCs/>
          <w:color w:val="000000"/>
          <w:kern w:val="0"/>
          <w:sz w:val="28"/>
          <w:szCs w:val="28"/>
          <w:lang w:bidi="ar"/>
        </w:rPr>
      </w:pPr>
      <w:r>
        <w:rPr>
          <w:rFonts w:ascii="Times New Roman" w:hAnsi="Times New Roman" w:eastAsia="宋体" w:cs="Times New Roman"/>
          <w:b/>
          <w:bCs/>
          <w:color w:val="000000"/>
          <w:kern w:val="0"/>
          <w:sz w:val="28"/>
          <w:szCs w:val="28"/>
          <w:lang w:bidi="ar"/>
        </w:rPr>
        <w:t>References</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ADDIN EN.REFLIST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ALTHOF, W. &amp; BERKOWITZ, M. W., 2006. Moral education and character education: Their relationship and roles in citizenship education. </w:t>
      </w:r>
      <w:r>
        <w:rPr>
          <w:rFonts w:ascii="Times New Roman" w:hAnsi="Times New Roman" w:cs="Times New Roman"/>
          <w:i/>
          <w:sz w:val="21"/>
          <w:szCs w:val="21"/>
        </w:rPr>
        <w:t>Journal of moral education,</w:t>
      </w:r>
      <w:r>
        <w:rPr>
          <w:rFonts w:ascii="Times New Roman" w:hAnsi="Times New Roman" w:cs="Times New Roman"/>
          <w:sz w:val="21"/>
          <w:szCs w:val="21"/>
        </w:rPr>
        <w:t xml:space="preserve"> 35</w:t>
      </w:r>
      <w:r>
        <w:rPr>
          <w:rFonts w:ascii="Times New Roman" w:hAnsi="Times New Roman" w:cs="Times New Roman"/>
          <w:b/>
          <w:sz w:val="21"/>
          <w:szCs w:val="21"/>
        </w:rPr>
        <w:t>,</w:t>
      </w:r>
      <w:r>
        <w:rPr>
          <w:rFonts w:ascii="Times New Roman" w:hAnsi="Times New Roman" w:cs="Times New Roman"/>
          <w:sz w:val="21"/>
          <w:szCs w:val="21"/>
        </w:rPr>
        <w:t xml:space="preserve"> 495-518.</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APPIAH, K. A., 2008. Education for global citizenship. </w:t>
      </w:r>
      <w:r>
        <w:rPr>
          <w:rFonts w:ascii="Times New Roman" w:hAnsi="Times New Roman" w:cs="Times New Roman"/>
          <w:i/>
          <w:sz w:val="21"/>
          <w:szCs w:val="21"/>
        </w:rPr>
        <w:t>Teachers College Record,</w:t>
      </w:r>
      <w:r>
        <w:rPr>
          <w:rFonts w:ascii="Times New Roman" w:hAnsi="Times New Roman" w:cs="Times New Roman"/>
          <w:sz w:val="21"/>
          <w:szCs w:val="21"/>
        </w:rPr>
        <w:t xml:space="preserve"> 110</w:t>
      </w:r>
      <w:r>
        <w:rPr>
          <w:rFonts w:ascii="Times New Roman" w:hAnsi="Times New Roman" w:cs="Times New Roman"/>
          <w:b/>
          <w:sz w:val="21"/>
          <w:szCs w:val="21"/>
        </w:rPr>
        <w:t>,</w:t>
      </w:r>
      <w:r>
        <w:rPr>
          <w:rFonts w:ascii="Times New Roman" w:hAnsi="Times New Roman" w:cs="Times New Roman"/>
          <w:sz w:val="21"/>
          <w:szCs w:val="21"/>
        </w:rPr>
        <w:t xml:space="preserve"> 83-99.</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BRUNEAU, P., WANG, J., CAO, L. &amp; TRƯƠNG, H., 2023. The Potential of ChatGPT to Enhance Physics Education in Vietnamese High Schools.</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BUABENG, I., OSSEI-ANTO, T. A. &amp; AMPIAH, J. G., 2014. An investigation into physics teaching in senior high schools.</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CASABURO, F., 2021. Teaching physics by Arduino during COVID-19 pandemic: the free falling body experiment. </w:t>
      </w:r>
      <w:r>
        <w:rPr>
          <w:rFonts w:ascii="Times New Roman" w:hAnsi="Times New Roman" w:cs="Times New Roman"/>
          <w:i/>
          <w:sz w:val="21"/>
          <w:szCs w:val="21"/>
        </w:rPr>
        <w:t>Physics Education,</w:t>
      </w:r>
      <w:r>
        <w:rPr>
          <w:rFonts w:ascii="Times New Roman" w:hAnsi="Times New Roman" w:cs="Times New Roman"/>
          <w:sz w:val="21"/>
          <w:szCs w:val="21"/>
        </w:rPr>
        <w:t xml:space="preserve"> 56</w:t>
      </w:r>
      <w:r>
        <w:rPr>
          <w:rFonts w:ascii="Times New Roman" w:hAnsi="Times New Roman" w:cs="Times New Roman"/>
          <w:b/>
          <w:sz w:val="21"/>
          <w:szCs w:val="21"/>
        </w:rPr>
        <w:t>,</w:t>
      </w:r>
      <w:r>
        <w:rPr>
          <w:rFonts w:ascii="Times New Roman" w:hAnsi="Times New Roman" w:cs="Times New Roman"/>
          <w:sz w:val="21"/>
          <w:szCs w:val="21"/>
        </w:rPr>
        <w:t xml:space="preserve"> 063001.</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CHAVEZ, F. S., PETER, E. &amp; GASTALDO, D., 2023. Nurses as global citizens: a global health curriculum at the University of Toronto, Canada. </w:t>
      </w:r>
      <w:r>
        <w:rPr>
          <w:rFonts w:ascii="Times New Roman" w:hAnsi="Times New Roman" w:cs="Times New Roman"/>
          <w:i/>
          <w:sz w:val="21"/>
          <w:szCs w:val="21"/>
        </w:rPr>
        <w:t>The globalisation of nursing.</w:t>
      </w:r>
      <w:r>
        <w:rPr>
          <w:rFonts w:ascii="Times New Roman" w:hAnsi="Times New Roman" w:cs="Times New Roman"/>
          <w:sz w:val="21"/>
          <w:szCs w:val="21"/>
        </w:rPr>
        <w:t xml:space="preserve"> Routledge.</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CHETTY, N., 2015. Teaching teachers to teach physics to high school learners. </w:t>
      </w:r>
      <w:r>
        <w:rPr>
          <w:rFonts w:ascii="Times New Roman" w:hAnsi="Times New Roman" w:cs="Times New Roman"/>
          <w:i/>
          <w:sz w:val="21"/>
          <w:szCs w:val="21"/>
        </w:rPr>
        <w:t>Procedia-Social and Behavioral Sciences,</w:t>
      </w:r>
      <w:r>
        <w:rPr>
          <w:rFonts w:ascii="Times New Roman" w:hAnsi="Times New Roman" w:cs="Times New Roman"/>
          <w:sz w:val="21"/>
          <w:szCs w:val="21"/>
        </w:rPr>
        <w:t xml:space="preserve"> 174</w:t>
      </w:r>
      <w:r>
        <w:rPr>
          <w:rFonts w:ascii="Times New Roman" w:hAnsi="Times New Roman" w:cs="Times New Roman"/>
          <w:b/>
          <w:sz w:val="21"/>
          <w:szCs w:val="21"/>
        </w:rPr>
        <w:t>,</w:t>
      </w:r>
      <w:r>
        <w:rPr>
          <w:rFonts w:ascii="Times New Roman" w:hAnsi="Times New Roman" w:cs="Times New Roman"/>
          <w:sz w:val="21"/>
          <w:szCs w:val="21"/>
        </w:rPr>
        <w:t xml:space="preserve"> 1886-1899.</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DAVIES, I. &amp; PIKE, G., 2010. Global citizenship education: Challenges and possibilities. </w:t>
      </w:r>
      <w:r>
        <w:rPr>
          <w:rFonts w:ascii="Times New Roman" w:hAnsi="Times New Roman" w:cs="Times New Roman"/>
          <w:i/>
          <w:sz w:val="21"/>
          <w:szCs w:val="21"/>
        </w:rPr>
        <w:t>The handbook of practice and research in study abroad</w:t>
      </w:r>
      <w:r>
        <w:rPr>
          <w:rFonts w:ascii="Times New Roman" w:hAnsi="Times New Roman" w:cs="Times New Roman"/>
          <w:b/>
          <w:sz w:val="21"/>
          <w:szCs w:val="21"/>
        </w:rPr>
        <w:t>,</w:t>
      </w:r>
      <w:r>
        <w:rPr>
          <w:rFonts w:ascii="Times New Roman" w:hAnsi="Times New Roman" w:cs="Times New Roman"/>
          <w:sz w:val="21"/>
          <w:szCs w:val="21"/>
        </w:rPr>
        <w:t xml:space="preserve"> 83-100.</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DE WIT, H. &amp; ALTBACH, P. G., 2021. Internationalization in higher education: Global trends and recommendations for its future. </w:t>
      </w:r>
      <w:r>
        <w:rPr>
          <w:rFonts w:ascii="Times New Roman" w:hAnsi="Times New Roman" w:cs="Times New Roman"/>
          <w:i/>
          <w:sz w:val="21"/>
          <w:szCs w:val="21"/>
        </w:rPr>
        <w:t>Higher Education in the Next Decade.</w:t>
      </w:r>
      <w:r>
        <w:rPr>
          <w:rFonts w:ascii="Times New Roman" w:hAnsi="Times New Roman" w:cs="Times New Roman"/>
          <w:sz w:val="21"/>
          <w:szCs w:val="21"/>
        </w:rPr>
        <w:t xml:space="preserve"> Brill.</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DILLING, F. &amp; KRAUS, S. F., 2022. Historical Relations of Mathematics and Physics—an Overview and Implications for Teaching. </w:t>
      </w:r>
      <w:r>
        <w:rPr>
          <w:rFonts w:ascii="Times New Roman" w:hAnsi="Times New Roman" w:cs="Times New Roman"/>
          <w:i/>
          <w:sz w:val="21"/>
          <w:szCs w:val="21"/>
        </w:rPr>
        <w:t>Comparison of Mathematics and Physics Education II: Examples of Interdisciplinary Teaching at School</w:t>
      </w:r>
      <w:r>
        <w:rPr>
          <w:rFonts w:ascii="Times New Roman" w:hAnsi="Times New Roman" w:cs="Times New Roman"/>
          <w:b/>
          <w:sz w:val="21"/>
          <w:szCs w:val="21"/>
        </w:rPr>
        <w:t>,</w:t>
      </w:r>
      <w:r>
        <w:rPr>
          <w:rFonts w:ascii="Times New Roman" w:hAnsi="Times New Roman" w:cs="Times New Roman"/>
          <w:sz w:val="21"/>
          <w:szCs w:val="21"/>
        </w:rPr>
        <w:t xml:space="preserve"> 7-24.</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ESTELLéS, M. &amp; FISCHMAN, G. E., 2021. Who needs global citizenship education? A review of the literature on teacher education. </w:t>
      </w:r>
      <w:r>
        <w:rPr>
          <w:rFonts w:ascii="Times New Roman" w:hAnsi="Times New Roman" w:cs="Times New Roman"/>
          <w:i/>
          <w:sz w:val="21"/>
          <w:szCs w:val="21"/>
        </w:rPr>
        <w:t>Journal of Teacher Education,</w:t>
      </w:r>
      <w:r>
        <w:rPr>
          <w:rFonts w:ascii="Times New Roman" w:hAnsi="Times New Roman" w:cs="Times New Roman"/>
          <w:sz w:val="21"/>
          <w:szCs w:val="21"/>
        </w:rPr>
        <w:t xml:space="preserve"> 72</w:t>
      </w:r>
      <w:r>
        <w:rPr>
          <w:rFonts w:ascii="Times New Roman" w:hAnsi="Times New Roman" w:cs="Times New Roman"/>
          <w:b/>
          <w:sz w:val="21"/>
          <w:szCs w:val="21"/>
        </w:rPr>
        <w:t>,</w:t>
      </w:r>
      <w:r>
        <w:rPr>
          <w:rFonts w:ascii="Times New Roman" w:hAnsi="Times New Roman" w:cs="Times New Roman"/>
          <w:sz w:val="21"/>
          <w:szCs w:val="21"/>
        </w:rPr>
        <w:t xml:space="preserve"> 223-236.</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GOREN, H. &amp; YEMINI, M., 2017. The global citizenship education gap: Teacher perceptions of the relationship between global citizenship education and students’ socio-economic status. </w:t>
      </w:r>
      <w:r>
        <w:rPr>
          <w:rFonts w:ascii="Times New Roman" w:hAnsi="Times New Roman" w:cs="Times New Roman"/>
          <w:i/>
          <w:sz w:val="21"/>
          <w:szCs w:val="21"/>
        </w:rPr>
        <w:t>Teaching and Teacher Education,</w:t>
      </w:r>
      <w:r>
        <w:rPr>
          <w:rFonts w:ascii="Times New Roman" w:hAnsi="Times New Roman" w:cs="Times New Roman"/>
          <w:sz w:val="21"/>
          <w:szCs w:val="21"/>
        </w:rPr>
        <w:t xml:space="preserve"> 67</w:t>
      </w:r>
      <w:r>
        <w:rPr>
          <w:rFonts w:ascii="Times New Roman" w:hAnsi="Times New Roman" w:cs="Times New Roman"/>
          <w:b/>
          <w:sz w:val="21"/>
          <w:szCs w:val="21"/>
        </w:rPr>
        <w:t>,</w:t>
      </w:r>
      <w:r>
        <w:rPr>
          <w:rFonts w:ascii="Times New Roman" w:hAnsi="Times New Roman" w:cs="Times New Roman"/>
          <w:sz w:val="21"/>
          <w:szCs w:val="21"/>
        </w:rPr>
        <w:t xml:space="preserve"> 9-22.</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GOUGH, A., 2018. Sustainable development and global citizenship education: Challenging imperatives. </w:t>
      </w:r>
      <w:r>
        <w:rPr>
          <w:rFonts w:ascii="Times New Roman" w:hAnsi="Times New Roman" w:cs="Times New Roman"/>
          <w:i/>
          <w:sz w:val="21"/>
          <w:szCs w:val="21"/>
        </w:rPr>
        <w:t>The Palgrave handbook of global citizenship and education</w:t>
      </w:r>
      <w:r>
        <w:rPr>
          <w:rFonts w:ascii="Times New Roman" w:hAnsi="Times New Roman" w:cs="Times New Roman"/>
          <w:b/>
          <w:sz w:val="21"/>
          <w:szCs w:val="21"/>
        </w:rPr>
        <w:t>,</w:t>
      </w:r>
      <w:r>
        <w:rPr>
          <w:rFonts w:ascii="Times New Roman" w:hAnsi="Times New Roman" w:cs="Times New Roman"/>
          <w:sz w:val="21"/>
          <w:szCs w:val="21"/>
        </w:rPr>
        <w:t xml:space="preserve"> 295-312.</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HODAPP, T., HEHN, J. &amp; HEIN, W., 2009. Preparing high-school physics teachers. </w:t>
      </w:r>
      <w:r>
        <w:rPr>
          <w:rFonts w:ascii="Times New Roman" w:hAnsi="Times New Roman" w:cs="Times New Roman"/>
          <w:i/>
          <w:sz w:val="21"/>
          <w:szCs w:val="21"/>
        </w:rPr>
        <w:t>Physics Today,</w:t>
      </w:r>
      <w:r>
        <w:rPr>
          <w:rFonts w:ascii="Times New Roman" w:hAnsi="Times New Roman" w:cs="Times New Roman"/>
          <w:sz w:val="21"/>
          <w:szCs w:val="21"/>
        </w:rPr>
        <w:t xml:space="preserve"> 62</w:t>
      </w:r>
      <w:r>
        <w:rPr>
          <w:rFonts w:ascii="Times New Roman" w:hAnsi="Times New Roman" w:cs="Times New Roman"/>
          <w:b/>
          <w:sz w:val="21"/>
          <w:szCs w:val="21"/>
        </w:rPr>
        <w:t>,</w:t>
      </w:r>
      <w:r>
        <w:rPr>
          <w:rFonts w:ascii="Times New Roman" w:hAnsi="Times New Roman" w:cs="Times New Roman"/>
          <w:sz w:val="21"/>
          <w:szCs w:val="21"/>
        </w:rPr>
        <w:t xml:space="preserve"> 40-45.</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KENNEDY, K. J., 2012. Global trends in civic and citizenship education: What are the lessons for nation states? </w:t>
      </w:r>
      <w:r>
        <w:rPr>
          <w:rFonts w:ascii="Times New Roman" w:hAnsi="Times New Roman" w:cs="Times New Roman"/>
          <w:i/>
          <w:sz w:val="21"/>
          <w:szCs w:val="21"/>
        </w:rPr>
        <w:t>Education Sciences,</w:t>
      </w:r>
      <w:r>
        <w:rPr>
          <w:rFonts w:ascii="Times New Roman" w:hAnsi="Times New Roman" w:cs="Times New Roman"/>
          <w:sz w:val="21"/>
          <w:szCs w:val="21"/>
        </w:rPr>
        <w:t xml:space="preserve"> 2</w:t>
      </w:r>
      <w:r>
        <w:rPr>
          <w:rFonts w:ascii="Times New Roman" w:hAnsi="Times New Roman" w:cs="Times New Roman"/>
          <w:b/>
          <w:sz w:val="21"/>
          <w:szCs w:val="21"/>
        </w:rPr>
        <w:t>,</w:t>
      </w:r>
      <w:r>
        <w:rPr>
          <w:rFonts w:ascii="Times New Roman" w:hAnsi="Times New Roman" w:cs="Times New Roman"/>
          <w:sz w:val="21"/>
          <w:szCs w:val="21"/>
        </w:rPr>
        <w:t xml:space="preserve"> 121-135.</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KIM, Y.-C. &amp; BALL-ROKEACH, S. J., 2006. Civic engagement from a communication infrastructure perspective. </w:t>
      </w:r>
      <w:r>
        <w:rPr>
          <w:rFonts w:ascii="Times New Roman" w:hAnsi="Times New Roman" w:cs="Times New Roman"/>
          <w:i/>
          <w:sz w:val="21"/>
          <w:szCs w:val="21"/>
        </w:rPr>
        <w:t>Communication Theory,</w:t>
      </w:r>
      <w:r>
        <w:rPr>
          <w:rFonts w:ascii="Times New Roman" w:hAnsi="Times New Roman" w:cs="Times New Roman"/>
          <w:sz w:val="21"/>
          <w:szCs w:val="21"/>
        </w:rPr>
        <w:t xml:space="preserve"> 16</w:t>
      </w:r>
      <w:r>
        <w:rPr>
          <w:rFonts w:ascii="Times New Roman" w:hAnsi="Times New Roman" w:cs="Times New Roman"/>
          <w:b/>
          <w:sz w:val="21"/>
          <w:szCs w:val="21"/>
        </w:rPr>
        <w:t>,</w:t>
      </w:r>
      <w:r>
        <w:rPr>
          <w:rFonts w:ascii="Times New Roman" w:hAnsi="Times New Roman" w:cs="Times New Roman"/>
          <w:sz w:val="21"/>
          <w:szCs w:val="21"/>
        </w:rPr>
        <w:t xml:space="preserve"> 173-197.</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LEE, I. &amp; PERRET, B. Preparing High School Teachers to Integrate AI Methods into STEM Classrooms.  Proceedings of the AAAI Conference on Artificial Intelligence, 2022. 12783-12791.</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LEITE, S., 2022. Using the SDGs for global citizenship education: Definitions, challenges, and opportunities. </w:t>
      </w:r>
      <w:r>
        <w:rPr>
          <w:rFonts w:ascii="Times New Roman" w:hAnsi="Times New Roman" w:cs="Times New Roman"/>
          <w:i/>
          <w:sz w:val="21"/>
          <w:szCs w:val="21"/>
        </w:rPr>
        <w:t>Globalisation, Societies and Education,</w:t>
      </w:r>
      <w:r>
        <w:rPr>
          <w:rFonts w:ascii="Times New Roman" w:hAnsi="Times New Roman" w:cs="Times New Roman"/>
          <w:sz w:val="21"/>
          <w:szCs w:val="21"/>
        </w:rPr>
        <w:t xml:space="preserve"> 20</w:t>
      </w:r>
      <w:r>
        <w:rPr>
          <w:rFonts w:ascii="Times New Roman" w:hAnsi="Times New Roman" w:cs="Times New Roman"/>
          <w:b/>
          <w:sz w:val="21"/>
          <w:szCs w:val="21"/>
        </w:rPr>
        <w:t>,</w:t>
      </w:r>
      <w:r>
        <w:rPr>
          <w:rFonts w:ascii="Times New Roman" w:hAnsi="Times New Roman" w:cs="Times New Roman"/>
          <w:sz w:val="21"/>
          <w:szCs w:val="21"/>
        </w:rPr>
        <w:t xml:space="preserve"> 401-413.</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MANNION, G., BIESTA, G., PRIESTLEY, M. &amp; ROSS, H., 2016. The global dimension in education and education for global citizenship: Genealogy and critique. </w:t>
      </w:r>
      <w:r>
        <w:rPr>
          <w:rFonts w:ascii="Times New Roman" w:hAnsi="Times New Roman" w:cs="Times New Roman"/>
          <w:i/>
          <w:sz w:val="21"/>
          <w:szCs w:val="21"/>
        </w:rPr>
        <w:t>The political economy of global citizenship education.</w:t>
      </w:r>
      <w:r>
        <w:rPr>
          <w:rFonts w:ascii="Times New Roman" w:hAnsi="Times New Roman" w:cs="Times New Roman"/>
          <w:sz w:val="21"/>
          <w:szCs w:val="21"/>
        </w:rPr>
        <w:t xml:space="preserve"> Routledge.</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MYERS, J. P., 2006. Rethinking the social studies curriculum in the context of globalization: Education for global citizenship in the US. </w:t>
      </w:r>
      <w:r>
        <w:rPr>
          <w:rFonts w:ascii="Times New Roman" w:hAnsi="Times New Roman" w:cs="Times New Roman"/>
          <w:i/>
          <w:sz w:val="21"/>
          <w:szCs w:val="21"/>
        </w:rPr>
        <w:t>Theory &amp; Research in Social Education,</w:t>
      </w:r>
      <w:r>
        <w:rPr>
          <w:rFonts w:ascii="Times New Roman" w:hAnsi="Times New Roman" w:cs="Times New Roman"/>
          <w:sz w:val="21"/>
          <w:szCs w:val="21"/>
        </w:rPr>
        <w:t xml:space="preserve"> 34</w:t>
      </w:r>
      <w:r>
        <w:rPr>
          <w:rFonts w:ascii="Times New Roman" w:hAnsi="Times New Roman" w:cs="Times New Roman"/>
          <w:b/>
          <w:sz w:val="21"/>
          <w:szCs w:val="21"/>
        </w:rPr>
        <w:t>,</w:t>
      </w:r>
      <w:r>
        <w:rPr>
          <w:rFonts w:ascii="Times New Roman" w:hAnsi="Times New Roman" w:cs="Times New Roman"/>
          <w:sz w:val="21"/>
          <w:szCs w:val="21"/>
        </w:rPr>
        <w:t xml:space="preserve"> 370-394.</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NOVITRA, F., 2021. Development of Online-Based Inquiry Learning Model to Improve 21st-Century Skills of Physics Students in Senior High School. </w:t>
      </w:r>
      <w:r>
        <w:rPr>
          <w:rFonts w:ascii="Times New Roman" w:hAnsi="Times New Roman" w:cs="Times New Roman"/>
          <w:i/>
          <w:sz w:val="21"/>
          <w:szCs w:val="21"/>
        </w:rPr>
        <w:t>Eurasia Journal of Mathematics, Science and Technology Education,</w:t>
      </w:r>
      <w:r>
        <w:rPr>
          <w:rFonts w:ascii="Times New Roman" w:hAnsi="Times New Roman" w:cs="Times New Roman"/>
          <w:sz w:val="21"/>
          <w:szCs w:val="21"/>
        </w:rPr>
        <w:t xml:space="preserve"> 17.</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REHMAN, N., ZHANG, W., MAHMOOD, A. &amp; ALAM, F., 2021. Teaching physics with interactive computer simulation at secondary level. </w:t>
      </w:r>
      <w:r>
        <w:rPr>
          <w:rFonts w:ascii="Times New Roman" w:hAnsi="Times New Roman" w:cs="Times New Roman"/>
          <w:i/>
          <w:sz w:val="21"/>
          <w:szCs w:val="21"/>
        </w:rPr>
        <w:t>Cadernos de Educação Tecnologia e Sociedade,</w:t>
      </w:r>
      <w:r>
        <w:rPr>
          <w:rFonts w:ascii="Times New Roman" w:hAnsi="Times New Roman" w:cs="Times New Roman"/>
          <w:sz w:val="21"/>
          <w:szCs w:val="21"/>
        </w:rPr>
        <w:t xml:space="preserve"> 14</w:t>
      </w:r>
      <w:r>
        <w:rPr>
          <w:rFonts w:ascii="Times New Roman" w:hAnsi="Times New Roman" w:cs="Times New Roman"/>
          <w:b/>
          <w:sz w:val="21"/>
          <w:szCs w:val="21"/>
        </w:rPr>
        <w:t>,</w:t>
      </w:r>
      <w:r>
        <w:rPr>
          <w:rFonts w:ascii="Times New Roman" w:hAnsi="Times New Roman" w:cs="Times New Roman"/>
          <w:sz w:val="21"/>
          <w:szCs w:val="21"/>
        </w:rPr>
        <w:t xml:space="preserve"> 127-141.</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RENNER, J. W., ABRAHAM, M. R. &amp; BIRNIE, H. H., 1988. The necessity of each phase of the learning cycle in teaching high school physics. </w:t>
      </w:r>
      <w:r>
        <w:rPr>
          <w:rFonts w:ascii="Times New Roman" w:hAnsi="Times New Roman" w:cs="Times New Roman"/>
          <w:i/>
          <w:sz w:val="21"/>
          <w:szCs w:val="21"/>
        </w:rPr>
        <w:t>Journal of Research in Science Teaching,</w:t>
      </w:r>
      <w:r>
        <w:rPr>
          <w:rFonts w:ascii="Times New Roman" w:hAnsi="Times New Roman" w:cs="Times New Roman"/>
          <w:sz w:val="21"/>
          <w:szCs w:val="21"/>
        </w:rPr>
        <w:t xml:space="preserve"> 25</w:t>
      </w:r>
      <w:r>
        <w:rPr>
          <w:rFonts w:ascii="Times New Roman" w:hAnsi="Times New Roman" w:cs="Times New Roman"/>
          <w:b/>
          <w:sz w:val="21"/>
          <w:szCs w:val="21"/>
        </w:rPr>
        <w:t>,</w:t>
      </w:r>
      <w:r>
        <w:rPr>
          <w:rFonts w:ascii="Times New Roman" w:hAnsi="Times New Roman" w:cs="Times New Roman"/>
          <w:sz w:val="21"/>
          <w:szCs w:val="21"/>
        </w:rPr>
        <w:t xml:space="preserve"> 39-58.</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SEROGLOU, F. &amp; KOUMARAS, P., 2001. The contribution of the history of physics in physics education: A review. </w:t>
      </w:r>
      <w:r>
        <w:rPr>
          <w:rFonts w:ascii="Times New Roman" w:hAnsi="Times New Roman" w:cs="Times New Roman"/>
          <w:i/>
          <w:sz w:val="21"/>
          <w:szCs w:val="21"/>
        </w:rPr>
        <w:t>Science &amp; Education,</w:t>
      </w:r>
      <w:r>
        <w:rPr>
          <w:rFonts w:ascii="Times New Roman" w:hAnsi="Times New Roman" w:cs="Times New Roman"/>
          <w:sz w:val="21"/>
          <w:szCs w:val="21"/>
        </w:rPr>
        <w:t xml:space="preserve"> 10</w:t>
      </w:r>
      <w:r>
        <w:rPr>
          <w:rFonts w:ascii="Times New Roman" w:hAnsi="Times New Roman" w:cs="Times New Roman"/>
          <w:b/>
          <w:sz w:val="21"/>
          <w:szCs w:val="21"/>
        </w:rPr>
        <w:t>,</w:t>
      </w:r>
      <w:r>
        <w:rPr>
          <w:rFonts w:ascii="Times New Roman" w:hAnsi="Times New Roman" w:cs="Times New Roman"/>
          <w:sz w:val="21"/>
          <w:szCs w:val="21"/>
        </w:rPr>
        <w:t xml:space="preserve"> 153-172.</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SHULTZ, L., 2007. Educating for global citizenship: Conflicting agendas and understandings. </w:t>
      </w:r>
      <w:r>
        <w:rPr>
          <w:rFonts w:ascii="Times New Roman" w:hAnsi="Times New Roman" w:cs="Times New Roman"/>
          <w:i/>
          <w:sz w:val="21"/>
          <w:szCs w:val="21"/>
        </w:rPr>
        <w:t>Alberta Journal of Educational Research,</w:t>
      </w:r>
      <w:r>
        <w:rPr>
          <w:rFonts w:ascii="Times New Roman" w:hAnsi="Times New Roman" w:cs="Times New Roman"/>
          <w:sz w:val="21"/>
          <w:szCs w:val="21"/>
        </w:rPr>
        <w:t xml:space="preserve"> 53.</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SMITH, R. C. &amp; TAYLOR, E. F., 1995. Teaching physics on line. </w:t>
      </w:r>
      <w:r>
        <w:rPr>
          <w:rFonts w:ascii="Times New Roman" w:hAnsi="Times New Roman" w:cs="Times New Roman"/>
          <w:i/>
          <w:sz w:val="21"/>
          <w:szCs w:val="21"/>
        </w:rPr>
        <w:t>American Journal of Physics,</w:t>
      </w:r>
      <w:r>
        <w:rPr>
          <w:rFonts w:ascii="Times New Roman" w:hAnsi="Times New Roman" w:cs="Times New Roman"/>
          <w:sz w:val="21"/>
          <w:szCs w:val="21"/>
        </w:rPr>
        <w:t xml:space="preserve"> 63</w:t>
      </w:r>
      <w:r>
        <w:rPr>
          <w:rFonts w:ascii="Times New Roman" w:hAnsi="Times New Roman" w:cs="Times New Roman"/>
          <w:b/>
          <w:sz w:val="21"/>
          <w:szCs w:val="21"/>
        </w:rPr>
        <w:t>,</w:t>
      </w:r>
      <w:r>
        <w:rPr>
          <w:rFonts w:ascii="Times New Roman" w:hAnsi="Times New Roman" w:cs="Times New Roman"/>
          <w:sz w:val="21"/>
          <w:szCs w:val="21"/>
        </w:rPr>
        <w:t xml:space="preserve"> 1090-1096.</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SUASTRA, I., JATMIKO, B., RISTIATI, N. &amp; YASMINI, L., 2017. Developing characters based on local wisdom of bali in teaching physics in senior high school. </w:t>
      </w:r>
      <w:r>
        <w:rPr>
          <w:rFonts w:ascii="Times New Roman" w:hAnsi="Times New Roman" w:cs="Times New Roman"/>
          <w:i/>
          <w:sz w:val="21"/>
          <w:szCs w:val="21"/>
        </w:rPr>
        <w:t>Jurnal Pendidikan IPA Indonesia,</w:t>
      </w:r>
      <w:r>
        <w:rPr>
          <w:rFonts w:ascii="Times New Roman" w:hAnsi="Times New Roman" w:cs="Times New Roman"/>
          <w:sz w:val="21"/>
          <w:szCs w:val="21"/>
        </w:rPr>
        <w:t xml:space="preserve"> 6</w:t>
      </w:r>
      <w:r>
        <w:rPr>
          <w:rFonts w:ascii="Times New Roman" w:hAnsi="Times New Roman" w:cs="Times New Roman"/>
          <w:b/>
          <w:sz w:val="21"/>
          <w:szCs w:val="21"/>
        </w:rPr>
        <w:t>,</w:t>
      </w:r>
      <w:r>
        <w:rPr>
          <w:rFonts w:ascii="Times New Roman" w:hAnsi="Times New Roman" w:cs="Times New Roman"/>
          <w:sz w:val="21"/>
          <w:szCs w:val="21"/>
        </w:rPr>
        <w:t xml:space="preserve"> 306-312.</w:t>
      </w:r>
    </w:p>
    <w:p>
      <w:pPr>
        <w:pStyle w:val="8"/>
        <w:spacing w:line="360" w:lineRule="auto"/>
        <w:ind w:left="720" w:hanging="720"/>
        <w:rPr>
          <w:rFonts w:ascii="Times New Roman" w:hAnsi="Times New Roman" w:cs="Times New Roman"/>
          <w:sz w:val="21"/>
          <w:szCs w:val="21"/>
        </w:rPr>
      </w:pPr>
      <w:r>
        <w:rPr>
          <w:rFonts w:ascii="Times New Roman" w:hAnsi="Times New Roman" w:cs="Times New Roman"/>
          <w:sz w:val="21"/>
          <w:szCs w:val="21"/>
        </w:rPr>
        <w:t xml:space="preserve">WRAGA, W. G., 1993. The interdisciplinary imperative for citizenship education. </w:t>
      </w:r>
      <w:r>
        <w:rPr>
          <w:rFonts w:ascii="Times New Roman" w:hAnsi="Times New Roman" w:cs="Times New Roman"/>
          <w:i/>
          <w:sz w:val="21"/>
          <w:szCs w:val="21"/>
        </w:rPr>
        <w:t>Theory &amp; Research in Social Education,</w:t>
      </w:r>
      <w:r>
        <w:rPr>
          <w:rFonts w:ascii="Times New Roman" w:hAnsi="Times New Roman" w:cs="Times New Roman"/>
          <w:sz w:val="21"/>
          <w:szCs w:val="21"/>
        </w:rPr>
        <w:t xml:space="preserve"> 21</w:t>
      </w:r>
      <w:r>
        <w:rPr>
          <w:rFonts w:ascii="Times New Roman" w:hAnsi="Times New Roman" w:cs="Times New Roman"/>
          <w:b/>
          <w:sz w:val="21"/>
          <w:szCs w:val="21"/>
        </w:rPr>
        <w:t>,</w:t>
      </w:r>
      <w:r>
        <w:rPr>
          <w:rFonts w:ascii="Times New Roman" w:hAnsi="Times New Roman" w:cs="Times New Roman"/>
          <w:sz w:val="21"/>
          <w:szCs w:val="21"/>
        </w:rPr>
        <w:t xml:space="preserve"> 201-231.</w:t>
      </w:r>
    </w:p>
    <w:p>
      <w:pPr>
        <w:widowControl/>
        <w:spacing w:line="360" w:lineRule="auto"/>
        <w:rPr>
          <w:rFonts w:ascii="Times New Roman" w:hAnsi="Times New Roman" w:eastAsia="宋体" w:cs="Times New Roman"/>
          <w:color w:val="000000"/>
          <w:kern w:val="0"/>
          <w:sz w:val="24"/>
          <w:lang w:bidi="ar"/>
        </w:rPr>
      </w:pPr>
      <w:r>
        <w:rPr>
          <w:rFonts w:ascii="Times New Roman" w:hAnsi="Times New Roman" w:cs="Times New Roman"/>
          <w:szCs w:val="21"/>
        </w:rPr>
        <w:fldChar w:fldCharType="end"/>
      </w:r>
    </w:p>
    <w:p>
      <w:pPr>
        <w:widowControl/>
        <w:spacing w:line="360" w:lineRule="auto"/>
        <w:rPr>
          <w:rFonts w:ascii="Times New Roman" w:hAnsi="Times New Roman" w:eastAsia="宋体" w:cs="Times New Roman"/>
          <w:color w:val="000000"/>
          <w:kern w:val="0"/>
          <w:sz w:val="24"/>
          <w:lang w:bidi="ar"/>
        </w:rPr>
      </w:pPr>
    </w:p>
    <w:p>
      <w:pPr>
        <w:widowControl/>
        <w:spacing w:line="360" w:lineRule="auto"/>
        <w:rPr>
          <w:rFonts w:ascii="Times New Roman" w:hAnsi="Times New Roman" w:eastAsia="宋体" w:cs="Times New Roman"/>
          <w:color w:val="000000"/>
          <w:kern w:val="0"/>
          <w:sz w:val="24"/>
          <w:lang w:bidi="ar"/>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329AE8"/>
    <w:multiLevelType w:val="singleLevel"/>
    <w:tmpl w:val="E9329AE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RmYjM3MDJhZDVlOTFlZTY2MmMzZDU5MWE3ZmU1ODMifQ=="/>
  </w:docVars>
  <w:rsids>
    <w:rsidRoot w:val="096D2108"/>
    <w:rsid w:val="006E3E45"/>
    <w:rsid w:val="00877B17"/>
    <w:rsid w:val="00A25B22"/>
    <w:rsid w:val="00B74CF7"/>
    <w:rsid w:val="00E55A8B"/>
    <w:rsid w:val="00E70FC3"/>
    <w:rsid w:val="023F3F62"/>
    <w:rsid w:val="040E6663"/>
    <w:rsid w:val="04476DA3"/>
    <w:rsid w:val="05C02FB6"/>
    <w:rsid w:val="096D2108"/>
    <w:rsid w:val="0A5C545F"/>
    <w:rsid w:val="0B655FA8"/>
    <w:rsid w:val="0BC65752"/>
    <w:rsid w:val="0BDE6F3F"/>
    <w:rsid w:val="0DA87805"/>
    <w:rsid w:val="10897DB5"/>
    <w:rsid w:val="12301B77"/>
    <w:rsid w:val="19792055"/>
    <w:rsid w:val="20E5071B"/>
    <w:rsid w:val="23CE4697"/>
    <w:rsid w:val="261D1FBA"/>
    <w:rsid w:val="28351A22"/>
    <w:rsid w:val="28793B3D"/>
    <w:rsid w:val="28F23FC0"/>
    <w:rsid w:val="29223820"/>
    <w:rsid w:val="2BF75779"/>
    <w:rsid w:val="2D32459D"/>
    <w:rsid w:val="2D8B00C8"/>
    <w:rsid w:val="2E121023"/>
    <w:rsid w:val="2F73037E"/>
    <w:rsid w:val="30714450"/>
    <w:rsid w:val="389D610E"/>
    <w:rsid w:val="3E0513D6"/>
    <w:rsid w:val="40BD2D99"/>
    <w:rsid w:val="417314F7"/>
    <w:rsid w:val="45633A36"/>
    <w:rsid w:val="45B1376A"/>
    <w:rsid w:val="464F7B16"/>
    <w:rsid w:val="47650B87"/>
    <w:rsid w:val="47E76720"/>
    <w:rsid w:val="4BAD5D1F"/>
    <w:rsid w:val="4DD30CB1"/>
    <w:rsid w:val="50E3191F"/>
    <w:rsid w:val="55384597"/>
    <w:rsid w:val="562B1780"/>
    <w:rsid w:val="575A5C8D"/>
    <w:rsid w:val="576559BB"/>
    <w:rsid w:val="57AD06E1"/>
    <w:rsid w:val="58514E2D"/>
    <w:rsid w:val="5A2378C4"/>
    <w:rsid w:val="5C9922C3"/>
    <w:rsid w:val="5CC2368A"/>
    <w:rsid w:val="5E0A45F7"/>
    <w:rsid w:val="5EB252DE"/>
    <w:rsid w:val="5F087098"/>
    <w:rsid w:val="62BF14B2"/>
    <w:rsid w:val="630E4B89"/>
    <w:rsid w:val="67B51F32"/>
    <w:rsid w:val="6A1A69BC"/>
    <w:rsid w:val="6D8A67CF"/>
    <w:rsid w:val="6D8F2D6B"/>
    <w:rsid w:val="70585696"/>
    <w:rsid w:val="73382C41"/>
    <w:rsid w:val="73526138"/>
    <w:rsid w:val="73B54BAD"/>
    <w:rsid w:val="74840B4A"/>
    <w:rsid w:val="758F4FD1"/>
    <w:rsid w:val="795672AA"/>
    <w:rsid w:val="7F0C28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3"/>
    <w:basedOn w:val="1"/>
    <w:qFormat/>
    <w:uiPriority w:val="0"/>
    <w:pPr>
      <w:spacing w:after="120"/>
    </w:pPr>
    <w:rPr>
      <w:sz w:val="16"/>
      <w:szCs w:val="16"/>
    </w:rPr>
  </w:style>
  <w:style w:type="paragraph" w:styleId="3">
    <w:name w:val="footer"/>
    <w:basedOn w:val="1"/>
    <w:link w:val="10"/>
    <w:uiPriority w:val="0"/>
    <w:pPr>
      <w:tabs>
        <w:tab w:val="center" w:pos="4153"/>
        <w:tab w:val="right" w:pos="8306"/>
      </w:tabs>
      <w:snapToGrid w:val="0"/>
      <w:jc w:val="left"/>
    </w:pPr>
    <w:rPr>
      <w:sz w:val="18"/>
      <w:szCs w:val="18"/>
    </w:rPr>
  </w:style>
  <w:style w:type="paragraph" w:styleId="4">
    <w:name w:val="header"/>
    <w:basedOn w:val="1"/>
    <w:link w:val="9"/>
    <w:uiPriority w:val="0"/>
    <w:pPr>
      <w:tabs>
        <w:tab w:val="center" w:pos="4153"/>
        <w:tab w:val="right" w:pos="8306"/>
      </w:tabs>
      <w:snapToGrid w:val="0"/>
      <w:jc w:val="center"/>
    </w:pPr>
    <w:rPr>
      <w:sz w:val="18"/>
      <w:szCs w:val="18"/>
    </w:rPr>
  </w:style>
  <w:style w:type="paragraph" w:styleId="5">
    <w:name w:val="Normal (Web)"/>
    <w:basedOn w:val="1"/>
    <w:qFormat/>
    <w:uiPriority w:val="0"/>
    <w:rPr>
      <w:sz w:val="24"/>
    </w:rPr>
  </w:style>
  <w:style w:type="paragraph" w:customStyle="1" w:styleId="8">
    <w:name w:val="EndNote Bibliography"/>
    <w:qFormat/>
    <w:uiPriority w:val="0"/>
    <w:pPr>
      <w:jc w:val="both"/>
    </w:pPr>
    <w:rPr>
      <w:rFonts w:ascii="Calibri" w:hAnsi="Calibri" w:cs="Calibri" w:eastAsiaTheme="minorEastAsia"/>
      <w:kern w:val="2"/>
      <w:szCs w:val="24"/>
      <w:lang w:val="en-US" w:eastAsia="zh-CN" w:bidi="ar-SA"/>
    </w:rPr>
  </w:style>
  <w:style w:type="character" w:customStyle="1" w:styleId="9">
    <w:name w:val="页眉 字符"/>
    <w:basedOn w:val="7"/>
    <w:link w:val="4"/>
    <w:qFormat/>
    <w:uiPriority w:val="0"/>
    <w:rPr>
      <w:rFonts w:asciiTheme="minorHAnsi" w:hAnsiTheme="minorHAnsi" w:eastAsiaTheme="minorEastAsia" w:cstheme="minorBidi"/>
      <w:kern w:val="2"/>
      <w:sz w:val="18"/>
      <w:szCs w:val="18"/>
    </w:rPr>
  </w:style>
  <w:style w:type="character" w:customStyle="1" w:styleId="10">
    <w:name w:val="页脚 字符"/>
    <w:basedOn w:val="7"/>
    <w:link w:val="3"/>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10794</Words>
  <Characters>61529</Characters>
  <Lines>512</Lines>
  <Paragraphs>144</Paragraphs>
  <TotalTime>15</TotalTime>
  <ScaleCrop>false</ScaleCrop>
  <LinksUpToDate>false</LinksUpToDate>
  <CharactersWithSpaces>72179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2023-09-11T08:24:00Z</dcterms:created>
  <dc:creator>随风溜达</dc:creator>
  <cp:lastModifiedBy>欧</cp:lastModifiedBy>
  <dcterms:modified xsi:type="dcterms:W3CDTF">2023-09-11T09:45:14Z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B36EC880B2F1470984A4B1572F9A163E_13</vt:lpwstr>
  </property>
</Properties>
</file>