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BCE" w:rsidRPr="00123A65" w:rsidRDefault="00743BCE" w:rsidP="00743BCE">
      <w:pPr>
        <w:pStyle w:val="NormalWeb"/>
        <w:spacing w:after="0"/>
        <w:ind w:right="-334"/>
        <w:rPr>
          <w:rFonts w:ascii="Georgia" w:eastAsia="SimSun" w:hAnsi="Georgia"/>
          <w:color w:val="000000"/>
          <w:sz w:val="21"/>
          <w:szCs w:val="21"/>
          <w:lang w:eastAsia="zh-CN"/>
        </w:rPr>
      </w:pPr>
      <w:r w:rsidRPr="00123A65">
        <w:rPr>
          <w:rFonts w:ascii="Georgia" w:eastAsia="SimSun" w:hAnsi="Georgia"/>
          <w:noProof/>
          <w:color w:val="000000"/>
          <w:sz w:val="21"/>
          <w:szCs w:val="21"/>
          <w:lang w:eastAsia="en-GB"/>
        </w:rPr>
        <w:drawing>
          <wp:inline distT="0" distB="0" distL="0" distR="0" wp14:anchorId="51BE1BC1" wp14:editId="053B8F30">
            <wp:extent cx="1906270" cy="635635"/>
            <wp:effectExtent l="19050" t="19050" r="17780" b="1206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63563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43BCE" w:rsidRPr="00123A65" w:rsidRDefault="00743BCE" w:rsidP="00743BCE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:rsidR="00743BCE" w:rsidRPr="00123A65" w:rsidRDefault="00743BCE" w:rsidP="00743BCE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:rsidR="00743BCE" w:rsidRPr="00123A65" w:rsidRDefault="00743BCE" w:rsidP="00743BCE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123A65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:rsidR="00743BCE" w:rsidRPr="00123A65" w:rsidRDefault="00743BCE" w:rsidP="00743BCE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123A65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:rsidR="00743BCE" w:rsidRPr="00123A65" w:rsidRDefault="00743BCE" w:rsidP="00743BCE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:rsidR="00743BCE" w:rsidRPr="00123A65" w:rsidRDefault="00743BCE" w:rsidP="00743BCE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123A65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:rsidR="00743BCE" w:rsidRPr="00123A65" w:rsidRDefault="00743BCE" w:rsidP="00743BCE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743BCE" w:rsidRPr="00123A65" w:rsidTr="001822E0">
        <w:trPr>
          <w:trHeight w:val="614"/>
        </w:trPr>
        <w:tc>
          <w:tcPr>
            <w:tcW w:w="8856" w:type="dxa"/>
            <w:gridSpan w:val="5"/>
          </w:tcPr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:</w:t>
            </w:r>
          </w:p>
        </w:tc>
      </w:tr>
      <w:tr w:rsidR="00743BCE" w:rsidRPr="00123A65" w:rsidTr="001822E0">
        <w:trPr>
          <w:trHeight w:val="718"/>
        </w:trPr>
        <w:tc>
          <w:tcPr>
            <w:tcW w:w="8856" w:type="dxa"/>
            <w:gridSpan w:val="5"/>
          </w:tcPr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 xml:space="preserve">Student Name:  Daniel Farrington  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743BCE" w:rsidRPr="00123A65" w:rsidTr="001822E0">
        <w:trPr>
          <w:trHeight w:val="849"/>
        </w:trPr>
        <w:tc>
          <w:tcPr>
            <w:tcW w:w="4788" w:type="dxa"/>
          </w:tcPr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Module code: AHHI7016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Module title: Studying the Medieval: Manuscripts and Records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34"/>
              <w:jc w:val="center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1807596</w:t>
            </w:r>
          </w:p>
        </w:tc>
        <w:tc>
          <w:tcPr>
            <w:tcW w:w="1802" w:type="dxa"/>
          </w:tcPr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No</w:t>
            </w:r>
          </w:p>
        </w:tc>
      </w:tr>
      <w:tr w:rsidR="00743BCE" w:rsidRPr="00123A65" w:rsidTr="001822E0">
        <w:trPr>
          <w:trHeight w:val="1139"/>
        </w:trPr>
        <w:tc>
          <w:tcPr>
            <w:tcW w:w="8856" w:type="dxa"/>
            <w:gridSpan w:val="5"/>
          </w:tcPr>
          <w:p w:rsidR="00743BCE" w:rsidRPr="00123A65" w:rsidRDefault="00743BCE" w:rsidP="001822E0">
            <w:pPr>
              <w:spacing w:before="100" w:beforeAutospacing="1" w:after="100" w:afterAutospacing="1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Module tutor: Janet Burton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bookmarkStart w:id="0" w:name="_GoBack"/>
            <w:bookmarkEnd w:id="0"/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Assignment due date: 25 Jan 2019</w:t>
            </w:r>
          </w:p>
        </w:tc>
      </w:tr>
      <w:tr w:rsidR="00743BCE" w:rsidRPr="00123A65" w:rsidTr="001822E0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123A65">
              <w:rPr>
                <w:rFonts w:ascii="Arial" w:eastAsia="SimSun" w:hAnsi="Arial" w:cs="Arial"/>
                <w:lang w:eastAsia="zh-CN"/>
              </w:rPr>
              <w:t>If your module has multiple submissions please indicate which piece of work this is.</w:t>
            </w: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</w:p>
          <w:p w:rsidR="00743BCE" w:rsidRPr="00123A65" w:rsidRDefault="00743BCE" w:rsidP="00743BC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123A65">
              <w:rPr>
                <w:rFonts w:ascii="Arial" w:eastAsia="SimSun" w:hAnsi="Arial" w:cs="Arial"/>
                <w:lang w:eastAsia="zh-CN"/>
              </w:rPr>
              <w:t>1</w:t>
            </w:r>
            <w:r w:rsidRPr="00123A65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3"/>
            <w:r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4282A">
              <w:rPr>
                <w:rFonts w:ascii="Arial" w:eastAsia="SimSun" w:hAnsi="Arial" w:cs="Arial"/>
                <w:lang w:eastAsia="zh-CN"/>
              </w:rPr>
            </w:r>
            <w:r w:rsidR="0054282A">
              <w:rPr>
                <w:rFonts w:ascii="Arial" w:eastAsia="SimSun" w:hAnsi="Arial" w:cs="Arial"/>
                <w:lang w:eastAsia="zh-CN"/>
              </w:rPr>
              <w:fldChar w:fldCharType="separate"/>
            </w:r>
            <w:r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123A65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123A65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123A65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123A6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4282A">
              <w:rPr>
                <w:rFonts w:ascii="Arial" w:eastAsia="SimSun" w:hAnsi="Arial" w:cs="Arial"/>
                <w:lang w:eastAsia="zh-CN"/>
              </w:rPr>
            </w:r>
            <w:r w:rsidR="0054282A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123A65">
              <w:rPr>
                <w:rFonts w:ascii="Arial" w:eastAsia="SimSun" w:hAnsi="Arial" w:cs="Arial"/>
                <w:lang w:eastAsia="zh-CN"/>
              </w:rPr>
              <w:t xml:space="preserve">     3</w:t>
            </w:r>
            <w:r w:rsidRPr="00123A65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123A65">
              <w:rPr>
                <w:rFonts w:ascii="Arial" w:eastAsia="SimSun" w:hAnsi="Arial" w:cs="Arial"/>
                <w:lang w:eastAsia="zh-CN"/>
              </w:rPr>
              <w:t xml:space="preserve">  </w:t>
            </w:r>
            <w:r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4282A">
              <w:rPr>
                <w:rFonts w:ascii="Arial" w:eastAsia="SimSun" w:hAnsi="Arial" w:cs="Arial"/>
                <w:lang w:eastAsia="zh-CN"/>
              </w:rPr>
            </w:r>
            <w:r w:rsidR="0054282A">
              <w:rPr>
                <w:rFonts w:ascii="Arial" w:eastAsia="SimSun" w:hAnsi="Arial" w:cs="Arial"/>
                <w:lang w:eastAsia="zh-CN"/>
              </w:rPr>
              <w:fldChar w:fldCharType="separate"/>
            </w:r>
            <w:r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123A65">
              <w:rPr>
                <w:rFonts w:ascii="Arial" w:eastAsia="SimSun" w:hAnsi="Arial" w:cs="Arial"/>
                <w:lang w:eastAsia="zh-CN"/>
              </w:rPr>
              <w:t xml:space="preserve">      4</w:t>
            </w:r>
            <w:r w:rsidRPr="00123A6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123A6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123A6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4282A">
              <w:rPr>
                <w:rFonts w:ascii="Arial" w:eastAsia="SimSun" w:hAnsi="Arial" w:cs="Arial"/>
                <w:lang w:eastAsia="zh-CN"/>
              </w:rPr>
            </w:r>
            <w:r w:rsidR="0054282A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  <w:r w:rsidRPr="00123A65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123A6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123A6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123A6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4282A">
              <w:rPr>
                <w:rFonts w:ascii="Arial" w:eastAsia="SimSun" w:hAnsi="Arial" w:cs="Arial"/>
                <w:lang w:eastAsia="zh-CN"/>
              </w:rPr>
            </w:r>
            <w:r w:rsidR="0054282A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5"/>
            <w:r w:rsidRPr="00123A65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123A6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123A6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123A6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54282A">
              <w:rPr>
                <w:rFonts w:ascii="Arial" w:eastAsia="SimSun" w:hAnsi="Arial" w:cs="Arial"/>
                <w:lang w:eastAsia="zh-CN"/>
              </w:rPr>
            </w:r>
            <w:r w:rsidR="0054282A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123A6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6"/>
          </w:p>
        </w:tc>
      </w:tr>
      <w:tr w:rsidR="00743BCE" w:rsidRPr="00123A65" w:rsidTr="001822E0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Signed   </w:t>
            </w:r>
            <w:proofErr w:type="spellStart"/>
            <w:r>
              <w:rPr>
                <w:rFonts w:ascii="Arial" w:eastAsia="SimSun" w:hAnsi="Arial" w:cs="Arial"/>
                <w:color w:val="000000"/>
                <w:lang w:eastAsia="zh-CN"/>
              </w:rPr>
              <w:t>D.Farrington</w:t>
            </w:r>
            <w:proofErr w:type="spellEnd"/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……………………………………………………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123A6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submission: if you are submitting this form via email, please tick this box </w:t>
            </w:r>
            <w:r w:rsidRPr="00123A65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t>□</w:t>
            </w:r>
          </w:p>
          <w:p w:rsidR="00743BCE" w:rsidRPr="00123A65" w:rsidRDefault="00743BCE" w:rsidP="001822E0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</w:t>
            </w:r>
            <w:proofErr w:type="gramStart"/>
            <w:r w:rsidRPr="00123A6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as</w:t>
            </w:r>
            <w:proofErr w:type="gramEnd"/>
            <w:r w:rsidRPr="00123A6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 a substitute for your signature) to confirm that you agree to the above declaration.</w:t>
            </w:r>
          </w:p>
        </w:tc>
      </w:tr>
      <w:tr w:rsidR="00743BCE" w:rsidRPr="00123A65" w:rsidTr="001822E0">
        <w:trPr>
          <w:trHeight w:val="3972"/>
        </w:trPr>
        <w:tc>
          <w:tcPr>
            <w:tcW w:w="8856" w:type="dxa"/>
            <w:gridSpan w:val="5"/>
          </w:tcPr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123A65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743BCE" w:rsidRPr="00123A65" w:rsidTr="001822E0">
              <w:tc>
                <w:tcPr>
                  <w:tcW w:w="697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123A6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123A65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123A6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743BCE" w:rsidRPr="00123A65" w:rsidTr="001822E0">
              <w:tc>
                <w:tcPr>
                  <w:tcW w:w="697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123A6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123A65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123A6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743BCE" w:rsidRPr="00123A65" w:rsidTr="001822E0">
              <w:tc>
                <w:tcPr>
                  <w:tcW w:w="697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123A6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743BCE" w:rsidRPr="00123A65" w:rsidTr="001822E0">
              <w:tc>
                <w:tcPr>
                  <w:tcW w:w="697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123A65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:rsidR="00743BCE" w:rsidRPr="00123A65" w:rsidRDefault="00743BCE" w:rsidP="001822E0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743BCE" w:rsidRPr="00123A65" w:rsidRDefault="00743BCE" w:rsidP="001822E0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Marker 1 :</w:t>
            </w:r>
          </w:p>
          <w:p w:rsidR="00743BCE" w:rsidRPr="00123A65" w:rsidRDefault="00743BCE" w:rsidP="001822E0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:rsidR="00743BCE" w:rsidRPr="00123A65" w:rsidRDefault="00743BCE" w:rsidP="001822E0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743BCE" w:rsidRPr="00123A65" w:rsidTr="001822E0">
        <w:trPr>
          <w:trHeight w:val="492"/>
        </w:trPr>
        <w:tc>
          <w:tcPr>
            <w:tcW w:w="6768" w:type="dxa"/>
            <w:gridSpan w:val="3"/>
          </w:tcPr>
          <w:p w:rsidR="00743BCE" w:rsidRPr="00123A65" w:rsidRDefault="00743BCE" w:rsidP="001822E0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:rsidR="00743BCE" w:rsidRPr="00123A65" w:rsidRDefault="00743BCE" w:rsidP="001822E0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743BCE" w:rsidRPr="00123A65" w:rsidTr="001822E0">
        <w:tc>
          <w:tcPr>
            <w:tcW w:w="8856" w:type="dxa"/>
            <w:gridSpan w:val="5"/>
          </w:tcPr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743BCE" w:rsidRPr="00123A65" w:rsidTr="001822E0">
        <w:trPr>
          <w:trHeight w:val="720"/>
        </w:trPr>
        <w:tc>
          <w:tcPr>
            <w:tcW w:w="5211" w:type="dxa"/>
            <w:gridSpan w:val="2"/>
          </w:tcPr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123A65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743BCE" w:rsidRPr="00123A65" w:rsidTr="001822E0">
        <w:trPr>
          <w:trHeight w:val="720"/>
        </w:trPr>
        <w:tc>
          <w:tcPr>
            <w:tcW w:w="8856" w:type="dxa"/>
            <w:gridSpan w:val="5"/>
          </w:tcPr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123A65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:rsidR="00743BCE" w:rsidRPr="00123A65" w:rsidRDefault="00743BCE" w:rsidP="001822E0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743BCE" w:rsidRPr="00123A65" w:rsidTr="001822E0">
        <w:trPr>
          <w:trHeight w:val="720"/>
        </w:trPr>
        <w:tc>
          <w:tcPr>
            <w:tcW w:w="5211" w:type="dxa"/>
            <w:gridSpan w:val="2"/>
          </w:tcPr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123A65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743BCE" w:rsidRPr="00123A65" w:rsidRDefault="00743BCE" w:rsidP="001822E0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123A65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:rsidR="00743BCE" w:rsidRPr="00123A65" w:rsidRDefault="00743BCE" w:rsidP="00743BCE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:rsidR="00743BCE" w:rsidRDefault="00743BCE" w:rsidP="00743BC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C26C0" w:rsidRPr="00743BCE" w:rsidRDefault="00743BCE" w:rsidP="00743BC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3BCE">
        <w:rPr>
          <w:rFonts w:ascii="Times New Roman" w:hAnsi="Times New Roman" w:cs="Times New Roman"/>
          <w:sz w:val="24"/>
          <w:szCs w:val="24"/>
        </w:rPr>
        <w:lastRenderedPageBreak/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26C0" w:rsidRPr="00743BCE">
        <w:rPr>
          <w:rFonts w:ascii="Times New Roman" w:hAnsi="Times New Roman" w:cs="Times New Roman"/>
          <w:sz w:val="24"/>
          <w:szCs w:val="24"/>
        </w:rPr>
        <w:t>Dating Records</w:t>
      </w:r>
    </w:p>
    <w:p w:rsidR="005235BE" w:rsidRPr="008C26C0" w:rsidRDefault="005235BE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A5EA6" w:rsidRDefault="008C26C0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26C0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 w:rsidR="009A5EA6">
        <w:rPr>
          <w:rFonts w:ascii="Times New Roman" w:hAnsi="Times New Roman" w:cs="Times New Roman"/>
          <w:sz w:val="24"/>
          <w:szCs w:val="24"/>
        </w:rPr>
        <w:t>18 August 1384</w:t>
      </w:r>
    </w:p>
    <w:p w:rsidR="009A5EA6" w:rsidRDefault="009A5EA6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C26C0" w:rsidRDefault="008C26C0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</w:t>
      </w:r>
      <w:r w:rsidR="00B53958">
        <w:rPr>
          <w:rFonts w:ascii="Times New Roman" w:hAnsi="Times New Roman" w:cs="Times New Roman"/>
          <w:sz w:val="24"/>
          <w:szCs w:val="24"/>
        </w:rPr>
        <w:t>emorandum says it is</w:t>
      </w:r>
      <w:r>
        <w:rPr>
          <w:rFonts w:ascii="Times New Roman" w:hAnsi="Times New Roman" w:cs="Times New Roman"/>
          <w:sz w:val="24"/>
          <w:szCs w:val="24"/>
        </w:rPr>
        <w:t xml:space="preserve"> the eighth</w:t>
      </w:r>
      <w:r w:rsidR="009A5EA6">
        <w:rPr>
          <w:rFonts w:ascii="Times New Roman" w:hAnsi="Times New Roman" w:cs="Times New Roman"/>
          <w:sz w:val="24"/>
          <w:szCs w:val="24"/>
        </w:rPr>
        <w:t xml:space="preserve"> year of</w:t>
      </w:r>
      <w:r>
        <w:rPr>
          <w:rFonts w:ascii="Times New Roman" w:hAnsi="Times New Roman" w:cs="Times New Roman"/>
          <w:sz w:val="24"/>
          <w:szCs w:val="24"/>
        </w:rPr>
        <w:t xml:space="preserve"> Richard II</w:t>
      </w:r>
      <w:r w:rsidR="00B53958">
        <w:rPr>
          <w:rFonts w:ascii="Times New Roman" w:hAnsi="Times New Roman" w:cs="Times New Roman"/>
          <w:sz w:val="24"/>
          <w:szCs w:val="24"/>
        </w:rPr>
        <w:t>’s reign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53958">
        <w:rPr>
          <w:rFonts w:ascii="Times New Roman" w:hAnsi="Times New Roman" w:cs="Times New Roman"/>
          <w:sz w:val="24"/>
          <w:szCs w:val="24"/>
        </w:rPr>
        <w:t>Richard</w:t>
      </w:r>
      <w:r w:rsidR="009A5EA6">
        <w:rPr>
          <w:rFonts w:ascii="Times New Roman" w:hAnsi="Times New Roman" w:cs="Times New Roman"/>
          <w:sz w:val="24"/>
          <w:szCs w:val="24"/>
        </w:rPr>
        <w:t xml:space="preserve"> </w:t>
      </w:r>
      <w:r w:rsidR="00A41794">
        <w:rPr>
          <w:rFonts w:ascii="Times New Roman" w:hAnsi="Times New Roman" w:cs="Times New Roman"/>
          <w:sz w:val="24"/>
          <w:szCs w:val="24"/>
        </w:rPr>
        <w:t>became king on 22 June 1377; the eighth regnal year finished on 21 June 1385</w:t>
      </w:r>
      <w:r w:rsidR="009A5EA6">
        <w:rPr>
          <w:rFonts w:ascii="Times New Roman" w:hAnsi="Times New Roman" w:cs="Times New Roman"/>
          <w:sz w:val="24"/>
          <w:szCs w:val="24"/>
        </w:rPr>
        <w:t>.</w:t>
      </w:r>
      <w:r w:rsidR="009A5EA6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0D5C8A">
        <w:rPr>
          <w:rFonts w:ascii="Times New Roman" w:hAnsi="Times New Roman" w:cs="Times New Roman"/>
          <w:sz w:val="24"/>
          <w:szCs w:val="24"/>
        </w:rPr>
        <w:t xml:space="preserve"> </w:t>
      </w:r>
      <w:r w:rsidR="009A5EA6">
        <w:rPr>
          <w:rFonts w:ascii="Times New Roman" w:hAnsi="Times New Roman" w:cs="Times New Roman"/>
          <w:sz w:val="24"/>
          <w:szCs w:val="24"/>
        </w:rPr>
        <w:t>The Assumpti</w:t>
      </w:r>
      <w:r w:rsidR="000D5C8A">
        <w:rPr>
          <w:rFonts w:ascii="Times New Roman" w:hAnsi="Times New Roman" w:cs="Times New Roman"/>
          <w:sz w:val="24"/>
          <w:szCs w:val="24"/>
        </w:rPr>
        <w:t>on of the Blessed Virgin Mary was celebrated</w:t>
      </w:r>
      <w:r w:rsidR="009A5EA6">
        <w:rPr>
          <w:rFonts w:ascii="Times New Roman" w:hAnsi="Times New Roman" w:cs="Times New Roman"/>
          <w:sz w:val="24"/>
          <w:szCs w:val="24"/>
        </w:rPr>
        <w:t xml:space="preserve"> on 15 August and with the regnal year beginning and</w:t>
      </w:r>
      <w:r w:rsidR="00A41794">
        <w:rPr>
          <w:rFonts w:ascii="Times New Roman" w:hAnsi="Times New Roman" w:cs="Times New Roman"/>
          <w:sz w:val="24"/>
          <w:szCs w:val="24"/>
        </w:rPr>
        <w:t xml:space="preserve"> ending</w:t>
      </w:r>
      <w:r w:rsidR="009A5EA6">
        <w:rPr>
          <w:rFonts w:ascii="Times New Roman" w:hAnsi="Times New Roman" w:cs="Times New Roman"/>
          <w:sz w:val="24"/>
          <w:szCs w:val="24"/>
        </w:rPr>
        <w:t xml:space="preserve"> in June, the document has to be from 1384.</w:t>
      </w:r>
      <w:r w:rsidR="000D5C8A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0D5C8A">
        <w:rPr>
          <w:rFonts w:ascii="Times New Roman" w:hAnsi="Times New Roman" w:cs="Times New Roman"/>
          <w:sz w:val="24"/>
          <w:szCs w:val="24"/>
        </w:rPr>
        <w:t xml:space="preserve"> </w:t>
      </w:r>
      <w:r w:rsidR="009A5EA6">
        <w:rPr>
          <w:rFonts w:ascii="Times New Roman" w:hAnsi="Times New Roman" w:cs="Times New Roman"/>
          <w:sz w:val="24"/>
          <w:szCs w:val="24"/>
        </w:rPr>
        <w:t xml:space="preserve">15 August </w:t>
      </w:r>
      <w:r w:rsidR="000D5C8A">
        <w:rPr>
          <w:rFonts w:ascii="Times New Roman" w:hAnsi="Times New Roman" w:cs="Times New Roman"/>
          <w:sz w:val="24"/>
          <w:szCs w:val="24"/>
        </w:rPr>
        <w:t xml:space="preserve">1384 </w:t>
      </w:r>
      <w:r w:rsidR="009A5EA6">
        <w:rPr>
          <w:rFonts w:ascii="Times New Roman" w:hAnsi="Times New Roman" w:cs="Times New Roman"/>
          <w:sz w:val="24"/>
          <w:szCs w:val="24"/>
        </w:rPr>
        <w:t>fell on a Monday</w:t>
      </w:r>
      <w:r w:rsidR="000D5C8A">
        <w:rPr>
          <w:rFonts w:ascii="Times New Roman" w:hAnsi="Times New Roman" w:cs="Times New Roman"/>
          <w:sz w:val="24"/>
          <w:szCs w:val="24"/>
        </w:rPr>
        <w:t>,</w:t>
      </w:r>
      <w:r w:rsidR="009A5EA6">
        <w:rPr>
          <w:rFonts w:ascii="Times New Roman" w:hAnsi="Times New Roman" w:cs="Times New Roman"/>
          <w:sz w:val="24"/>
          <w:szCs w:val="24"/>
        </w:rPr>
        <w:t xml:space="preserve"> </w:t>
      </w:r>
      <w:r w:rsidR="000D5C8A">
        <w:rPr>
          <w:rFonts w:ascii="Times New Roman" w:hAnsi="Times New Roman" w:cs="Times New Roman"/>
          <w:sz w:val="24"/>
          <w:szCs w:val="24"/>
        </w:rPr>
        <w:t xml:space="preserve">so </w:t>
      </w:r>
      <w:r w:rsidR="009A5EA6">
        <w:rPr>
          <w:rFonts w:ascii="Times New Roman" w:hAnsi="Times New Roman" w:cs="Times New Roman"/>
          <w:sz w:val="24"/>
          <w:szCs w:val="24"/>
        </w:rPr>
        <w:t xml:space="preserve">the Thursday </w:t>
      </w:r>
      <w:r w:rsidR="00765242">
        <w:rPr>
          <w:rFonts w:ascii="Times New Roman" w:hAnsi="Times New Roman" w:cs="Times New Roman"/>
          <w:sz w:val="24"/>
          <w:szCs w:val="24"/>
        </w:rPr>
        <w:t xml:space="preserve">after </w:t>
      </w:r>
      <w:r w:rsidR="002C4BCF">
        <w:rPr>
          <w:rFonts w:ascii="Times New Roman" w:hAnsi="Times New Roman" w:cs="Times New Roman"/>
          <w:sz w:val="24"/>
          <w:szCs w:val="24"/>
        </w:rPr>
        <w:t>reveal</w:t>
      </w:r>
      <w:r w:rsidR="000D5C8A">
        <w:rPr>
          <w:rFonts w:ascii="Times New Roman" w:hAnsi="Times New Roman" w:cs="Times New Roman"/>
          <w:sz w:val="24"/>
          <w:szCs w:val="24"/>
        </w:rPr>
        <w:t>s the document</w:t>
      </w:r>
      <w:r w:rsidR="00765242">
        <w:rPr>
          <w:rFonts w:ascii="Times New Roman" w:hAnsi="Times New Roman" w:cs="Times New Roman"/>
          <w:sz w:val="24"/>
          <w:szCs w:val="24"/>
        </w:rPr>
        <w:t>’s date</w:t>
      </w:r>
      <w:r w:rsidR="002C4BCF">
        <w:rPr>
          <w:rFonts w:ascii="Times New Roman" w:hAnsi="Times New Roman" w:cs="Times New Roman"/>
          <w:sz w:val="24"/>
          <w:szCs w:val="24"/>
        </w:rPr>
        <w:t xml:space="preserve"> to be</w:t>
      </w:r>
      <w:r w:rsidR="009A5EA6">
        <w:rPr>
          <w:rFonts w:ascii="Times New Roman" w:hAnsi="Times New Roman" w:cs="Times New Roman"/>
          <w:sz w:val="24"/>
          <w:szCs w:val="24"/>
        </w:rPr>
        <w:t xml:space="preserve"> 18 Aug</w:t>
      </w:r>
      <w:r w:rsidR="002C4BCF">
        <w:rPr>
          <w:rFonts w:ascii="Times New Roman" w:hAnsi="Times New Roman" w:cs="Times New Roman"/>
          <w:sz w:val="24"/>
          <w:szCs w:val="24"/>
        </w:rPr>
        <w:t>ust</w:t>
      </w:r>
      <w:r w:rsidR="009A5EA6">
        <w:rPr>
          <w:rFonts w:ascii="Times New Roman" w:hAnsi="Times New Roman" w:cs="Times New Roman"/>
          <w:sz w:val="24"/>
          <w:szCs w:val="24"/>
        </w:rPr>
        <w:t xml:space="preserve"> 1384.</w:t>
      </w:r>
      <w:r w:rsidR="009A5EA6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:rsidR="000D5C8A" w:rsidRDefault="000D5C8A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D5C8A" w:rsidRDefault="000D5C8A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D5C8A" w:rsidRDefault="000D5C8A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23 July 1250</w:t>
      </w:r>
    </w:p>
    <w:p w:rsidR="000D5C8A" w:rsidRDefault="000D5C8A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D5C8A" w:rsidRDefault="00765242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confirmation mentions Bishop Anian of St Asaph and</w:t>
      </w:r>
      <w:r w:rsidR="00AD136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by not mention</w:t>
      </w:r>
      <w:r w:rsidR="00CA6230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which one, it strongly suggests Anian I. </w:t>
      </w:r>
      <w:r w:rsidR="00CA6230">
        <w:rPr>
          <w:rFonts w:ascii="Times New Roman" w:hAnsi="Times New Roman" w:cs="Times New Roman"/>
          <w:sz w:val="24"/>
          <w:szCs w:val="24"/>
        </w:rPr>
        <w:t>He was</w:t>
      </w:r>
      <w:r>
        <w:rPr>
          <w:rFonts w:ascii="Times New Roman" w:hAnsi="Times New Roman" w:cs="Times New Roman"/>
          <w:sz w:val="24"/>
          <w:szCs w:val="24"/>
        </w:rPr>
        <w:t xml:space="preserve"> preceded by Reiner, Abraham and Hugh, was appointed in September 1249 and ordained in November that year.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28D">
        <w:rPr>
          <w:rFonts w:ascii="Times New Roman" w:hAnsi="Times New Roman" w:cs="Times New Roman"/>
          <w:sz w:val="24"/>
          <w:szCs w:val="24"/>
        </w:rPr>
        <w:t>The feast of St</w:t>
      </w:r>
      <w:r w:rsidR="00CA6230">
        <w:rPr>
          <w:rFonts w:ascii="Times New Roman" w:hAnsi="Times New Roman" w:cs="Times New Roman"/>
          <w:sz w:val="24"/>
          <w:szCs w:val="24"/>
        </w:rPr>
        <w:t xml:space="preserve"> Mary Magdalene falls on 22 July</w:t>
      </w:r>
      <w:r w:rsidR="0081228D">
        <w:rPr>
          <w:rFonts w:ascii="Times New Roman" w:hAnsi="Times New Roman" w:cs="Times New Roman"/>
          <w:sz w:val="24"/>
          <w:szCs w:val="24"/>
        </w:rPr>
        <w:t xml:space="preserve"> and so the day after, within Anian’s first year, dates the document </w:t>
      </w:r>
      <w:r w:rsidR="00D816F6">
        <w:rPr>
          <w:rFonts w:ascii="Times New Roman" w:hAnsi="Times New Roman" w:cs="Times New Roman"/>
          <w:sz w:val="24"/>
          <w:szCs w:val="24"/>
        </w:rPr>
        <w:t>to</w:t>
      </w:r>
      <w:r w:rsidR="0081228D">
        <w:rPr>
          <w:rFonts w:ascii="Times New Roman" w:hAnsi="Times New Roman" w:cs="Times New Roman"/>
          <w:sz w:val="24"/>
          <w:szCs w:val="24"/>
        </w:rPr>
        <w:t xml:space="preserve"> 23 July 1250.</w:t>
      </w:r>
      <w:r w:rsidR="0081228D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</w:p>
    <w:p w:rsidR="0081228D" w:rsidRDefault="0081228D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228D" w:rsidRDefault="0081228D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228D" w:rsidRDefault="0081228D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25 February 1311</w:t>
      </w:r>
    </w:p>
    <w:p w:rsidR="0081228D" w:rsidRDefault="0081228D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228D" w:rsidRDefault="00C80FB4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document mentions it being the fourth year of Edward’s reign, but which Edward is unclear. There </w:t>
      </w:r>
      <w:r w:rsidR="00684DF2">
        <w:rPr>
          <w:rFonts w:ascii="Times New Roman" w:hAnsi="Times New Roman" w:cs="Times New Roman"/>
          <w:sz w:val="24"/>
          <w:szCs w:val="24"/>
        </w:rPr>
        <w:t>are several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DF2">
        <w:rPr>
          <w:rFonts w:ascii="Times New Roman" w:hAnsi="Times New Roman" w:cs="Times New Roman"/>
          <w:sz w:val="24"/>
          <w:szCs w:val="24"/>
        </w:rPr>
        <w:t xml:space="preserve">places named </w:t>
      </w:r>
      <w:r>
        <w:rPr>
          <w:rFonts w:ascii="Times New Roman" w:hAnsi="Times New Roman" w:cs="Times New Roman"/>
          <w:sz w:val="24"/>
          <w:szCs w:val="24"/>
        </w:rPr>
        <w:t>Downham</w:t>
      </w:r>
      <w:r w:rsidR="00684DF2">
        <w:rPr>
          <w:rFonts w:ascii="Times New Roman" w:hAnsi="Times New Roman" w:cs="Times New Roman"/>
          <w:sz w:val="24"/>
          <w:szCs w:val="24"/>
        </w:rPr>
        <w:t>, bu</w:t>
      </w:r>
      <w:r w:rsidR="00232838">
        <w:rPr>
          <w:rFonts w:ascii="Times New Roman" w:hAnsi="Times New Roman" w:cs="Times New Roman"/>
          <w:sz w:val="24"/>
          <w:szCs w:val="24"/>
        </w:rPr>
        <w:t>t court rolls suggest the one near Ely</w:t>
      </w:r>
      <w:r w:rsidR="00684DF2">
        <w:rPr>
          <w:rFonts w:ascii="Times New Roman" w:hAnsi="Times New Roman" w:cs="Times New Roman"/>
          <w:sz w:val="24"/>
          <w:szCs w:val="24"/>
        </w:rPr>
        <w:t>.</w:t>
      </w:r>
      <w:r w:rsidR="00684DF2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2328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John de Ketene was elected bishop of Ely on 2 March 1310, ordained on 6 September and </w:t>
      </w:r>
      <w:r>
        <w:rPr>
          <w:rFonts w:ascii="Times New Roman" w:hAnsi="Times New Roman" w:cs="Times New Roman"/>
          <w:sz w:val="24"/>
          <w:szCs w:val="24"/>
        </w:rPr>
        <w:lastRenderedPageBreak/>
        <w:t>died on 14 May 1316.</w:t>
      </w:r>
      <w:r w:rsidR="00684DF2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2838">
        <w:rPr>
          <w:rFonts w:ascii="Times New Roman" w:hAnsi="Times New Roman" w:cs="Times New Roman"/>
          <w:sz w:val="24"/>
          <w:szCs w:val="24"/>
        </w:rPr>
        <w:t>John’s time as bishop of Ely coincides with the fourth regnal year of Edward II (8 July 1310 – 7 July 1311).</w:t>
      </w:r>
      <w:r w:rsidR="00232838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232838">
        <w:rPr>
          <w:rFonts w:ascii="Times New Roman" w:hAnsi="Times New Roman" w:cs="Times New Roman"/>
          <w:sz w:val="24"/>
          <w:szCs w:val="24"/>
        </w:rPr>
        <w:t xml:space="preserve"> Ash Wednesday fell on 24 February 1311 and the Thursday after </w:t>
      </w:r>
      <w:r w:rsidR="0057588F">
        <w:rPr>
          <w:rFonts w:ascii="Times New Roman" w:hAnsi="Times New Roman" w:cs="Times New Roman"/>
          <w:sz w:val="24"/>
          <w:szCs w:val="24"/>
        </w:rPr>
        <w:t>suggest</w:t>
      </w:r>
      <w:r w:rsidR="00232838">
        <w:rPr>
          <w:rFonts w:ascii="Times New Roman" w:hAnsi="Times New Roman" w:cs="Times New Roman"/>
          <w:sz w:val="24"/>
          <w:szCs w:val="24"/>
        </w:rPr>
        <w:t>s the document’s date</w:t>
      </w:r>
      <w:r w:rsidR="0057588F">
        <w:rPr>
          <w:rFonts w:ascii="Times New Roman" w:hAnsi="Times New Roman" w:cs="Times New Roman"/>
          <w:sz w:val="24"/>
          <w:szCs w:val="24"/>
        </w:rPr>
        <w:t xml:space="preserve"> i</w:t>
      </w:r>
      <w:r w:rsidR="00232838">
        <w:rPr>
          <w:rFonts w:ascii="Times New Roman" w:hAnsi="Times New Roman" w:cs="Times New Roman"/>
          <w:sz w:val="24"/>
          <w:szCs w:val="24"/>
        </w:rPr>
        <w:t>s 25 February 1311.</w:t>
      </w:r>
      <w:r w:rsidR="00232838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2C4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228D" w:rsidRDefault="0081228D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1228D" w:rsidRDefault="002C4BCF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>January 1121 – June 1123</w:t>
      </w:r>
    </w:p>
    <w:p w:rsidR="002C4BCF" w:rsidRDefault="002C4BCF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53958" w:rsidRDefault="0034427C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Looking at the document, one of the first </w:t>
      </w:r>
      <w:r w:rsidR="0055718D">
        <w:rPr>
          <w:rFonts w:ascii="Times New Roman" w:hAnsi="Times New Roman" w:cs="Times New Roman"/>
          <w:sz w:val="24"/>
          <w:szCs w:val="24"/>
        </w:rPr>
        <w:t>detail</w:t>
      </w:r>
      <w:r>
        <w:rPr>
          <w:rFonts w:ascii="Times New Roman" w:hAnsi="Times New Roman" w:cs="Times New Roman"/>
          <w:sz w:val="24"/>
          <w:szCs w:val="24"/>
        </w:rPr>
        <w:t>s to stand out is that Geoffrey Ridel is dead</w:t>
      </w:r>
      <w:r w:rsidR="0055718D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Henry</w:t>
      </w:r>
      <w:r w:rsidR="0055718D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55718D">
        <w:rPr>
          <w:rFonts w:ascii="Times New Roman" w:hAnsi="Times New Roman" w:cs="Times New Roman"/>
          <w:sz w:val="24"/>
          <w:szCs w:val="24"/>
        </w:rPr>
        <w:t xml:space="preserve">on the throne. </w:t>
      </w:r>
      <w:r>
        <w:rPr>
          <w:rFonts w:ascii="Times New Roman" w:hAnsi="Times New Roman" w:cs="Times New Roman"/>
          <w:sz w:val="24"/>
          <w:szCs w:val="24"/>
        </w:rPr>
        <w:t>It’s not initially c</w:t>
      </w:r>
      <w:r w:rsidR="00882FD4">
        <w:rPr>
          <w:rFonts w:ascii="Times New Roman" w:hAnsi="Times New Roman" w:cs="Times New Roman"/>
          <w:sz w:val="24"/>
          <w:szCs w:val="24"/>
        </w:rPr>
        <w:t>lear which Geoffrey or Henry this refers to.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>
        <w:rPr>
          <w:rFonts w:ascii="Times New Roman" w:hAnsi="Times New Roman" w:cs="Times New Roman"/>
          <w:sz w:val="24"/>
          <w:szCs w:val="24"/>
        </w:rPr>
        <w:t xml:space="preserve"> There was</w:t>
      </w:r>
      <w:r w:rsidR="0055718D">
        <w:rPr>
          <w:rFonts w:ascii="Times New Roman" w:hAnsi="Times New Roman" w:cs="Times New Roman"/>
          <w:sz w:val="24"/>
          <w:szCs w:val="24"/>
        </w:rPr>
        <w:t xml:space="preserve"> however,</w:t>
      </w:r>
      <w:r>
        <w:rPr>
          <w:rFonts w:ascii="Times New Roman" w:hAnsi="Times New Roman" w:cs="Times New Roman"/>
          <w:sz w:val="24"/>
          <w:szCs w:val="24"/>
        </w:rPr>
        <w:t xml:space="preserve"> a Geoffrey Rid</w:t>
      </w:r>
      <w:r w:rsidR="0055718D">
        <w:rPr>
          <w:rFonts w:ascii="Times New Roman" w:hAnsi="Times New Roman" w:cs="Times New Roman"/>
          <w:sz w:val="24"/>
          <w:szCs w:val="24"/>
        </w:rPr>
        <w:t>el who drowned on the White Ship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718D">
        <w:rPr>
          <w:rFonts w:ascii="Times New Roman" w:hAnsi="Times New Roman" w:cs="Times New Roman"/>
          <w:sz w:val="24"/>
          <w:szCs w:val="24"/>
        </w:rPr>
        <w:t>(25 November 1120) during Henry I’s reign.</w:t>
      </w:r>
      <w:r w:rsidR="0055718D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55718D">
        <w:rPr>
          <w:rFonts w:ascii="Times New Roman" w:hAnsi="Times New Roman" w:cs="Times New Roman"/>
          <w:sz w:val="24"/>
          <w:szCs w:val="24"/>
        </w:rPr>
        <w:t xml:space="preserve">  With this date in mind, some of the </w:t>
      </w:r>
      <w:r w:rsidR="0055327D">
        <w:rPr>
          <w:rFonts w:ascii="Times New Roman" w:hAnsi="Times New Roman" w:cs="Times New Roman"/>
          <w:sz w:val="24"/>
          <w:szCs w:val="24"/>
        </w:rPr>
        <w:t xml:space="preserve">other </w:t>
      </w:r>
      <w:r w:rsidR="0055718D">
        <w:rPr>
          <w:rFonts w:ascii="Times New Roman" w:hAnsi="Times New Roman" w:cs="Times New Roman"/>
          <w:sz w:val="24"/>
          <w:szCs w:val="24"/>
        </w:rPr>
        <w:t xml:space="preserve">names </w:t>
      </w:r>
      <w:r w:rsidR="0055327D">
        <w:rPr>
          <w:rFonts w:ascii="Times New Roman" w:hAnsi="Times New Roman" w:cs="Times New Roman"/>
          <w:sz w:val="24"/>
          <w:szCs w:val="24"/>
        </w:rPr>
        <w:t>can be identified, such as Ra</w:t>
      </w:r>
      <w:r w:rsidR="00157C7B">
        <w:rPr>
          <w:rFonts w:ascii="Times New Roman" w:hAnsi="Times New Roman" w:cs="Times New Roman"/>
          <w:sz w:val="24"/>
          <w:szCs w:val="24"/>
        </w:rPr>
        <w:t>n</w:t>
      </w:r>
      <w:r w:rsidR="0055327D">
        <w:rPr>
          <w:rFonts w:ascii="Times New Roman" w:hAnsi="Times New Roman" w:cs="Times New Roman"/>
          <w:sz w:val="24"/>
          <w:szCs w:val="24"/>
        </w:rPr>
        <w:t>nulf le Meschin (1070-1129), third earl of Chester.</w:t>
      </w:r>
      <w:r w:rsidR="0055327D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55327D">
        <w:rPr>
          <w:rFonts w:ascii="Times New Roman" w:hAnsi="Times New Roman" w:cs="Times New Roman"/>
          <w:sz w:val="24"/>
          <w:szCs w:val="24"/>
        </w:rPr>
        <w:t xml:space="preserve"> </w:t>
      </w:r>
      <w:r w:rsidR="004D49F3">
        <w:rPr>
          <w:rFonts w:ascii="Times New Roman" w:hAnsi="Times New Roman" w:cs="Times New Roman"/>
          <w:sz w:val="24"/>
          <w:szCs w:val="24"/>
        </w:rPr>
        <w:t>Earl David is probably the future king of Scotland, before his coronation in April or May 1124.</w:t>
      </w:r>
      <w:r w:rsidR="004D49F3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4D49F3">
        <w:rPr>
          <w:rFonts w:ascii="Times New Roman" w:hAnsi="Times New Roman" w:cs="Times New Roman"/>
          <w:sz w:val="24"/>
          <w:szCs w:val="24"/>
        </w:rPr>
        <w:t xml:space="preserve"> </w:t>
      </w:r>
      <w:r w:rsidR="00157C7B">
        <w:rPr>
          <w:rFonts w:ascii="Times New Roman" w:hAnsi="Times New Roman" w:cs="Times New Roman"/>
          <w:sz w:val="24"/>
          <w:szCs w:val="24"/>
        </w:rPr>
        <w:t>The document can th</w:t>
      </w:r>
      <w:r w:rsidR="005A1580">
        <w:rPr>
          <w:rFonts w:ascii="Times New Roman" w:hAnsi="Times New Roman" w:cs="Times New Roman"/>
          <w:sz w:val="24"/>
          <w:szCs w:val="24"/>
        </w:rPr>
        <w:t>us</w:t>
      </w:r>
      <w:r w:rsidR="00157C7B">
        <w:rPr>
          <w:rFonts w:ascii="Times New Roman" w:hAnsi="Times New Roman" w:cs="Times New Roman"/>
          <w:sz w:val="24"/>
          <w:szCs w:val="24"/>
        </w:rPr>
        <w:t xml:space="preserve"> be dated between 1120 and 1124. This can be narrowed further as Henry I spent </w:t>
      </w:r>
      <w:r w:rsidR="002F628F">
        <w:rPr>
          <w:rFonts w:ascii="Times New Roman" w:hAnsi="Times New Roman" w:cs="Times New Roman"/>
          <w:sz w:val="24"/>
          <w:szCs w:val="24"/>
        </w:rPr>
        <w:t xml:space="preserve">Christmas in Brampton in 1120 before </w:t>
      </w:r>
      <w:r w:rsidR="006C0914">
        <w:rPr>
          <w:rFonts w:ascii="Times New Roman" w:hAnsi="Times New Roman" w:cs="Times New Roman"/>
          <w:sz w:val="24"/>
          <w:szCs w:val="24"/>
        </w:rPr>
        <w:t>working again</w:t>
      </w:r>
      <w:r w:rsidR="002F628F">
        <w:rPr>
          <w:rFonts w:ascii="Times New Roman" w:hAnsi="Times New Roman" w:cs="Times New Roman"/>
          <w:sz w:val="24"/>
          <w:szCs w:val="24"/>
        </w:rPr>
        <w:t xml:space="preserve"> in January 1121.</w:t>
      </w:r>
      <w:r w:rsidR="00AC7395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B07CCF">
        <w:rPr>
          <w:rFonts w:ascii="Times New Roman" w:hAnsi="Times New Roman" w:cs="Times New Roman"/>
          <w:sz w:val="24"/>
          <w:szCs w:val="24"/>
        </w:rPr>
        <w:t xml:space="preserve"> Henry is also recorded as leaving for Normandy </w:t>
      </w:r>
      <w:r w:rsidR="00AC7395">
        <w:rPr>
          <w:rFonts w:ascii="Times New Roman" w:hAnsi="Times New Roman" w:cs="Times New Roman"/>
          <w:sz w:val="24"/>
          <w:szCs w:val="24"/>
        </w:rPr>
        <w:t>in</w:t>
      </w:r>
      <w:r w:rsidR="001E07E6">
        <w:rPr>
          <w:rFonts w:ascii="Times New Roman" w:hAnsi="Times New Roman" w:cs="Times New Roman"/>
          <w:sz w:val="24"/>
          <w:szCs w:val="24"/>
        </w:rPr>
        <w:t xml:space="preserve"> </w:t>
      </w:r>
      <w:r w:rsidR="00B07CCF">
        <w:rPr>
          <w:rFonts w:ascii="Times New Roman" w:hAnsi="Times New Roman" w:cs="Times New Roman"/>
          <w:sz w:val="24"/>
          <w:szCs w:val="24"/>
        </w:rPr>
        <w:t xml:space="preserve">June 1123 and </w:t>
      </w:r>
      <w:r w:rsidR="001E07E6">
        <w:rPr>
          <w:rFonts w:ascii="Times New Roman" w:hAnsi="Times New Roman" w:cs="Times New Roman"/>
          <w:sz w:val="24"/>
          <w:szCs w:val="24"/>
        </w:rPr>
        <w:t xml:space="preserve">not </w:t>
      </w:r>
      <w:r w:rsidR="00B07CCF">
        <w:rPr>
          <w:rFonts w:ascii="Times New Roman" w:hAnsi="Times New Roman" w:cs="Times New Roman"/>
          <w:sz w:val="24"/>
          <w:szCs w:val="24"/>
        </w:rPr>
        <w:t>returning before David’s coronation.</w:t>
      </w:r>
      <w:r w:rsidR="00B07CC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E87BC2">
        <w:rPr>
          <w:rFonts w:ascii="Times New Roman" w:hAnsi="Times New Roman" w:cs="Times New Roman"/>
          <w:sz w:val="24"/>
          <w:szCs w:val="24"/>
        </w:rPr>
        <w:t xml:space="preserve"> The likely date would therefore seem to be between January 1121 and June 1123.</w:t>
      </w:r>
      <w:r w:rsidR="00BA08FB">
        <w:rPr>
          <w:rFonts w:ascii="Times New Roman" w:hAnsi="Times New Roman" w:cs="Times New Roman"/>
          <w:sz w:val="24"/>
          <w:szCs w:val="24"/>
        </w:rPr>
        <w:t xml:space="preserve"> It is </w:t>
      </w:r>
      <w:r w:rsidR="0099133C">
        <w:rPr>
          <w:rFonts w:ascii="Times New Roman" w:hAnsi="Times New Roman" w:cs="Times New Roman"/>
          <w:sz w:val="24"/>
          <w:szCs w:val="24"/>
        </w:rPr>
        <w:t>tempting to narrow this further</w:t>
      </w:r>
      <w:r w:rsidR="00BA08FB">
        <w:rPr>
          <w:rFonts w:ascii="Times New Roman" w:hAnsi="Times New Roman" w:cs="Times New Roman"/>
          <w:sz w:val="24"/>
          <w:szCs w:val="24"/>
        </w:rPr>
        <w:t xml:space="preserve"> as the bishop of Lincoln, Robert Bloet, unnamed in the address, died on 10 </w:t>
      </w:r>
      <w:r w:rsidR="00BA08FB">
        <w:rPr>
          <w:rFonts w:ascii="Times New Roman" w:hAnsi="Times New Roman" w:cs="Times New Roman"/>
          <w:sz w:val="24"/>
          <w:szCs w:val="24"/>
        </w:rPr>
        <w:lastRenderedPageBreak/>
        <w:t>Jan</w:t>
      </w:r>
      <w:r w:rsidR="00546CFA">
        <w:rPr>
          <w:rFonts w:ascii="Times New Roman" w:hAnsi="Times New Roman" w:cs="Times New Roman"/>
          <w:sz w:val="24"/>
          <w:szCs w:val="24"/>
        </w:rPr>
        <w:t>uary</w:t>
      </w:r>
      <w:r w:rsidR="00BA08FB">
        <w:rPr>
          <w:rFonts w:ascii="Times New Roman" w:hAnsi="Times New Roman" w:cs="Times New Roman"/>
          <w:sz w:val="24"/>
          <w:szCs w:val="24"/>
        </w:rPr>
        <w:t xml:space="preserve"> 1123 and the document may have been issued before his replacement, Alexander, was nominated in April 1123 and ordained in July 1123</w:t>
      </w:r>
      <w:r w:rsidR="00F44743">
        <w:rPr>
          <w:rFonts w:ascii="Times New Roman" w:hAnsi="Times New Roman" w:cs="Times New Roman"/>
          <w:sz w:val="24"/>
          <w:szCs w:val="24"/>
        </w:rPr>
        <w:t>.</w:t>
      </w:r>
      <w:r w:rsidR="00F44743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F44743">
        <w:rPr>
          <w:rFonts w:ascii="Times New Roman" w:hAnsi="Times New Roman" w:cs="Times New Roman"/>
          <w:sz w:val="24"/>
          <w:szCs w:val="24"/>
        </w:rPr>
        <w:t xml:space="preserve"> This would give a possible date between Jan 1123 and June 1123</w:t>
      </w:r>
      <w:r w:rsidR="00EC0319">
        <w:rPr>
          <w:rFonts w:ascii="Times New Roman" w:hAnsi="Times New Roman" w:cs="Times New Roman"/>
          <w:sz w:val="24"/>
          <w:szCs w:val="24"/>
        </w:rPr>
        <w:t>.</w:t>
      </w:r>
      <w:r w:rsidR="00EC0319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D90DB1">
        <w:rPr>
          <w:rFonts w:ascii="Times New Roman" w:hAnsi="Times New Roman" w:cs="Times New Roman"/>
          <w:sz w:val="24"/>
          <w:szCs w:val="24"/>
        </w:rPr>
        <w:t xml:space="preserve"> </w:t>
      </w:r>
      <w:r w:rsidR="00EC0319">
        <w:rPr>
          <w:rFonts w:ascii="Times New Roman" w:hAnsi="Times New Roman" w:cs="Times New Roman"/>
          <w:sz w:val="24"/>
          <w:szCs w:val="24"/>
        </w:rPr>
        <w:t>T</w:t>
      </w:r>
      <w:r w:rsidR="00D90DB1">
        <w:rPr>
          <w:rFonts w:ascii="Times New Roman" w:hAnsi="Times New Roman" w:cs="Times New Roman"/>
          <w:sz w:val="24"/>
          <w:szCs w:val="24"/>
        </w:rPr>
        <w:t xml:space="preserve">his is </w:t>
      </w:r>
      <w:r w:rsidR="00EC0319">
        <w:rPr>
          <w:rFonts w:ascii="Times New Roman" w:hAnsi="Times New Roman" w:cs="Times New Roman"/>
          <w:sz w:val="24"/>
          <w:szCs w:val="24"/>
        </w:rPr>
        <w:t xml:space="preserve">an </w:t>
      </w:r>
      <w:r w:rsidR="00D90DB1">
        <w:rPr>
          <w:rFonts w:ascii="Times New Roman" w:hAnsi="Times New Roman" w:cs="Times New Roman"/>
          <w:sz w:val="24"/>
          <w:szCs w:val="24"/>
        </w:rPr>
        <w:t>appealing</w:t>
      </w:r>
      <w:r w:rsidR="00EC0319">
        <w:rPr>
          <w:rFonts w:ascii="Times New Roman" w:hAnsi="Times New Roman" w:cs="Times New Roman"/>
          <w:sz w:val="24"/>
          <w:szCs w:val="24"/>
        </w:rPr>
        <w:t xml:space="preserve"> option</w:t>
      </w:r>
      <w:r w:rsidR="00D90DB1">
        <w:rPr>
          <w:rFonts w:ascii="Times New Roman" w:hAnsi="Times New Roman" w:cs="Times New Roman"/>
          <w:sz w:val="24"/>
          <w:szCs w:val="24"/>
        </w:rPr>
        <w:t xml:space="preserve">, </w:t>
      </w:r>
      <w:r w:rsidR="00EC0319">
        <w:rPr>
          <w:rFonts w:ascii="Times New Roman" w:hAnsi="Times New Roman" w:cs="Times New Roman"/>
          <w:sz w:val="24"/>
          <w:szCs w:val="24"/>
        </w:rPr>
        <w:t xml:space="preserve">but </w:t>
      </w:r>
      <w:r w:rsidR="00D90DB1">
        <w:rPr>
          <w:rFonts w:ascii="Times New Roman" w:hAnsi="Times New Roman" w:cs="Times New Roman"/>
          <w:sz w:val="24"/>
          <w:szCs w:val="24"/>
        </w:rPr>
        <w:t>the evidence is not conclusive and it is safer to date the document between January 1121 and June 1123. It does</w:t>
      </w:r>
      <w:r w:rsidR="006F73FE">
        <w:rPr>
          <w:rFonts w:ascii="Times New Roman" w:hAnsi="Times New Roman" w:cs="Times New Roman"/>
          <w:sz w:val="24"/>
          <w:szCs w:val="24"/>
        </w:rPr>
        <w:t>,</w:t>
      </w:r>
      <w:r w:rsidR="00D90DB1">
        <w:rPr>
          <w:rFonts w:ascii="Times New Roman" w:hAnsi="Times New Roman" w:cs="Times New Roman"/>
          <w:sz w:val="24"/>
          <w:szCs w:val="24"/>
        </w:rPr>
        <w:t xml:space="preserve"> however</w:t>
      </w:r>
      <w:r w:rsidR="006F73FE">
        <w:rPr>
          <w:rFonts w:ascii="Times New Roman" w:hAnsi="Times New Roman" w:cs="Times New Roman"/>
          <w:sz w:val="24"/>
          <w:szCs w:val="24"/>
        </w:rPr>
        <w:t>,</w:t>
      </w:r>
      <w:r w:rsidR="00D90DB1">
        <w:rPr>
          <w:rFonts w:ascii="Times New Roman" w:hAnsi="Times New Roman" w:cs="Times New Roman"/>
          <w:sz w:val="24"/>
          <w:szCs w:val="24"/>
        </w:rPr>
        <w:t xml:space="preserve"> highlight the difficulty in assigning dates to such material.</w:t>
      </w:r>
      <w:r w:rsidR="00D90DB1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DB1" w:rsidRDefault="00D90DB1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C26C0" w:rsidRPr="008C26C0" w:rsidRDefault="008C26C0" w:rsidP="008C26C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C26C0" w:rsidRPr="008C26C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82A" w:rsidRDefault="0054282A" w:rsidP="009A5EA6">
      <w:pPr>
        <w:spacing w:after="0" w:line="240" w:lineRule="auto"/>
      </w:pPr>
      <w:r>
        <w:separator/>
      </w:r>
    </w:p>
  </w:endnote>
  <w:endnote w:type="continuationSeparator" w:id="0">
    <w:p w:rsidR="0054282A" w:rsidRDefault="0054282A" w:rsidP="009A5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57E" w:rsidRDefault="008C05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82A" w:rsidRDefault="0054282A" w:rsidP="009A5EA6">
      <w:pPr>
        <w:spacing w:after="0" w:line="240" w:lineRule="auto"/>
      </w:pPr>
      <w:r>
        <w:separator/>
      </w:r>
    </w:p>
  </w:footnote>
  <w:footnote w:type="continuationSeparator" w:id="0">
    <w:p w:rsidR="0054282A" w:rsidRDefault="0054282A" w:rsidP="009A5EA6">
      <w:pPr>
        <w:spacing w:after="0" w:line="240" w:lineRule="auto"/>
      </w:pPr>
      <w:r>
        <w:continuationSeparator/>
      </w:r>
    </w:p>
  </w:footnote>
  <w:footnote w:id="1">
    <w:p w:rsidR="000D5C8A" w:rsidRPr="000C7A96" w:rsidRDefault="009A5EA6" w:rsidP="000C7A96">
      <w:pPr>
        <w:pStyle w:val="FootnoteText"/>
        <w:rPr>
          <w:rFonts w:cs="Times New Roman"/>
        </w:rPr>
      </w:pPr>
      <w:r w:rsidRPr="000C7A96">
        <w:rPr>
          <w:rStyle w:val="FootnoteReference"/>
        </w:rPr>
        <w:footnoteRef/>
      </w:r>
      <w:r w:rsidRPr="000C7A96">
        <w:t xml:space="preserve"> </w:t>
      </w:r>
      <w:r w:rsidR="005235BE">
        <w:t xml:space="preserve">C.R. </w:t>
      </w:r>
      <w:r w:rsidR="000C7A96" w:rsidRPr="000C7A96">
        <w:rPr>
          <w:rFonts w:cs="Times New Roman"/>
        </w:rPr>
        <w:t>Cheney</w:t>
      </w:r>
      <w:r w:rsidR="00225F04">
        <w:rPr>
          <w:rFonts w:cs="Times New Roman"/>
        </w:rPr>
        <w:t xml:space="preserve">, ed. </w:t>
      </w:r>
      <w:r w:rsidR="000C7A96" w:rsidRPr="000C7A96">
        <w:rPr>
          <w:rFonts w:cs="Times New Roman"/>
        </w:rPr>
        <w:t>,</w:t>
      </w:r>
      <w:r w:rsidR="005235BE">
        <w:rPr>
          <w:rFonts w:cs="Times New Roman"/>
        </w:rPr>
        <w:t xml:space="preserve"> </w:t>
      </w:r>
      <w:r w:rsidR="00B63C0F">
        <w:rPr>
          <w:rFonts w:cs="Times New Roman"/>
          <w:i/>
        </w:rPr>
        <w:t>Handbook of Dates for Students o</w:t>
      </w:r>
      <w:r w:rsidR="000C7A96" w:rsidRPr="005235BE">
        <w:rPr>
          <w:rFonts w:cs="Times New Roman"/>
          <w:i/>
        </w:rPr>
        <w:t>f British History, R</w:t>
      </w:r>
      <w:r w:rsidR="005235BE" w:rsidRPr="005235BE">
        <w:rPr>
          <w:rFonts w:cs="Times New Roman"/>
          <w:i/>
        </w:rPr>
        <w:t xml:space="preserve">oyal </w:t>
      </w:r>
      <w:r w:rsidR="00B63C0F">
        <w:rPr>
          <w:rFonts w:cs="Times New Roman"/>
          <w:i/>
        </w:rPr>
        <w:t>Historical Society Guides a</w:t>
      </w:r>
      <w:r w:rsidR="000C7A96" w:rsidRPr="005235BE">
        <w:rPr>
          <w:rFonts w:cs="Times New Roman"/>
          <w:i/>
        </w:rPr>
        <w:t>nd Handbooks</w:t>
      </w:r>
      <w:r w:rsidR="000C7A96" w:rsidRPr="000C7A96">
        <w:rPr>
          <w:rFonts w:cs="Times New Roman"/>
        </w:rPr>
        <w:t>, 4</w:t>
      </w:r>
      <w:r w:rsidR="00D7620E">
        <w:rPr>
          <w:rFonts w:cs="Times New Roman"/>
        </w:rPr>
        <w:t>, Revised Edition</w:t>
      </w:r>
      <w:r w:rsidR="000C7A96" w:rsidRPr="000C7A96">
        <w:rPr>
          <w:rFonts w:cs="Times New Roman"/>
        </w:rPr>
        <w:t xml:space="preserve"> (</w:t>
      </w:r>
      <w:r w:rsidR="005235BE">
        <w:rPr>
          <w:rFonts w:cs="Times New Roman"/>
        </w:rPr>
        <w:t>Cambridge: Cambridge University Press,</w:t>
      </w:r>
      <w:r w:rsidR="000C7A96" w:rsidRPr="000C7A96">
        <w:rPr>
          <w:rFonts w:cs="Times New Roman"/>
        </w:rPr>
        <w:t xml:space="preserve"> 1995), </w:t>
      </w:r>
      <w:r w:rsidRPr="000C7A96">
        <w:rPr>
          <w:rFonts w:cs="Times New Roman"/>
        </w:rPr>
        <w:t>p.21</w:t>
      </w:r>
      <w:r w:rsidR="00663628">
        <w:rPr>
          <w:rFonts w:cs="Times New Roman"/>
        </w:rPr>
        <w:t>.</w:t>
      </w:r>
    </w:p>
  </w:footnote>
  <w:footnote w:id="2">
    <w:p w:rsidR="000D5C8A" w:rsidRPr="000C7A96" w:rsidRDefault="000D5C8A">
      <w:pPr>
        <w:pStyle w:val="FootnoteText"/>
      </w:pPr>
      <w:r w:rsidRPr="000C7A96">
        <w:rPr>
          <w:rStyle w:val="FootnoteReference"/>
        </w:rPr>
        <w:footnoteRef/>
      </w:r>
      <w:r w:rsidRPr="000C7A96">
        <w:t xml:space="preserve"> </w:t>
      </w:r>
      <w:r w:rsidR="00D816F6">
        <w:rPr>
          <w:i/>
        </w:rPr>
        <w:t>I</w:t>
      </w:r>
      <w:r w:rsidRPr="00E85AB7">
        <w:rPr>
          <w:i/>
        </w:rPr>
        <w:t>bid.</w:t>
      </w:r>
      <w:r w:rsidR="00B63C0F">
        <w:rPr>
          <w:i/>
        </w:rPr>
        <w:t>,</w:t>
      </w:r>
      <w:r w:rsidRPr="000C7A96">
        <w:t xml:space="preserve"> p.55</w:t>
      </w:r>
      <w:r w:rsidR="00663628">
        <w:t>.</w:t>
      </w:r>
    </w:p>
  </w:footnote>
  <w:footnote w:id="3">
    <w:p w:rsidR="009A5EA6" w:rsidRPr="000C7A96" w:rsidRDefault="009A5EA6" w:rsidP="000D5C8A">
      <w:pPr>
        <w:pStyle w:val="FootnoteText"/>
      </w:pPr>
      <w:r w:rsidRPr="000C7A96">
        <w:rPr>
          <w:rStyle w:val="FootnoteReference"/>
        </w:rPr>
        <w:footnoteRef/>
      </w:r>
      <w:r w:rsidRPr="000C7A96">
        <w:t xml:space="preserve"> </w:t>
      </w:r>
      <w:r w:rsidR="00D816F6">
        <w:rPr>
          <w:i/>
        </w:rPr>
        <w:t>I</w:t>
      </w:r>
      <w:r w:rsidR="000D5C8A" w:rsidRPr="00E85AB7">
        <w:rPr>
          <w:i/>
        </w:rPr>
        <w:t>bid.</w:t>
      </w:r>
      <w:r w:rsidR="00B63C0F">
        <w:rPr>
          <w:i/>
        </w:rPr>
        <w:t>,</w:t>
      </w:r>
      <w:r w:rsidR="005235BE">
        <w:t xml:space="preserve"> </w:t>
      </w:r>
      <w:r w:rsidR="002C4BCF" w:rsidRPr="000C7A96">
        <w:t>p.</w:t>
      </w:r>
      <w:r w:rsidR="000D5C8A" w:rsidRPr="000C7A96">
        <w:t>123. Table 20 shows 15 August was on Monday.</w:t>
      </w:r>
    </w:p>
  </w:footnote>
  <w:footnote w:id="4">
    <w:p w:rsidR="00765242" w:rsidRPr="000C7A96" w:rsidRDefault="00765242">
      <w:pPr>
        <w:pStyle w:val="FootnoteText"/>
      </w:pPr>
      <w:r w:rsidRPr="000C7A96">
        <w:rPr>
          <w:rStyle w:val="FootnoteReference"/>
        </w:rPr>
        <w:footnoteRef/>
      </w:r>
      <w:r w:rsidRPr="000C7A96">
        <w:t xml:space="preserve"> </w:t>
      </w:r>
      <w:r w:rsidR="005235BE">
        <w:t xml:space="preserve">E. </w:t>
      </w:r>
      <w:proofErr w:type="spellStart"/>
      <w:r w:rsidR="000C7A96" w:rsidRPr="000C7A96">
        <w:t>Fryde</w:t>
      </w:r>
      <w:proofErr w:type="spellEnd"/>
      <w:r w:rsidR="005235BE">
        <w:t xml:space="preserve"> </w:t>
      </w:r>
      <w:r w:rsidR="005235BE" w:rsidRPr="005235BE">
        <w:t>et al</w:t>
      </w:r>
      <w:r w:rsidR="000C7A96" w:rsidRPr="000C7A96">
        <w:t>,</w:t>
      </w:r>
      <w:r w:rsidR="00225F04">
        <w:t xml:space="preserve"> ed.,</w:t>
      </w:r>
      <w:r w:rsidR="000C7A96" w:rsidRPr="000C7A96">
        <w:t xml:space="preserve"> </w:t>
      </w:r>
      <w:r w:rsidR="000C7A96" w:rsidRPr="005235BE">
        <w:rPr>
          <w:i/>
        </w:rPr>
        <w:t xml:space="preserve">Handbook </w:t>
      </w:r>
      <w:r w:rsidR="00B63C0F">
        <w:rPr>
          <w:i/>
        </w:rPr>
        <w:t>o</w:t>
      </w:r>
      <w:r w:rsidR="000C7A96" w:rsidRPr="005235BE">
        <w:rPr>
          <w:i/>
        </w:rPr>
        <w:t>f British Chronology, Royal Historical Society Guides and Handbooks</w:t>
      </w:r>
      <w:r w:rsidR="000C7A96" w:rsidRPr="000C7A96">
        <w:t>, 2</w:t>
      </w:r>
      <w:r w:rsidR="00D7620E">
        <w:t>, 3</w:t>
      </w:r>
      <w:r w:rsidR="00D7620E" w:rsidRPr="00D7620E">
        <w:rPr>
          <w:vertAlign w:val="superscript"/>
        </w:rPr>
        <w:t>rd</w:t>
      </w:r>
      <w:r w:rsidR="00D7620E">
        <w:t xml:space="preserve"> Edition </w:t>
      </w:r>
      <w:r w:rsidR="000C7A96" w:rsidRPr="000C7A96">
        <w:t>(</w:t>
      </w:r>
      <w:r w:rsidR="00663628">
        <w:t xml:space="preserve">Cambridge: Cambridge University Press, </w:t>
      </w:r>
      <w:r w:rsidR="000C7A96" w:rsidRPr="000C7A96">
        <w:t xml:space="preserve">1986), </w:t>
      </w:r>
      <w:r w:rsidR="0081228D" w:rsidRPr="000C7A96">
        <w:t>p.295. Anian II was Bishop of St Asaph from 1268 to 1293.</w:t>
      </w:r>
    </w:p>
  </w:footnote>
  <w:footnote w:id="5">
    <w:p w:rsidR="0081228D" w:rsidRPr="000C7A96" w:rsidRDefault="0081228D">
      <w:pPr>
        <w:pStyle w:val="FootnoteText"/>
      </w:pPr>
      <w:r w:rsidRPr="000C7A96">
        <w:rPr>
          <w:rStyle w:val="FootnoteReference"/>
        </w:rPr>
        <w:footnoteRef/>
      </w:r>
      <w:r w:rsidRPr="000C7A96">
        <w:t xml:space="preserve"> </w:t>
      </w:r>
      <w:r w:rsidR="005235BE">
        <w:t xml:space="preserve">C.R. </w:t>
      </w:r>
      <w:r w:rsidRPr="000C7A96">
        <w:t xml:space="preserve">Cheney, </w:t>
      </w:r>
      <w:r w:rsidR="005235BE" w:rsidRPr="00E85AB7">
        <w:rPr>
          <w:i/>
        </w:rPr>
        <w:t xml:space="preserve">Handbook </w:t>
      </w:r>
      <w:r w:rsidR="00B63C0F">
        <w:rPr>
          <w:i/>
        </w:rPr>
        <w:t>o</w:t>
      </w:r>
      <w:r w:rsidR="000C7A96" w:rsidRPr="00E85AB7">
        <w:rPr>
          <w:i/>
        </w:rPr>
        <w:t>f Dates</w:t>
      </w:r>
      <w:r w:rsidR="000C7A96" w:rsidRPr="000C7A96">
        <w:t xml:space="preserve">, </w:t>
      </w:r>
      <w:r w:rsidR="001958CC">
        <w:t>p.</w:t>
      </w:r>
      <w:r w:rsidR="00663628">
        <w:t>55. Table 6 (p.95) shows</w:t>
      </w:r>
      <w:r w:rsidRPr="000C7A96">
        <w:t xml:space="preserve"> </w:t>
      </w:r>
      <w:r w:rsidR="00E85AB7">
        <w:t>23 July 1250 fell</w:t>
      </w:r>
      <w:r w:rsidRPr="000C7A96">
        <w:t xml:space="preserve"> on </w:t>
      </w:r>
      <w:r w:rsidR="00E85AB7">
        <w:t xml:space="preserve">a </w:t>
      </w:r>
      <w:r w:rsidRPr="000C7A96">
        <w:t>Saturday</w:t>
      </w:r>
      <w:r w:rsidR="00663628">
        <w:t>.</w:t>
      </w:r>
    </w:p>
  </w:footnote>
  <w:footnote w:id="6">
    <w:p w:rsidR="00684DF2" w:rsidRPr="000C7A96" w:rsidRDefault="00684DF2" w:rsidP="00232838">
      <w:pPr>
        <w:pStyle w:val="FootnoteText"/>
      </w:pPr>
      <w:r w:rsidRPr="000C7A96">
        <w:rPr>
          <w:rStyle w:val="FootnoteReference"/>
        </w:rPr>
        <w:footnoteRef/>
      </w:r>
      <w:r w:rsidR="0029294D" w:rsidRPr="000C7A96">
        <w:t xml:space="preserve"> </w:t>
      </w:r>
      <w:r w:rsidR="00D7620E">
        <w:t xml:space="preserve">Based on </w:t>
      </w:r>
      <w:r w:rsidR="00C65FCC">
        <w:t xml:space="preserve">the words </w:t>
      </w:r>
      <w:r w:rsidR="00D7620E">
        <w:t>court and Downham, s</w:t>
      </w:r>
      <w:r w:rsidR="0029294D" w:rsidRPr="000C7A96">
        <w:t>earching for</w:t>
      </w:r>
      <w:r w:rsidRPr="000C7A96">
        <w:t xml:space="preserve"> </w:t>
      </w:r>
      <w:r w:rsidR="00663628">
        <w:t>‘</w:t>
      </w:r>
      <w:r w:rsidRPr="000C7A96">
        <w:t xml:space="preserve">court </w:t>
      </w:r>
      <w:r w:rsidR="0029294D" w:rsidRPr="000C7A96">
        <w:t>rolls</w:t>
      </w:r>
      <w:r w:rsidR="00663628">
        <w:t>’</w:t>
      </w:r>
      <w:r w:rsidR="0029294D" w:rsidRPr="000C7A96">
        <w:t xml:space="preserve"> </w:t>
      </w:r>
      <w:r w:rsidR="00663628">
        <w:t>and</w:t>
      </w:r>
      <w:r w:rsidRPr="000C7A96">
        <w:t xml:space="preserve"> </w:t>
      </w:r>
      <w:r w:rsidR="00663628">
        <w:t>‘</w:t>
      </w:r>
      <w:r w:rsidRPr="000C7A96">
        <w:t>Downham</w:t>
      </w:r>
      <w:r w:rsidR="00663628">
        <w:t>’</w:t>
      </w:r>
      <w:r w:rsidR="00C65FCC">
        <w:t xml:space="preserve"> via the National Archives </w:t>
      </w:r>
      <w:r w:rsidR="00663628">
        <w:t xml:space="preserve"> (</w:t>
      </w:r>
      <w:hyperlink r:id="rId1" w:history="1">
        <w:r w:rsidR="00663628">
          <w:rPr>
            <w:rStyle w:val="Hyperlink"/>
          </w:rPr>
          <w:t>http://www.nationalarchives.gov.uk/downham</w:t>
        </w:r>
      </w:hyperlink>
      <w:r w:rsidRPr="000C7A96">
        <w:t>)</w:t>
      </w:r>
      <w:r w:rsidR="00D7620E">
        <w:t xml:space="preserve">, reveals one </w:t>
      </w:r>
      <w:r w:rsidRPr="000C7A96">
        <w:t>in Cambridgeshire</w:t>
      </w:r>
      <w:r w:rsidR="00232838" w:rsidRPr="000C7A96">
        <w:t xml:space="preserve"> in the Diocese of Ely </w:t>
      </w:r>
      <w:r w:rsidRPr="000C7A96">
        <w:t>(Cambridge, Cambridge University Library, EDR C11/1)</w:t>
      </w:r>
      <w:r w:rsidR="00C65FCC">
        <w:t xml:space="preserve"> and the list of bishops of Ely connects this to John</w:t>
      </w:r>
      <w:r w:rsidRPr="000C7A96">
        <w:t>.</w:t>
      </w:r>
    </w:p>
  </w:footnote>
  <w:footnote w:id="7">
    <w:p w:rsidR="00684DF2" w:rsidRPr="000C7A96" w:rsidRDefault="00684DF2">
      <w:pPr>
        <w:pStyle w:val="FootnoteText"/>
      </w:pPr>
      <w:r w:rsidRPr="000C7A96">
        <w:rPr>
          <w:rStyle w:val="FootnoteReference"/>
        </w:rPr>
        <w:footnoteRef/>
      </w:r>
      <w:r w:rsidR="000C7A96" w:rsidRPr="000C7A96">
        <w:t xml:space="preserve"> </w:t>
      </w:r>
      <w:r w:rsidR="005235BE">
        <w:t>E. Fryde</w:t>
      </w:r>
      <w:r w:rsidR="001958CC">
        <w:t xml:space="preserve"> et al</w:t>
      </w:r>
      <w:r w:rsidR="005235BE">
        <w:t xml:space="preserve">, </w:t>
      </w:r>
      <w:r w:rsidR="005235BE" w:rsidRPr="00E85AB7">
        <w:rPr>
          <w:i/>
        </w:rPr>
        <w:t xml:space="preserve">Handbook </w:t>
      </w:r>
      <w:r w:rsidR="00B63C0F">
        <w:rPr>
          <w:i/>
        </w:rPr>
        <w:t>o</w:t>
      </w:r>
      <w:r w:rsidR="000C7A96" w:rsidRPr="00E85AB7">
        <w:rPr>
          <w:i/>
        </w:rPr>
        <w:t>f British Chronology</w:t>
      </w:r>
      <w:r w:rsidR="00232838" w:rsidRPr="000C7A96">
        <w:t xml:space="preserve">, </w:t>
      </w:r>
      <w:r w:rsidR="005235BE">
        <w:t>p.</w:t>
      </w:r>
      <w:r w:rsidR="00232838" w:rsidRPr="000C7A96">
        <w:t>244</w:t>
      </w:r>
      <w:r w:rsidR="005235BE">
        <w:t>.</w:t>
      </w:r>
    </w:p>
  </w:footnote>
  <w:footnote w:id="8">
    <w:p w:rsidR="00232838" w:rsidRDefault="002328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A6789">
        <w:t xml:space="preserve">C.R. </w:t>
      </w:r>
      <w:r>
        <w:t>Cheney,</w:t>
      </w:r>
      <w:r w:rsidR="005235BE">
        <w:t xml:space="preserve"> </w:t>
      </w:r>
      <w:r w:rsidR="00BA6789">
        <w:rPr>
          <w:i/>
        </w:rPr>
        <w:t>Handbook o</w:t>
      </w:r>
      <w:r w:rsidR="000C7A96" w:rsidRPr="00E85AB7">
        <w:rPr>
          <w:i/>
        </w:rPr>
        <w:t>f Dates</w:t>
      </w:r>
      <w:r>
        <w:t xml:space="preserve">, </w:t>
      </w:r>
      <w:r w:rsidR="00921C37">
        <w:t>p.</w:t>
      </w:r>
      <w:r>
        <w:t>20</w:t>
      </w:r>
      <w:r w:rsidR="00E85AB7">
        <w:t>.</w:t>
      </w:r>
    </w:p>
  </w:footnote>
  <w:footnote w:id="9">
    <w:p w:rsidR="00232838" w:rsidRDefault="002328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235BE">
        <w:rPr>
          <w:i/>
        </w:rPr>
        <w:t>ibid.</w:t>
      </w:r>
      <w:r w:rsidR="00BA6789">
        <w:rPr>
          <w:i/>
        </w:rPr>
        <w:t>,</w:t>
      </w:r>
      <w:r w:rsidR="00E85AB7">
        <w:t xml:space="preserve"> T</w:t>
      </w:r>
      <w:r w:rsidR="00E4591A">
        <w:t>able 21, p.</w:t>
      </w:r>
      <w:r>
        <w:t xml:space="preserve">124. </w:t>
      </w:r>
      <w:r w:rsidR="00C65FCC">
        <w:t xml:space="preserve">Having determined the date using the methodology outlined above, some confusion was added when the extract was </w:t>
      </w:r>
      <w:r w:rsidR="007B392B">
        <w:t>discovered</w:t>
      </w:r>
      <w:r w:rsidR="00C65FCC">
        <w:t xml:space="preserve"> in M. Bailey</w:t>
      </w:r>
      <w:r w:rsidR="007B355B">
        <w:t>,</w:t>
      </w:r>
      <w:r w:rsidR="00C65FCC">
        <w:t xml:space="preserve"> ed. and trans., </w:t>
      </w:r>
      <w:r w:rsidR="00C65FCC" w:rsidRPr="00E85AB7">
        <w:rPr>
          <w:i/>
        </w:rPr>
        <w:t>The English Manor c.1200 - c.1500</w:t>
      </w:r>
      <w:r w:rsidR="00C65FCC">
        <w:t xml:space="preserve"> (Manchester: Manchester University Press, 2002), no.39, p.210. This dates the document </w:t>
      </w:r>
      <w:r>
        <w:t xml:space="preserve">as 26 February </w:t>
      </w:r>
      <w:r w:rsidR="00C65FCC">
        <w:t xml:space="preserve">1311. </w:t>
      </w:r>
      <w:r w:rsidR="00DC542B">
        <w:t xml:space="preserve">According to </w:t>
      </w:r>
      <w:r w:rsidR="00DC542B" w:rsidRPr="00D7620E">
        <w:t xml:space="preserve">C.R. Cheney, </w:t>
      </w:r>
      <w:r w:rsidR="00DC542B" w:rsidRPr="00D7620E">
        <w:rPr>
          <w:i/>
        </w:rPr>
        <w:t>Handbook of Dates</w:t>
      </w:r>
      <w:r w:rsidR="00DC542B">
        <w:t xml:space="preserve"> (p.158) </w:t>
      </w:r>
      <w:r w:rsidR="002C4BCF">
        <w:t xml:space="preserve">Easter </w:t>
      </w:r>
      <w:r w:rsidR="00DC542B">
        <w:t>was</w:t>
      </w:r>
      <w:r w:rsidR="002C4BCF">
        <w:t xml:space="preserve"> on 11 April 1311 that would make 26 F</w:t>
      </w:r>
      <w:r w:rsidR="00D7620E">
        <w:t>ebruary a Friday and hence not ‘</w:t>
      </w:r>
      <w:r w:rsidR="002C4BCF">
        <w:t>Thurs</w:t>
      </w:r>
      <w:r w:rsidR="00D7620E">
        <w:t>day the day after Ash Wednesday’</w:t>
      </w:r>
      <w:r w:rsidR="002C4BCF">
        <w:t xml:space="preserve"> as stated</w:t>
      </w:r>
      <w:r w:rsidR="00C65FCC">
        <w:t>.</w:t>
      </w:r>
    </w:p>
  </w:footnote>
  <w:footnote w:id="10">
    <w:p w:rsidR="0034427C" w:rsidRDefault="003442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50A2A">
        <w:t xml:space="preserve">Geoffrey Ridel served as </w:t>
      </w:r>
      <w:r w:rsidR="0055327D">
        <w:t>chancellor during Henry II’s reign, but he died a month af</w:t>
      </w:r>
      <w:r w:rsidR="000C7A96">
        <w:t>ter Henry (</w:t>
      </w:r>
      <w:r w:rsidR="00E4591A">
        <w:t xml:space="preserve">E. </w:t>
      </w:r>
      <w:r w:rsidR="00921C37">
        <w:t>Fryde et al,</w:t>
      </w:r>
      <w:r w:rsidR="00E4591A">
        <w:t xml:space="preserve"> </w:t>
      </w:r>
      <w:r w:rsidR="00BA6789">
        <w:rPr>
          <w:i/>
        </w:rPr>
        <w:t>Handbook o</w:t>
      </w:r>
      <w:r w:rsidR="000C7A96" w:rsidRPr="00E4591A">
        <w:rPr>
          <w:i/>
        </w:rPr>
        <w:t>f British Chronology</w:t>
      </w:r>
      <w:r w:rsidR="0055327D">
        <w:t>, p.84)</w:t>
      </w:r>
      <w:r w:rsidR="00350A2A">
        <w:t>.</w:t>
      </w:r>
    </w:p>
  </w:footnote>
  <w:footnote w:id="11">
    <w:p w:rsidR="002411CB" w:rsidRDefault="0055718D" w:rsidP="00921C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4591A">
        <w:t>T. Forester</w:t>
      </w:r>
      <w:r w:rsidR="007B355B">
        <w:t>,</w:t>
      </w:r>
      <w:r w:rsidR="00E4591A">
        <w:t xml:space="preserve"> trans., </w:t>
      </w:r>
      <w:r w:rsidR="00BA6789">
        <w:rPr>
          <w:i/>
        </w:rPr>
        <w:t>The Ecclesiastical History of England a</w:t>
      </w:r>
      <w:r w:rsidR="004D49F3" w:rsidRPr="00E4591A">
        <w:rPr>
          <w:i/>
        </w:rPr>
        <w:t>nd N</w:t>
      </w:r>
      <w:r w:rsidR="00350A2A" w:rsidRPr="00E4591A">
        <w:rPr>
          <w:i/>
        </w:rPr>
        <w:t>ormand</w:t>
      </w:r>
      <w:r w:rsidR="00BA6789">
        <w:rPr>
          <w:i/>
        </w:rPr>
        <w:t>y b</w:t>
      </w:r>
      <w:r w:rsidR="00350A2A" w:rsidRPr="00E4591A">
        <w:rPr>
          <w:i/>
        </w:rPr>
        <w:t>y Ordericus Vitalis</w:t>
      </w:r>
      <w:r w:rsidR="00350A2A">
        <w:t>, 4 vols</w:t>
      </w:r>
      <w:r w:rsidR="004D49F3">
        <w:t xml:space="preserve"> (</w:t>
      </w:r>
      <w:r w:rsidR="00E4591A">
        <w:t>London: H.G. Bohn,</w:t>
      </w:r>
      <w:r w:rsidR="004D49F3">
        <w:t xml:space="preserve"> 185</w:t>
      </w:r>
      <w:r w:rsidR="0023080A">
        <w:t>3-5</w:t>
      </w:r>
      <w:r w:rsidR="004D49F3">
        <w:t xml:space="preserve">6), </w:t>
      </w:r>
      <w:proofErr w:type="gramStart"/>
      <w:r w:rsidR="00350A2A">
        <w:t>iv</w:t>
      </w:r>
      <w:proofErr w:type="gramEnd"/>
      <w:r w:rsidR="00350A2A">
        <w:t xml:space="preserve">, </w:t>
      </w:r>
      <w:r w:rsidR="00921C37">
        <w:t>p.</w:t>
      </w:r>
      <w:r w:rsidR="004D49F3">
        <w:t>41</w:t>
      </w:r>
      <w:r w:rsidR="00E4591A">
        <w:t xml:space="preserve"> </w:t>
      </w:r>
      <w:r w:rsidR="00E4591A" w:rsidRPr="00E4591A">
        <w:t xml:space="preserve">(hereafter </w:t>
      </w:r>
      <w:r w:rsidR="001448BC">
        <w:t xml:space="preserve">cited as </w:t>
      </w:r>
      <w:r w:rsidR="00E4591A" w:rsidRPr="00E4591A">
        <w:t>OV</w:t>
      </w:r>
      <w:r w:rsidR="00E4591A">
        <w:t>)</w:t>
      </w:r>
      <w:r w:rsidR="00350A2A">
        <w:t>.</w:t>
      </w:r>
    </w:p>
  </w:footnote>
  <w:footnote w:id="12">
    <w:p w:rsidR="00546CFA" w:rsidRDefault="0055327D">
      <w:pPr>
        <w:pStyle w:val="FootnoteText"/>
      </w:pPr>
      <w:r>
        <w:rPr>
          <w:rStyle w:val="FootnoteReference"/>
        </w:rPr>
        <w:footnoteRef/>
      </w:r>
      <w:r w:rsidR="00350A2A">
        <w:t xml:space="preserve"> </w:t>
      </w:r>
      <w:r w:rsidR="00E4591A">
        <w:t xml:space="preserve">E. </w:t>
      </w:r>
      <w:r w:rsidR="00350A2A">
        <w:t>Fryde</w:t>
      </w:r>
      <w:r w:rsidR="00E4591A">
        <w:t xml:space="preserve"> et al</w:t>
      </w:r>
      <w:r w:rsidR="00350A2A">
        <w:t xml:space="preserve">, </w:t>
      </w:r>
      <w:r w:rsidR="00BA6789">
        <w:rPr>
          <w:i/>
        </w:rPr>
        <w:t>Handbook o</w:t>
      </w:r>
      <w:r w:rsidR="00350A2A" w:rsidRPr="00E4591A">
        <w:rPr>
          <w:i/>
        </w:rPr>
        <w:t>f British Chronology</w:t>
      </w:r>
      <w:r w:rsidR="00350A2A">
        <w:t xml:space="preserve">, </w:t>
      </w:r>
      <w:r w:rsidR="00E4591A">
        <w:t>p.</w:t>
      </w:r>
      <w:r w:rsidR="00350A2A">
        <w:t xml:space="preserve">454. </w:t>
      </w:r>
      <w:r w:rsidR="00D43329">
        <w:t>Ra</w:t>
      </w:r>
      <w:r w:rsidR="00207128">
        <w:t>n</w:t>
      </w:r>
      <w:r w:rsidR="00157C7B">
        <w:t xml:space="preserve">nulf became earl after his cousin, </w:t>
      </w:r>
      <w:r w:rsidR="00350A2A">
        <w:t>Richard, died on</w:t>
      </w:r>
      <w:r w:rsidR="00E4591A">
        <w:t xml:space="preserve"> the White Ship (OV</w:t>
      </w:r>
      <w:r w:rsidR="00921C37">
        <w:t>, iv, p.</w:t>
      </w:r>
      <w:r w:rsidR="00350A2A">
        <w:t>40).</w:t>
      </w:r>
      <w:r w:rsidR="0023080A">
        <w:t xml:space="preserve"> His appearance in the document as earl of Chester is significant as it not only shows the rate of recovery after the White Ship, but it also places him </w:t>
      </w:r>
      <w:r w:rsidR="001842B7">
        <w:t xml:space="preserve">as an important noble </w:t>
      </w:r>
      <w:r w:rsidR="0023080A">
        <w:t>with</w:t>
      </w:r>
      <w:r w:rsidR="001842B7">
        <w:t xml:space="preserve">in a group </w:t>
      </w:r>
      <w:r w:rsidR="0023080A">
        <w:t xml:space="preserve">working closely with the king. </w:t>
      </w:r>
      <w:r w:rsidR="001842B7">
        <w:t xml:space="preserve">These nobles included Nigel d’Auginy, mentioned in the document, who Orderic compared </w:t>
      </w:r>
      <w:r w:rsidR="00921C37">
        <w:t>to Scipio, Marius and Cato for ‘</w:t>
      </w:r>
      <w:r w:rsidR="001842B7">
        <w:t>ci</w:t>
      </w:r>
      <w:r w:rsidR="00921C37">
        <w:t>vic virtues and knightly valour’</w:t>
      </w:r>
      <w:r w:rsidR="001842B7">
        <w:t xml:space="preserve"> (</w:t>
      </w:r>
      <w:r w:rsidR="00921C37">
        <w:t>OV</w:t>
      </w:r>
      <w:r w:rsidR="001842B7">
        <w:t xml:space="preserve">, iii, </w:t>
      </w:r>
      <w:r w:rsidR="00921C37">
        <w:t>p.</w:t>
      </w:r>
      <w:r w:rsidR="001842B7">
        <w:t>482)</w:t>
      </w:r>
      <w:r w:rsidR="00EC0319">
        <w:t>. Their presence in the document</w:t>
      </w:r>
      <w:r w:rsidR="001842B7">
        <w:t xml:space="preserve"> should not be underestimated, as Judith Green sugges</w:t>
      </w:r>
      <w:r w:rsidR="00921C37">
        <w:t>ts it gives ‘</w:t>
      </w:r>
      <w:r w:rsidR="00EC0319">
        <w:t>valuable insight into those ab</w:t>
      </w:r>
      <w:r w:rsidR="00921C37">
        <w:t>l</w:t>
      </w:r>
      <w:r w:rsidR="007B355B">
        <w:t>e to influence royal decisions’</w:t>
      </w:r>
      <w:r w:rsidR="00EC0319">
        <w:t xml:space="preserve"> (</w:t>
      </w:r>
      <w:r w:rsidR="00921C37">
        <w:t>J.A. Green, ‘</w:t>
      </w:r>
      <w:r w:rsidR="00EC0319" w:rsidRPr="00EC0319">
        <w:t xml:space="preserve">Women and Inheritance in Norman England: The Case </w:t>
      </w:r>
      <w:r w:rsidR="00921C37">
        <w:t>of Geva Ridel’</w:t>
      </w:r>
      <w:r w:rsidR="00EC0319" w:rsidRPr="00EC0319">
        <w:t xml:space="preserve">, </w:t>
      </w:r>
      <w:r w:rsidR="00EC0319" w:rsidRPr="00921C37">
        <w:rPr>
          <w:i/>
        </w:rPr>
        <w:t>Prosopon Newsletter</w:t>
      </w:r>
      <w:r w:rsidR="00EC0319" w:rsidRPr="00EC0319">
        <w:t>, 12 (</w:t>
      </w:r>
      <w:r w:rsidR="00EC0319">
        <w:t xml:space="preserve">2001), </w:t>
      </w:r>
      <w:r w:rsidR="00921C37">
        <w:t>pp.</w:t>
      </w:r>
      <w:r w:rsidR="00EC0319">
        <w:t>1-9</w:t>
      </w:r>
      <w:r w:rsidR="00921C37">
        <w:t xml:space="preserve"> (</w:t>
      </w:r>
      <w:r w:rsidR="00EC0319">
        <w:t>p.2).</w:t>
      </w:r>
    </w:p>
  </w:footnote>
  <w:footnote w:id="13">
    <w:p w:rsidR="00BC0929" w:rsidRDefault="004D49F3" w:rsidP="00157C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21C37">
        <w:t>A.</w:t>
      </w:r>
      <w:r w:rsidR="00157C7B">
        <w:t>O. Anderson</w:t>
      </w:r>
      <w:r w:rsidR="007B355B">
        <w:t>,</w:t>
      </w:r>
      <w:r w:rsidR="00921C37">
        <w:t xml:space="preserve"> ed.</w:t>
      </w:r>
      <w:r w:rsidR="00157C7B">
        <w:t xml:space="preserve">, </w:t>
      </w:r>
      <w:r w:rsidR="00BA6789">
        <w:rPr>
          <w:i/>
        </w:rPr>
        <w:t>Scottish Annals f</w:t>
      </w:r>
      <w:r w:rsidR="00157C7B" w:rsidRPr="00921C37">
        <w:rPr>
          <w:i/>
        </w:rPr>
        <w:t>rom English Chroniclers</w:t>
      </w:r>
      <w:r w:rsidR="00157C7B">
        <w:t xml:space="preserve"> (London: David Nutt, 1908), </w:t>
      </w:r>
      <w:r w:rsidR="00921C37">
        <w:t>pp.</w:t>
      </w:r>
      <w:r w:rsidR="00157C7B">
        <w:t>154-7</w:t>
      </w:r>
      <w:r w:rsidR="00EC0319">
        <w:t>.</w:t>
      </w:r>
    </w:p>
  </w:footnote>
  <w:footnote w:id="14">
    <w:p w:rsidR="00AC7395" w:rsidRDefault="00AC7395">
      <w:pPr>
        <w:pStyle w:val="FootnoteText"/>
      </w:pPr>
      <w:r>
        <w:rPr>
          <w:rStyle w:val="FootnoteReference"/>
        </w:rPr>
        <w:footnoteRef/>
      </w:r>
      <w:r>
        <w:t xml:space="preserve"> Henry of Huntingdon records him in Brampton (</w:t>
      </w:r>
      <w:r w:rsidR="00921C37">
        <w:t>D. Greenway</w:t>
      </w:r>
      <w:r w:rsidR="007B355B">
        <w:t>,</w:t>
      </w:r>
      <w:r w:rsidR="00921C37">
        <w:t xml:space="preserve"> </w:t>
      </w:r>
      <w:r>
        <w:t>ed</w:t>
      </w:r>
      <w:r w:rsidR="00921C37">
        <w:t>. and trans.</w:t>
      </w:r>
      <w:r>
        <w:t xml:space="preserve">, </w:t>
      </w:r>
      <w:r w:rsidRPr="00921C37">
        <w:rPr>
          <w:i/>
        </w:rPr>
        <w:t>Historia Anglorum. The History of the English People</w:t>
      </w:r>
      <w:r>
        <w:t xml:space="preserve"> (</w:t>
      </w:r>
      <w:r w:rsidR="00921C37">
        <w:t xml:space="preserve">Oxford: </w:t>
      </w:r>
      <w:r>
        <w:t>Clarendon Press</w:t>
      </w:r>
      <w:r w:rsidR="00921C37">
        <w:t xml:space="preserve">, </w:t>
      </w:r>
      <w:r w:rsidR="008830AF">
        <w:t xml:space="preserve">1996), p.467). Henry </w:t>
      </w:r>
      <w:r>
        <w:t>may have taken up royal duties as early as 6 January 1121 and was even at Woodstock in March 1121 (</w:t>
      </w:r>
      <w:r w:rsidR="00350A2A">
        <w:t>‘</w:t>
      </w:r>
      <w:r w:rsidR="00350A2A" w:rsidRPr="00BC0929">
        <w:t>An Outline Itinerary of King Henry the First (Continued)</w:t>
      </w:r>
      <w:r w:rsidR="00350A2A">
        <w:t>’,</w:t>
      </w:r>
      <w:r w:rsidR="00350A2A" w:rsidRPr="00BC0929">
        <w:t xml:space="preserve"> </w:t>
      </w:r>
      <w:r w:rsidR="00350A2A" w:rsidRPr="00921C37">
        <w:rPr>
          <w:i/>
        </w:rPr>
        <w:t>The English Historical Review</w:t>
      </w:r>
      <w:r w:rsidR="00350A2A" w:rsidRPr="00BC0929">
        <w:t>, 34</w:t>
      </w:r>
      <w:r w:rsidR="00921C37">
        <w:t xml:space="preserve"> </w:t>
      </w:r>
      <w:r w:rsidR="00350A2A" w:rsidRPr="00BC0929">
        <w:t>(136)</w:t>
      </w:r>
      <w:r w:rsidR="00350A2A">
        <w:t xml:space="preserve"> (1919), </w:t>
      </w:r>
      <w:r w:rsidR="00921C37">
        <w:t>pp.</w:t>
      </w:r>
      <w:r w:rsidR="00350A2A">
        <w:t>505-579</w:t>
      </w:r>
      <w:r w:rsidR="00921C37">
        <w:t xml:space="preserve"> (</w:t>
      </w:r>
      <w:r w:rsidR="00350A2A">
        <w:t>especially</w:t>
      </w:r>
      <w:r w:rsidR="00921C37">
        <w:t>, p.</w:t>
      </w:r>
      <w:r w:rsidR="00350A2A">
        <w:t>515-6</w:t>
      </w:r>
      <w:r>
        <w:t>)</w:t>
      </w:r>
      <w:r w:rsidR="00350A2A">
        <w:t>.</w:t>
      </w:r>
      <w:r>
        <w:t xml:space="preserve"> </w:t>
      </w:r>
    </w:p>
  </w:footnote>
  <w:footnote w:id="15">
    <w:p w:rsidR="002411CB" w:rsidRDefault="00B07CCF">
      <w:pPr>
        <w:pStyle w:val="FootnoteText"/>
      </w:pPr>
      <w:r>
        <w:rPr>
          <w:rStyle w:val="FootnoteReference"/>
        </w:rPr>
        <w:footnoteRef/>
      </w:r>
      <w:r>
        <w:t xml:space="preserve"> The Anglo-Saxon Chronicle records Henry in Portsmouth over Pentecost week before sailing for Normandy a</w:t>
      </w:r>
      <w:r w:rsidR="001958CC">
        <w:t>nd that he spent</w:t>
      </w:r>
      <w:r w:rsidR="005A1580">
        <w:t xml:space="preserve"> 1124 abroad</w:t>
      </w:r>
      <w:r w:rsidR="00921C37">
        <w:t xml:space="preserve"> (J.A. Giles</w:t>
      </w:r>
      <w:r w:rsidR="007B355B">
        <w:t>,</w:t>
      </w:r>
      <w:r w:rsidR="00921C37">
        <w:t xml:space="preserve"> trans., </w:t>
      </w:r>
      <w:r w:rsidR="00921C37" w:rsidRPr="00921C37">
        <w:rPr>
          <w:i/>
        </w:rPr>
        <w:t>T</w:t>
      </w:r>
      <w:r w:rsidR="00D90DB1" w:rsidRPr="00921C37">
        <w:rPr>
          <w:i/>
        </w:rPr>
        <w:t>he Anglo-Saxon Chronicle</w:t>
      </w:r>
      <w:r w:rsidR="002411CB" w:rsidRPr="002411CB">
        <w:t xml:space="preserve"> </w:t>
      </w:r>
      <w:r w:rsidR="002411CB">
        <w:t>(</w:t>
      </w:r>
      <w:r w:rsidR="002411CB" w:rsidRPr="002411CB">
        <w:t>L</w:t>
      </w:r>
      <w:r w:rsidR="002411CB">
        <w:t>ondon:</w:t>
      </w:r>
      <w:r w:rsidR="002411CB" w:rsidRPr="002411CB">
        <w:t xml:space="preserve"> G. </w:t>
      </w:r>
      <w:r w:rsidR="002411CB">
        <w:t>Bell and Sons</w:t>
      </w:r>
      <w:r w:rsidR="002411CB" w:rsidRPr="002411CB">
        <w:t xml:space="preserve"> L</w:t>
      </w:r>
      <w:r w:rsidR="002411CB">
        <w:t>td,</w:t>
      </w:r>
      <w:r w:rsidR="002411CB" w:rsidRPr="002411CB">
        <w:t xml:space="preserve"> 1914</w:t>
      </w:r>
      <w:r w:rsidR="002411CB">
        <w:t>)</w:t>
      </w:r>
      <w:r w:rsidR="005A1580">
        <w:t>, p.190</w:t>
      </w:r>
      <w:r w:rsidR="00921C37">
        <w:t xml:space="preserve">). </w:t>
      </w:r>
    </w:p>
  </w:footnote>
  <w:footnote w:id="16">
    <w:p w:rsidR="00F44743" w:rsidRDefault="00F447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21C37">
        <w:rPr>
          <w:i/>
        </w:rPr>
        <w:t>Ibid.</w:t>
      </w:r>
      <w:r w:rsidR="00BA6789">
        <w:rPr>
          <w:i/>
        </w:rPr>
        <w:t>,</w:t>
      </w:r>
      <w:r>
        <w:t xml:space="preserve"> p.187. For details of Alexander’s career see </w:t>
      </w:r>
      <w:r w:rsidR="00921C37">
        <w:t xml:space="preserve">E. </w:t>
      </w:r>
      <w:r>
        <w:t>Fryde</w:t>
      </w:r>
      <w:r w:rsidR="00921C37">
        <w:t xml:space="preserve"> et al</w:t>
      </w:r>
      <w:r w:rsidR="00EC0319">
        <w:t xml:space="preserve">, </w:t>
      </w:r>
      <w:r w:rsidR="00BA6789">
        <w:rPr>
          <w:i/>
        </w:rPr>
        <w:t>Handbook o</w:t>
      </w:r>
      <w:r w:rsidR="00EC0319" w:rsidRPr="00921C37">
        <w:rPr>
          <w:i/>
        </w:rPr>
        <w:t>f British Chronology</w:t>
      </w:r>
      <w:r w:rsidR="00EC0319">
        <w:t>,</w:t>
      </w:r>
      <w:r w:rsidR="00921C37">
        <w:t xml:space="preserve"> p.</w:t>
      </w:r>
      <w:r>
        <w:t>255</w:t>
      </w:r>
      <w:r w:rsidR="00EC0319">
        <w:t>.</w:t>
      </w:r>
    </w:p>
  </w:footnote>
  <w:footnote w:id="17">
    <w:p w:rsidR="00EC0319" w:rsidRDefault="00EC0319">
      <w:pPr>
        <w:pStyle w:val="FootnoteText"/>
      </w:pPr>
      <w:r>
        <w:rPr>
          <w:rStyle w:val="FootnoteReference"/>
        </w:rPr>
        <w:footnoteRef/>
      </w:r>
      <w:r>
        <w:t xml:space="preserve"> Henry was even at Woodstock in March 1123</w:t>
      </w:r>
      <w:r w:rsidR="003F6221">
        <w:t xml:space="preserve"> (</w:t>
      </w:r>
      <w:r w:rsidR="00BA6789">
        <w:t xml:space="preserve">J.A. Giles, </w:t>
      </w:r>
      <w:r w:rsidR="00BA6789">
        <w:rPr>
          <w:i/>
        </w:rPr>
        <w:t>The Anglo</w:t>
      </w:r>
      <w:r w:rsidR="00921C37" w:rsidRPr="00921C37">
        <w:rPr>
          <w:i/>
        </w:rPr>
        <w:t>-Saxon Chronicle</w:t>
      </w:r>
      <w:r w:rsidR="003F6221">
        <w:t>, p.190). See also Hugh the Chanter</w:t>
      </w:r>
      <w:r>
        <w:t xml:space="preserve"> (</w:t>
      </w:r>
      <w:r w:rsidR="00921C37">
        <w:t>C.</w:t>
      </w:r>
      <w:r w:rsidRPr="00EC0319">
        <w:t xml:space="preserve"> Johnson</w:t>
      </w:r>
      <w:r w:rsidR="007B355B">
        <w:t>,</w:t>
      </w:r>
      <w:r w:rsidR="00921C37">
        <w:t xml:space="preserve"> ed. and </w:t>
      </w:r>
      <w:r>
        <w:t>trans</w:t>
      </w:r>
      <w:r w:rsidR="00921C37">
        <w:t>.</w:t>
      </w:r>
      <w:r>
        <w:t>,</w:t>
      </w:r>
      <w:r w:rsidRPr="00EC0319">
        <w:t xml:space="preserve"> </w:t>
      </w:r>
      <w:r w:rsidRPr="00921C37">
        <w:rPr>
          <w:i/>
        </w:rPr>
        <w:t>Hugh the Chanter. The History of the Church of York 1066–1127</w:t>
      </w:r>
      <w:r w:rsidR="00921C37">
        <w:t>. Revised by M. Brett, C.N.</w:t>
      </w:r>
      <w:r w:rsidRPr="00EC0319">
        <w:t>L. Brooke, and M. Winter</w:t>
      </w:r>
      <w:r>
        <w:t>bottom. Oxford Medieval Texts (</w:t>
      </w:r>
      <w:r w:rsidR="00921C37">
        <w:t xml:space="preserve">Oxford: </w:t>
      </w:r>
      <w:r w:rsidRPr="00EC0319">
        <w:t>Clarendon</w:t>
      </w:r>
      <w:r w:rsidR="00921C37">
        <w:t xml:space="preserve"> Press</w:t>
      </w:r>
      <w:r w:rsidR="003F6221">
        <w:t>,</w:t>
      </w:r>
      <w:r w:rsidRPr="00EC0319">
        <w:t xml:space="preserve"> 1990</w:t>
      </w:r>
      <w:r w:rsidR="003F6221">
        <w:t>), p.188-9).</w:t>
      </w:r>
    </w:p>
  </w:footnote>
  <w:footnote w:id="18">
    <w:p w:rsidR="006F73FE" w:rsidRDefault="00D90D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A6789">
        <w:t xml:space="preserve">Discussing </w:t>
      </w:r>
      <w:r w:rsidR="003F6221">
        <w:t>Geva Ridel, Judith Green d</w:t>
      </w:r>
      <w:r w:rsidR="006C0914">
        <w:t>escribes</w:t>
      </w:r>
      <w:r w:rsidR="00921C37">
        <w:t xml:space="preserve"> the charter as a ‘remarkable text’</w:t>
      </w:r>
      <w:r w:rsidR="00167072">
        <w:t xml:space="preserve"> </w:t>
      </w:r>
      <w:r w:rsidR="003F6221">
        <w:t>(</w:t>
      </w:r>
      <w:r w:rsidR="00921C37">
        <w:t>J.</w:t>
      </w:r>
      <w:r w:rsidR="00FE3534">
        <w:t xml:space="preserve">A. Green, </w:t>
      </w:r>
      <w:r w:rsidR="00921C37">
        <w:t>‘</w:t>
      </w:r>
      <w:r w:rsidR="00FE3534">
        <w:t>Women and Inheritance</w:t>
      </w:r>
      <w:r w:rsidR="00921C37">
        <w:t>’</w:t>
      </w:r>
      <w:r w:rsidR="00EC0319">
        <w:t>,</w:t>
      </w:r>
      <w:r w:rsidR="00FE3534">
        <w:t xml:space="preserve"> p.</w:t>
      </w:r>
      <w:r w:rsidR="00167072">
        <w:t>2</w:t>
      </w:r>
      <w:r w:rsidR="003F6221">
        <w:t>)</w:t>
      </w:r>
      <w:r w:rsidR="00FE3534">
        <w:t xml:space="preserve">. Recently, </w:t>
      </w:r>
      <w:r w:rsidR="003F6221">
        <w:t xml:space="preserve">however, </w:t>
      </w:r>
      <w:r w:rsidR="00FE3534">
        <w:t>David Carpenter</w:t>
      </w:r>
      <w:r w:rsidR="003F6221">
        <w:t>’s work on Richard Basset concluded</w:t>
      </w:r>
      <w:r w:rsidR="00921C37">
        <w:t>,</w:t>
      </w:r>
      <w:r w:rsidR="003F6221">
        <w:t xml:space="preserve"> based </w:t>
      </w:r>
      <w:r w:rsidR="008C057E">
        <w:t xml:space="preserve">on the document’s content, witnesses and two other </w:t>
      </w:r>
      <w:r w:rsidR="00921C37">
        <w:t>documents in the Basset archive, ‘</w:t>
      </w:r>
      <w:r w:rsidR="006F73FE" w:rsidRPr="006F73FE">
        <w:t>we can be reasonably certain that this act is a forgery</w:t>
      </w:r>
      <w:r w:rsidR="00921C37">
        <w:t>’</w:t>
      </w:r>
      <w:r w:rsidR="00106A28">
        <w:t xml:space="preserve">. </w:t>
      </w:r>
      <w:r w:rsidR="008C057E">
        <w:t>See</w:t>
      </w:r>
      <w:r w:rsidR="006F73FE">
        <w:t xml:space="preserve"> </w:t>
      </w:r>
      <w:r w:rsidR="00106A28">
        <w:t>D.X. Carpenter</w:t>
      </w:r>
      <w:r w:rsidR="007B355B">
        <w:t>, ‘</w:t>
      </w:r>
      <w:r w:rsidR="00106A28">
        <w:t>Richard Basset’, 2018 &lt;</w:t>
      </w:r>
      <w:hyperlink r:id="rId2" w:history="1">
        <w:r w:rsidR="00921C37" w:rsidRPr="00877666">
          <w:rPr>
            <w:rStyle w:val="Hyperlink"/>
          </w:rPr>
          <w:t>https://actswilliam2henry1.files.wordpress.com/2018/05/h1-richard-basset-2018-1.pdf</w:t>
        </w:r>
      </w:hyperlink>
      <w:r w:rsidR="001958CC">
        <w:t>&gt;</w:t>
      </w:r>
      <w:r w:rsidR="00106A28">
        <w:t xml:space="preserve"> [Accessed November 2018]</w:t>
      </w:r>
      <w:r w:rsidR="008C057E">
        <w:t>,</w:t>
      </w:r>
      <w:r w:rsidR="00106A28">
        <w:t xml:space="preserve"> pp.12-16 (</w:t>
      </w:r>
      <w:r w:rsidR="006F73FE">
        <w:t>p.16</w:t>
      </w:r>
      <w:r w:rsidR="00106A28">
        <w:t>)</w:t>
      </w:r>
      <w:r w:rsidR="008C057E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DB7783"/>
    <w:multiLevelType w:val="hybridMultilevel"/>
    <w:tmpl w:val="F834A6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3757A"/>
    <w:multiLevelType w:val="hybridMultilevel"/>
    <w:tmpl w:val="CA78FE6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5726C"/>
    <w:multiLevelType w:val="hybridMultilevel"/>
    <w:tmpl w:val="C57E16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6C0"/>
    <w:rsid w:val="00081C15"/>
    <w:rsid w:val="000C7A96"/>
    <w:rsid w:val="000D5C8A"/>
    <w:rsid w:val="00106A28"/>
    <w:rsid w:val="001448BC"/>
    <w:rsid w:val="00157C7B"/>
    <w:rsid w:val="00167072"/>
    <w:rsid w:val="001842B7"/>
    <w:rsid w:val="001958CC"/>
    <w:rsid w:val="001A3D8A"/>
    <w:rsid w:val="001A4104"/>
    <w:rsid w:val="001B087F"/>
    <w:rsid w:val="001E07E6"/>
    <w:rsid w:val="001E0C9A"/>
    <w:rsid w:val="00207128"/>
    <w:rsid w:val="00225F04"/>
    <w:rsid w:val="0023080A"/>
    <w:rsid w:val="00232838"/>
    <w:rsid w:val="002411CB"/>
    <w:rsid w:val="0029294D"/>
    <w:rsid w:val="00294114"/>
    <w:rsid w:val="002C4BCF"/>
    <w:rsid w:val="002C51E5"/>
    <w:rsid w:val="002F628F"/>
    <w:rsid w:val="0034427C"/>
    <w:rsid w:val="00350A2A"/>
    <w:rsid w:val="00356096"/>
    <w:rsid w:val="00360E34"/>
    <w:rsid w:val="003F6221"/>
    <w:rsid w:val="00401F6A"/>
    <w:rsid w:val="00473E5D"/>
    <w:rsid w:val="004D2D08"/>
    <w:rsid w:val="004D49F3"/>
    <w:rsid w:val="004F47CB"/>
    <w:rsid w:val="005235BE"/>
    <w:rsid w:val="0054282A"/>
    <w:rsid w:val="00546CFA"/>
    <w:rsid w:val="0055327D"/>
    <w:rsid w:val="0055718D"/>
    <w:rsid w:val="0057588F"/>
    <w:rsid w:val="005A1580"/>
    <w:rsid w:val="005B1FC7"/>
    <w:rsid w:val="00646E0C"/>
    <w:rsid w:val="00663628"/>
    <w:rsid w:val="00684DF2"/>
    <w:rsid w:val="006C0914"/>
    <w:rsid w:val="006F73FE"/>
    <w:rsid w:val="00743BCE"/>
    <w:rsid w:val="00765242"/>
    <w:rsid w:val="00782FF0"/>
    <w:rsid w:val="007A3516"/>
    <w:rsid w:val="007B355B"/>
    <w:rsid w:val="007B392B"/>
    <w:rsid w:val="007D194C"/>
    <w:rsid w:val="0081228D"/>
    <w:rsid w:val="00813906"/>
    <w:rsid w:val="00882FD4"/>
    <w:rsid w:val="008830AF"/>
    <w:rsid w:val="0088700B"/>
    <w:rsid w:val="008C057E"/>
    <w:rsid w:val="008C26C0"/>
    <w:rsid w:val="008D2802"/>
    <w:rsid w:val="008F5CAC"/>
    <w:rsid w:val="00921C37"/>
    <w:rsid w:val="0099133C"/>
    <w:rsid w:val="009A5EA6"/>
    <w:rsid w:val="00A41794"/>
    <w:rsid w:val="00A80A0A"/>
    <w:rsid w:val="00A90BA0"/>
    <w:rsid w:val="00AC7395"/>
    <w:rsid w:val="00AD136D"/>
    <w:rsid w:val="00B07CCF"/>
    <w:rsid w:val="00B53958"/>
    <w:rsid w:val="00B63C0F"/>
    <w:rsid w:val="00BA08FB"/>
    <w:rsid w:val="00BA6789"/>
    <w:rsid w:val="00BC0929"/>
    <w:rsid w:val="00C41AF4"/>
    <w:rsid w:val="00C548B1"/>
    <w:rsid w:val="00C65FCC"/>
    <w:rsid w:val="00C80FB4"/>
    <w:rsid w:val="00C97DC5"/>
    <w:rsid w:val="00CA6230"/>
    <w:rsid w:val="00D41597"/>
    <w:rsid w:val="00D43329"/>
    <w:rsid w:val="00D7620E"/>
    <w:rsid w:val="00D816F6"/>
    <w:rsid w:val="00D90DB1"/>
    <w:rsid w:val="00DC542B"/>
    <w:rsid w:val="00E4591A"/>
    <w:rsid w:val="00E85AB7"/>
    <w:rsid w:val="00E87BC2"/>
    <w:rsid w:val="00EC0319"/>
    <w:rsid w:val="00EE38ED"/>
    <w:rsid w:val="00F276CA"/>
    <w:rsid w:val="00F44743"/>
    <w:rsid w:val="00F9012E"/>
    <w:rsid w:val="00FE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B73BFF-5CEC-49DC-9B9A-1CAD838F1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6C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9A5EA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A5EA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A5EA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84DF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294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92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C0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57E"/>
  </w:style>
  <w:style w:type="paragraph" w:styleId="Footer">
    <w:name w:val="footer"/>
    <w:basedOn w:val="Normal"/>
    <w:link w:val="FooterChar"/>
    <w:uiPriority w:val="99"/>
    <w:unhideWhenUsed/>
    <w:rsid w:val="008C0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57E"/>
  </w:style>
  <w:style w:type="paragraph" w:styleId="NormalWeb">
    <w:name w:val="Normal (Web)"/>
    <w:basedOn w:val="Normal"/>
    <w:uiPriority w:val="99"/>
    <w:semiHidden/>
    <w:unhideWhenUsed/>
    <w:rsid w:val="00743BC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actswilliam2henry1.files.wordpress.com/2018/05/h1-richard-basset-2018-1.pdf" TargetMode="External"/><Relationship Id="rId1" Type="http://schemas.openxmlformats.org/officeDocument/2006/relationships/hyperlink" Target="http://discovery.nationalarchives.gov.uk/details/r/N16256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D5FCB-DE77-436E-A172-1DFDBA560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5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18</cp:revision>
  <cp:lastPrinted>2018-12-22T15:23:00Z</cp:lastPrinted>
  <dcterms:created xsi:type="dcterms:W3CDTF">2018-12-22T16:13:00Z</dcterms:created>
  <dcterms:modified xsi:type="dcterms:W3CDTF">2019-01-23T16:09:00Z</dcterms:modified>
</cp:coreProperties>
</file>