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ED4F8" w14:textId="77777777" w:rsidR="00E609B6" w:rsidRPr="00E609B6" w:rsidRDefault="00E609B6" w:rsidP="00E609B6">
      <w:pPr>
        <w:spacing w:after="0" w:line="240" w:lineRule="auto"/>
        <w:ind w:left="-180" w:right="-334"/>
        <w:rPr>
          <w:rFonts w:ascii="Georgia" w:eastAsia="SimSun" w:hAnsi="Georgia" w:cs="Times New Roman"/>
          <w:color w:val="000000"/>
          <w:kern w:val="0"/>
          <w:sz w:val="21"/>
          <w:szCs w:val="21"/>
          <w:lang w:eastAsia="zh-CN"/>
          <w14:ligatures w14:val="none"/>
        </w:rPr>
      </w:pPr>
      <w:r w:rsidRPr="00E609B6">
        <w:rPr>
          <w:rFonts w:ascii="Georgia" w:eastAsia="SimSun" w:hAnsi="Georgia" w:cs="Times New Roman"/>
          <w:noProof/>
          <w:color w:val="000000"/>
          <w:kern w:val="0"/>
          <w:sz w:val="21"/>
          <w:szCs w:val="21"/>
          <w:lang w:eastAsia="en-GB"/>
          <w14:ligatures w14:val="none"/>
        </w:rPr>
        <w:drawing>
          <wp:inline distT="0" distB="0" distL="0" distR="0" wp14:anchorId="7729C905" wp14:editId="1911CF23">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CFCEE9C" w14:textId="77777777" w:rsidR="00E609B6" w:rsidRPr="00E609B6" w:rsidRDefault="00E609B6" w:rsidP="00E609B6">
      <w:pPr>
        <w:spacing w:after="0" w:line="240" w:lineRule="auto"/>
        <w:ind w:left="-180" w:right="-334"/>
        <w:rPr>
          <w:rFonts w:ascii="Georgia" w:eastAsia="SimSun" w:hAnsi="Georgia" w:cs="Times New Roman"/>
          <w:color w:val="000000"/>
          <w:kern w:val="0"/>
          <w:sz w:val="21"/>
          <w:szCs w:val="21"/>
          <w:lang w:eastAsia="zh-CN"/>
          <w14:ligatures w14:val="none"/>
        </w:rPr>
      </w:pPr>
    </w:p>
    <w:p w14:paraId="4E5A9935" w14:textId="77777777" w:rsidR="00E609B6" w:rsidRPr="00E609B6" w:rsidRDefault="00E609B6" w:rsidP="00E609B6">
      <w:pPr>
        <w:spacing w:after="0" w:line="240" w:lineRule="auto"/>
        <w:ind w:left="-180" w:right="-334"/>
        <w:rPr>
          <w:rFonts w:ascii="Georgia" w:eastAsia="SimSun" w:hAnsi="Georgia" w:cs="Times New Roman"/>
          <w:color w:val="000000"/>
          <w:kern w:val="0"/>
          <w:sz w:val="21"/>
          <w:szCs w:val="21"/>
          <w:lang w:eastAsia="zh-CN"/>
          <w14:ligatures w14:val="none"/>
        </w:rPr>
      </w:pPr>
    </w:p>
    <w:p w14:paraId="04B46B7C" w14:textId="77777777" w:rsidR="00E609B6" w:rsidRPr="00E609B6" w:rsidRDefault="00E609B6" w:rsidP="00E609B6">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E609B6">
        <w:rPr>
          <w:rFonts w:ascii="Arial" w:eastAsia="SimSun" w:hAnsi="Arial" w:cs="Arial"/>
          <w:b/>
          <w:color w:val="000000"/>
          <w:kern w:val="0"/>
          <w:sz w:val="28"/>
          <w:szCs w:val="28"/>
          <w:lang w:val="cy-GB" w:eastAsia="zh-CN"/>
          <w14:ligatures w14:val="none"/>
        </w:rPr>
        <w:t xml:space="preserve">Postgraduate/Distance Learning </w:t>
      </w:r>
    </w:p>
    <w:p w14:paraId="188C36BC" w14:textId="77777777" w:rsidR="00E609B6" w:rsidRPr="00E609B6" w:rsidRDefault="00E609B6" w:rsidP="00E609B6">
      <w:pPr>
        <w:spacing w:after="0" w:line="240" w:lineRule="auto"/>
        <w:ind w:left="-180" w:right="-334"/>
        <w:jc w:val="center"/>
        <w:rPr>
          <w:rFonts w:ascii="Arial" w:eastAsia="SimSun" w:hAnsi="Arial" w:cs="Arial"/>
          <w:b/>
          <w:color w:val="000000"/>
          <w:kern w:val="0"/>
          <w:sz w:val="28"/>
          <w:szCs w:val="28"/>
          <w:lang w:eastAsia="zh-CN"/>
          <w14:ligatures w14:val="none"/>
        </w:rPr>
      </w:pPr>
      <w:r w:rsidRPr="00E609B6">
        <w:rPr>
          <w:rFonts w:ascii="Arial" w:eastAsia="SimSun" w:hAnsi="Arial" w:cs="Arial"/>
          <w:b/>
          <w:color w:val="000000"/>
          <w:kern w:val="0"/>
          <w:sz w:val="28"/>
          <w:szCs w:val="28"/>
          <w:lang w:val="cy-GB" w:eastAsia="zh-CN"/>
          <w14:ligatures w14:val="none"/>
        </w:rPr>
        <w:t>Assignment coversheet &amp; feedback form</w:t>
      </w:r>
    </w:p>
    <w:p w14:paraId="561C9719" w14:textId="77777777" w:rsidR="00E609B6" w:rsidRPr="00E609B6" w:rsidRDefault="00E609B6" w:rsidP="00E609B6">
      <w:pPr>
        <w:rPr>
          <w:rFonts w:ascii="Arial" w:eastAsia="Calibri" w:hAnsi="Arial" w:cs="Arial"/>
          <w:kern w:val="0"/>
          <w:sz w:val="28"/>
          <w:szCs w:val="28"/>
          <w:lang w:val="cy-GB"/>
          <w14:ligatures w14:val="none"/>
        </w:rPr>
      </w:pPr>
    </w:p>
    <w:p w14:paraId="21DD7AE4" w14:textId="77777777" w:rsidR="00E609B6" w:rsidRPr="00E609B6" w:rsidRDefault="00E609B6" w:rsidP="00E609B6">
      <w:pPr>
        <w:keepNext/>
        <w:spacing w:after="0" w:line="240" w:lineRule="auto"/>
        <w:ind w:left="720"/>
        <w:jc w:val="center"/>
        <w:outlineLvl w:val="2"/>
        <w:rPr>
          <w:rFonts w:ascii="Tahoma" w:eastAsia="Times New Roman" w:hAnsi="Tahoma" w:cs="Tahoma"/>
          <w:b/>
          <w:bCs/>
          <w:kern w:val="0"/>
          <w:sz w:val="20"/>
          <w:szCs w:val="20"/>
          <w:lang w:val="cy-GB" w:eastAsia="zh-CN"/>
          <w14:ligatures w14:val="none"/>
        </w:rPr>
      </w:pPr>
      <w:r w:rsidRPr="00E609B6">
        <w:rPr>
          <w:rFonts w:ascii="Tahoma" w:eastAsia="Times New Roman" w:hAnsi="Tahoma" w:cs="Tahoma"/>
          <w:b/>
          <w:bCs/>
          <w:kern w:val="0"/>
          <w:sz w:val="20"/>
          <w:szCs w:val="20"/>
          <w:lang w:val="cy-GB" w:eastAsia="zh-CN"/>
          <w14:ligatures w14:val="none"/>
        </w:rPr>
        <w:t>THIS SHEET MUST BE THE FIRST PAGE OF THE ASSIGNMENT YOU ARE SUBMITTING  (DO NOT SEND AS A SEPARATE FILE)</w:t>
      </w:r>
    </w:p>
    <w:p w14:paraId="48C04A61" w14:textId="77777777" w:rsidR="00E609B6" w:rsidRPr="00E609B6" w:rsidRDefault="00E609B6" w:rsidP="00E609B6">
      <w:pPr>
        <w:keepNext/>
        <w:spacing w:after="0" w:line="240" w:lineRule="auto"/>
        <w:ind w:left="720"/>
        <w:jc w:val="center"/>
        <w:outlineLvl w:val="2"/>
        <w:rPr>
          <w:rFonts w:ascii="Trebuchet MS" w:eastAsia="Times New Roman" w:hAnsi="Trebuchet MS" w:cs="Tahoma"/>
          <w:b/>
          <w:bCs/>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609B6" w:rsidRPr="00E609B6" w14:paraId="504E0211" w14:textId="77777777" w:rsidTr="00D04899">
        <w:trPr>
          <w:trHeight w:val="614"/>
        </w:trPr>
        <w:tc>
          <w:tcPr>
            <w:tcW w:w="8856" w:type="dxa"/>
            <w:gridSpan w:val="5"/>
          </w:tcPr>
          <w:p w14:paraId="13F24501"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b/>
                <w:color w:val="000000"/>
                <w:kern w:val="0"/>
                <w:lang w:eastAsia="zh-CN"/>
                <w14:ligatures w14:val="none"/>
              </w:rPr>
              <w:t>For completion by the student</w:t>
            </w:r>
            <w:r w:rsidRPr="00E609B6">
              <w:rPr>
                <w:rFonts w:ascii="Arial" w:eastAsia="SimSun" w:hAnsi="Arial" w:cs="Arial"/>
                <w:color w:val="000000"/>
                <w:kern w:val="0"/>
                <w:lang w:eastAsia="zh-CN"/>
                <w14:ligatures w14:val="none"/>
              </w:rPr>
              <w:t>:</w:t>
            </w:r>
          </w:p>
        </w:tc>
      </w:tr>
      <w:tr w:rsidR="00E609B6" w:rsidRPr="00E609B6" w14:paraId="7E92559C" w14:textId="77777777" w:rsidTr="00D04899">
        <w:trPr>
          <w:trHeight w:val="718"/>
        </w:trPr>
        <w:tc>
          <w:tcPr>
            <w:tcW w:w="8856" w:type="dxa"/>
            <w:gridSpan w:val="5"/>
          </w:tcPr>
          <w:p w14:paraId="5BB223AF"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Student Name: Catriona Toms</w:t>
            </w:r>
          </w:p>
          <w:p w14:paraId="5C0FE4C9"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68C8E8A8"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 xml:space="preserve">Student </w:t>
            </w:r>
            <w:r w:rsidRPr="00E609B6">
              <w:rPr>
                <w:rFonts w:ascii="Arial" w:eastAsia="SimSun" w:hAnsi="Arial" w:cs="Arial"/>
                <w:b/>
                <w:bCs/>
                <w:color w:val="000000"/>
                <w:kern w:val="0"/>
                <w:u w:val="single"/>
                <w:lang w:eastAsia="zh-CN"/>
                <w14:ligatures w14:val="none"/>
              </w:rPr>
              <w:t>University</w:t>
            </w:r>
            <w:r w:rsidRPr="00E609B6">
              <w:rPr>
                <w:rFonts w:ascii="Arial" w:eastAsia="SimSun" w:hAnsi="Arial" w:cs="Arial"/>
                <w:color w:val="000000"/>
                <w:kern w:val="0"/>
                <w:u w:val="single"/>
                <w:lang w:eastAsia="zh-CN"/>
                <w14:ligatures w14:val="none"/>
              </w:rPr>
              <w:t xml:space="preserve"> </w:t>
            </w:r>
            <w:r w:rsidRPr="00E609B6">
              <w:rPr>
                <w:rFonts w:ascii="Arial" w:eastAsia="SimSun" w:hAnsi="Arial" w:cs="Arial"/>
                <w:color w:val="000000"/>
                <w:kern w:val="0"/>
                <w:lang w:eastAsia="zh-CN"/>
                <w14:ligatures w14:val="none"/>
              </w:rPr>
              <w:t>Email: 2517573@student.uwtsd.ac.uk</w:t>
            </w:r>
          </w:p>
        </w:tc>
      </w:tr>
      <w:tr w:rsidR="00E609B6" w:rsidRPr="00E609B6" w14:paraId="2CFB7BCD" w14:textId="77777777" w:rsidTr="00D04899">
        <w:trPr>
          <w:trHeight w:val="849"/>
        </w:trPr>
        <w:tc>
          <w:tcPr>
            <w:tcW w:w="4788" w:type="dxa"/>
          </w:tcPr>
          <w:p w14:paraId="4EEB470B"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Module code: HPCA7014</w:t>
            </w:r>
          </w:p>
          <w:p w14:paraId="33115720"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3B483035"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Module title: Sacred Geography</w:t>
            </w:r>
          </w:p>
          <w:p w14:paraId="5B6E22F7"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tc>
        <w:tc>
          <w:tcPr>
            <w:tcW w:w="2266" w:type="dxa"/>
            <w:gridSpan w:val="3"/>
          </w:tcPr>
          <w:p w14:paraId="2B404309"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 xml:space="preserve">Student ID number: </w:t>
            </w:r>
          </w:p>
          <w:p w14:paraId="5B5879EC"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2517573</w:t>
            </w:r>
          </w:p>
        </w:tc>
        <w:tc>
          <w:tcPr>
            <w:tcW w:w="1802" w:type="dxa"/>
          </w:tcPr>
          <w:p w14:paraId="6C4A41C7"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Educational support needs:</w:t>
            </w:r>
          </w:p>
          <w:p w14:paraId="77CA5079"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N/A</w:t>
            </w:r>
          </w:p>
          <w:p w14:paraId="277E226D"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tc>
      </w:tr>
      <w:tr w:rsidR="00E609B6" w:rsidRPr="00E609B6" w14:paraId="3DA275FB" w14:textId="77777777" w:rsidTr="00D04899">
        <w:trPr>
          <w:trHeight w:val="1139"/>
        </w:trPr>
        <w:tc>
          <w:tcPr>
            <w:tcW w:w="8856" w:type="dxa"/>
            <w:gridSpan w:val="5"/>
          </w:tcPr>
          <w:p w14:paraId="46C936E6"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Assignment title: Is Barbara Bender’s theory of contested space complemented by Christopher Tilley’s phenomenological perspective?</w:t>
            </w:r>
          </w:p>
          <w:p w14:paraId="304BDDB6"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698565E2"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 xml:space="preserve">Assignment due date: 13/11/2025 </w:t>
            </w:r>
          </w:p>
        </w:tc>
      </w:tr>
      <w:tr w:rsidR="00E609B6" w:rsidRPr="00E609B6" w14:paraId="167DD813" w14:textId="77777777" w:rsidTr="00D04899">
        <w:trPr>
          <w:trHeight w:val="978"/>
        </w:trPr>
        <w:tc>
          <w:tcPr>
            <w:tcW w:w="8856" w:type="dxa"/>
            <w:gridSpan w:val="5"/>
            <w:tcBorders>
              <w:bottom w:val="single" w:sz="4" w:space="0" w:color="000000"/>
            </w:tcBorders>
          </w:tcPr>
          <w:p w14:paraId="1C94E0B9" w14:textId="77777777" w:rsidR="00E609B6" w:rsidRPr="00E609B6" w:rsidRDefault="00E609B6" w:rsidP="00E609B6">
            <w:pPr>
              <w:rPr>
                <w:rFonts w:ascii="Arial" w:eastAsia="Calibri" w:hAnsi="Arial" w:cs="Arial"/>
                <w:kern w:val="0"/>
                <w:lang w:val="en-US"/>
                <w14:ligatures w14:val="none"/>
              </w:rPr>
            </w:pPr>
            <w:r w:rsidRPr="00E609B6">
              <w:rPr>
                <w:rFonts w:ascii="Arial" w:eastAsia="Calibri" w:hAnsi="Arial" w:cs="Arial"/>
                <w:kern w:val="0"/>
                <w:lang w:val="en-US"/>
                <w14:ligatures w14:val="none"/>
              </w:rPr>
              <w:t>This assignment is for the 1</w:t>
            </w:r>
            <w:r w:rsidRPr="00E609B6">
              <w:rPr>
                <w:rFonts w:ascii="Arial" w:eastAsia="Calibri" w:hAnsi="Arial" w:cs="Arial"/>
                <w:kern w:val="0"/>
                <w:vertAlign w:val="superscript"/>
                <w:lang w:val="en-US"/>
                <w14:ligatures w14:val="none"/>
              </w:rPr>
              <w:t xml:space="preserve">st </w:t>
            </w:r>
            <w:r w:rsidRPr="00E609B6">
              <w:rPr>
                <w:rFonts w:ascii="Arial" w:eastAsia="Calibri" w:hAnsi="Arial" w:cs="Arial"/>
                <w:kern w:val="0"/>
                <w:lang w:val="en-US"/>
                <w14:ligatures w14:val="none"/>
              </w:rPr>
              <w:t>module of the degree</w:t>
            </w:r>
          </w:p>
        </w:tc>
      </w:tr>
      <w:tr w:rsidR="00E609B6" w:rsidRPr="00E609B6" w14:paraId="16DCDCC3" w14:textId="77777777" w:rsidTr="00D04899">
        <w:trPr>
          <w:trHeight w:val="978"/>
        </w:trPr>
        <w:tc>
          <w:tcPr>
            <w:tcW w:w="8856" w:type="dxa"/>
            <w:gridSpan w:val="5"/>
            <w:shd w:val="clear" w:color="auto" w:fill="D9D9D9"/>
          </w:tcPr>
          <w:p w14:paraId="74D71396"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Plagiarism declaration</w:t>
            </w:r>
          </w:p>
          <w:p w14:paraId="7A1754A7"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I confirm that this is my original work and that I have adhered to the University policy on plagiarism.</w:t>
            </w:r>
          </w:p>
          <w:p w14:paraId="6C1791E9"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5F45929A"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Artificial Intelligence (AI) declaration</w:t>
            </w:r>
          </w:p>
          <w:p w14:paraId="0B15FAA3"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w:t>
            </w:r>
          </w:p>
          <w:p w14:paraId="653CE6C6"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6C6E3688" w14:textId="77777777" w:rsidR="00E609B6" w:rsidRPr="00E609B6" w:rsidRDefault="00E609B6" w:rsidP="00E609B6">
            <w:pPr>
              <w:spacing w:after="0" w:line="240" w:lineRule="auto"/>
              <w:ind w:right="34"/>
              <w:rPr>
                <w:rFonts w:ascii="Times New Roman" w:eastAsia="SimSun" w:hAnsi="Times New Roman" w:cs="Times New Roman"/>
                <w:color w:val="000000"/>
                <w:kern w:val="0"/>
                <w:lang w:eastAsia="zh-CN"/>
                <w14:ligatures w14:val="none"/>
              </w:rPr>
            </w:pPr>
            <w:r w:rsidRPr="00E609B6">
              <w:rPr>
                <w:rFonts w:ascii="Times New Roman" w:eastAsia="SimSun" w:hAnsi="Times New Roman" w:cs="Times New Roman"/>
                <w:color w:val="000000"/>
                <w:kern w:val="0"/>
                <w:lang w:eastAsia="zh-CN"/>
                <w14:ligatures w14:val="none"/>
              </w:rPr>
              <w:t>*See separate guidance in the MA Writing Guidelines</w:t>
            </w:r>
          </w:p>
          <w:p w14:paraId="5B2F023B"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357570F8"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I confirm that I have not used any AI tools in the research and creation of this assignment, except as permitted above.</w:t>
            </w:r>
            <w:r w:rsidRPr="00E609B6">
              <w:rPr>
                <w:rFonts w:ascii="Arial" w:eastAsia="SimSun" w:hAnsi="Arial" w:cs="Arial"/>
                <w:color w:val="EE0000"/>
                <w:kern w:val="0"/>
                <w:lang w:eastAsia="zh-CN"/>
                <w14:ligatures w14:val="none"/>
              </w:rPr>
              <w:t xml:space="preserve"> </w:t>
            </w:r>
            <w:r w:rsidRPr="00E609B6">
              <w:rPr>
                <w:rFonts w:ascii="Arial" w:eastAsia="SimSun" w:hAnsi="Arial" w:cs="Arial"/>
                <w:color w:val="000000"/>
                <w:kern w:val="0"/>
                <w:lang w:eastAsia="zh-CN"/>
                <w14:ligatures w14:val="none"/>
              </w:rPr>
              <w:t>I confirm that I have not presented any AI generated materials as my own work. I confirm I have copies of my drafts, notes, and other resources I used, which I may be asked to provide in evidence.</w:t>
            </w:r>
          </w:p>
          <w:p w14:paraId="757BA445"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p w14:paraId="2359E487"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Signed: Catriona Toms</w:t>
            </w:r>
          </w:p>
          <w:p w14:paraId="4AA0D374" w14:textId="77777777" w:rsidR="00E609B6" w:rsidRPr="00E609B6" w:rsidRDefault="00E609B6" w:rsidP="00E609B6">
            <w:pPr>
              <w:spacing w:after="0" w:line="240" w:lineRule="auto"/>
              <w:ind w:right="34"/>
              <w:rPr>
                <w:rFonts w:ascii="Arial" w:eastAsia="SimSun" w:hAnsi="Arial" w:cs="Arial"/>
                <w:color w:val="000000"/>
                <w:kern w:val="0"/>
                <w:lang w:eastAsia="zh-CN"/>
                <w14:ligatures w14:val="none"/>
              </w:rPr>
            </w:pPr>
          </w:p>
        </w:tc>
      </w:tr>
      <w:tr w:rsidR="00E609B6" w:rsidRPr="00E609B6" w14:paraId="2AF83A42" w14:textId="77777777" w:rsidTr="00D04899">
        <w:trPr>
          <w:trHeight w:val="3972"/>
        </w:trPr>
        <w:tc>
          <w:tcPr>
            <w:tcW w:w="8856" w:type="dxa"/>
            <w:gridSpan w:val="5"/>
          </w:tcPr>
          <w:p w14:paraId="320DF397" w14:textId="77777777" w:rsidR="00E609B6" w:rsidRPr="00E609B6" w:rsidRDefault="00E609B6" w:rsidP="00E609B6">
            <w:pPr>
              <w:rPr>
                <w:rFonts w:ascii="Arial" w:eastAsia="Calibri" w:hAnsi="Arial" w:cs="Times New Roman"/>
                <w:b/>
                <w:kern w:val="0"/>
                <w:lang w:val="en-US"/>
                <w14:ligatures w14:val="none"/>
              </w:rPr>
            </w:pPr>
          </w:p>
          <w:p w14:paraId="5C46BE06" w14:textId="77777777" w:rsidR="00E609B6" w:rsidRPr="00E609B6" w:rsidRDefault="00E609B6" w:rsidP="00E609B6">
            <w:pPr>
              <w:rPr>
                <w:rFonts w:ascii="Arial" w:eastAsia="Calibri" w:hAnsi="Arial" w:cs="Times New Roman"/>
                <w:kern w:val="0"/>
                <w:lang w:val="en-US"/>
                <w14:ligatures w14:val="none"/>
              </w:rPr>
            </w:pPr>
            <w:r w:rsidRPr="00E609B6">
              <w:rPr>
                <w:rFonts w:ascii="Arial" w:eastAsia="Calibri" w:hAnsi="Arial" w:cs="Times New Roman"/>
                <w:b/>
                <w:kern w:val="0"/>
                <w:lang w:val="en-US"/>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609B6" w:rsidRPr="00E609B6" w14:paraId="687DD5EF" w14:textId="77777777" w:rsidTr="00D04899">
              <w:tc>
                <w:tcPr>
                  <w:tcW w:w="6970" w:type="dxa"/>
                </w:tcPr>
                <w:p w14:paraId="20F4C1AD" w14:textId="77777777" w:rsidR="00E609B6" w:rsidRPr="00E609B6" w:rsidRDefault="00E609B6" w:rsidP="00E609B6">
                  <w:pPr>
                    <w:rPr>
                      <w:rFonts w:ascii="Arial" w:eastAsia="Calibri" w:hAnsi="Arial" w:cs="Times New Roman"/>
                      <w:kern w:val="0"/>
                      <w:sz w:val="20"/>
                      <w:szCs w:val="20"/>
                      <w:lang w:val="en-US"/>
                      <w14:ligatures w14:val="none"/>
                    </w:rPr>
                  </w:pPr>
                </w:p>
                <w:p w14:paraId="68B6C6FD" w14:textId="77777777" w:rsidR="00E609B6" w:rsidRPr="00E609B6" w:rsidRDefault="00E609B6" w:rsidP="00E609B6">
                  <w:pPr>
                    <w:rPr>
                      <w:rFonts w:ascii="Arial" w:eastAsia="Calibri" w:hAnsi="Arial" w:cs="Times New Roman"/>
                      <w:kern w:val="0"/>
                      <w:sz w:val="20"/>
                      <w:szCs w:val="20"/>
                      <w:lang w:val="en-US"/>
                      <w14:ligatures w14:val="none"/>
                    </w:rPr>
                  </w:pPr>
                  <w:r w:rsidRPr="00E609B6">
                    <w:rPr>
                      <w:rFonts w:ascii="Arial" w:eastAsia="Calibri" w:hAnsi="Arial" w:cs="Times New Roman"/>
                      <w:kern w:val="0"/>
                      <w:sz w:val="20"/>
                      <w:szCs w:val="20"/>
                      <w:lang w:val="en-US"/>
                      <w14:ligatures w14:val="none"/>
                    </w:rPr>
                    <w:t>1</w:t>
                  </w:r>
                  <w:r w:rsidRPr="00E609B6">
                    <w:rPr>
                      <w:rFonts w:ascii="Arial" w:eastAsia="Calibri" w:hAnsi="Arial" w:cs="Times New Roman"/>
                      <w:kern w:val="0"/>
                      <w:sz w:val="20"/>
                      <w:szCs w:val="20"/>
                      <w:vertAlign w:val="superscript"/>
                      <w:lang w:val="en-US"/>
                      <w14:ligatures w14:val="none"/>
                    </w:rPr>
                    <w:t>st</w:t>
                  </w:r>
                  <w:r w:rsidRPr="00E609B6">
                    <w:rPr>
                      <w:rFonts w:ascii="Arial" w:eastAsia="Calibri" w:hAnsi="Arial" w:cs="Times New Roman"/>
                      <w:kern w:val="0"/>
                      <w:sz w:val="20"/>
                      <w:szCs w:val="20"/>
                      <w:lang w:val="en-US"/>
                      <w14:ligatures w14:val="none"/>
                    </w:rPr>
                    <w:t xml:space="preserve"> Marker’s Provisional mark</w:t>
                  </w:r>
                </w:p>
              </w:tc>
              <w:tc>
                <w:tcPr>
                  <w:tcW w:w="1660" w:type="dxa"/>
                </w:tcPr>
                <w:p w14:paraId="46FCBA24" w14:textId="77777777" w:rsidR="00E609B6" w:rsidRPr="00E609B6" w:rsidRDefault="00E609B6" w:rsidP="00E609B6">
                  <w:pPr>
                    <w:rPr>
                      <w:rFonts w:ascii="Arial" w:eastAsia="Calibri" w:hAnsi="Arial" w:cs="Times New Roman"/>
                      <w:kern w:val="0"/>
                      <w:sz w:val="20"/>
                      <w:szCs w:val="20"/>
                      <w:lang w:val="en-US"/>
                      <w14:ligatures w14:val="none"/>
                    </w:rPr>
                  </w:pPr>
                </w:p>
              </w:tc>
            </w:tr>
            <w:tr w:rsidR="00E609B6" w:rsidRPr="00E609B6" w14:paraId="6512C946" w14:textId="77777777" w:rsidTr="00D04899">
              <w:tc>
                <w:tcPr>
                  <w:tcW w:w="6970" w:type="dxa"/>
                </w:tcPr>
                <w:p w14:paraId="3E853061" w14:textId="77777777" w:rsidR="00E609B6" w:rsidRPr="00E609B6" w:rsidRDefault="00E609B6" w:rsidP="00E609B6">
                  <w:pPr>
                    <w:rPr>
                      <w:rFonts w:ascii="Arial" w:eastAsia="Calibri" w:hAnsi="Arial" w:cs="Times New Roman"/>
                      <w:kern w:val="0"/>
                      <w:sz w:val="20"/>
                      <w:szCs w:val="20"/>
                      <w:lang w:val="en-US"/>
                      <w14:ligatures w14:val="none"/>
                    </w:rPr>
                  </w:pPr>
                </w:p>
                <w:p w14:paraId="169DCB10" w14:textId="77777777" w:rsidR="00E609B6" w:rsidRPr="00E609B6" w:rsidRDefault="00E609B6" w:rsidP="00E609B6">
                  <w:pPr>
                    <w:rPr>
                      <w:rFonts w:ascii="Arial" w:eastAsia="Calibri" w:hAnsi="Arial" w:cs="Times New Roman"/>
                      <w:kern w:val="0"/>
                      <w:sz w:val="20"/>
                      <w:szCs w:val="20"/>
                      <w:lang w:val="en-US"/>
                      <w14:ligatures w14:val="none"/>
                    </w:rPr>
                  </w:pPr>
                  <w:r w:rsidRPr="00E609B6">
                    <w:rPr>
                      <w:rFonts w:ascii="Arial" w:eastAsia="Calibri" w:hAnsi="Arial" w:cs="Times New Roman"/>
                      <w:kern w:val="0"/>
                      <w:sz w:val="20"/>
                      <w:szCs w:val="20"/>
                      <w:lang w:val="en-US"/>
                      <w14:ligatures w14:val="none"/>
                    </w:rPr>
                    <w:t>2</w:t>
                  </w:r>
                  <w:r w:rsidRPr="00E609B6">
                    <w:rPr>
                      <w:rFonts w:ascii="Arial" w:eastAsia="Calibri" w:hAnsi="Arial" w:cs="Times New Roman"/>
                      <w:kern w:val="0"/>
                      <w:sz w:val="20"/>
                      <w:szCs w:val="20"/>
                      <w:vertAlign w:val="superscript"/>
                      <w:lang w:val="en-US"/>
                      <w14:ligatures w14:val="none"/>
                    </w:rPr>
                    <w:t>nd</w:t>
                  </w:r>
                  <w:r w:rsidRPr="00E609B6">
                    <w:rPr>
                      <w:rFonts w:ascii="Arial" w:eastAsia="Calibri" w:hAnsi="Arial" w:cs="Times New Roman"/>
                      <w:kern w:val="0"/>
                      <w:sz w:val="20"/>
                      <w:szCs w:val="20"/>
                      <w:lang w:val="en-US"/>
                      <w14:ligatures w14:val="none"/>
                    </w:rPr>
                    <w:t xml:space="preserve"> Marker’s/Moderator’s provisional mark</w:t>
                  </w:r>
                </w:p>
              </w:tc>
              <w:tc>
                <w:tcPr>
                  <w:tcW w:w="1660" w:type="dxa"/>
                </w:tcPr>
                <w:p w14:paraId="3E83E5C7" w14:textId="77777777" w:rsidR="00E609B6" w:rsidRPr="00E609B6" w:rsidRDefault="00E609B6" w:rsidP="00E609B6">
                  <w:pPr>
                    <w:rPr>
                      <w:rFonts w:ascii="Arial" w:eastAsia="Calibri" w:hAnsi="Arial" w:cs="Times New Roman"/>
                      <w:kern w:val="0"/>
                      <w:sz w:val="20"/>
                      <w:szCs w:val="20"/>
                      <w:lang w:val="en-US"/>
                      <w14:ligatures w14:val="none"/>
                    </w:rPr>
                  </w:pPr>
                </w:p>
              </w:tc>
            </w:tr>
            <w:tr w:rsidR="00E609B6" w:rsidRPr="00E609B6" w14:paraId="447494AC" w14:textId="77777777" w:rsidTr="00D04899">
              <w:tc>
                <w:tcPr>
                  <w:tcW w:w="6970" w:type="dxa"/>
                </w:tcPr>
                <w:p w14:paraId="1CC0754C" w14:textId="77777777" w:rsidR="00E609B6" w:rsidRPr="00E609B6" w:rsidRDefault="00E609B6" w:rsidP="00E609B6">
                  <w:pPr>
                    <w:rPr>
                      <w:rFonts w:ascii="Arial" w:eastAsia="Calibri" w:hAnsi="Arial" w:cs="Times New Roman"/>
                      <w:kern w:val="0"/>
                      <w:sz w:val="20"/>
                      <w:szCs w:val="20"/>
                      <w:lang w:val="en-US"/>
                      <w14:ligatures w14:val="none"/>
                    </w:rPr>
                  </w:pPr>
                </w:p>
                <w:p w14:paraId="1E60A98C" w14:textId="77777777" w:rsidR="00E609B6" w:rsidRPr="00E609B6" w:rsidRDefault="00E609B6" w:rsidP="00E609B6">
                  <w:pPr>
                    <w:rPr>
                      <w:rFonts w:ascii="Arial" w:eastAsia="Calibri" w:hAnsi="Arial" w:cs="Times New Roman"/>
                      <w:kern w:val="0"/>
                      <w:sz w:val="20"/>
                      <w:szCs w:val="20"/>
                      <w:lang w:val="en-US"/>
                      <w14:ligatures w14:val="none"/>
                    </w:rPr>
                  </w:pPr>
                  <w:r w:rsidRPr="00E609B6">
                    <w:rPr>
                      <w:rFonts w:ascii="Arial" w:eastAsia="Calibri" w:hAnsi="Arial" w:cs="Times New Roman"/>
                      <w:kern w:val="0"/>
                      <w:sz w:val="20"/>
                      <w:szCs w:val="20"/>
                      <w:lang w:val="en-US"/>
                      <w14:ligatures w14:val="none"/>
                    </w:rPr>
                    <w:t>External Examiner’s mark (if relevant)</w:t>
                  </w:r>
                </w:p>
              </w:tc>
              <w:tc>
                <w:tcPr>
                  <w:tcW w:w="1660" w:type="dxa"/>
                </w:tcPr>
                <w:p w14:paraId="7D551787" w14:textId="77777777" w:rsidR="00E609B6" w:rsidRPr="00E609B6" w:rsidRDefault="00E609B6" w:rsidP="00E609B6">
                  <w:pPr>
                    <w:rPr>
                      <w:rFonts w:ascii="Arial" w:eastAsia="Calibri" w:hAnsi="Arial" w:cs="Times New Roman"/>
                      <w:kern w:val="0"/>
                      <w:sz w:val="20"/>
                      <w:szCs w:val="20"/>
                      <w:lang w:val="en-US"/>
                      <w14:ligatures w14:val="none"/>
                    </w:rPr>
                  </w:pPr>
                </w:p>
              </w:tc>
            </w:tr>
            <w:tr w:rsidR="00E609B6" w:rsidRPr="00E609B6" w14:paraId="165462E8" w14:textId="77777777" w:rsidTr="00D04899">
              <w:tc>
                <w:tcPr>
                  <w:tcW w:w="6970" w:type="dxa"/>
                </w:tcPr>
                <w:p w14:paraId="4778636D" w14:textId="77777777" w:rsidR="00E609B6" w:rsidRPr="00E609B6" w:rsidRDefault="00E609B6" w:rsidP="00E609B6">
                  <w:pPr>
                    <w:rPr>
                      <w:rFonts w:ascii="Arial" w:eastAsia="Calibri" w:hAnsi="Arial" w:cs="Times New Roman"/>
                      <w:kern w:val="0"/>
                      <w:sz w:val="20"/>
                      <w:szCs w:val="20"/>
                      <w:lang w:val="en-US"/>
                      <w14:ligatures w14:val="none"/>
                    </w:rPr>
                  </w:pPr>
                </w:p>
                <w:p w14:paraId="708B1760" w14:textId="77777777" w:rsidR="00E609B6" w:rsidRPr="00E609B6" w:rsidRDefault="00E609B6" w:rsidP="00E609B6">
                  <w:pPr>
                    <w:rPr>
                      <w:rFonts w:ascii="Arial" w:eastAsia="Calibri" w:hAnsi="Arial" w:cs="Times New Roman"/>
                      <w:b/>
                      <w:kern w:val="0"/>
                      <w:sz w:val="20"/>
                      <w:szCs w:val="20"/>
                      <w:lang w:val="en-US"/>
                      <w14:ligatures w14:val="none"/>
                    </w:rPr>
                  </w:pPr>
                  <w:r w:rsidRPr="00E609B6">
                    <w:rPr>
                      <w:rFonts w:ascii="Arial" w:eastAsia="Calibri" w:hAnsi="Arial" w:cs="Times New Roman"/>
                      <w:b/>
                      <w:kern w:val="0"/>
                      <w:sz w:val="20"/>
                      <w:szCs w:val="20"/>
                      <w:lang w:val="en-US"/>
                      <w14:ligatures w14:val="none"/>
                    </w:rPr>
                    <w:t>Final Mark</w:t>
                  </w:r>
                </w:p>
                <w:p w14:paraId="230CA25B" w14:textId="77777777" w:rsidR="00E609B6" w:rsidRPr="00E609B6" w:rsidRDefault="00E609B6" w:rsidP="00E609B6">
                  <w:pPr>
                    <w:rPr>
                      <w:rFonts w:ascii="Arial" w:eastAsia="Calibri" w:hAnsi="Arial" w:cs="Times New Roman"/>
                      <w:kern w:val="0"/>
                      <w:sz w:val="20"/>
                      <w:szCs w:val="20"/>
                      <w:lang w:val="en-US"/>
                      <w14:ligatures w14:val="none"/>
                    </w:rPr>
                  </w:pPr>
                </w:p>
              </w:tc>
              <w:tc>
                <w:tcPr>
                  <w:tcW w:w="1660" w:type="dxa"/>
                </w:tcPr>
                <w:p w14:paraId="36BD46DD" w14:textId="77777777" w:rsidR="00E609B6" w:rsidRPr="00E609B6" w:rsidRDefault="00E609B6" w:rsidP="00E609B6">
                  <w:pPr>
                    <w:rPr>
                      <w:rFonts w:ascii="Arial" w:eastAsia="Calibri" w:hAnsi="Arial" w:cs="Times New Roman"/>
                      <w:kern w:val="0"/>
                      <w:sz w:val="20"/>
                      <w:szCs w:val="20"/>
                      <w:lang w:val="en-US"/>
                      <w14:ligatures w14:val="none"/>
                    </w:rPr>
                  </w:pPr>
                </w:p>
              </w:tc>
            </w:tr>
          </w:tbl>
          <w:p w14:paraId="3E6310DC" w14:textId="77777777" w:rsidR="00E609B6" w:rsidRPr="00E609B6" w:rsidRDefault="00E609B6" w:rsidP="00E609B6">
            <w:pPr>
              <w:spacing w:after="0" w:line="240" w:lineRule="auto"/>
              <w:ind w:left="142" w:right="34"/>
              <w:rPr>
                <w:rFonts w:ascii="Arial" w:eastAsia="SimSun" w:hAnsi="Arial" w:cs="Arial"/>
                <w:b/>
                <w:color w:val="000000"/>
                <w:kern w:val="0"/>
                <w:lang w:eastAsia="zh-CN"/>
                <w14:ligatures w14:val="none"/>
              </w:rPr>
            </w:pPr>
          </w:p>
          <w:p w14:paraId="798A92B2" w14:textId="77777777" w:rsidR="00E609B6" w:rsidRPr="00E609B6" w:rsidRDefault="00E609B6" w:rsidP="00E609B6">
            <w:pPr>
              <w:spacing w:after="0" w:line="240" w:lineRule="auto"/>
              <w:ind w:left="142" w:right="34"/>
              <w:rPr>
                <w:rFonts w:ascii="Arial" w:eastAsia="SimSun" w:hAnsi="Arial" w:cs="Arial"/>
                <w:color w:val="000000"/>
                <w:kern w:val="0"/>
                <w:lang w:eastAsia="zh-CN"/>
                <w14:ligatures w14:val="none"/>
              </w:rPr>
            </w:pPr>
            <w:r w:rsidRPr="00E609B6">
              <w:rPr>
                <w:rFonts w:ascii="Arial" w:eastAsia="SimSun" w:hAnsi="Arial" w:cs="Arial"/>
                <w:b/>
                <w:color w:val="000000"/>
                <w:kern w:val="0"/>
                <w:lang w:eastAsia="zh-CN"/>
                <w14:ligatures w14:val="none"/>
              </w:rPr>
              <w:t>NB.</w:t>
            </w:r>
            <w:r w:rsidRPr="00E609B6">
              <w:rPr>
                <w:rFonts w:ascii="Arial" w:eastAsia="SimSun" w:hAnsi="Arial" w:cs="Arial"/>
                <w:color w:val="000000"/>
                <w:kern w:val="0"/>
                <w:lang w:eastAsia="zh-CN"/>
                <w14:ligatures w14:val="none"/>
              </w:rPr>
              <w:t xml:space="preserve">  All marks are provisional until confirmed by the Final Examination Board.</w:t>
            </w:r>
          </w:p>
          <w:p w14:paraId="542AC181"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p>
          <w:p w14:paraId="074E6209"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p>
          <w:p w14:paraId="6513A385"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p>
          <w:p w14:paraId="3D75249F"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p>
          <w:p w14:paraId="520AB28A"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p>
          <w:p w14:paraId="7F703C9C" w14:textId="77777777" w:rsidR="00E609B6" w:rsidRPr="00E609B6" w:rsidRDefault="00E609B6" w:rsidP="00E609B6">
            <w:pPr>
              <w:spacing w:after="0" w:line="240" w:lineRule="auto"/>
              <w:rPr>
                <w:rFonts w:ascii="Arial" w:eastAsia="SimSun" w:hAnsi="Arial" w:cs="Arial"/>
                <w:b/>
                <w:color w:val="000000"/>
                <w:kern w:val="0"/>
                <w:lang w:eastAsia="zh-CN"/>
                <w14:ligatures w14:val="none"/>
              </w:rPr>
            </w:pPr>
            <w:r w:rsidRPr="00E609B6">
              <w:rPr>
                <w:rFonts w:ascii="Arial" w:eastAsia="SimSun" w:hAnsi="Arial" w:cs="Arial"/>
                <w:b/>
                <w:color w:val="000000"/>
                <w:kern w:val="0"/>
                <w:lang w:eastAsia="zh-CN"/>
                <w14:ligatures w14:val="none"/>
              </w:rPr>
              <w:t>For completion by Marker 1 :</w:t>
            </w:r>
          </w:p>
          <w:p w14:paraId="0FD21CC5" w14:textId="77777777" w:rsidR="00E609B6" w:rsidRPr="00E609B6" w:rsidRDefault="00E609B6" w:rsidP="00E609B6">
            <w:pPr>
              <w:spacing w:before="100" w:beforeAutospacing="1" w:after="100" w:afterAutospacing="1" w:line="240" w:lineRule="auto"/>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Comments:</w:t>
            </w:r>
          </w:p>
          <w:p w14:paraId="0AA65ADB" w14:textId="77777777" w:rsidR="00E609B6" w:rsidRPr="00E609B6" w:rsidRDefault="00E609B6" w:rsidP="00E609B6">
            <w:pPr>
              <w:spacing w:before="100" w:beforeAutospacing="1" w:after="100" w:afterAutospacing="1" w:line="240" w:lineRule="auto"/>
              <w:rPr>
                <w:rFonts w:ascii="Arial" w:eastAsia="SimSun" w:hAnsi="Arial" w:cs="Arial"/>
                <w:color w:val="000000"/>
                <w:kern w:val="0"/>
                <w:lang w:eastAsia="zh-CN"/>
                <w14:ligatures w14:val="none"/>
              </w:rPr>
            </w:pPr>
          </w:p>
        </w:tc>
      </w:tr>
      <w:tr w:rsidR="00E609B6" w:rsidRPr="00E609B6" w14:paraId="6E41CF7E" w14:textId="77777777" w:rsidTr="00D04899">
        <w:trPr>
          <w:trHeight w:val="492"/>
        </w:trPr>
        <w:tc>
          <w:tcPr>
            <w:tcW w:w="6768" w:type="dxa"/>
            <w:gridSpan w:val="3"/>
          </w:tcPr>
          <w:p w14:paraId="0FDFC062" w14:textId="77777777" w:rsidR="00E609B6" w:rsidRPr="00E609B6" w:rsidRDefault="00E609B6" w:rsidP="00E609B6">
            <w:pPr>
              <w:spacing w:before="100" w:beforeAutospacing="1" w:after="100" w:afterAutospacing="1" w:line="240" w:lineRule="auto"/>
              <w:ind w:left="142"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Marker’s signature:</w:t>
            </w:r>
          </w:p>
        </w:tc>
        <w:tc>
          <w:tcPr>
            <w:tcW w:w="2088" w:type="dxa"/>
            <w:gridSpan w:val="2"/>
          </w:tcPr>
          <w:p w14:paraId="15E4313E" w14:textId="77777777" w:rsidR="00E609B6" w:rsidRPr="00E609B6" w:rsidRDefault="00E609B6" w:rsidP="00E609B6">
            <w:pPr>
              <w:spacing w:before="100" w:beforeAutospacing="1" w:after="0" w:afterAutospacing="1" w:line="240" w:lineRule="auto"/>
              <w:ind w:left="142" w:right="34"/>
              <w:rPr>
                <w:rFonts w:ascii="Arial" w:eastAsia="SimSun" w:hAnsi="Arial" w:cs="Arial"/>
                <w:color w:val="000000"/>
                <w:kern w:val="0"/>
                <w:lang w:eastAsia="zh-CN"/>
                <w14:ligatures w14:val="none"/>
              </w:rPr>
            </w:pPr>
            <w:r w:rsidRPr="00E609B6">
              <w:rPr>
                <w:rFonts w:ascii="Arial" w:eastAsia="SimSun" w:hAnsi="Arial" w:cs="Arial"/>
                <w:color w:val="000000"/>
                <w:kern w:val="0"/>
                <w:lang w:eastAsia="zh-CN"/>
                <w14:ligatures w14:val="none"/>
              </w:rPr>
              <w:t>Date:</w:t>
            </w:r>
          </w:p>
        </w:tc>
      </w:tr>
      <w:tr w:rsidR="00E609B6" w:rsidRPr="00E609B6" w14:paraId="7284C743" w14:textId="77777777" w:rsidTr="00D04899">
        <w:tc>
          <w:tcPr>
            <w:tcW w:w="8856" w:type="dxa"/>
            <w:gridSpan w:val="5"/>
          </w:tcPr>
          <w:p w14:paraId="6DC208E9" w14:textId="77777777" w:rsidR="00E609B6" w:rsidRPr="00E609B6" w:rsidRDefault="00E609B6" w:rsidP="00E609B6">
            <w:pPr>
              <w:spacing w:after="0" w:line="240" w:lineRule="auto"/>
              <w:ind w:right="-334"/>
              <w:rPr>
                <w:rFonts w:ascii="Arial" w:eastAsia="SimSun" w:hAnsi="Arial" w:cs="Arial"/>
                <w:bCs/>
                <w:i/>
                <w:color w:val="000000"/>
                <w:kern w:val="0"/>
                <w:lang w:eastAsia="zh-CN"/>
                <w14:ligatures w14:val="none"/>
              </w:rPr>
            </w:pPr>
          </w:p>
          <w:p w14:paraId="47DCC177" w14:textId="77777777" w:rsidR="00E609B6" w:rsidRPr="00E609B6" w:rsidRDefault="00E609B6" w:rsidP="00E609B6">
            <w:pPr>
              <w:spacing w:after="0" w:line="240" w:lineRule="auto"/>
              <w:ind w:right="-334"/>
              <w:rPr>
                <w:rFonts w:ascii="Arial" w:eastAsia="SimSun" w:hAnsi="Arial" w:cs="Arial"/>
                <w:b/>
                <w:bCs/>
                <w:color w:val="000000"/>
                <w:kern w:val="0"/>
                <w:lang w:eastAsia="zh-CN"/>
                <w14:ligatures w14:val="none"/>
              </w:rPr>
            </w:pPr>
            <w:r w:rsidRPr="00E609B6">
              <w:rPr>
                <w:rFonts w:ascii="Arial" w:eastAsia="SimSun" w:hAnsi="Arial" w:cs="Arial"/>
                <w:b/>
                <w:bCs/>
                <w:color w:val="000000"/>
                <w:kern w:val="0"/>
                <w:lang w:eastAsia="zh-CN"/>
                <w14:ligatures w14:val="none"/>
              </w:rPr>
              <w:t>For completion by Marker 2/Moderator:</w:t>
            </w:r>
          </w:p>
          <w:p w14:paraId="7AF6BE94" w14:textId="77777777" w:rsidR="00E609B6" w:rsidRPr="00E609B6" w:rsidRDefault="00E609B6" w:rsidP="00E609B6">
            <w:pPr>
              <w:spacing w:after="0" w:line="240" w:lineRule="auto"/>
              <w:ind w:right="-334"/>
              <w:rPr>
                <w:rFonts w:ascii="Arial" w:eastAsia="SimSun" w:hAnsi="Arial" w:cs="Arial"/>
                <w:b/>
                <w:bCs/>
                <w:color w:val="000000"/>
                <w:kern w:val="0"/>
                <w:lang w:eastAsia="zh-CN"/>
                <w14:ligatures w14:val="none"/>
              </w:rPr>
            </w:pPr>
          </w:p>
          <w:p w14:paraId="66FA377D"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r w:rsidRPr="00E609B6">
              <w:rPr>
                <w:rFonts w:ascii="Arial" w:eastAsia="SimSun" w:hAnsi="Arial" w:cs="Arial"/>
                <w:bCs/>
                <w:color w:val="000000"/>
                <w:kern w:val="0"/>
                <w:lang w:eastAsia="zh-CN"/>
                <w14:ligatures w14:val="none"/>
              </w:rPr>
              <w:t>Comments:</w:t>
            </w:r>
          </w:p>
          <w:p w14:paraId="282F9CD7"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45A0A332"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3EA18CC1"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56A1AEEA"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13C028F1"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4DEF6889"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748A3871"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75A43DBC"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38E14AB6"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35FBF3DF"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1DC77DFE"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093933CC"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tc>
      </w:tr>
      <w:tr w:rsidR="00E609B6" w:rsidRPr="00E609B6" w14:paraId="10150C15" w14:textId="77777777" w:rsidTr="00D04899">
        <w:trPr>
          <w:trHeight w:val="720"/>
        </w:trPr>
        <w:tc>
          <w:tcPr>
            <w:tcW w:w="5211" w:type="dxa"/>
            <w:gridSpan w:val="2"/>
          </w:tcPr>
          <w:p w14:paraId="6ADD5158"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r w:rsidRPr="00E609B6">
              <w:rPr>
                <w:rFonts w:ascii="Arial" w:eastAsia="SimSun" w:hAnsi="Arial" w:cs="Arial"/>
                <w:bCs/>
                <w:color w:val="000000"/>
                <w:kern w:val="0"/>
                <w:lang w:eastAsia="zh-CN"/>
                <w14:ligatures w14:val="none"/>
              </w:rPr>
              <w:t>Marker’s Signature:</w:t>
            </w:r>
          </w:p>
        </w:tc>
        <w:tc>
          <w:tcPr>
            <w:tcW w:w="3645" w:type="dxa"/>
            <w:gridSpan w:val="3"/>
          </w:tcPr>
          <w:p w14:paraId="47868E7C"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r w:rsidRPr="00E609B6">
              <w:rPr>
                <w:rFonts w:ascii="Arial" w:eastAsia="SimSun" w:hAnsi="Arial" w:cs="Arial"/>
                <w:bCs/>
                <w:color w:val="000000"/>
                <w:kern w:val="0"/>
                <w:lang w:eastAsia="zh-CN"/>
                <w14:ligatures w14:val="none"/>
              </w:rPr>
              <w:t>Date:</w:t>
            </w:r>
          </w:p>
        </w:tc>
      </w:tr>
      <w:tr w:rsidR="00E609B6" w:rsidRPr="00E609B6" w14:paraId="50FBD037" w14:textId="77777777" w:rsidTr="00D04899">
        <w:trPr>
          <w:trHeight w:val="720"/>
        </w:trPr>
        <w:tc>
          <w:tcPr>
            <w:tcW w:w="8856" w:type="dxa"/>
            <w:gridSpan w:val="5"/>
          </w:tcPr>
          <w:p w14:paraId="127D3DB9" w14:textId="77777777" w:rsidR="00E609B6" w:rsidRPr="00E609B6" w:rsidRDefault="00E609B6" w:rsidP="00E609B6">
            <w:pPr>
              <w:rPr>
                <w:rFonts w:ascii="Arial" w:eastAsia="Calibri" w:hAnsi="Arial" w:cs="Arial"/>
                <w:b/>
                <w:kern w:val="0"/>
                <w:lang w:val="en-US"/>
                <w14:ligatures w14:val="none"/>
              </w:rPr>
            </w:pPr>
            <w:r w:rsidRPr="00E609B6">
              <w:rPr>
                <w:rFonts w:ascii="Arial" w:eastAsia="Calibri" w:hAnsi="Arial" w:cs="Arial"/>
                <w:b/>
                <w:kern w:val="0"/>
                <w:lang w:val="en-US"/>
                <w14:ligatures w14:val="none"/>
              </w:rPr>
              <w:t>External Examiner’s comments (if relevant)</w:t>
            </w:r>
          </w:p>
          <w:p w14:paraId="69B5AF9B"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7A1EBF7F"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08A56473"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4C0B4640"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6792E11C"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08D2E38A"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1D6FDBFC"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67570486"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10556871"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37946FC6"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p w14:paraId="5490C5A9" w14:textId="77777777" w:rsidR="00E609B6" w:rsidRPr="00E609B6" w:rsidRDefault="00E609B6" w:rsidP="00E609B6">
            <w:pPr>
              <w:spacing w:after="0" w:line="240" w:lineRule="auto"/>
              <w:ind w:right="-334"/>
              <w:rPr>
                <w:rFonts w:ascii="Arial" w:eastAsia="SimSun" w:hAnsi="Arial" w:cs="Arial"/>
                <w:bCs/>
                <w:color w:val="000000"/>
                <w:kern w:val="0"/>
                <w:lang w:eastAsia="zh-CN"/>
                <w14:ligatures w14:val="none"/>
              </w:rPr>
            </w:pPr>
          </w:p>
        </w:tc>
      </w:tr>
      <w:tr w:rsidR="00E609B6" w:rsidRPr="00E609B6" w14:paraId="4AB60370" w14:textId="77777777" w:rsidTr="00D04899">
        <w:trPr>
          <w:trHeight w:val="720"/>
        </w:trPr>
        <w:tc>
          <w:tcPr>
            <w:tcW w:w="5211" w:type="dxa"/>
            <w:gridSpan w:val="2"/>
          </w:tcPr>
          <w:p w14:paraId="676FB66E" w14:textId="77777777" w:rsidR="00E609B6" w:rsidRPr="00E609B6" w:rsidRDefault="00E609B6" w:rsidP="00E609B6">
            <w:pPr>
              <w:rPr>
                <w:rFonts w:ascii="Arial" w:eastAsia="Calibri" w:hAnsi="Arial" w:cs="Arial"/>
                <w:kern w:val="0"/>
                <w:lang w:val="en-US"/>
                <w14:ligatures w14:val="none"/>
              </w:rPr>
            </w:pPr>
            <w:r w:rsidRPr="00E609B6">
              <w:rPr>
                <w:rFonts w:ascii="Arial" w:eastAsia="Calibri" w:hAnsi="Arial" w:cs="Arial"/>
                <w:kern w:val="0"/>
                <w:lang w:val="en-US"/>
                <w14:ligatures w14:val="none"/>
              </w:rPr>
              <w:lastRenderedPageBreak/>
              <w:t>External Examiner’s Signature:</w:t>
            </w:r>
          </w:p>
        </w:tc>
        <w:tc>
          <w:tcPr>
            <w:tcW w:w="3645" w:type="dxa"/>
            <w:gridSpan w:val="3"/>
          </w:tcPr>
          <w:p w14:paraId="43B67BBE" w14:textId="77777777" w:rsidR="00E609B6" w:rsidRPr="00E609B6" w:rsidRDefault="00E609B6" w:rsidP="00E609B6">
            <w:pPr>
              <w:rPr>
                <w:rFonts w:ascii="Arial" w:eastAsia="Calibri" w:hAnsi="Arial" w:cs="Arial"/>
                <w:kern w:val="0"/>
                <w:lang w:val="en-US"/>
                <w14:ligatures w14:val="none"/>
              </w:rPr>
            </w:pPr>
            <w:r w:rsidRPr="00E609B6">
              <w:rPr>
                <w:rFonts w:ascii="Arial" w:eastAsia="Calibri" w:hAnsi="Arial" w:cs="Arial"/>
                <w:kern w:val="0"/>
                <w:lang w:val="en-US"/>
                <w14:ligatures w14:val="none"/>
              </w:rPr>
              <w:t>Date:</w:t>
            </w:r>
          </w:p>
        </w:tc>
      </w:tr>
    </w:tbl>
    <w:p w14:paraId="43AEAA3E" w14:textId="77777777" w:rsidR="00E609B6" w:rsidRPr="00E609B6" w:rsidRDefault="00E609B6" w:rsidP="00E609B6">
      <w:pPr>
        <w:rPr>
          <w:rFonts w:ascii="Calibri" w:eastAsia="Calibri" w:hAnsi="Calibri" w:cs="Times New Roman"/>
          <w:kern w:val="0"/>
          <w:lang w:val="en-US"/>
          <w14:ligatures w14:val="none"/>
        </w:rPr>
      </w:pPr>
    </w:p>
    <w:p w14:paraId="1EC5DC1A" w14:textId="77777777" w:rsidR="00E609B6" w:rsidRPr="00E609B6" w:rsidRDefault="00E609B6" w:rsidP="00E609B6">
      <w:pPr>
        <w:rPr>
          <w:rFonts w:ascii="Calibri" w:eastAsia="Calibri" w:hAnsi="Calibri" w:cs="Times New Roman"/>
          <w:kern w:val="0"/>
          <w:lang w:val="en-US"/>
          <w14:ligatures w14:val="none"/>
        </w:rPr>
      </w:pPr>
    </w:p>
    <w:p w14:paraId="2799812D" w14:textId="77777777" w:rsidR="00E609B6" w:rsidRPr="00E609B6" w:rsidRDefault="00E609B6" w:rsidP="00E609B6">
      <w:pPr>
        <w:rPr>
          <w:rFonts w:ascii="Calibri" w:eastAsia="Calibri" w:hAnsi="Calibri" w:cs="Times New Roman"/>
          <w:kern w:val="0"/>
          <w:lang w:val="en-US"/>
          <w14:ligatures w14:val="none"/>
        </w:rPr>
      </w:pPr>
    </w:p>
    <w:p w14:paraId="46FD69DF" w14:textId="77777777" w:rsidR="00E609B6" w:rsidRPr="00E609B6" w:rsidRDefault="00E609B6" w:rsidP="00E609B6">
      <w:pPr>
        <w:rPr>
          <w:rFonts w:ascii="Calibri" w:eastAsia="Calibri" w:hAnsi="Calibri" w:cs="Times New Roman"/>
          <w:kern w:val="0"/>
          <w:lang w:val="en-US"/>
          <w14:ligatures w14:val="none"/>
        </w:rPr>
      </w:pPr>
    </w:p>
    <w:p w14:paraId="02D377A4" w14:textId="77777777" w:rsidR="00E609B6" w:rsidRPr="00E609B6" w:rsidRDefault="00E609B6" w:rsidP="00E609B6">
      <w:pPr>
        <w:rPr>
          <w:rFonts w:ascii="Calibri" w:eastAsia="Calibri" w:hAnsi="Calibri" w:cs="Times New Roman"/>
          <w:kern w:val="0"/>
          <w:lang w:val="en-US"/>
          <w14:ligatures w14:val="none"/>
        </w:rPr>
      </w:pPr>
    </w:p>
    <w:p w14:paraId="05A18A13" w14:textId="77777777" w:rsidR="00E609B6" w:rsidRPr="00E609B6" w:rsidRDefault="00E609B6" w:rsidP="00E609B6">
      <w:pPr>
        <w:rPr>
          <w:rFonts w:ascii="Calibri" w:eastAsia="Calibri" w:hAnsi="Calibri" w:cs="Times New Roman"/>
          <w:kern w:val="0"/>
          <w:lang w:val="en-US"/>
          <w14:ligatures w14:val="none"/>
        </w:rPr>
      </w:pPr>
    </w:p>
    <w:p w14:paraId="213AB6ED" w14:textId="77777777" w:rsidR="00E609B6" w:rsidRPr="00E609B6" w:rsidRDefault="00E609B6" w:rsidP="00E609B6">
      <w:pPr>
        <w:rPr>
          <w:rFonts w:ascii="Calibri" w:eastAsia="Calibri" w:hAnsi="Calibri" w:cs="Times New Roman"/>
          <w:kern w:val="0"/>
          <w:lang w:val="en-US"/>
          <w14:ligatures w14:val="none"/>
        </w:rPr>
      </w:pPr>
    </w:p>
    <w:p w14:paraId="64885929" w14:textId="77777777" w:rsidR="00E609B6" w:rsidRPr="00E609B6" w:rsidRDefault="00E609B6" w:rsidP="00E609B6">
      <w:pPr>
        <w:rPr>
          <w:rFonts w:ascii="Calibri" w:eastAsia="Calibri" w:hAnsi="Calibri" w:cs="Times New Roman"/>
          <w:kern w:val="0"/>
          <w:lang w:val="en-US"/>
          <w14:ligatures w14:val="none"/>
        </w:rPr>
      </w:pPr>
    </w:p>
    <w:p w14:paraId="5DD157E4" w14:textId="77777777" w:rsidR="00E609B6" w:rsidRPr="00E609B6" w:rsidRDefault="00E609B6" w:rsidP="00E609B6">
      <w:pPr>
        <w:rPr>
          <w:rFonts w:ascii="Calibri" w:eastAsia="Calibri" w:hAnsi="Calibri" w:cs="Times New Roman"/>
          <w:kern w:val="0"/>
          <w:lang w:val="en-US"/>
          <w14:ligatures w14:val="none"/>
        </w:rPr>
      </w:pPr>
    </w:p>
    <w:p w14:paraId="4325ADD4" w14:textId="77777777" w:rsidR="00E609B6" w:rsidRPr="00E609B6" w:rsidRDefault="00E609B6" w:rsidP="00E609B6">
      <w:pPr>
        <w:rPr>
          <w:rFonts w:ascii="Calibri" w:eastAsia="Calibri" w:hAnsi="Calibri" w:cs="Times New Roman"/>
          <w:kern w:val="0"/>
          <w:lang w:val="en-US"/>
          <w14:ligatures w14:val="none"/>
        </w:rPr>
      </w:pPr>
    </w:p>
    <w:p w14:paraId="178A7C5A" w14:textId="77777777" w:rsidR="00E609B6" w:rsidRPr="00E609B6" w:rsidRDefault="00E609B6" w:rsidP="00E609B6">
      <w:pPr>
        <w:rPr>
          <w:rFonts w:ascii="Calibri" w:eastAsia="Calibri" w:hAnsi="Calibri" w:cs="Times New Roman"/>
          <w:kern w:val="0"/>
          <w:lang w:val="en-US"/>
          <w14:ligatures w14:val="none"/>
        </w:rPr>
      </w:pPr>
    </w:p>
    <w:p w14:paraId="36D15679" w14:textId="77777777" w:rsidR="00E609B6" w:rsidRPr="00E609B6" w:rsidRDefault="00E609B6" w:rsidP="00E609B6">
      <w:pPr>
        <w:rPr>
          <w:rFonts w:ascii="Calibri" w:eastAsia="Calibri" w:hAnsi="Calibri" w:cs="Times New Roman"/>
          <w:kern w:val="0"/>
          <w:lang w:val="en-US"/>
          <w14:ligatures w14:val="none"/>
        </w:rPr>
      </w:pPr>
    </w:p>
    <w:p w14:paraId="17EF2844" w14:textId="77777777" w:rsidR="00E609B6" w:rsidRPr="00E609B6" w:rsidRDefault="00E609B6" w:rsidP="00E609B6">
      <w:pPr>
        <w:rPr>
          <w:rFonts w:ascii="Calibri" w:eastAsia="Calibri" w:hAnsi="Calibri" w:cs="Times New Roman"/>
          <w:kern w:val="0"/>
          <w:lang w:val="en-US"/>
          <w14:ligatures w14:val="none"/>
        </w:rPr>
      </w:pPr>
    </w:p>
    <w:p w14:paraId="4CE8770B" w14:textId="77777777" w:rsidR="00E609B6" w:rsidRPr="00E609B6" w:rsidRDefault="00E609B6" w:rsidP="00E609B6">
      <w:pPr>
        <w:rPr>
          <w:rFonts w:ascii="Calibri" w:eastAsia="Calibri" w:hAnsi="Calibri" w:cs="Times New Roman"/>
          <w:kern w:val="0"/>
          <w:lang w:val="en-US"/>
          <w14:ligatures w14:val="none"/>
        </w:rPr>
      </w:pPr>
    </w:p>
    <w:p w14:paraId="0D2BBFA2" w14:textId="77777777" w:rsidR="00E609B6" w:rsidRPr="00E609B6" w:rsidRDefault="00E609B6" w:rsidP="00E609B6">
      <w:pPr>
        <w:rPr>
          <w:rFonts w:ascii="Calibri" w:eastAsia="Calibri" w:hAnsi="Calibri" w:cs="Times New Roman"/>
          <w:kern w:val="0"/>
          <w:lang w:val="en-US"/>
          <w14:ligatures w14:val="none"/>
        </w:rPr>
      </w:pPr>
    </w:p>
    <w:p w14:paraId="62636D23" w14:textId="77777777" w:rsidR="00E609B6" w:rsidRPr="00E609B6" w:rsidRDefault="00E609B6" w:rsidP="00E609B6">
      <w:pPr>
        <w:rPr>
          <w:rFonts w:ascii="Calibri" w:eastAsia="Calibri" w:hAnsi="Calibri" w:cs="Times New Roman"/>
          <w:kern w:val="0"/>
          <w:lang w:val="en-US"/>
          <w14:ligatures w14:val="none"/>
        </w:rPr>
      </w:pPr>
    </w:p>
    <w:p w14:paraId="1B5EB5E7" w14:textId="77777777" w:rsidR="00E609B6" w:rsidRPr="00E609B6" w:rsidRDefault="00E609B6" w:rsidP="00E609B6">
      <w:pPr>
        <w:rPr>
          <w:rFonts w:ascii="Calibri" w:eastAsia="Calibri" w:hAnsi="Calibri" w:cs="Times New Roman"/>
          <w:kern w:val="0"/>
          <w:lang w:val="en-US"/>
          <w14:ligatures w14:val="none"/>
        </w:rPr>
      </w:pPr>
    </w:p>
    <w:p w14:paraId="1B751EC2" w14:textId="77777777" w:rsidR="00E609B6" w:rsidRPr="00E609B6" w:rsidRDefault="00E609B6" w:rsidP="00E609B6">
      <w:pPr>
        <w:rPr>
          <w:rFonts w:ascii="Calibri" w:eastAsia="Calibri" w:hAnsi="Calibri" w:cs="Times New Roman"/>
          <w:kern w:val="0"/>
          <w:lang w:val="en-US"/>
          <w14:ligatures w14:val="none"/>
        </w:rPr>
      </w:pPr>
    </w:p>
    <w:p w14:paraId="31D8950D" w14:textId="77777777" w:rsidR="00E609B6" w:rsidRDefault="00E609B6">
      <w:pPr>
        <w:rPr>
          <w:b/>
          <w:bCs/>
          <w:sz w:val="24"/>
          <w:szCs w:val="24"/>
        </w:rPr>
      </w:pPr>
      <w:r>
        <w:rPr>
          <w:b/>
          <w:bCs/>
          <w:sz w:val="24"/>
          <w:szCs w:val="24"/>
        </w:rPr>
        <w:br w:type="page"/>
      </w:r>
    </w:p>
    <w:p w14:paraId="705B61C8" w14:textId="1D827BEA" w:rsidR="00EC567F" w:rsidRPr="003F59D6" w:rsidRDefault="00EC567F" w:rsidP="003F59D6">
      <w:pPr>
        <w:rPr>
          <w:b/>
          <w:bCs/>
          <w:sz w:val="24"/>
          <w:szCs w:val="24"/>
        </w:rPr>
      </w:pPr>
      <w:r w:rsidRPr="003F59D6">
        <w:rPr>
          <w:b/>
          <w:bCs/>
          <w:sz w:val="24"/>
          <w:szCs w:val="24"/>
        </w:rPr>
        <w:lastRenderedPageBreak/>
        <w:t>Is Barbara Bender’s theory of contested space complemented by Christopher Tilley’s phenomenological perspective?</w:t>
      </w:r>
      <w:r w:rsidR="00781B30" w:rsidRPr="003F59D6">
        <w:rPr>
          <w:b/>
          <w:bCs/>
          <w:sz w:val="24"/>
          <w:szCs w:val="24"/>
        </w:rPr>
        <w:t xml:space="preserve"> </w:t>
      </w:r>
    </w:p>
    <w:p w14:paraId="7CC332B5" w14:textId="032C30BD" w:rsidR="00EC567F" w:rsidRPr="003F59D6" w:rsidRDefault="00EC567F" w:rsidP="003F59D6">
      <w:pPr>
        <w:rPr>
          <w:b/>
          <w:bCs/>
          <w:sz w:val="24"/>
          <w:szCs w:val="24"/>
        </w:rPr>
      </w:pPr>
      <w:r w:rsidRPr="003F59D6">
        <w:rPr>
          <w:b/>
          <w:bCs/>
          <w:sz w:val="24"/>
          <w:szCs w:val="24"/>
        </w:rPr>
        <w:t>Introduc</w:t>
      </w:r>
      <w:r w:rsidR="002C7298" w:rsidRPr="003F59D6">
        <w:rPr>
          <w:b/>
          <w:bCs/>
          <w:sz w:val="24"/>
          <w:szCs w:val="24"/>
        </w:rPr>
        <w:t>tion</w:t>
      </w:r>
    </w:p>
    <w:p w14:paraId="677D5019" w14:textId="7F5FA56D" w:rsidR="00EC567F" w:rsidRPr="00781B30" w:rsidRDefault="00EC567F" w:rsidP="000C071D">
      <w:pPr>
        <w:rPr>
          <w:sz w:val="24"/>
          <w:szCs w:val="24"/>
        </w:rPr>
      </w:pPr>
      <w:r w:rsidRPr="00781B30">
        <w:rPr>
          <w:sz w:val="24"/>
          <w:szCs w:val="24"/>
        </w:rPr>
        <w:t>Working across archaeology and anthropology, Barbara Bender and Christopher Tilley</w:t>
      </w:r>
      <w:r w:rsidR="00935461" w:rsidRPr="00781B30">
        <w:rPr>
          <w:sz w:val="24"/>
          <w:szCs w:val="24"/>
        </w:rPr>
        <w:t xml:space="preserve"> (</w:t>
      </w:r>
      <w:r w:rsidR="0073280B">
        <w:rPr>
          <w:sz w:val="24"/>
          <w:szCs w:val="24"/>
        </w:rPr>
        <w:t>1955-2024</w:t>
      </w:r>
      <w:r w:rsidR="00935461" w:rsidRPr="00781B30">
        <w:rPr>
          <w:sz w:val="24"/>
          <w:szCs w:val="24"/>
        </w:rPr>
        <w:t>)</w:t>
      </w:r>
      <w:r w:rsidRPr="00781B30">
        <w:rPr>
          <w:sz w:val="24"/>
          <w:szCs w:val="24"/>
        </w:rPr>
        <w:t xml:space="preserve"> collaborated with each other in the 1990s and 2000s, exploring people’s relationships with landscapes, with a focus on the archaeology of Neolithic Britain.</w:t>
      </w:r>
      <w:r w:rsidRPr="00781B30">
        <w:rPr>
          <w:rStyle w:val="FootnoteReference"/>
          <w:sz w:val="24"/>
          <w:szCs w:val="24"/>
        </w:rPr>
        <w:footnoteReference w:id="1"/>
      </w:r>
      <w:r w:rsidRPr="00781B30">
        <w:rPr>
          <w:sz w:val="24"/>
          <w:szCs w:val="24"/>
        </w:rPr>
        <w:t xml:space="preserve"> This essay looks at whether and in what ways two of their key approaches </w:t>
      </w:r>
      <w:r w:rsidR="0073280B">
        <w:rPr>
          <w:sz w:val="24"/>
          <w:szCs w:val="24"/>
        </w:rPr>
        <w:t xml:space="preserve">can be seen to </w:t>
      </w:r>
      <w:r w:rsidRPr="00781B30">
        <w:rPr>
          <w:sz w:val="24"/>
          <w:szCs w:val="24"/>
        </w:rPr>
        <w:t xml:space="preserve">complement one another: Bender’s theory of contested space and Tilley’s phenomenological perspective. </w:t>
      </w:r>
      <w:r w:rsidR="00A47B0D">
        <w:rPr>
          <w:sz w:val="24"/>
          <w:szCs w:val="24"/>
        </w:rPr>
        <w:t>It</w:t>
      </w:r>
      <w:r w:rsidRPr="00781B30">
        <w:rPr>
          <w:sz w:val="24"/>
          <w:szCs w:val="24"/>
        </w:rPr>
        <w:t xml:space="preserve"> focus</w:t>
      </w:r>
      <w:r w:rsidR="0073280B">
        <w:rPr>
          <w:sz w:val="24"/>
          <w:szCs w:val="24"/>
        </w:rPr>
        <w:t>es</w:t>
      </w:r>
      <w:r w:rsidRPr="00781B30">
        <w:rPr>
          <w:sz w:val="24"/>
          <w:szCs w:val="24"/>
        </w:rPr>
        <w:t xml:space="preserve"> primarily on Tilley’s </w:t>
      </w:r>
      <w:r w:rsidRPr="00781B30">
        <w:rPr>
          <w:i/>
          <w:iCs/>
          <w:sz w:val="24"/>
          <w:szCs w:val="24"/>
        </w:rPr>
        <w:t xml:space="preserve">A Phenomenology of Landscape: Places, Paths and Monuments, </w:t>
      </w:r>
      <w:r w:rsidRPr="00781B30">
        <w:rPr>
          <w:sz w:val="24"/>
          <w:szCs w:val="24"/>
        </w:rPr>
        <w:t xml:space="preserve">Chapter 1: ‘Space, Place, Landscape and Perception: Phenomenological Perspectives’ </w:t>
      </w:r>
      <w:r w:rsidRPr="00781B30">
        <w:rPr>
          <w:rStyle w:val="FootnoteReference"/>
          <w:sz w:val="24"/>
          <w:szCs w:val="24"/>
        </w:rPr>
        <w:footnoteReference w:id="2"/>
      </w:r>
      <w:r w:rsidRPr="00781B30">
        <w:rPr>
          <w:i/>
          <w:iCs/>
          <w:sz w:val="24"/>
          <w:szCs w:val="24"/>
        </w:rPr>
        <w:t xml:space="preserve"> </w:t>
      </w:r>
      <w:r w:rsidRPr="00781B30">
        <w:rPr>
          <w:sz w:val="24"/>
          <w:szCs w:val="24"/>
        </w:rPr>
        <w:t xml:space="preserve">and Bender’s </w:t>
      </w:r>
      <w:r w:rsidRPr="00781B30">
        <w:rPr>
          <w:i/>
          <w:iCs/>
          <w:sz w:val="24"/>
          <w:szCs w:val="24"/>
        </w:rPr>
        <w:t>Stonehenge: Making Space</w:t>
      </w:r>
      <w:r w:rsidRPr="00781B30">
        <w:rPr>
          <w:sz w:val="24"/>
          <w:szCs w:val="24"/>
        </w:rPr>
        <w:t>, Chapter 4: ‘Contested Landscapes: Medieval to Present Day’,</w:t>
      </w:r>
      <w:r w:rsidRPr="00781B30">
        <w:rPr>
          <w:rStyle w:val="FootnoteReference"/>
          <w:sz w:val="24"/>
          <w:szCs w:val="24"/>
        </w:rPr>
        <w:footnoteReference w:id="3"/>
      </w:r>
      <w:r w:rsidRPr="00781B30">
        <w:rPr>
          <w:sz w:val="24"/>
          <w:szCs w:val="24"/>
        </w:rPr>
        <w:t xml:space="preserve"> whilst drawing on the wider works of both </w:t>
      </w:r>
      <w:r w:rsidR="004E08F5">
        <w:rPr>
          <w:sz w:val="24"/>
          <w:szCs w:val="24"/>
        </w:rPr>
        <w:t>Tilley and Bender</w:t>
      </w:r>
      <w:r w:rsidRPr="00781B30">
        <w:rPr>
          <w:sz w:val="24"/>
          <w:szCs w:val="24"/>
        </w:rPr>
        <w:t xml:space="preserve"> </w:t>
      </w:r>
      <w:r w:rsidR="0073280B">
        <w:rPr>
          <w:sz w:val="24"/>
          <w:szCs w:val="24"/>
        </w:rPr>
        <w:t>and</w:t>
      </w:r>
      <w:r w:rsidRPr="00781B30">
        <w:rPr>
          <w:sz w:val="24"/>
          <w:szCs w:val="24"/>
        </w:rPr>
        <w:t xml:space="preserve"> contributions from other </w:t>
      </w:r>
      <w:r w:rsidR="004E08F5">
        <w:rPr>
          <w:sz w:val="24"/>
          <w:szCs w:val="24"/>
        </w:rPr>
        <w:t>scholars</w:t>
      </w:r>
      <w:r w:rsidRPr="00781B30">
        <w:rPr>
          <w:sz w:val="24"/>
          <w:szCs w:val="24"/>
        </w:rPr>
        <w:t>.</w:t>
      </w:r>
    </w:p>
    <w:p w14:paraId="4D76C325" w14:textId="24B9DCEF" w:rsidR="00EC567F" w:rsidRPr="003F59D6" w:rsidRDefault="00781B30" w:rsidP="003F59D6">
      <w:pPr>
        <w:rPr>
          <w:b/>
          <w:bCs/>
          <w:sz w:val="24"/>
          <w:szCs w:val="24"/>
        </w:rPr>
      </w:pPr>
      <w:r w:rsidRPr="003F59D6">
        <w:rPr>
          <w:b/>
          <w:bCs/>
          <w:sz w:val="24"/>
          <w:szCs w:val="24"/>
        </w:rPr>
        <w:t>Background to Bender and Tilley</w:t>
      </w:r>
    </w:p>
    <w:p w14:paraId="1072F9C6" w14:textId="481C2DFB" w:rsidR="00AE4A7C" w:rsidRPr="00781B30" w:rsidRDefault="00EC567F" w:rsidP="000C071D">
      <w:pPr>
        <w:rPr>
          <w:sz w:val="24"/>
          <w:szCs w:val="24"/>
        </w:rPr>
      </w:pPr>
      <w:r w:rsidRPr="00781B30">
        <w:rPr>
          <w:sz w:val="24"/>
          <w:szCs w:val="24"/>
        </w:rPr>
        <w:t xml:space="preserve">Both Bender and Tilley </w:t>
      </w:r>
      <w:r w:rsidR="00935461" w:rsidRPr="00781B30">
        <w:rPr>
          <w:sz w:val="24"/>
          <w:szCs w:val="24"/>
        </w:rPr>
        <w:t>came</w:t>
      </w:r>
      <w:r w:rsidRPr="00781B30">
        <w:rPr>
          <w:sz w:val="24"/>
          <w:szCs w:val="24"/>
        </w:rPr>
        <w:t xml:space="preserve"> from the </w:t>
      </w:r>
      <w:r w:rsidR="003A1A3D" w:rsidRPr="00781B30">
        <w:rPr>
          <w:sz w:val="24"/>
          <w:szCs w:val="24"/>
        </w:rPr>
        <w:t>‘</w:t>
      </w:r>
      <w:r w:rsidRPr="00781B30">
        <w:rPr>
          <w:sz w:val="24"/>
          <w:szCs w:val="24"/>
        </w:rPr>
        <w:t>post-processual</w:t>
      </w:r>
      <w:r w:rsidR="003A1A3D" w:rsidRPr="00781B30">
        <w:rPr>
          <w:sz w:val="24"/>
          <w:szCs w:val="24"/>
        </w:rPr>
        <w:t>’</w:t>
      </w:r>
      <w:r w:rsidRPr="00781B30">
        <w:rPr>
          <w:sz w:val="24"/>
          <w:szCs w:val="24"/>
        </w:rPr>
        <w:t xml:space="preserve"> school of archaeology that emerged in the 1980</w:t>
      </w:r>
      <w:r w:rsidR="0093345D">
        <w:rPr>
          <w:sz w:val="24"/>
          <w:szCs w:val="24"/>
        </w:rPr>
        <w:t>s and 1990s</w:t>
      </w:r>
      <w:r w:rsidRPr="00781B30">
        <w:rPr>
          <w:sz w:val="24"/>
          <w:szCs w:val="24"/>
        </w:rPr>
        <w:t xml:space="preserve"> </w:t>
      </w:r>
      <w:r w:rsidR="00A47B0D">
        <w:rPr>
          <w:sz w:val="24"/>
          <w:szCs w:val="24"/>
        </w:rPr>
        <w:t>in response</w:t>
      </w:r>
      <w:r w:rsidRPr="00781B30">
        <w:rPr>
          <w:sz w:val="24"/>
          <w:szCs w:val="24"/>
        </w:rPr>
        <w:t xml:space="preserve"> to what </w:t>
      </w:r>
      <w:r w:rsidR="005A44C3">
        <w:rPr>
          <w:sz w:val="24"/>
          <w:szCs w:val="24"/>
        </w:rPr>
        <w:t>some</w:t>
      </w:r>
      <w:r w:rsidR="00123B9C">
        <w:rPr>
          <w:sz w:val="24"/>
          <w:szCs w:val="24"/>
        </w:rPr>
        <w:t xml:space="preserve"> saw</w:t>
      </w:r>
      <w:r w:rsidRPr="00781B30">
        <w:rPr>
          <w:sz w:val="24"/>
          <w:szCs w:val="24"/>
        </w:rPr>
        <w:t xml:space="preserve"> as archaeology</w:t>
      </w:r>
      <w:r w:rsidR="00A47B0D">
        <w:rPr>
          <w:sz w:val="24"/>
          <w:szCs w:val="24"/>
        </w:rPr>
        <w:t>’s over-emphasis on</w:t>
      </w:r>
      <w:r w:rsidR="00935461" w:rsidRPr="00781B30">
        <w:rPr>
          <w:sz w:val="24"/>
          <w:szCs w:val="24"/>
        </w:rPr>
        <w:t xml:space="preserve"> positivist approaches and quantitative methods</w:t>
      </w:r>
      <w:r w:rsidR="003A1A3D" w:rsidRPr="00781B30">
        <w:rPr>
          <w:sz w:val="24"/>
          <w:szCs w:val="24"/>
        </w:rPr>
        <w:t>.</w:t>
      </w:r>
      <w:r w:rsidR="00935461" w:rsidRPr="00781B30">
        <w:rPr>
          <w:rStyle w:val="FootnoteReference"/>
          <w:color w:val="000000" w:themeColor="text1"/>
          <w:sz w:val="24"/>
          <w:szCs w:val="24"/>
        </w:rPr>
        <w:footnoteReference w:id="4"/>
      </w:r>
      <w:r w:rsidR="003A1A3D" w:rsidRPr="00781B30">
        <w:rPr>
          <w:sz w:val="24"/>
          <w:szCs w:val="24"/>
        </w:rPr>
        <w:t xml:space="preserve"> P</w:t>
      </w:r>
      <w:r w:rsidR="00935461" w:rsidRPr="00781B30">
        <w:rPr>
          <w:sz w:val="24"/>
          <w:szCs w:val="24"/>
        </w:rPr>
        <w:t>ost-processual</w:t>
      </w:r>
      <w:r w:rsidR="00F141BF">
        <w:rPr>
          <w:sz w:val="24"/>
          <w:szCs w:val="24"/>
        </w:rPr>
        <w:t xml:space="preserve"> archaeologist</w:t>
      </w:r>
      <w:r w:rsidR="00F141BF" w:rsidRPr="00781B30">
        <w:rPr>
          <w:sz w:val="24"/>
          <w:szCs w:val="24"/>
        </w:rPr>
        <w:t>s</w:t>
      </w:r>
      <w:r w:rsidR="00935461" w:rsidRPr="00781B30">
        <w:rPr>
          <w:sz w:val="24"/>
          <w:szCs w:val="24"/>
        </w:rPr>
        <w:t xml:space="preserve"> </w:t>
      </w:r>
      <w:r w:rsidR="003A1A3D" w:rsidRPr="00781B30">
        <w:rPr>
          <w:sz w:val="24"/>
          <w:szCs w:val="24"/>
        </w:rPr>
        <w:t>argued</w:t>
      </w:r>
      <w:r w:rsidR="00935461" w:rsidRPr="00781B30">
        <w:rPr>
          <w:sz w:val="24"/>
          <w:szCs w:val="24"/>
        </w:rPr>
        <w:t xml:space="preserve"> that th</w:t>
      </w:r>
      <w:r w:rsidR="0062325C" w:rsidRPr="00781B30">
        <w:rPr>
          <w:sz w:val="24"/>
          <w:szCs w:val="24"/>
        </w:rPr>
        <w:t xml:space="preserve">is had </w:t>
      </w:r>
      <w:r w:rsidR="003A1A3D" w:rsidRPr="00781B30">
        <w:rPr>
          <w:sz w:val="24"/>
          <w:szCs w:val="24"/>
        </w:rPr>
        <w:t xml:space="preserve">led to </w:t>
      </w:r>
      <w:r w:rsidR="00935461" w:rsidRPr="00781B30">
        <w:rPr>
          <w:sz w:val="24"/>
          <w:szCs w:val="24"/>
        </w:rPr>
        <w:t>too narrow a view of people in the past</w:t>
      </w:r>
      <w:r w:rsidR="003A1A3D" w:rsidRPr="00781B30">
        <w:rPr>
          <w:sz w:val="24"/>
          <w:szCs w:val="24"/>
        </w:rPr>
        <w:t>,</w:t>
      </w:r>
      <w:r w:rsidR="00935461" w:rsidRPr="00781B30">
        <w:rPr>
          <w:rStyle w:val="FootnoteReference"/>
          <w:sz w:val="24"/>
          <w:szCs w:val="24"/>
        </w:rPr>
        <w:footnoteReference w:id="5"/>
      </w:r>
      <w:r w:rsidR="00935461" w:rsidRPr="00781B30">
        <w:rPr>
          <w:sz w:val="24"/>
          <w:szCs w:val="24"/>
        </w:rPr>
        <w:t xml:space="preserve"> </w:t>
      </w:r>
      <w:r w:rsidR="003A1A3D" w:rsidRPr="00781B30">
        <w:rPr>
          <w:sz w:val="24"/>
          <w:szCs w:val="24"/>
        </w:rPr>
        <w:t>and t</w:t>
      </w:r>
      <w:r w:rsidR="00935461" w:rsidRPr="00781B30">
        <w:rPr>
          <w:sz w:val="24"/>
          <w:szCs w:val="24"/>
        </w:rPr>
        <w:t xml:space="preserve">hey </w:t>
      </w:r>
      <w:r w:rsidR="0062325C" w:rsidRPr="00781B30">
        <w:rPr>
          <w:sz w:val="24"/>
          <w:szCs w:val="24"/>
        </w:rPr>
        <w:t>sought</w:t>
      </w:r>
      <w:r w:rsidR="00935461" w:rsidRPr="00781B30">
        <w:rPr>
          <w:sz w:val="24"/>
          <w:szCs w:val="24"/>
        </w:rPr>
        <w:t xml:space="preserve"> to develop </w:t>
      </w:r>
      <w:r w:rsidR="00935461" w:rsidRPr="00781B30">
        <w:rPr>
          <w:color w:val="000000" w:themeColor="text1"/>
          <w:sz w:val="24"/>
          <w:szCs w:val="24"/>
        </w:rPr>
        <w:t xml:space="preserve">perspectives on human experience, belief and meaning </w:t>
      </w:r>
      <w:r w:rsidR="0062325C" w:rsidRPr="00781B30">
        <w:rPr>
          <w:color w:val="000000" w:themeColor="text1"/>
          <w:sz w:val="24"/>
          <w:szCs w:val="24"/>
        </w:rPr>
        <w:t>by exploring new approaches</w:t>
      </w:r>
      <w:r w:rsidR="003A1A3D" w:rsidRPr="00781B30">
        <w:rPr>
          <w:color w:val="000000" w:themeColor="text1"/>
          <w:sz w:val="24"/>
          <w:szCs w:val="24"/>
        </w:rPr>
        <w:t>.</w:t>
      </w:r>
      <w:r w:rsidR="00935461" w:rsidRPr="00781B30">
        <w:rPr>
          <w:rStyle w:val="FootnoteReference"/>
          <w:color w:val="000000" w:themeColor="text1"/>
          <w:sz w:val="24"/>
          <w:szCs w:val="24"/>
        </w:rPr>
        <w:footnoteReference w:id="6"/>
      </w:r>
    </w:p>
    <w:p w14:paraId="3FD9A63D" w14:textId="4A971F88" w:rsidR="00EC567F" w:rsidRPr="00781B30" w:rsidRDefault="003A1A3D" w:rsidP="000C071D">
      <w:pPr>
        <w:ind w:firstLine="720"/>
        <w:rPr>
          <w:sz w:val="24"/>
          <w:szCs w:val="24"/>
        </w:rPr>
      </w:pPr>
      <w:r w:rsidRPr="00781B30">
        <w:rPr>
          <w:sz w:val="24"/>
          <w:szCs w:val="24"/>
        </w:rPr>
        <w:t xml:space="preserve">Tilley </w:t>
      </w:r>
      <w:r w:rsidR="00EC567F" w:rsidRPr="00781B30">
        <w:rPr>
          <w:sz w:val="24"/>
          <w:szCs w:val="24"/>
        </w:rPr>
        <w:t xml:space="preserve">was Professor </w:t>
      </w:r>
      <w:r w:rsidR="005A44C3" w:rsidRPr="00781B30">
        <w:rPr>
          <w:sz w:val="24"/>
          <w:szCs w:val="24"/>
        </w:rPr>
        <w:t xml:space="preserve">of Anthropology </w:t>
      </w:r>
      <w:r w:rsidR="00EC567F" w:rsidRPr="00781B30">
        <w:rPr>
          <w:sz w:val="24"/>
          <w:szCs w:val="24"/>
        </w:rPr>
        <w:t>at University College London, and was a key figure in archaeology and anthropology, working to bring the two disciplines together.</w:t>
      </w:r>
      <w:r w:rsidR="00EC567F" w:rsidRPr="00781B30">
        <w:rPr>
          <w:rStyle w:val="FootnoteReference"/>
          <w:sz w:val="24"/>
          <w:szCs w:val="24"/>
        </w:rPr>
        <w:footnoteReference w:id="7"/>
      </w:r>
      <w:r w:rsidR="00EC567F" w:rsidRPr="00781B30">
        <w:rPr>
          <w:sz w:val="24"/>
          <w:szCs w:val="24"/>
        </w:rPr>
        <w:t xml:space="preserve"> Tilley’s phenomenological </w:t>
      </w:r>
      <w:r w:rsidR="00122925">
        <w:rPr>
          <w:sz w:val="24"/>
          <w:szCs w:val="24"/>
        </w:rPr>
        <w:t>approach</w:t>
      </w:r>
      <w:r w:rsidRPr="00781B30">
        <w:rPr>
          <w:sz w:val="24"/>
          <w:szCs w:val="24"/>
        </w:rPr>
        <w:t xml:space="preserve">, first outlined in </w:t>
      </w:r>
      <w:r w:rsidRPr="00781B30">
        <w:rPr>
          <w:color w:val="000000" w:themeColor="text1"/>
          <w:sz w:val="24"/>
          <w:szCs w:val="24"/>
        </w:rPr>
        <w:t xml:space="preserve">detail in his </w:t>
      </w:r>
      <w:r w:rsidRPr="00781B30">
        <w:rPr>
          <w:i/>
          <w:iCs/>
          <w:color w:val="000000" w:themeColor="text1"/>
          <w:sz w:val="24"/>
          <w:szCs w:val="24"/>
        </w:rPr>
        <w:t>A Phenomenology of Landscape</w:t>
      </w:r>
      <w:r w:rsidRPr="00781B30">
        <w:rPr>
          <w:rStyle w:val="FootnoteReference"/>
          <w:i/>
          <w:iCs/>
          <w:color w:val="000000" w:themeColor="text1"/>
          <w:sz w:val="24"/>
          <w:szCs w:val="24"/>
        </w:rPr>
        <w:footnoteReference w:id="8"/>
      </w:r>
      <w:r w:rsidRPr="00781B30">
        <w:rPr>
          <w:i/>
          <w:iCs/>
          <w:color w:val="000000" w:themeColor="text1"/>
          <w:sz w:val="24"/>
          <w:szCs w:val="24"/>
        </w:rPr>
        <w:t>,</w:t>
      </w:r>
      <w:r w:rsidR="00123B9C">
        <w:rPr>
          <w:i/>
          <w:iCs/>
          <w:color w:val="000000" w:themeColor="text1"/>
          <w:sz w:val="24"/>
          <w:szCs w:val="24"/>
        </w:rPr>
        <w:t xml:space="preserve"> </w:t>
      </w:r>
      <w:r w:rsidR="00123B9C">
        <w:rPr>
          <w:color w:val="000000" w:themeColor="text1"/>
          <w:sz w:val="24"/>
          <w:szCs w:val="24"/>
        </w:rPr>
        <w:t>published in 1994,</w:t>
      </w:r>
      <w:r w:rsidR="00EC567F" w:rsidRPr="00781B30">
        <w:rPr>
          <w:color w:val="000000" w:themeColor="text1"/>
          <w:sz w:val="24"/>
          <w:szCs w:val="24"/>
        </w:rPr>
        <w:t xml:space="preserve"> </w:t>
      </w:r>
      <w:r w:rsidRPr="00781B30">
        <w:rPr>
          <w:color w:val="000000" w:themeColor="text1"/>
          <w:sz w:val="24"/>
          <w:szCs w:val="24"/>
        </w:rPr>
        <w:t>became</w:t>
      </w:r>
      <w:r w:rsidR="00EC567F" w:rsidRPr="00781B30">
        <w:rPr>
          <w:color w:val="000000" w:themeColor="text1"/>
          <w:sz w:val="24"/>
          <w:szCs w:val="24"/>
        </w:rPr>
        <w:t xml:space="preserve"> a key perspective in post-processual archaeological theory.</w:t>
      </w:r>
      <w:r w:rsidR="00EC567F" w:rsidRPr="00781B30">
        <w:rPr>
          <w:rStyle w:val="FootnoteReference"/>
          <w:color w:val="000000" w:themeColor="text1"/>
          <w:sz w:val="24"/>
          <w:szCs w:val="24"/>
        </w:rPr>
        <w:footnoteReference w:id="9"/>
      </w:r>
      <w:r w:rsidR="00EC567F" w:rsidRPr="00781B30">
        <w:rPr>
          <w:color w:val="000000" w:themeColor="text1"/>
          <w:sz w:val="24"/>
          <w:szCs w:val="24"/>
        </w:rPr>
        <w:t xml:space="preserve"> </w:t>
      </w:r>
      <w:r w:rsidRPr="00781B30">
        <w:rPr>
          <w:color w:val="000000" w:themeColor="text1"/>
          <w:sz w:val="24"/>
          <w:szCs w:val="24"/>
        </w:rPr>
        <w:t>For Tilley, l</w:t>
      </w:r>
      <w:r w:rsidR="00EC567F" w:rsidRPr="00781B30">
        <w:rPr>
          <w:color w:val="000000" w:themeColor="text1"/>
          <w:sz w:val="24"/>
          <w:szCs w:val="24"/>
        </w:rPr>
        <w:t xml:space="preserve">andscapes </w:t>
      </w:r>
      <w:r w:rsidRPr="00781B30">
        <w:rPr>
          <w:color w:val="000000" w:themeColor="text1"/>
          <w:sz w:val="24"/>
          <w:szCs w:val="24"/>
        </w:rPr>
        <w:t>we</w:t>
      </w:r>
      <w:r w:rsidR="00EC567F" w:rsidRPr="00781B30">
        <w:rPr>
          <w:color w:val="000000" w:themeColor="text1"/>
          <w:sz w:val="24"/>
          <w:szCs w:val="24"/>
        </w:rPr>
        <w:t>re layered with meaning and experience</w:t>
      </w:r>
      <w:r w:rsidRPr="00781B30">
        <w:rPr>
          <w:color w:val="000000" w:themeColor="text1"/>
          <w:sz w:val="24"/>
          <w:szCs w:val="24"/>
        </w:rPr>
        <w:t xml:space="preserve">, and archaeological sites could not be understood outside of </w:t>
      </w:r>
      <w:r w:rsidR="0062325C" w:rsidRPr="00781B30">
        <w:rPr>
          <w:color w:val="000000" w:themeColor="text1"/>
          <w:sz w:val="24"/>
          <w:szCs w:val="24"/>
        </w:rPr>
        <w:t xml:space="preserve">the </w:t>
      </w:r>
      <w:r w:rsidRPr="00781B30">
        <w:rPr>
          <w:color w:val="000000" w:themeColor="text1"/>
          <w:sz w:val="24"/>
          <w:szCs w:val="24"/>
        </w:rPr>
        <w:t>wider landscapes in which they were embedded</w:t>
      </w:r>
      <w:r w:rsidR="00EC567F" w:rsidRPr="00781B30">
        <w:rPr>
          <w:color w:val="000000" w:themeColor="text1"/>
          <w:sz w:val="24"/>
          <w:szCs w:val="24"/>
        </w:rPr>
        <w:t>.</w:t>
      </w:r>
      <w:r w:rsidRPr="00781B30">
        <w:rPr>
          <w:color w:val="000000" w:themeColor="text1"/>
          <w:sz w:val="24"/>
          <w:szCs w:val="24"/>
        </w:rPr>
        <w:t xml:space="preserve"> His interest lay in </w:t>
      </w:r>
      <w:r w:rsidRPr="00781B30">
        <w:rPr>
          <w:sz w:val="24"/>
          <w:szCs w:val="24"/>
        </w:rPr>
        <w:t xml:space="preserve">building understandings of </w:t>
      </w:r>
      <w:r w:rsidRPr="00781B30">
        <w:rPr>
          <w:sz w:val="24"/>
          <w:szCs w:val="24"/>
        </w:rPr>
        <w:lastRenderedPageBreak/>
        <w:t xml:space="preserve">the ways in which people engage with and comprehend the world, with an emphasis on </w:t>
      </w:r>
      <w:r w:rsidR="0062325C" w:rsidRPr="00781B30">
        <w:rPr>
          <w:sz w:val="24"/>
          <w:szCs w:val="24"/>
        </w:rPr>
        <w:t>the</w:t>
      </w:r>
      <w:r w:rsidRPr="00781B30">
        <w:rPr>
          <w:sz w:val="24"/>
          <w:szCs w:val="24"/>
        </w:rPr>
        <w:t xml:space="preserve"> bodily experience of landscapes</w:t>
      </w:r>
      <w:r w:rsidR="004E08F5">
        <w:rPr>
          <w:sz w:val="24"/>
          <w:szCs w:val="24"/>
        </w:rPr>
        <w:t>,</w:t>
      </w:r>
      <w:r w:rsidRPr="00781B30">
        <w:rPr>
          <w:sz w:val="24"/>
          <w:szCs w:val="24"/>
        </w:rPr>
        <w:t xml:space="preserve"> and what this might tell us about the relationships between </w:t>
      </w:r>
      <w:r w:rsidR="0062325C" w:rsidRPr="00781B30">
        <w:rPr>
          <w:sz w:val="24"/>
          <w:szCs w:val="24"/>
        </w:rPr>
        <w:t xml:space="preserve">the </w:t>
      </w:r>
      <w:r w:rsidRPr="00781B30">
        <w:rPr>
          <w:sz w:val="24"/>
          <w:szCs w:val="24"/>
        </w:rPr>
        <w:t>people and landscapes of the past.</w:t>
      </w:r>
      <w:r w:rsidRPr="00781B30">
        <w:rPr>
          <w:rStyle w:val="FootnoteReference"/>
          <w:sz w:val="24"/>
          <w:szCs w:val="24"/>
        </w:rPr>
        <w:footnoteReference w:id="10"/>
      </w:r>
      <w:r w:rsidRPr="00781B30">
        <w:rPr>
          <w:sz w:val="24"/>
          <w:szCs w:val="24"/>
        </w:rPr>
        <w:t xml:space="preserve"> </w:t>
      </w:r>
    </w:p>
    <w:p w14:paraId="481593EC" w14:textId="7BFFD216" w:rsidR="002C7298" w:rsidRPr="00781B30" w:rsidRDefault="00EC567F" w:rsidP="000C071D">
      <w:pPr>
        <w:ind w:firstLine="720"/>
        <w:rPr>
          <w:color w:val="000000" w:themeColor="text1"/>
          <w:sz w:val="24"/>
          <w:szCs w:val="24"/>
        </w:rPr>
      </w:pPr>
      <w:r w:rsidRPr="00781B30">
        <w:rPr>
          <w:sz w:val="24"/>
          <w:szCs w:val="24"/>
        </w:rPr>
        <w:t>Bender is currently Emeritus Professor of Heritage Anthropology at University College London.</w:t>
      </w:r>
      <w:r w:rsidRPr="00781B30">
        <w:rPr>
          <w:rStyle w:val="FootnoteReference"/>
          <w:sz w:val="24"/>
          <w:szCs w:val="24"/>
        </w:rPr>
        <w:footnoteReference w:id="11"/>
      </w:r>
      <w:r w:rsidRPr="00781B30">
        <w:rPr>
          <w:sz w:val="24"/>
          <w:szCs w:val="24"/>
        </w:rPr>
        <w:t xml:space="preserve"> </w:t>
      </w:r>
      <w:r w:rsidR="00122925">
        <w:rPr>
          <w:sz w:val="24"/>
          <w:szCs w:val="24"/>
        </w:rPr>
        <w:t>Working across</w:t>
      </w:r>
      <w:r w:rsidR="00AE4A7C" w:rsidRPr="00781B30">
        <w:rPr>
          <w:sz w:val="24"/>
          <w:szCs w:val="24"/>
        </w:rPr>
        <w:t xml:space="preserve"> </w:t>
      </w:r>
      <w:r w:rsidRPr="00781B30">
        <w:rPr>
          <w:sz w:val="24"/>
          <w:szCs w:val="24"/>
        </w:rPr>
        <w:t>archaeology and anthropology</w:t>
      </w:r>
      <w:r w:rsidR="00AE4A7C" w:rsidRPr="00781B30">
        <w:rPr>
          <w:sz w:val="24"/>
          <w:szCs w:val="24"/>
        </w:rPr>
        <w:t xml:space="preserve">, </w:t>
      </w:r>
      <w:r w:rsidR="00122925">
        <w:rPr>
          <w:sz w:val="24"/>
          <w:szCs w:val="24"/>
        </w:rPr>
        <w:t xml:space="preserve">she has combined </w:t>
      </w:r>
      <w:r w:rsidR="00122925" w:rsidRPr="00781B30">
        <w:rPr>
          <w:sz w:val="24"/>
          <w:szCs w:val="24"/>
        </w:rPr>
        <w:t>Marxis</w:t>
      </w:r>
      <w:r w:rsidR="00122925">
        <w:rPr>
          <w:sz w:val="24"/>
          <w:szCs w:val="24"/>
        </w:rPr>
        <w:t xml:space="preserve">t </w:t>
      </w:r>
      <w:r w:rsidR="00A47B0D">
        <w:rPr>
          <w:sz w:val="24"/>
          <w:szCs w:val="24"/>
        </w:rPr>
        <w:t>understandings of power</w:t>
      </w:r>
      <w:r w:rsidR="00122925">
        <w:rPr>
          <w:sz w:val="24"/>
          <w:szCs w:val="24"/>
        </w:rPr>
        <w:t xml:space="preserve"> with </w:t>
      </w:r>
      <w:r w:rsidR="00122925" w:rsidRPr="00781B30">
        <w:rPr>
          <w:sz w:val="24"/>
          <w:szCs w:val="24"/>
        </w:rPr>
        <w:t>phenomenological approaches</w:t>
      </w:r>
      <w:r w:rsidR="00122925">
        <w:rPr>
          <w:sz w:val="24"/>
          <w:szCs w:val="24"/>
        </w:rPr>
        <w:t xml:space="preserve"> to </w:t>
      </w:r>
      <w:r w:rsidR="005A44C3">
        <w:rPr>
          <w:sz w:val="24"/>
          <w:szCs w:val="24"/>
        </w:rPr>
        <w:t xml:space="preserve">inform a </w:t>
      </w:r>
      <w:r w:rsidR="00122925" w:rsidRPr="00781B30">
        <w:rPr>
          <w:sz w:val="24"/>
          <w:szCs w:val="24"/>
        </w:rPr>
        <w:t>multi-layered analysis of</w:t>
      </w:r>
      <w:r w:rsidR="00122925">
        <w:rPr>
          <w:sz w:val="24"/>
          <w:szCs w:val="24"/>
        </w:rPr>
        <w:t xml:space="preserve"> how</w:t>
      </w:r>
      <w:r w:rsidRPr="00781B30">
        <w:rPr>
          <w:sz w:val="24"/>
          <w:szCs w:val="24"/>
        </w:rPr>
        <w:t xml:space="preserve"> archaeological sites and landscapes are understood</w:t>
      </w:r>
      <w:r w:rsidR="00A47B0D">
        <w:rPr>
          <w:sz w:val="24"/>
          <w:szCs w:val="24"/>
        </w:rPr>
        <w:t xml:space="preserve">, </w:t>
      </w:r>
      <w:r w:rsidRPr="00781B30">
        <w:rPr>
          <w:sz w:val="24"/>
          <w:szCs w:val="24"/>
        </w:rPr>
        <w:t>interpreted</w:t>
      </w:r>
      <w:r w:rsidR="00A47B0D">
        <w:rPr>
          <w:sz w:val="24"/>
          <w:szCs w:val="24"/>
        </w:rPr>
        <w:t xml:space="preserve"> and contested</w:t>
      </w:r>
      <w:r w:rsidRPr="00781B30">
        <w:rPr>
          <w:sz w:val="24"/>
          <w:szCs w:val="24"/>
        </w:rPr>
        <w:t xml:space="preserve"> by different groups and individuals</w:t>
      </w:r>
      <w:r w:rsidR="004E08F5">
        <w:rPr>
          <w:sz w:val="24"/>
          <w:szCs w:val="24"/>
        </w:rPr>
        <w:t>, both historically and in the present day.</w:t>
      </w:r>
      <w:r w:rsidR="004E08F5">
        <w:rPr>
          <w:rStyle w:val="FootnoteReference"/>
          <w:sz w:val="24"/>
          <w:szCs w:val="24"/>
        </w:rPr>
        <w:footnoteReference w:id="12"/>
      </w:r>
    </w:p>
    <w:p w14:paraId="0CDFD8A4" w14:textId="6C5C9415" w:rsidR="005B02FE" w:rsidRPr="003F59D6" w:rsidRDefault="005B02FE" w:rsidP="003F59D6">
      <w:pPr>
        <w:rPr>
          <w:b/>
          <w:bCs/>
          <w:sz w:val="24"/>
          <w:szCs w:val="24"/>
        </w:rPr>
      </w:pPr>
      <w:r w:rsidRPr="003F59D6">
        <w:rPr>
          <w:b/>
          <w:bCs/>
          <w:sz w:val="24"/>
          <w:szCs w:val="24"/>
        </w:rPr>
        <w:t>Summar</w:t>
      </w:r>
      <w:r w:rsidR="00C94FD8" w:rsidRPr="003F59D6">
        <w:rPr>
          <w:b/>
          <w:bCs/>
          <w:sz w:val="24"/>
          <w:szCs w:val="24"/>
        </w:rPr>
        <w:t>y</w:t>
      </w:r>
      <w:r w:rsidR="00781B30" w:rsidRPr="003F59D6">
        <w:rPr>
          <w:b/>
          <w:bCs/>
          <w:sz w:val="24"/>
          <w:szCs w:val="24"/>
        </w:rPr>
        <w:t xml:space="preserve"> of </w:t>
      </w:r>
      <w:r w:rsidR="005A44C3" w:rsidRPr="003F59D6">
        <w:rPr>
          <w:b/>
          <w:bCs/>
          <w:sz w:val="24"/>
          <w:szCs w:val="24"/>
        </w:rPr>
        <w:t>key approaches</w:t>
      </w:r>
    </w:p>
    <w:p w14:paraId="0286D16A" w14:textId="77777777" w:rsidR="005B02FE" w:rsidRPr="003F59D6" w:rsidRDefault="005B02FE" w:rsidP="003F59D6">
      <w:pPr>
        <w:rPr>
          <w:i/>
          <w:iCs/>
          <w:sz w:val="24"/>
          <w:szCs w:val="24"/>
        </w:rPr>
      </w:pPr>
      <w:r w:rsidRPr="003F59D6">
        <w:rPr>
          <w:i/>
          <w:iCs/>
          <w:sz w:val="24"/>
          <w:szCs w:val="24"/>
        </w:rPr>
        <w:t>Bender’s theory of contested space</w:t>
      </w:r>
    </w:p>
    <w:p w14:paraId="1E2FF1F9" w14:textId="77777777" w:rsidR="00A47B0D" w:rsidRDefault="005B02FE" w:rsidP="000C071D">
      <w:pPr>
        <w:rPr>
          <w:color w:val="000000" w:themeColor="text1"/>
          <w:sz w:val="24"/>
          <w:szCs w:val="24"/>
        </w:rPr>
      </w:pPr>
      <w:r w:rsidRPr="00781B30">
        <w:rPr>
          <w:color w:val="000000" w:themeColor="text1"/>
          <w:sz w:val="24"/>
          <w:szCs w:val="24"/>
        </w:rPr>
        <w:t>Bender’s theory of contested space suggest</w:t>
      </w:r>
      <w:r w:rsidR="00A47B0D">
        <w:rPr>
          <w:color w:val="000000" w:themeColor="text1"/>
          <w:sz w:val="24"/>
          <w:szCs w:val="24"/>
        </w:rPr>
        <w:t>s</w:t>
      </w:r>
      <w:r w:rsidRPr="00781B30">
        <w:rPr>
          <w:color w:val="000000" w:themeColor="text1"/>
          <w:sz w:val="24"/>
          <w:szCs w:val="24"/>
        </w:rPr>
        <w:t xml:space="preserve"> that landscapes cannot be viewed as neutral spaces: </w:t>
      </w:r>
      <w:r w:rsidR="0062325C" w:rsidRPr="00781B30">
        <w:rPr>
          <w:color w:val="000000" w:themeColor="text1"/>
          <w:sz w:val="24"/>
          <w:szCs w:val="24"/>
        </w:rPr>
        <w:t>they</w:t>
      </w:r>
      <w:r w:rsidRPr="00781B30">
        <w:rPr>
          <w:color w:val="000000" w:themeColor="text1"/>
          <w:sz w:val="24"/>
          <w:szCs w:val="24"/>
        </w:rPr>
        <w:t xml:space="preserve"> create and are created by particular cultural, social and political contexts, with people appropriating and contesting landscapes to create and challenge individual and group identities.</w:t>
      </w:r>
      <w:r w:rsidRPr="00781B30">
        <w:rPr>
          <w:rStyle w:val="FootnoteReference"/>
          <w:color w:val="000000" w:themeColor="text1"/>
          <w:sz w:val="24"/>
          <w:szCs w:val="24"/>
        </w:rPr>
        <w:footnoteReference w:id="13"/>
      </w:r>
      <w:r w:rsidRPr="00781B30">
        <w:rPr>
          <w:color w:val="000000" w:themeColor="text1"/>
          <w:sz w:val="24"/>
          <w:szCs w:val="24"/>
        </w:rPr>
        <w:t xml:space="preserve"> Because of this, </w:t>
      </w:r>
      <w:r w:rsidR="00495713" w:rsidRPr="00781B30">
        <w:rPr>
          <w:color w:val="000000" w:themeColor="text1"/>
          <w:sz w:val="24"/>
          <w:szCs w:val="24"/>
        </w:rPr>
        <w:t>Bender suggest</w:t>
      </w:r>
      <w:r w:rsidR="00A47B0D">
        <w:rPr>
          <w:color w:val="000000" w:themeColor="text1"/>
          <w:sz w:val="24"/>
          <w:szCs w:val="24"/>
        </w:rPr>
        <w:t>ed</w:t>
      </w:r>
      <w:r w:rsidR="00495713" w:rsidRPr="00781B30">
        <w:rPr>
          <w:color w:val="000000" w:themeColor="text1"/>
          <w:sz w:val="24"/>
          <w:szCs w:val="24"/>
        </w:rPr>
        <w:t xml:space="preserve"> that </w:t>
      </w:r>
      <w:r w:rsidRPr="00781B30">
        <w:rPr>
          <w:color w:val="000000" w:themeColor="text1"/>
          <w:sz w:val="24"/>
          <w:szCs w:val="24"/>
        </w:rPr>
        <w:t xml:space="preserve">we cannot speak of </w:t>
      </w:r>
      <w:r w:rsidR="00495713" w:rsidRPr="00781B30">
        <w:rPr>
          <w:color w:val="000000" w:themeColor="text1"/>
          <w:sz w:val="24"/>
          <w:szCs w:val="24"/>
        </w:rPr>
        <w:t>‘</w:t>
      </w:r>
      <w:r w:rsidRPr="00781B30">
        <w:rPr>
          <w:i/>
          <w:iCs/>
          <w:color w:val="000000" w:themeColor="text1"/>
          <w:sz w:val="24"/>
          <w:szCs w:val="24"/>
        </w:rPr>
        <w:t>a</w:t>
      </w:r>
      <w:r w:rsidRPr="00781B30">
        <w:rPr>
          <w:color w:val="000000" w:themeColor="text1"/>
          <w:sz w:val="24"/>
          <w:szCs w:val="24"/>
        </w:rPr>
        <w:t xml:space="preserve"> landscape</w:t>
      </w:r>
      <w:r w:rsidR="00495713" w:rsidRPr="00781B30">
        <w:rPr>
          <w:color w:val="000000" w:themeColor="text1"/>
          <w:sz w:val="24"/>
          <w:szCs w:val="24"/>
        </w:rPr>
        <w:t>’</w:t>
      </w:r>
      <w:r w:rsidRPr="00781B30">
        <w:rPr>
          <w:color w:val="000000" w:themeColor="text1"/>
          <w:sz w:val="24"/>
          <w:szCs w:val="24"/>
        </w:rPr>
        <w:t xml:space="preserve">, but instead must recognise the existence </w:t>
      </w:r>
      <w:r w:rsidRPr="00B43304">
        <w:rPr>
          <w:color w:val="000000" w:themeColor="text1"/>
          <w:sz w:val="24"/>
          <w:szCs w:val="24"/>
        </w:rPr>
        <w:t>of many</w:t>
      </w:r>
      <w:r w:rsidR="00B43304" w:rsidRPr="00B43304">
        <w:rPr>
          <w:color w:val="000000" w:themeColor="text1"/>
          <w:sz w:val="24"/>
          <w:szCs w:val="24"/>
        </w:rPr>
        <w:t>, often conflicting,</w:t>
      </w:r>
      <w:r w:rsidRPr="00781B30">
        <w:rPr>
          <w:color w:val="000000" w:themeColor="text1"/>
          <w:sz w:val="24"/>
          <w:szCs w:val="24"/>
        </w:rPr>
        <w:t xml:space="preserve"> landscapes.</w:t>
      </w:r>
      <w:r w:rsidRPr="00781B30">
        <w:rPr>
          <w:rStyle w:val="FootnoteReference"/>
          <w:color w:val="000000" w:themeColor="text1"/>
          <w:sz w:val="24"/>
          <w:szCs w:val="24"/>
        </w:rPr>
        <w:footnoteReference w:id="14"/>
      </w:r>
      <w:r w:rsidRPr="00781B30">
        <w:rPr>
          <w:color w:val="000000" w:themeColor="text1"/>
          <w:sz w:val="24"/>
          <w:szCs w:val="24"/>
        </w:rPr>
        <w:t xml:space="preserve"> </w:t>
      </w:r>
    </w:p>
    <w:p w14:paraId="70A4BF8B" w14:textId="7669D710" w:rsidR="005B02FE" w:rsidRPr="00781B30" w:rsidRDefault="005B02FE" w:rsidP="000C071D">
      <w:pPr>
        <w:ind w:firstLine="720"/>
        <w:rPr>
          <w:color w:val="000000" w:themeColor="text1"/>
          <w:sz w:val="24"/>
          <w:szCs w:val="24"/>
        </w:rPr>
      </w:pPr>
      <w:r w:rsidRPr="00781B30">
        <w:rPr>
          <w:color w:val="000000" w:themeColor="text1"/>
          <w:sz w:val="24"/>
          <w:szCs w:val="24"/>
        </w:rPr>
        <w:t xml:space="preserve">In </w:t>
      </w:r>
      <w:r w:rsidRPr="00781B30">
        <w:rPr>
          <w:sz w:val="24"/>
          <w:szCs w:val="24"/>
        </w:rPr>
        <w:t>‘Contested Landscapes: Medieval to Present Day’</w:t>
      </w:r>
      <w:r w:rsidRPr="00781B30">
        <w:rPr>
          <w:rStyle w:val="FootnoteReference"/>
          <w:sz w:val="24"/>
          <w:szCs w:val="24"/>
        </w:rPr>
        <w:footnoteReference w:id="15"/>
      </w:r>
      <w:r w:rsidRPr="00781B30">
        <w:rPr>
          <w:color w:val="000000" w:themeColor="text1"/>
          <w:sz w:val="24"/>
          <w:szCs w:val="24"/>
        </w:rPr>
        <w:t xml:space="preserve">, Bender </w:t>
      </w:r>
      <w:r w:rsidR="004E08F5">
        <w:rPr>
          <w:color w:val="000000" w:themeColor="text1"/>
          <w:sz w:val="24"/>
          <w:szCs w:val="24"/>
        </w:rPr>
        <w:t>explore</w:t>
      </w:r>
      <w:r w:rsidR="00A47B0D">
        <w:rPr>
          <w:color w:val="000000" w:themeColor="text1"/>
          <w:sz w:val="24"/>
          <w:szCs w:val="24"/>
        </w:rPr>
        <w:t>d</w:t>
      </w:r>
      <w:r w:rsidRPr="00781B30">
        <w:rPr>
          <w:color w:val="000000" w:themeColor="text1"/>
          <w:sz w:val="24"/>
          <w:szCs w:val="24"/>
        </w:rPr>
        <w:t xml:space="preserve"> the</w:t>
      </w:r>
      <w:r w:rsidR="00B43304">
        <w:rPr>
          <w:color w:val="000000" w:themeColor="text1"/>
          <w:sz w:val="24"/>
          <w:szCs w:val="24"/>
        </w:rPr>
        <w:t xml:space="preserve"> </w:t>
      </w:r>
      <w:r w:rsidRPr="00781B30">
        <w:rPr>
          <w:color w:val="000000" w:themeColor="text1"/>
          <w:sz w:val="24"/>
          <w:szCs w:val="24"/>
        </w:rPr>
        <w:t>history of Stonehenge</w:t>
      </w:r>
      <w:r w:rsidR="00B43304">
        <w:rPr>
          <w:color w:val="000000" w:themeColor="text1"/>
          <w:sz w:val="24"/>
          <w:szCs w:val="24"/>
        </w:rPr>
        <w:t>’s contested landscape</w:t>
      </w:r>
      <w:r w:rsidRPr="00781B30">
        <w:rPr>
          <w:color w:val="000000" w:themeColor="text1"/>
          <w:sz w:val="24"/>
          <w:szCs w:val="24"/>
        </w:rPr>
        <w:t xml:space="preserve"> </w:t>
      </w:r>
      <w:r w:rsidR="004E08F5">
        <w:rPr>
          <w:color w:val="000000" w:themeColor="text1"/>
          <w:sz w:val="24"/>
          <w:szCs w:val="24"/>
        </w:rPr>
        <w:t>using</w:t>
      </w:r>
      <w:r w:rsidRPr="00781B30">
        <w:rPr>
          <w:color w:val="000000" w:themeColor="text1"/>
          <w:sz w:val="24"/>
          <w:szCs w:val="24"/>
        </w:rPr>
        <w:t xml:space="preserve"> different types</w:t>
      </w:r>
      <w:r w:rsidR="00B43304">
        <w:rPr>
          <w:color w:val="000000" w:themeColor="text1"/>
          <w:sz w:val="24"/>
          <w:szCs w:val="24"/>
        </w:rPr>
        <w:t xml:space="preserve"> of evidence</w:t>
      </w:r>
      <w:r w:rsidRPr="00781B30">
        <w:rPr>
          <w:color w:val="000000" w:themeColor="text1"/>
          <w:sz w:val="24"/>
          <w:szCs w:val="24"/>
        </w:rPr>
        <w:t>, including archaeological sources,</w:t>
      </w:r>
      <w:r w:rsidR="00495713" w:rsidRPr="00781B30">
        <w:rPr>
          <w:color w:val="000000" w:themeColor="text1"/>
          <w:sz w:val="24"/>
          <w:szCs w:val="24"/>
        </w:rPr>
        <w:t xml:space="preserve"> literary texts,</w:t>
      </w:r>
      <w:r w:rsidRPr="00781B30">
        <w:rPr>
          <w:color w:val="000000" w:themeColor="text1"/>
          <w:sz w:val="24"/>
          <w:szCs w:val="24"/>
        </w:rPr>
        <w:t xml:space="preserve"> </w:t>
      </w:r>
      <w:r w:rsidR="00B43304">
        <w:rPr>
          <w:color w:val="000000" w:themeColor="text1"/>
          <w:sz w:val="24"/>
          <w:szCs w:val="24"/>
        </w:rPr>
        <w:t xml:space="preserve">primary and </w:t>
      </w:r>
      <w:r w:rsidRPr="00781B30">
        <w:rPr>
          <w:color w:val="000000" w:themeColor="text1"/>
          <w:sz w:val="24"/>
          <w:szCs w:val="24"/>
        </w:rPr>
        <w:t>secondary historical sources, media accounts and modern heritage displays</w:t>
      </w:r>
      <w:r w:rsidR="00495713" w:rsidRPr="00781B30">
        <w:rPr>
          <w:color w:val="000000" w:themeColor="text1"/>
          <w:sz w:val="24"/>
          <w:szCs w:val="24"/>
        </w:rPr>
        <w:t>.</w:t>
      </w:r>
      <w:r w:rsidR="00495713" w:rsidRPr="00781B30">
        <w:rPr>
          <w:rStyle w:val="FootnoteReference"/>
          <w:color w:val="000000" w:themeColor="text1"/>
          <w:sz w:val="24"/>
          <w:szCs w:val="24"/>
        </w:rPr>
        <w:footnoteReference w:id="16"/>
      </w:r>
      <w:r w:rsidR="00495713" w:rsidRPr="00781B30">
        <w:rPr>
          <w:color w:val="000000" w:themeColor="text1"/>
          <w:sz w:val="24"/>
          <w:szCs w:val="24"/>
        </w:rPr>
        <w:t xml:space="preserve"> </w:t>
      </w:r>
      <w:r w:rsidRPr="00781B30">
        <w:rPr>
          <w:color w:val="000000" w:themeColor="text1"/>
          <w:sz w:val="24"/>
          <w:szCs w:val="24"/>
        </w:rPr>
        <w:t xml:space="preserve">For example, she </w:t>
      </w:r>
      <w:r w:rsidR="00AE08D1" w:rsidRPr="00781B30">
        <w:rPr>
          <w:color w:val="000000" w:themeColor="text1"/>
          <w:sz w:val="24"/>
          <w:szCs w:val="24"/>
        </w:rPr>
        <w:t>use</w:t>
      </w:r>
      <w:r w:rsidR="00A47B0D">
        <w:rPr>
          <w:color w:val="000000" w:themeColor="text1"/>
          <w:sz w:val="24"/>
          <w:szCs w:val="24"/>
        </w:rPr>
        <w:t>d</w:t>
      </w:r>
      <w:r w:rsidRPr="00781B30">
        <w:rPr>
          <w:color w:val="000000" w:themeColor="text1"/>
          <w:sz w:val="24"/>
          <w:szCs w:val="24"/>
        </w:rPr>
        <w:t xml:space="preserve"> evidence from the later medieval period to </w:t>
      </w:r>
      <w:r w:rsidR="00495713" w:rsidRPr="00781B30">
        <w:rPr>
          <w:color w:val="000000" w:themeColor="text1"/>
          <w:sz w:val="24"/>
          <w:szCs w:val="24"/>
        </w:rPr>
        <w:t>argue that conf</w:t>
      </w:r>
      <w:r w:rsidRPr="00781B30">
        <w:rPr>
          <w:color w:val="000000" w:themeColor="text1"/>
          <w:sz w:val="24"/>
          <w:szCs w:val="24"/>
        </w:rPr>
        <w:t>lict between the Church and commoners can be seen in the Church</w:t>
      </w:r>
      <w:r w:rsidR="00A77DC7">
        <w:rPr>
          <w:color w:val="000000" w:themeColor="text1"/>
          <w:sz w:val="24"/>
          <w:szCs w:val="24"/>
        </w:rPr>
        <w:t>’s</w:t>
      </w:r>
      <w:r w:rsidRPr="00781B30">
        <w:rPr>
          <w:color w:val="000000" w:themeColor="text1"/>
          <w:sz w:val="24"/>
          <w:szCs w:val="24"/>
        </w:rPr>
        <w:t xml:space="preserve"> attempt</w:t>
      </w:r>
      <w:r w:rsidR="00A77DC7">
        <w:rPr>
          <w:color w:val="000000" w:themeColor="text1"/>
          <w:sz w:val="24"/>
          <w:szCs w:val="24"/>
        </w:rPr>
        <w:t xml:space="preserve">s </w:t>
      </w:r>
      <w:r w:rsidRPr="00781B30">
        <w:rPr>
          <w:color w:val="000000" w:themeColor="text1"/>
          <w:sz w:val="24"/>
          <w:szCs w:val="24"/>
        </w:rPr>
        <w:t>to destroy or appropriate the stones</w:t>
      </w:r>
      <w:r w:rsidR="0093345D">
        <w:rPr>
          <w:color w:val="000000" w:themeColor="text1"/>
          <w:sz w:val="24"/>
          <w:szCs w:val="24"/>
        </w:rPr>
        <w:t>,</w:t>
      </w:r>
      <w:r w:rsidRPr="00781B30">
        <w:rPr>
          <w:color w:val="000000" w:themeColor="text1"/>
          <w:sz w:val="24"/>
          <w:szCs w:val="24"/>
        </w:rPr>
        <w:t xml:space="preserve"> and </w:t>
      </w:r>
      <w:r w:rsidR="00A77DC7">
        <w:rPr>
          <w:color w:val="000000" w:themeColor="text1"/>
          <w:sz w:val="24"/>
          <w:szCs w:val="24"/>
        </w:rPr>
        <w:t xml:space="preserve">in </w:t>
      </w:r>
      <w:r w:rsidRPr="00781B30">
        <w:rPr>
          <w:color w:val="000000" w:themeColor="text1"/>
          <w:sz w:val="24"/>
          <w:szCs w:val="24"/>
        </w:rPr>
        <w:t>commoners</w:t>
      </w:r>
      <w:r w:rsidR="00A77DC7">
        <w:rPr>
          <w:color w:val="000000" w:themeColor="text1"/>
          <w:sz w:val="24"/>
          <w:szCs w:val="24"/>
        </w:rPr>
        <w:t>’</w:t>
      </w:r>
      <w:r w:rsidRPr="00781B30">
        <w:rPr>
          <w:color w:val="000000" w:themeColor="text1"/>
          <w:sz w:val="24"/>
          <w:szCs w:val="24"/>
        </w:rPr>
        <w:t xml:space="preserve"> respon</w:t>
      </w:r>
      <w:r w:rsidR="00A77DC7">
        <w:rPr>
          <w:color w:val="000000" w:themeColor="text1"/>
          <w:sz w:val="24"/>
          <w:szCs w:val="24"/>
        </w:rPr>
        <w:t>se</w:t>
      </w:r>
      <w:r w:rsidR="004E08F5">
        <w:rPr>
          <w:color w:val="000000" w:themeColor="text1"/>
          <w:sz w:val="24"/>
          <w:szCs w:val="24"/>
        </w:rPr>
        <w:t>s</w:t>
      </w:r>
      <w:r w:rsidRPr="00781B30">
        <w:rPr>
          <w:color w:val="000000" w:themeColor="text1"/>
          <w:sz w:val="24"/>
          <w:szCs w:val="24"/>
        </w:rPr>
        <w:t xml:space="preserve"> to this. </w:t>
      </w:r>
      <w:r w:rsidR="00495713" w:rsidRPr="00781B30">
        <w:rPr>
          <w:color w:val="000000" w:themeColor="text1"/>
          <w:sz w:val="24"/>
          <w:szCs w:val="24"/>
        </w:rPr>
        <w:t xml:space="preserve">Bringing </w:t>
      </w:r>
      <w:r w:rsidR="00AE08D1" w:rsidRPr="00781B30">
        <w:rPr>
          <w:color w:val="000000" w:themeColor="text1"/>
          <w:sz w:val="24"/>
          <w:szCs w:val="24"/>
        </w:rPr>
        <w:t>her</w:t>
      </w:r>
      <w:r w:rsidR="00495713" w:rsidRPr="00781B30">
        <w:rPr>
          <w:color w:val="000000" w:themeColor="text1"/>
          <w:sz w:val="24"/>
          <w:szCs w:val="24"/>
        </w:rPr>
        <w:t xml:space="preserve"> analysis into the </w:t>
      </w:r>
      <w:r w:rsidRPr="00781B30">
        <w:rPr>
          <w:color w:val="000000" w:themeColor="text1"/>
          <w:sz w:val="24"/>
          <w:szCs w:val="24"/>
        </w:rPr>
        <w:t>1990s, Bender characterise</w:t>
      </w:r>
      <w:r w:rsidR="00781B30" w:rsidRPr="00781B30">
        <w:rPr>
          <w:color w:val="000000" w:themeColor="text1"/>
          <w:sz w:val="24"/>
          <w:szCs w:val="24"/>
        </w:rPr>
        <w:t>d</w:t>
      </w:r>
      <w:r w:rsidRPr="00781B30">
        <w:rPr>
          <w:color w:val="000000" w:themeColor="text1"/>
          <w:sz w:val="24"/>
          <w:szCs w:val="24"/>
        </w:rPr>
        <w:t xml:space="preserve"> Stonehenge as having </w:t>
      </w:r>
      <w:r w:rsidR="00495713" w:rsidRPr="00781B30">
        <w:rPr>
          <w:color w:val="000000" w:themeColor="text1"/>
          <w:sz w:val="24"/>
          <w:szCs w:val="24"/>
        </w:rPr>
        <w:t xml:space="preserve">been </w:t>
      </w:r>
      <w:r w:rsidRPr="00781B30">
        <w:rPr>
          <w:color w:val="000000" w:themeColor="text1"/>
          <w:sz w:val="24"/>
          <w:szCs w:val="24"/>
        </w:rPr>
        <w:t xml:space="preserve">physically and interpretatively appropriated by the heritage industry, with </w:t>
      </w:r>
      <w:r w:rsidR="0093345D">
        <w:rPr>
          <w:color w:val="000000" w:themeColor="text1"/>
          <w:sz w:val="24"/>
          <w:szCs w:val="24"/>
        </w:rPr>
        <w:t xml:space="preserve">the </w:t>
      </w:r>
      <w:r w:rsidRPr="00781B30">
        <w:rPr>
          <w:color w:val="000000" w:themeColor="text1"/>
          <w:sz w:val="24"/>
          <w:szCs w:val="24"/>
        </w:rPr>
        <w:t>alternative voices</w:t>
      </w:r>
      <w:r w:rsidR="00AE08D1" w:rsidRPr="00781B30">
        <w:rPr>
          <w:color w:val="000000" w:themeColor="text1"/>
          <w:sz w:val="24"/>
          <w:szCs w:val="24"/>
        </w:rPr>
        <w:t xml:space="preserve"> of New Age Travellers and Druids</w:t>
      </w:r>
      <w:r w:rsidRPr="00781B30">
        <w:rPr>
          <w:color w:val="000000" w:themeColor="text1"/>
          <w:sz w:val="24"/>
          <w:szCs w:val="24"/>
        </w:rPr>
        <w:t xml:space="preserve"> being sidelined and their physical access to the site restricted. Her analysis focuse</w:t>
      </w:r>
      <w:r w:rsidR="00B43304">
        <w:rPr>
          <w:color w:val="000000" w:themeColor="text1"/>
          <w:sz w:val="24"/>
          <w:szCs w:val="24"/>
        </w:rPr>
        <w:t>d</w:t>
      </w:r>
      <w:r w:rsidRPr="00781B30">
        <w:rPr>
          <w:color w:val="000000" w:themeColor="text1"/>
          <w:sz w:val="24"/>
          <w:szCs w:val="24"/>
        </w:rPr>
        <w:t xml:space="preserve"> </w:t>
      </w:r>
      <w:r w:rsidR="00A77DC7">
        <w:rPr>
          <w:color w:val="000000" w:themeColor="text1"/>
          <w:sz w:val="24"/>
          <w:szCs w:val="24"/>
        </w:rPr>
        <w:t xml:space="preserve">on </w:t>
      </w:r>
      <w:r w:rsidRPr="00781B30">
        <w:rPr>
          <w:color w:val="000000" w:themeColor="text1"/>
          <w:sz w:val="24"/>
          <w:szCs w:val="24"/>
        </w:rPr>
        <w:t xml:space="preserve">class politics, arguing that the contestation of Stonehenge was symptomatic of and added to the ‘othering’ and political oppression of travellers. Bender thus </w:t>
      </w:r>
      <w:r w:rsidR="00AE08D1" w:rsidRPr="00781B30">
        <w:rPr>
          <w:color w:val="000000" w:themeColor="text1"/>
          <w:sz w:val="24"/>
          <w:szCs w:val="24"/>
        </w:rPr>
        <w:t>explore</w:t>
      </w:r>
      <w:r w:rsidR="00A47B0D">
        <w:rPr>
          <w:color w:val="000000" w:themeColor="text1"/>
          <w:sz w:val="24"/>
          <w:szCs w:val="24"/>
        </w:rPr>
        <w:t>d</w:t>
      </w:r>
      <w:r w:rsidRPr="00781B30">
        <w:rPr>
          <w:color w:val="000000" w:themeColor="text1"/>
          <w:sz w:val="24"/>
          <w:szCs w:val="24"/>
        </w:rPr>
        <w:t xml:space="preserve"> the ways in which landscapes </w:t>
      </w:r>
      <w:r w:rsidR="00AE08D1" w:rsidRPr="00781B30">
        <w:rPr>
          <w:color w:val="000000" w:themeColor="text1"/>
          <w:sz w:val="24"/>
          <w:szCs w:val="24"/>
        </w:rPr>
        <w:t>might be</w:t>
      </w:r>
      <w:r w:rsidRPr="00781B30">
        <w:rPr>
          <w:color w:val="000000" w:themeColor="text1"/>
          <w:sz w:val="24"/>
          <w:szCs w:val="24"/>
        </w:rPr>
        <w:t xml:space="preserve"> constructed and contested by groups and </w:t>
      </w:r>
      <w:r w:rsidRPr="00781B30">
        <w:rPr>
          <w:color w:val="000000" w:themeColor="text1"/>
          <w:sz w:val="24"/>
          <w:szCs w:val="24"/>
        </w:rPr>
        <w:lastRenderedPageBreak/>
        <w:t xml:space="preserve">individuals within specific historical, political, social and economic contexts, with inequalities of power being central to her </w:t>
      </w:r>
      <w:r w:rsidR="00A47B0D">
        <w:rPr>
          <w:color w:val="000000" w:themeColor="text1"/>
          <w:sz w:val="24"/>
          <w:szCs w:val="24"/>
        </w:rPr>
        <w:t>analysis</w:t>
      </w:r>
      <w:r w:rsidRPr="00781B30">
        <w:rPr>
          <w:color w:val="000000" w:themeColor="text1"/>
          <w:sz w:val="24"/>
          <w:szCs w:val="24"/>
        </w:rPr>
        <w:t>.</w:t>
      </w:r>
      <w:r w:rsidRPr="00781B30">
        <w:rPr>
          <w:rStyle w:val="FootnoteReference"/>
          <w:color w:val="000000" w:themeColor="text1"/>
          <w:sz w:val="24"/>
          <w:szCs w:val="24"/>
        </w:rPr>
        <w:t xml:space="preserve"> </w:t>
      </w:r>
      <w:r w:rsidRPr="00781B30">
        <w:rPr>
          <w:rStyle w:val="FootnoteReference"/>
          <w:color w:val="000000" w:themeColor="text1"/>
          <w:sz w:val="24"/>
          <w:szCs w:val="24"/>
        </w:rPr>
        <w:footnoteReference w:id="17"/>
      </w:r>
    </w:p>
    <w:p w14:paraId="0C73B044" w14:textId="77777777" w:rsidR="005B02FE" w:rsidRPr="003F59D6" w:rsidRDefault="005B02FE" w:rsidP="003F59D6">
      <w:pPr>
        <w:rPr>
          <w:i/>
          <w:iCs/>
          <w:sz w:val="24"/>
          <w:szCs w:val="24"/>
        </w:rPr>
      </w:pPr>
      <w:r w:rsidRPr="003F59D6">
        <w:rPr>
          <w:i/>
          <w:iCs/>
          <w:sz w:val="24"/>
          <w:szCs w:val="24"/>
        </w:rPr>
        <w:t>Tilley’s phenomenological perspective</w:t>
      </w:r>
    </w:p>
    <w:p w14:paraId="3C7A2907" w14:textId="271FC6B1" w:rsidR="00DC3641" w:rsidRPr="00781B30" w:rsidRDefault="005B02FE" w:rsidP="000C071D">
      <w:pPr>
        <w:rPr>
          <w:sz w:val="24"/>
          <w:szCs w:val="24"/>
        </w:rPr>
      </w:pPr>
      <w:r w:rsidRPr="00781B30">
        <w:rPr>
          <w:color w:val="000000" w:themeColor="text1"/>
          <w:sz w:val="24"/>
          <w:szCs w:val="24"/>
        </w:rPr>
        <w:t>In ‘Space, Place, Landscape and Perception: Phenomenological Perspectives’</w:t>
      </w:r>
      <w:r w:rsidR="00AE08D1" w:rsidRPr="00781B30">
        <w:rPr>
          <w:rStyle w:val="FootnoteReference"/>
          <w:color w:val="000000" w:themeColor="text1"/>
          <w:sz w:val="24"/>
          <w:szCs w:val="24"/>
        </w:rPr>
        <w:footnoteReference w:id="18"/>
      </w:r>
      <w:r w:rsidRPr="00781B30">
        <w:rPr>
          <w:color w:val="000000" w:themeColor="text1"/>
          <w:sz w:val="24"/>
          <w:szCs w:val="24"/>
        </w:rPr>
        <w:t>, Tilley provide</w:t>
      </w:r>
      <w:r w:rsidR="00A47B0D">
        <w:rPr>
          <w:color w:val="000000" w:themeColor="text1"/>
          <w:sz w:val="24"/>
          <w:szCs w:val="24"/>
        </w:rPr>
        <w:t>d</w:t>
      </w:r>
      <w:r w:rsidRPr="00781B30">
        <w:rPr>
          <w:color w:val="000000" w:themeColor="text1"/>
          <w:sz w:val="24"/>
          <w:szCs w:val="24"/>
        </w:rPr>
        <w:t xml:space="preserve"> an overview of the development, approaches and implications of his phenomenological perspective.</w:t>
      </w:r>
      <w:r w:rsidRPr="00781B30">
        <w:rPr>
          <w:i/>
          <w:iCs/>
          <w:color w:val="000000" w:themeColor="text1"/>
          <w:sz w:val="24"/>
          <w:szCs w:val="24"/>
        </w:rPr>
        <w:t xml:space="preserve"> </w:t>
      </w:r>
      <w:r w:rsidR="00A47B0D">
        <w:rPr>
          <w:sz w:val="24"/>
          <w:szCs w:val="24"/>
        </w:rPr>
        <w:t>B</w:t>
      </w:r>
      <w:r w:rsidRPr="00781B30">
        <w:rPr>
          <w:sz w:val="24"/>
          <w:szCs w:val="24"/>
        </w:rPr>
        <w:t xml:space="preserve">uilding on </w:t>
      </w:r>
      <w:r w:rsidR="0093345D">
        <w:rPr>
          <w:sz w:val="24"/>
          <w:szCs w:val="24"/>
        </w:rPr>
        <w:t xml:space="preserve">Martin </w:t>
      </w:r>
      <w:r w:rsidRPr="00781B30">
        <w:rPr>
          <w:sz w:val="24"/>
          <w:szCs w:val="24"/>
        </w:rPr>
        <w:t>Heidegger and</w:t>
      </w:r>
      <w:r w:rsidRPr="0093345D">
        <w:rPr>
          <w:sz w:val="24"/>
          <w:szCs w:val="24"/>
        </w:rPr>
        <w:t xml:space="preserve"> </w:t>
      </w:r>
      <w:r w:rsidR="0093345D" w:rsidRPr="0093345D">
        <w:rPr>
          <w:sz w:val="24"/>
          <w:szCs w:val="24"/>
        </w:rPr>
        <w:t xml:space="preserve">Maurice </w:t>
      </w:r>
      <w:r w:rsidRPr="00781B30">
        <w:rPr>
          <w:sz w:val="24"/>
          <w:szCs w:val="24"/>
        </w:rPr>
        <w:t>Merleau-Ponty</w:t>
      </w:r>
      <w:r w:rsidR="00A47B0D">
        <w:rPr>
          <w:sz w:val="24"/>
          <w:szCs w:val="24"/>
        </w:rPr>
        <w:t xml:space="preserve">, he </w:t>
      </w:r>
      <w:r w:rsidRPr="00781B30">
        <w:rPr>
          <w:sz w:val="24"/>
          <w:szCs w:val="24"/>
        </w:rPr>
        <w:t>theorise</w:t>
      </w:r>
      <w:r w:rsidR="00A47B0D">
        <w:rPr>
          <w:sz w:val="24"/>
          <w:szCs w:val="24"/>
        </w:rPr>
        <w:t>d</w:t>
      </w:r>
      <w:r w:rsidRPr="00781B30">
        <w:rPr>
          <w:sz w:val="24"/>
          <w:szCs w:val="24"/>
        </w:rPr>
        <w:t xml:space="preserve"> the (human) body as</w:t>
      </w:r>
      <w:r w:rsidRPr="00781B30">
        <w:rPr>
          <w:color w:val="000000" w:themeColor="text1"/>
          <w:sz w:val="24"/>
          <w:szCs w:val="24"/>
        </w:rPr>
        <w:t xml:space="preserve"> </w:t>
      </w:r>
      <w:r w:rsidR="00AE08D1" w:rsidRPr="00781B30">
        <w:rPr>
          <w:color w:val="000000" w:themeColor="text1"/>
          <w:sz w:val="24"/>
          <w:szCs w:val="24"/>
        </w:rPr>
        <w:t>‘</w:t>
      </w:r>
      <w:r w:rsidRPr="00781B30">
        <w:rPr>
          <w:color w:val="000000" w:themeColor="text1"/>
          <w:sz w:val="24"/>
          <w:szCs w:val="24"/>
        </w:rPr>
        <w:t>the fundamental mediation point between thought and the world.</w:t>
      </w:r>
      <w:r w:rsidR="00AE08D1" w:rsidRPr="00781B30">
        <w:rPr>
          <w:color w:val="000000" w:themeColor="text1"/>
          <w:sz w:val="24"/>
          <w:szCs w:val="24"/>
        </w:rPr>
        <w:t>’</w:t>
      </w:r>
      <w:r w:rsidRPr="00781B30">
        <w:rPr>
          <w:rStyle w:val="FootnoteReference"/>
          <w:color w:val="000000" w:themeColor="text1"/>
          <w:sz w:val="24"/>
          <w:szCs w:val="24"/>
        </w:rPr>
        <w:footnoteReference w:id="19"/>
      </w:r>
      <w:r w:rsidRPr="00781B30">
        <w:rPr>
          <w:color w:val="000000" w:themeColor="text1"/>
          <w:sz w:val="24"/>
          <w:szCs w:val="24"/>
        </w:rPr>
        <w:t xml:space="preserve"> Thus, he argue</w:t>
      </w:r>
      <w:r w:rsidR="00A47B0D">
        <w:rPr>
          <w:color w:val="000000" w:themeColor="text1"/>
          <w:sz w:val="24"/>
          <w:szCs w:val="24"/>
        </w:rPr>
        <w:t>d</w:t>
      </w:r>
      <w:r w:rsidRPr="00781B30">
        <w:rPr>
          <w:color w:val="000000" w:themeColor="text1"/>
          <w:sz w:val="24"/>
          <w:szCs w:val="24"/>
        </w:rPr>
        <w:t xml:space="preserve">, the material world can only be realised and understood through subjective embodied experience. Tilley </w:t>
      </w:r>
      <w:r w:rsidR="00A47B0D">
        <w:rPr>
          <w:color w:val="000000" w:themeColor="text1"/>
          <w:sz w:val="24"/>
          <w:szCs w:val="24"/>
        </w:rPr>
        <w:t>suggested</w:t>
      </w:r>
      <w:r w:rsidR="00AE08D1" w:rsidRPr="00781B30">
        <w:rPr>
          <w:color w:val="000000" w:themeColor="text1"/>
          <w:sz w:val="24"/>
          <w:szCs w:val="24"/>
        </w:rPr>
        <w:t>,</w:t>
      </w:r>
      <w:r w:rsidRPr="00781B30">
        <w:rPr>
          <w:color w:val="000000" w:themeColor="text1"/>
          <w:sz w:val="24"/>
          <w:szCs w:val="24"/>
        </w:rPr>
        <w:t xml:space="preserve"> </w:t>
      </w:r>
      <w:r w:rsidR="00AE08D1" w:rsidRPr="00781B30">
        <w:rPr>
          <w:color w:val="000000" w:themeColor="text1"/>
          <w:sz w:val="24"/>
          <w:szCs w:val="24"/>
        </w:rPr>
        <w:t xml:space="preserve">therefore, </w:t>
      </w:r>
      <w:r w:rsidRPr="00781B30">
        <w:rPr>
          <w:color w:val="000000" w:themeColor="text1"/>
          <w:sz w:val="24"/>
          <w:szCs w:val="24"/>
        </w:rPr>
        <w:t xml:space="preserve">that to understand a </w:t>
      </w:r>
      <w:r w:rsidR="00AE08D1" w:rsidRPr="00781B30">
        <w:rPr>
          <w:color w:val="000000" w:themeColor="text1"/>
          <w:sz w:val="24"/>
          <w:szCs w:val="24"/>
        </w:rPr>
        <w:t>prehistoric site within its landscape</w:t>
      </w:r>
      <w:r w:rsidRPr="00781B30">
        <w:rPr>
          <w:color w:val="000000" w:themeColor="text1"/>
          <w:sz w:val="24"/>
          <w:szCs w:val="24"/>
        </w:rPr>
        <w:t xml:space="preserve">, archaeologists should analyse and record their own bodily interactions with </w:t>
      </w:r>
      <w:r w:rsidR="00AE08D1" w:rsidRPr="00781B30">
        <w:rPr>
          <w:color w:val="000000" w:themeColor="text1"/>
          <w:sz w:val="24"/>
          <w:szCs w:val="24"/>
        </w:rPr>
        <w:t>the place, a process which he suggest</w:t>
      </w:r>
      <w:r w:rsidR="00F9582B">
        <w:rPr>
          <w:color w:val="000000" w:themeColor="text1"/>
          <w:sz w:val="24"/>
          <w:szCs w:val="24"/>
        </w:rPr>
        <w:t>ed</w:t>
      </w:r>
      <w:r w:rsidR="00AE08D1" w:rsidRPr="00781B30">
        <w:rPr>
          <w:color w:val="000000" w:themeColor="text1"/>
          <w:sz w:val="24"/>
          <w:szCs w:val="24"/>
        </w:rPr>
        <w:t xml:space="preserve"> </w:t>
      </w:r>
      <w:r w:rsidRPr="00781B30">
        <w:rPr>
          <w:color w:val="000000" w:themeColor="text1"/>
          <w:sz w:val="24"/>
          <w:szCs w:val="24"/>
        </w:rPr>
        <w:t>c</w:t>
      </w:r>
      <w:r w:rsidR="00F9582B">
        <w:rPr>
          <w:color w:val="000000" w:themeColor="text1"/>
          <w:sz w:val="24"/>
          <w:szCs w:val="24"/>
        </w:rPr>
        <w:t>ould</w:t>
      </w:r>
      <w:r w:rsidRPr="00781B30">
        <w:rPr>
          <w:color w:val="000000" w:themeColor="text1"/>
          <w:sz w:val="24"/>
          <w:szCs w:val="24"/>
        </w:rPr>
        <w:t xml:space="preserve"> offer insights into the how people may have engaged with </w:t>
      </w:r>
      <w:r w:rsidR="00AE08D1" w:rsidRPr="00781B30">
        <w:rPr>
          <w:color w:val="000000" w:themeColor="text1"/>
          <w:sz w:val="24"/>
          <w:szCs w:val="24"/>
        </w:rPr>
        <w:t xml:space="preserve">the landscape </w:t>
      </w:r>
      <w:r w:rsidRPr="00781B30">
        <w:rPr>
          <w:color w:val="000000" w:themeColor="text1"/>
          <w:sz w:val="24"/>
          <w:szCs w:val="24"/>
        </w:rPr>
        <w:t>in the past.</w:t>
      </w:r>
      <w:r w:rsidR="00AE08D1" w:rsidRPr="00781B30">
        <w:rPr>
          <w:rStyle w:val="FootnoteReference"/>
          <w:color w:val="000000" w:themeColor="text1"/>
          <w:sz w:val="24"/>
          <w:szCs w:val="24"/>
        </w:rPr>
        <w:footnoteReference w:id="20"/>
      </w:r>
      <w:r w:rsidRPr="00781B30">
        <w:rPr>
          <w:color w:val="000000" w:themeColor="text1"/>
          <w:sz w:val="24"/>
          <w:szCs w:val="24"/>
        </w:rPr>
        <w:t xml:space="preserve"> </w:t>
      </w:r>
    </w:p>
    <w:p w14:paraId="4B041317" w14:textId="32D58565" w:rsidR="00DC3641" w:rsidRPr="003F59D6" w:rsidRDefault="00781B30" w:rsidP="003F59D6">
      <w:pPr>
        <w:rPr>
          <w:b/>
          <w:bCs/>
          <w:sz w:val="24"/>
          <w:szCs w:val="24"/>
        </w:rPr>
      </w:pPr>
      <w:r w:rsidRPr="003F59D6">
        <w:rPr>
          <w:b/>
          <w:bCs/>
          <w:sz w:val="24"/>
          <w:szCs w:val="24"/>
        </w:rPr>
        <w:t>Analys</w:t>
      </w:r>
      <w:r w:rsidR="00F9582B">
        <w:rPr>
          <w:b/>
          <w:bCs/>
          <w:sz w:val="24"/>
          <w:szCs w:val="24"/>
        </w:rPr>
        <w:t>i</w:t>
      </w:r>
      <w:r w:rsidRPr="003F59D6">
        <w:rPr>
          <w:b/>
          <w:bCs/>
          <w:sz w:val="24"/>
          <w:szCs w:val="24"/>
        </w:rPr>
        <w:t>s of complementar</w:t>
      </w:r>
      <w:r w:rsidR="00A47B0D" w:rsidRPr="003F59D6">
        <w:rPr>
          <w:b/>
          <w:bCs/>
          <w:sz w:val="24"/>
          <w:szCs w:val="24"/>
        </w:rPr>
        <w:t>it</w:t>
      </w:r>
      <w:r w:rsidRPr="003F59D6">
        <w:rPr>
          <w:b/>
          <w:bCs/>
          <w:sz w:val="24"/>
          <w:szCs w:val="24"/>
        </w:rPr>
        <w:t>y of approaches</w:t>
      </w:r>
    </w:p>
    <w:p w14:paraId="4AF5B5A2" w14:textId="619DCDFB" w:rsidR="0025629B" w:rsidRPr="00781B30" w:rsidRDefault="00D64607" w:rsidP="000C071D">
      <w:pPr>
        <w:rPr>
          <w:sz w:val="24"/>
          <w:szCs w:val="24"/>
        </w:rPr>
      </w:pPr>
      <w:r w:rsidRPr="00781B30">
        <w:rPr>
          <w:sz w:val="24"/>
          <w:szCs w:val="24"/>
        </w:rPr>
        <w:t>For both Tilley</w:t>
      </w:r>
      <w:r w:rsidRPr="00781B30">
        <w:rPr>
          <w:rStyle w:val="FootnoteReference"/>
          <w:sz w:val="24"/>
          <w:szCs w:val="24"/>
        </w:rPr>
        <w:footnoteReference w:id="21"/>
      </w:r>
      <w:r w:rsidRPr="00781B30">
        <w:rPr>
          <w:sz w:val="24"/>
          <w:szCs w:val="24"/>
        </w:rPr>
        <w:t xml:space="preserve"> and Bender</w:t>
      </w:r>
      <w:r w:rsidRPr="00781B30">
        <w:rPr>
          <w:rStyle w:val="FootnoteReference"/>
          <w:sz w:val="24"/>
          <w:szCs w:val="24"/>
        </w:rPr>
        <w:footnoteReference w:id="22"/>
      </w:r>
      <w:r w:rsidRPr="00781B30">
        <w:rPr>
          <w:sz w:val="24"/>
          <w:szCs w:val="24"/>
        </w:rPr>
        <w:t>, landscapes are never neutral</w:t>
      </w:r>
      <w:r w:rsidR="0038047F" w:rsidRPr="00781B30">
        <w:rPr>
          <w:sz w:val="24"/>
          <w:szCs w:val="24"/>
        </w:rPr>
        <w:t>, but are political</w:t>
      </w:r>
      <w:r w:rsidR="0025629B" w:rsidRPr="00781B30">
        <w:rPr>
          <w:sz w:val="24"/>
          <w:szCs w:val="24"/>
        </w:rPr>
        <w:t xml:space="preserve">, </w:t>
      </w:r>
      <w:r w:rsidR="0038047F" w:rsidRPr="00781B30">
        <w:rPr>
          <w:sz w:val="24"/>
          <w:szCs w:val="24"/>
        </w:rPr>
        <w:t>value-laden</w:t>
      </w:r>
      <w:r w:rsidR="00E102B2" w:rsidRPr="00781B30">
        <w:rPr>
          <w:sz w:val="24"/>
          <w:szCs w:val="24"/>
        </w:rPr>
        <w:t xml:space="preserve"> and</w:t>
      </w:r>
      <w:r w:rsidR="00344B9C" w:rsidRPr="00781B30">
        <w:rPr>
          <w:sz w:val="24"/>
          <w:szCs w:val="24"/>
        </w:rPr>
        <w:t xml:space="preserve"> s</w:t>
      </w:r>
      <w:r w:rsidR="0038047F" w:rsidRPr="00781B30">
        <w:rPr>
          <w:sz w:val="24"/>
          <w:szCs w:val="24"/>
        </w:rPr>
        <w:t>ubjective.</w:t>
      </w:r>
      <w:r w:rsidR="00344B9C" w:rsidRPr="00781B30">
        <w:rPr>
          <w:sz w:val="24"/>
          <w:szCs w:val="24"/>
        </w:rPr>
        <w:t xml:space="preserve"> </w:t>
      </w:r>
      <w:r w:rsidR="00E102B2" w:rsidRPr="00781B30">
        <w:rPr>
          <w:sz w:val="24"/>
          <w:szCs w:val="24"/>
        </w:rPr>
        <w:t>Bender</w:t>
      </w:r>
      <w:r w:rsidR="00931E92" w:rsidRPr="00781B30">
        <w:rPr>
          <w:sz w:val="24"/>
          <w:szCs w:val="24"/>
        </w:rPr>
        <w:t>’s conceptualisation of</w:t>
      </w:r>
      <w:r w:rsidR="00E102B2" w:rsidRPr="00781B30">
        <w:rPr>
          <w:sz w:val="24"/>
          <w:szCs w:val="24"/>
        </w:rPr>
        <w:t xml:space="preserve"> landscapes as ‘polyvalent and multivocal,’</w:t>
      </w:r>
      <w:r w:rsidR="00E102B2" w:rsidRPr="00781B30">
        <w:rPr>
          <w:rStyle w:val="FootnoteReference"/>
          <w:color w:val="000000" w:themeColor="text1"/>
          <w:sz w:val="24"/>
          <w:szCs w:val="24"/>
        </w:rPr>
        <w:footnoteReference w:id="23"/>
      </w:r>
      <w:r w:rsidR="00E102B2" w:rsidRPr="00781B30">
        <w:rPr>
          <w:sz w:val="24"/>
          <w:szCs w:val="24"/>
        </w:rPr>
        <w:t xml:space="preserve"> overlain with many different</w:t>
      </w:r>
      <w:r w:rsidR="00931E92" w:rsidRPr="00781B30">
        <w:rPr>
          <w:sz w:val="24"/>
          <w:szCs w:val="24"/>
        </w:rPr>
        <w:t xml:space="preserve"> </w:t>
      </w:r>
      <w:r w:rsidR="00E102B2" w:rsidRPr="00781B30">
        <w:rPr>
          <w:sz w:val="24"/>
          <w:szCs w:val="24"/>
        </w:rPr>
        <w:t>values</w:t>
      </w:r>
      <w:r w:rsidR="00931E92" w:rsidRPr="00781B30">
        <w:rPr>
          <w:sz w:val="24"/>
          <w:szCs w:val="24"/>
        </w:rPr>
        <w:t xml:space="preserve"> </w:t>
      </w:r>
      <w:r w:rsidR="00E102B2" w:rsidRPr="00781B30">
        <w:rPr>
          <w:sz w:val="24"/>
          <w:szCs w:val="24"/>
        </w:rPr>
        <w:t>and perspectives</w:t>
      </w:r>
      <w:r w:rsidR="00931E92" w:rsidRPr="00781B30">
        <w:rPr>
          <w:sz w:val="24"/>
          <w:szCs w:val="24"/>
        </w:rPr>
        <w:t>, can be seen to be supported by</w:t>
      </w:r>
      <w:r w:rsidR="00344B9C" w:rsidRPr="00781B30">
        <w:rPr>
          <w:sz w:val="24"/>
          <w:szCs w:val="24"/>
        </w:rPr>
        <w:t xml:space="preserve"> </w:t>
      </w:r>
      <w:r w:rsidR="0025629B" w:rsidRPr="00781B30">
        <w:rPr>
          <w:sz w:val="24"/>
          <w:szCs w:val="24"/>
        </w:rPr>
        <w:t>Tilley</w:t>
      </w:r>
      <w:r w:rsidR="00931E92" w:rsidRPr="00781B30">
        <w:rPr>
          <w:sz w:val="24"/>
          <w:szCs w:val="24"/>
        </w:rPr>
        <w:t>’s</w:t>
      </w:r>
      <w:r w:rsidR="0025629B" w:rsidRPr="00781B30">
        <w:rPr>
          <w:sz w:val="24"/>
          <w:szCs w:val="24"/>
        </w:rPr>
        <w:t xml:space="preserve"> argu</w:t>
      </w:r>
      <w:r w:rsidR="00931E92" w:rsidRPr="00781B30">
        <w:rPr>
          <w:sz w:val="24"/>
          <w:szCs w:val="24"/>
        </w:rPr>
        <w:t>ment</w:t>
      </w:r>
      <w:r w:rsidR="0025629B" w:rsidRPr="00781B30">
        <w:rPr>
          <w:sz w:val="24"/>
          <w:szCs w:val="24"/>
        </w:rPr>
        <w:t xml:space="preserve"> that places have meaning because of people’s lived experience of them</w:t>
      </w:r>
      <w:r w:rsidR="00931E92" w:rsidRPr="00781B30">
        <w:rPr>
          <w:sz w:val="24"/>
          <w:szCs w:val="24"/>
        </w:rPr>
        <w:t>. Tilley suggest</w:t>
      </w:r>
      <w:r w:rsidR="00A47B0D">
        <w:rPr>
          <w:sz w:val="24"/>
          <w:szCs w:val="24"/>
        </w:rPr>
        <w:t>ed</w:t>
      </w:r>
      <w:r w:rsidR="00931E92" w:rsidRPr="00781B30">
        <w:rPr>
          <w:sz w:val="24"/>
          <w:szCs w:val="24"/>
        </w:rPr>
        <w:t xml:space="preserve"> that</w:t>
      </w:r>
      <w:r w:rsidR="0025629B" w:rsidRPr="00781B30">
        <w:rPr>
          <w:sz w:val="24"/>
          <w:szCs w:val="24"/>
        </w:rPr>
        <w:t xml:space="preserve">, </w:t>
      </w:r>
      <w:r w:rsidR="00931E92" w:rsidRPr="00781B30">
        <w:rPr>
          <w:sz w:val="24"/>
          <w:szCs w:val="24"/>
        </w:rPr>
        <w:t xml:space="preserve">because landscapes are </w:t>
      </w:r>
      <w:r w:rsidR="0025629B" w:rsidRPr="00781B30">
        <w:rPr>
          <w:sz w:val="24"/>
          <w:szCs w:val="24"/>
        </w:rPr>
        <w:t>always understood from a particular individual</w:t>
      </w:r>
      <w:r w:rsidR="00931E92" w:rsidRPr="00781B30">
        <w:rPr>
          <w:sz w:val="24"/>
          <w:szCs w:val="24"/>
        </w:rPr>
        <w:t xml:space="preserve"> embodied</w:t>
      </w:r>
      <w:r w:rsidR="0025629B" w:rsidRPr="00781B30">
        <w:rPr>
          <w:sz w:val="24"/>
          <w:szCs w:val="24"/>
        </w:rPr>
        <w:t xml:space="preserve"> viewpoint</w:t>
      </w:r>
      <w:r w:rsidR="00931E92" w:rsidRPr="00781B30">
        <w:rPr>
          <w:sz w:val="24"/>
          <w:szCs w:val="24"/>
        </w:rPr>
        <w:t>,</w:t>
      </w:r>
      <w:r w:rsidR="0025629B" w:rsidRPr="00781B30">
        <w:rPr>
          <w:sz w:val="24"/>
          <w:szCs w:val="24"/>
        </w:rPr>
        <w:t xml:space="preserve"> ‘Places are as diffuse and differentiated as the range of identities and significances accorded to them</w:t>
      </w:r>
      <w:r w:rsidR="00931E92" w:rsidRPr="00781B30">
        <w:rPr>
          <w:sz w:val="24"/>
          <w:szCs w:val="24"/>
        </w:rPr>
        <w:t>.</w:t>
      </w:r>
      <w:r w:rsidR="0025629B" w:rsidRPr="00781B30">
        <w:rPr>
          <w:sz w:val="24"/>
          <w:szCs w:val="24"/>
        </w:rPr>
        <w:t>’</w:t>
      </w:r>
      <w:r w:rsidR="0025629B" w:rsidRPr="00781B30">
        <w:rPr>
          <w:rStyle w:val="FootnoteReference"/>
          <w:sz w:val="24"/>
          <w:szCs w:val="24"/>
        </w:rPr>
        <w:footnoteReference w:id="24"/>
      </w:r>
      <w:r w:rsidR="0025629B" w:rsidRPr="00781B30">
        <w:rPr>
          <w:sz w:val="24"/>
          <w:szCs w:val="24"/>
        </w:rPr>
        <w:t xml:space="preserve">  </w:t>
      </w:r>
    </w:p>
    <w:p w14:paraId="2DC3CCAC" w14:textId="35CB9C29" w:rsidR="0025629B" w:rsidRPr="00781B30" w:rsidRDefault="00233B40" w:rsidP="000C071D">
      <w:pPr>
        <w:ind w:firstLine="720"/>
        <w:rPr>
          <w:sz w:val="24"/>
          <w:szCs w:val="24"/>
        </w:rPr>
      </w:pPr>
      <w:r w:rsidRPr="00781B30">
        <w:rPr>
          <w:sz w:val="24"/>
          <w:szCs w:val="24"/>
        </w:rPr>
        <w:t xml:space="preserve">A key difference between their approaches </w:t>
      </w:r>
      <w:r w:rsidR="00A47B0D">
        <w:rPr>
          <w:sz w:val="24"/>
          <w:szCs w:val="24"/>
        </w:rPr>
        <w:t>can be seen</w:t>
      </w:r>
      <w:r w:rsidRPr="00781B30">
        <w:rPr>
          <w:sz w:val="24"/>
          <w:szCs w:val="24"/>
        </w:rPr>
        <w:t xml:space="preserve"> in Bender’s focus on a broad overview of the influence of power, politics and social relations</w:t>
      </w:r>
      <w:r w:rsidR="00F9582B">
        <w:rPr>
          <w:sz w:val="24"/>
          <w:szCs w:val="24"/>
        </w:rPr>
        <w:t>,</w:t>
      </w:r>
      <w:r w:rsidR="00F9582B">
        <w:rPr>
          <w:rStyle w:val="FootnoteReference"/>
          <w:sz w:val="24"/>
          <w:szCs w:val="24"/>
        </w:rPr>
        <w:footnoteReference w:id="25"/>
      </w:r>
      <w:r w:rsidRPr="00781B30">
        <w:rPr>
          <w:sz w:val="24"/>
          <w:szCs w:val="24"/>
        </w:rPr>
        <w:t xml:space="preserve"> </w:t>
      </w:r>
      <w:r w:rsidR="004726DE">
        <w:rPr>
          <w:sz w:val="24"/>
          <w:szCs w:val="24"/>
        </w:rPr>
        <w:t>while</w:t>
      </w:r>
      <w:r w:rsidRPr="00781B30">
        <w:rPr>
          <w:sz w:val="24"/>
          <w:szCs w:val="24"/>
        </w:rPr>
        <w:t xml:space="preserve"> Tilley focus</w:t>
      </w:r>
      <w:r w:rsidR="004726DE">
        <w:rPr>
          <w:sz w:val="24"/>
          <w:szCs w:val="24"/>
        </w:rPr>
        <w:t>ed</w:t>
      </w:r>
      <w:r w:rsidRPr="00781B30">
        <w:rPr>
          <w:sz w:val="24"/>
          <w:szCs w:val="24"/>
        </w:rPr>
        <w:t xml:space="preserve"> on</w:t>
      </w:r>
      <w:r w:rsidR="00F9582B">
        <w:rPr>
          <w:sz w:val="24"/>
          <w:szCs w:val="24"/>
        </w:rPr>
        <w:t xml:space="preserve"> individual</w:t>
      </w:r>
      <w:r w:rsidRPr="00781B30">
        <w:rPr>
          <w:sz w:val="24"/>
          <w:szCs w:val="24"/>
        </w:rPr>
        <w:t xml:space="preserve"> bodily experience.</w:t>
      </w:r>
      <w:r w:rsidR="00F9582B">
        <w:rPr>
          <w:rStyle w:val="FootnoteReference"/>
          <w:sz w:val="24"/>
          <w:szCs w:val="24"/>
        </w:rPr>
        <w:footnoteReference w:id="26"/>
      </w:r>
      <w:r w:rsidRPr="00781B30">
        <w:rPr>
          <w:sz w:val="24"/>
          <w:szCs w:val="24"/>
        </w:rPr>
        <w:t xml:space="preserve"> Bender</w:t>
      </w:r>
      <w:r w:rsidR="004E08F5">
        <w:rPr>
          <w:sz w:val="24"/>
          <w:szCs w:val="24"/>
        </w:rPr>
        <w:t>’s analysis</w:t>
      </w:r>
      <w:r w:rsidRPr="00781B30">
        <w:rPr>
          <w:sz w:val="24"/>
          <w:szCs w:val="24"/>
        </w:rPr>
        <w:t xml:space="preserve"> </w:t>
      </w:r>
      <w:r w:rsidR="00E003AE">
        <w:rPr>
          <w:sz w:val="24"/>
          <w:szCs w:val="24"/>
        </w:rPr>
        <w:t>emphasised</w:t>
      </w:r>
      <w:r w:rsidRPr="00781B30">
        <w:rPr>
          <w:sz w:val="24"/>
          <w:szCs w:val="24"/>
        </w:rPr>
        <w:t xml:space="preserve"> power and agency in human societies, helping to build understanding of how political and economic forces shape different understandings of landscapes, and how  landscapes may be used to reinforce or contest existing power structures.</w:t>
      </w:r>
      <w:r w:rsidR="0090431D">
        <w:rPr>
          <w:rStyle w:val="FootnoteReference"/>
          <w:sz w:val="24"/>
          <w:szCs w:val="24"/>
        </w:rPr>
        <w:footnoteReference w:id="27"/>
      </w:r>
      <w:r w:rsidRPr="00781B30">
        <w:rPr>
          <w:sz w:val="24"/>
          <w:szCs w:val="24"/>
        </w:rPr>
        <w:t xml:space="preserve"> Tilley’s approach</w:t>
      </w:r>
      <w:r w:rsidR="004726DE">
        <w:rPr>
          <w:sz w:val="24"/>
          <w:szCs w:val="24"/>
        </w:rPr>
        <w:t>, on the other hand, offer</w:t>
      </w:r>
      <w:r w:rsidR="00E003AE">
        <w:rPr>
          <w:sz w:val="24"/>
          <w:szCs w:val="24"/>
        </w:rPr>
        <w:t>ed</w:t>
      </w:r>
      <w:r w:rsidRPr="00781B30">
        <w:rPr>
          <w:sz w:val="24"/>
          <w:szCs w:val="24"/>
        </w:rPr>
        <w:t xml:space="preserve"> insights into how individuals physically interact with sites and landscapes,</w:t>
      </w:r>
      <w:r w:rsidR="0090431D">
        <w:rPr>
          <w:rStyle w:val="FootnoteReference"/>
          <w:sz w:val="24"/>
          <w:szCs w:val="24"/>
        </w:rPr>
        <w:footnoteReference w:id="28"/>
      </w:r>
      <w:r w:rsidRPr="00781B30">
        <w:rPr>
          <w:sz w:val="24"/>
          <w:szCs w:val="24"/>
        </w:rPr>
        <w:t xml:space="preserve"> </w:t>
      </w:r>
      <w:r w:rsidR="0090431D">
        <w:rPr>
          <w:sz w:val="24"/>
          <w:szCs w:val="24"/>
        </w:rPr>
        <w:t xml:space="preserve">which can be seen as </w:t>
      </w:r>
      <w:r w:rsidRPr="00781B30">
        <w:rPr>
          <w:sz w:val="24"/>
          <w:szCs w:val="24"/>
        </w:rPr>
        <w:t xml:space="preserve">helping foreground the bodily and emotional responses that may contribute to and be mediated by the actions and behaviours </w:t>
      </w:r>
      <w:r w:rsidRPr="00781B30">
        <w:rPr>
          <w:sz w:val="24"/>
          <w:szCs w:val="24"/>
        </w:rPr>
        <w:lastRenderedPageBreak/>
        <w:t>analysed in Bender’s theory of contested landscapes. Tilley argue</w:t>
      </w:r>
      <w:r w:rsidR="00E003AE">
        <w:rPr>
          <w:sz w:val="24"/>
          <w:szCs w:val="24"/>
        </w:rPr>
        <w:t>d</w:t>
      </w:r>
      <w:r w:rsidRPr="00781B30">
        <w:rPr>
          <w:sz w:val="24"/>
          <w:szCs w:val="24"/>
        </w:rPr>
        <w:t xml:space="preserve"> that detailed descriptions of the embodied experience of places help to create ‘thick’ description</w:t>
      </w:r>
      <w:r w:rsidR="00E003AE">
        <w:rPr>
          <w:sz w:val="24"/>
          <w:szCs w:val="24"/>
        </w:rPr>
        <w:t>s</w:t>
      </w:r>
      <w:r w:rsidRPr="00781B30">
        <w:rPr>
          <w:sz w:val="24"/>
          <w:szCs w:val="24"/>
        </w:rPr>
        <w:t>, which contribute to a richer understanding of the diversity and complexity of landscapes.</w:t>
      </w:r>
      <w:r w:rsidRPr="00781B30">
        <w:rPr>
          <w:rStyle w:val="FootnoteReference"/>
          <w:sz w:val="24"/>
          <w:szCs w:val="24"/>
        </w:rPr>
        <w:footnoteReference w:id="29"/>
      </w:r>
      <w:r w:rsidRPr="00781B30">
        <w:rPr>
          <w:sz w:val="24"/>
          <w:szCs w:val="24"/>
        </w:rPr>
        <w:t xml:space="preserve"> </w:t>
      </w:r>
      <w:r w:rsidR="006559D2" w:rsidRPr="00781B30">
        <w:rPr>
          <w:sz w:val="24"/>
          <w:szCs w:val="24"/>
        </w:rPr>
        <w:t>Tilley’s approach</w:t>
      </w:r>
      <w:r w:rsidR="00344B9C" w:rsidRPr="00781B30">
        <w:rPr>
          <w:sz w:val="24"/>
          <w:szCs w:val="24"/>
        </w:rPr>
        <w:t xml:space="preserve"> can</w:t>
      </w:r>
      <w:r w:rsidR="004726DE">
        <w:rPr>
          <w:sz w:val="24"/>
          <w:szCs w:val="24"/>
        </w:rPr>
        <w:t xml:space="preserve"> </w:t>
      </w:r>
      <w:r w:rsidR="00344B9C" w:rsidRPr="00781B30">
        <w:rPr>
          <w:sz w:val="24"/>
          <w:szCs w:val="24"/>
        </w:rPr>
        <w:t xml:space="preserve">be seen to emphasise </w:t>
      </w:r>
      <w:r w:rsidR="0025629B" w:rsidRPr="00781B30">
        <w:rPr>
          <w:sz w:val="24"/>
          <w:szCs w:val="24"/>
        </w:rPr>
        <w:t xml:space="preserve">the </w:t>
      </w:r>
      <w:r w:rsidR="0025629B" w:rsidRPr="00781B30">
        <w:rPr>
          <w:i/>
          <w:iCs/>
          <w:sz w:val="24"/>
          <w:szCs w:val="24"/>
        </w:rPr>
        <w:t>inherent</w:t>
      </w:r>
      <w:r w:rsidR="00344B9C" w:rsidRPr="00781B30">
        <w:rPr>
          <w:sz w:val="24"/>
          <w:szCs w:val="24"/>
        </w:rPr>
        <w:t xml:space="preserve"> subjectivity of place, supporting </w:t>
      </w:r>
      <w:r w:rsidR="006559D2" w:rsidRPr="00781B30">
        <w:rPr>
          <w:sz w:val="24"/>
          <w:szCs w:val="24"/>
        </w:rPr>
        <w:t>Bender’s view</w:t>
      </w:r>
      <w:r w:rsidR="00344B9C" w:rsidRPr="00781B30">
        <w:rPr>
          <w:sz w:val="24"/>
          <w:szCs w:val="24"/>
        </w:rPr>
        <w:t xml:space="preserve"> that landscapes can be experienced in different ways by different people </w:t>
      </w:r>
      <w:r w:rsidR="00E102B2" w:rsidRPr="00781B30">
        <w:rPr>
          <w:sz w:val="24"/>
          <w:szCs w:val="24"/>
        </w:rPr>
        <w:t xml:space="preserve">at different times, </w:t>
      </w:r>
      <w:r w:rsidR="00344B9C" w:rsidRPr="00781B30">
        <w:rPr>
          <w:sz w:val="24"/>
          <w:szCs w:val="24"/>
        </w:rPr>
        <w:t xml:space="preserve">and helping to show </w:t>
      </w:r>
      <w:r w:rsidR="00344B9C" w:rsidRPr="00781B30">
        <w:rPr>
          <w:i/>
          <w:iCs/>
          <w:sz w:val="24"/>
          <w:szCs w:val="24"/>
        </w:rPr>
        <w:t>how</w:t>
      </w:r>
      <w:r w:rsidR="00344B9C" w:rsidRPr="00781B30">
        <w:rPr>
          <w:sz w:val="24"/>
          <w:szCs w:val="24"/>
        </w:rPr>
        <w:t xml:space="preserve"> </w:t>
      </w:r>
      <w:r w:rsidR="00E102B2" w:rsidRPr="00781B30">
        <w:rPr>
          <w:sz w:val="24"/>
          <w:szCs w:val="24"/>
        </w:rPr>
        <w:t>people’s interactions with the material world might help create and be mediated by</w:t>
      </w:r>
      <w:r w:rsidR="00344B9C" w:rsidRPr="00781B30">
        <w:rPr>
          <w:sz w:val="24"/>
          <w:szCs w:val="24"/>
        </w:rPr>
        <w:t xml:space="preserve"> different, potentially contrasting, meanings.</w:t>
      </w:r>
    </w:p>
    <w:p w14:paraId="29E5620A" w14:textId="196BE54E" w:rsidR="00AB40C7" w:rsidRDefault="00AB40C7" w:rsidP="000C071D">
      <w:pPr>
        <w:ind w:firstLine="720"/>
        <w:rPr>
          <w:color w:val="000000" w:themeColor="text1"/>
          <w:sz w:val="24"/>
          <w:szCs w:val="24"/>
        </w:rPr>
      </w:pPr>
      <w:r w:rsidRPr="00781B30">
        <w:rPr>
          <w:sz w:val="24"/>
          <w:szCs w:val="24"/>
        </w:rPr>
        <w:t>B</w:t>
      </w:r>
      <w:r w:rsidR="006559D2" w:rsidRPr="00781B30">
        <w:rPr>
          <w:sz w:val="24"/>
          <w:szCs w:val="24"/>
        </w:rPr>
        <w:t>oth Tilley</w:t>
      </w:r>
      <w:r w:rsidR="0090431D">
        <w:rPr>
          <w:rStyle w:val="FootnoteReference"/>
          <w:sz w:val="24"/>
          <w:szCs w:val="24"/>
        </w:rPr>
        <w:footnoteReference w:id="30"/>
      </w:r>
      <w:r w:rsidR="006559D2" w:rsidRPr="00781B30">
        <w:rPr>
          <w:sz w:val="24"/>
          <w:szCs w:val="24"/>
        </w:rPr>
        <w:t xml:space="preserve"> and Bender</w:t>
      </w:r>
      <w:r w:rsidR="0090431D">
        <w:rPr>
          <w:rStyle w:val="FootnoteReference"/>
          <w:sz w:val="24"/>
          <w:szCs w:val="24"/>
        </w:rPr>
        <w:footnoteReference w:id="31"/>
      </w:r>
      <w:r w:rsidR="006559D2" w:rsidRPr="00781B30">
        <w:rPr>
          <w:sz w:val="24"/>
          <w:szCs w:val="24"/>
        </w:rPr>
        <w:t xml:space="preserve"> have also argued that landscapes are not passive within this relationship. </w:t>
      </w:r>
      <w:r w:rsidR="0025629B" w:rsidRPr="00781B30">
        <w:rPr>
          <w:color w:val="000000" w:themeColor="text1"/>
          <w:sz w:val="24"/>
          <w:szCs w:val="24"/>
        </w:rPr>
        <w:t>Bender stresse</w:t>
      </w:r>
      <w:r w:rsidR="009C3476" w:rsidRPr="00781B30">
        <w:rPr>
          <w:color w:val="000000" w:themeColor="text1"/>
          <w:sz w:val="24"/>
          <w:szCs w:val="24"/>
        </w:rPr>
        <w:t>d</w:t>
      </w:r>
      <w:r w:rsidR="0025629B" w:rsidRPr="00781B30">
        <w:rPr>
          <w:color w:val="000000" w:themeColor="text1"/>
          <w:sz w:val="24"/>
          <w:szCs w:val="24"/>
        </w:rPr>
        <w:t xml:space="preserve"> </w:t>
      </w:r>
      <w:r w:rsidR="00DE56F5" w:rsidRPr="00781B30">
        <w:rPr>
          <w:color w:val="000000" w:themeColor="text1"/>
          <w:sz w:val="24"/>
          <w:szCs w:val="24"/>
        </w:rPr>
        <w:t>that</w:t>
      </w:r>
      <w:r w:rsidR="0025629B" w:rsidRPr="00781B30">
        <w:rPr>
          <w:color w:val="000000" w:themeColor="text1"/>
          <w:sz w:val="24"/>
          <w:szCs w:val="24"/>
        </w:rPr>
        <w:t xml:space="preserve">, </w:t>
      </w:r>
      <w:r w:rsidR="00DE56F5" w:rsidRPr="00781B30">
        <w:rPr>
          <w:color w:val="000000" w:themeColor="text1"/>
          <w:sz w:val="24"/>
          <w:szCs w:val="24"/>
        </w:rPr>
        <w:t>‘</w:t>
      </w:r>
      <w:r w:rsidR="0025629B" w:rsidRPr="00781B30">
        <w:rPr>
          <w:color w:val="000000" w:themeColor="text1"/>
          <w:sz w:val="24"/>
          <w:szCs w:val="24"/>
        </w:rPr>
        <w:t xml:space="preserve">Human interventions are done not so much </w:t>
      </w:r>
      <w:r w:rsidR="0025629B" w:rsidRPr="00781B30">
        <w:rPr>
          <w:i/>
          <w:iCs/>
          <w:color w:val="000000" w:themeColor="text1"/>
          <w:sz w:val="24"/>
          <w:szCs w:val="24"/>
        </w:rPr>
        <w:t xml:space="preserve">to </w:t>
      </w:r>
      <w:r w:rsidR="0025629B" w:rsidRPr="00781B30">
        <w:rPr>
          <w:color w:val="000000" w:themeColor="text1"/>
          <w:sz w:val="24"/>
          <w:szCs w:val="24"/>
        </w:rPr>
        <w:t xml:space="preserve">the landscape as </w:t>
      </w:r>
      <w:r w:rsidR="0025629B" w:rsidRPr="00781B30">
        <w:rPr>
          <w:i/>
          <w:iCs/>
          <w:color w:val="000000" w:themeColor="text1"/>
          <w:sz w:val="24"/>
          <w:szCs w:val="24"/>
        </w:rPr>
        <w:t xml:space="preserve">with </w:t>
      </w:r>
      <w:r w:rsidR="0025629B" w:rsidRPr="00781B30">
        <w:rPr>
          <w:color w:val="000000" w:themeColor="text1"/>
          <w:sz w:val="24"/>
          <w:szCs w:val="24"/>
        </w:rPr>
        <w:t>the landscape.</w:t>
      </w:r>
      <w:r w:rsidR="00DE56F5" w:rsidRPr="00781B30">
        <w:rPr>
          <w:color w:val="000000" w:themeColor="text1"/>
          <w:sz w:val="24"/>
          <w:szCs w:val="24"/>
        </w:rPr>
        <w:t>’</w:t>
      </w:r>
      <w:r w:rsidR="0025629B" w:rsidRPr="00781B30">
        <w:rPr>
          <w:rStyle w:val="FootnoteReference"/>
          <w:color w:val="000000" w:themeColor="text1"/>
          <w:sz w:val="24"/>
          <w:szCs w:val="24"/>
        </w:rPr>
        <w:footnoteReference w:id="32"/>
      </w:r>
      <w:r w:rsidR="0025629B" w:rsidRPr="00781B30">
        <w:rPr>
          <w:color w:val="000000" w:themeColor="text1"/>
          <w:sz w:val="24"/>
          <w:szCs w:val="24"/>
        </w:rPr>
        <w:t xml:space="preserve"> In other words, </w:t>
      </w:r>
      <w:r w:rsidR="00DE56F5" w:rsidRPr="00781B30">
        <w:rPr>
          <w:color w:val="000000" w:themeColor="text1"/>
          <w:sz w:val="24"/>
          <w:szCs w:val="24"/>
        </w:rPr>
        <w:t xml:space="preserve">for Bender, </w:t>
      </w:r>
      <w:r w:rsidR="0025629B" w:rsidRPr="00781B30">
        <w:rPr>
          <w:color w:val="000000" w:themeColor="text1"/>
          <w:sz w:val="24"/>
          <w:szCs w:val="24"/>
        </w:rPr>
        <w:t xml:space="preserve">multiple subjective and often contested landscapes are co-created with the landscape itself. </w:t>
      </w:r>
      <w:r w:rsidR="00244F08" w:rsidRPr="00781B30">
        <w:rPr>
          <w:color w:val="000000" w:themeColor="text1"/>
          <w:sz w:val="24"/>
          <w:szCs w:val="24"/>
        </w:rPr>
        <w:t>Bender’s</w:t>
      </w:r>
      <w:r w:rsidR="0025629B" w:rsidRPr="00781B30">
        <w:rPr>
          <w:color w:val="000000" w:themeColor="text1"/>
          <w:sz w:val="24"/>
          <w:szCs w:val="24"/>
        </w:rPr>
        <w:t xml:space="preserve"> main focus, however, remains on how human politics and social relations shape engagement with landscapes</w:t>
      </w:r>
      <w:r w:rsidR="00244F08" w:rsidRPr="00781B30">
        <w:rPr>
          <w:color w:val="000000" w:themeColor="text1"/>
          <w:sz w:val="24"/>
          <w:szCs w:val="24"/>
        </w:rPr>
        <w:t>.</w:t>
      </w:r>
      <w:r w:rsidR="009E76FD">
        <w:rPr>
          <w:rStyle w:val="FootnoteReference"/>
          <w:color w:val="000000" w:themeColor="text1"/>
          <w:sz w:val="24"/>
          <w:szCs w:val="24"/>
        </w:rPr>
        <w:footnoteReference w:id="33"/>
      </w:r>
      <w:r w:rsidR="00244F08" w:rsidRPr="00781B30">
        <w:rPr>
          <w:color w:val="000000" w:themeColor="text1"/>
          <w:sz w:val="24"/>
          <w:szCs w:val="24"/>
        </w:rPr>
        <w:t xml:space="preserve"> In contrast, </w:t>
      </w:r>
      <w:r w:rsidR="00DE56F5" w:rsidRPr="00781B30">
        <w:rPr>
          <w:color w:val="000000" w:themeColor="text1"/>
          <w:sz w:val="24"/>
          <w:szCs w:val="24"/>
        </w:rPr>
        <w:t>Tilley</w:t>
      </w:r>
      <w:r w:rsidRPr="00781B30">
        <w:rPr>
          <w:color w:val="000000" w:themeColor="text1"/>
          <w:sz w:val="24"/>
          <w:szCs w:val="24"/>
        </w:rPr>
        <w:t xml:space="preserve"> put </w:t>
      </w:r>
      <w:r w:rsidR="00DE56F5" w:rsidRPr="00781B30">
        <w:rPr>
          <w:color w:val="000000" w:themeColor="text1"/>
          <w:sz w:val="24"/>
          <w:szCs w:val="24"/>
        </w:rPr>
        <w:t>greater emphasis on</w:t>
      </w:r>
      <w:r w:rsidR="009C3476" w:rsidRPr="00781B30">
        <w:rPr>
          <w:color w:val="000000" w:themeColor="text1"/>
          <w:sz w:val="24"/>
          <w:szCs w:val="24"/>
        </w:rPr>
        <w:t xml:space="preserve"> </w:t>
      </w:r>
      <w:r w:rsidR="006811DA" w:rsidRPr="00781B30">
        <w:rPr>
          <w:color w:val="000000" w:themeColor="text1"/>
          <w:sz w:val="24"/>
          <w:szCs w:val="24"/>
        </w:rPr>
        <w:t xml:space="preserve">seeking insights into </w:t>
      </w:r>
      <w:r w:rsidR="009C3476" w:rsidRPr="00781B30">
        <w:rPr>
          <w:color w:val="000000" w:themeColor="text1"/>
          <w:sz w:val="24"/>
          <w:szCs w:val="24"/>
        </w:rPr>
        <w:t>the agency of landscapes</w:t>
      </w:r>
      <w:r w:rsidRPr="00781B30">
        <w:rPr>
          <w:color w:val="000000" w:themeColor="text1"/>
          <w:sz w:val="24"/>
          <w:szCs w:val="24"/>
        </w:rPr>
        <w:t xml:space="preserve"> through</w:t>
      </w:r>
      <w:r w:rsidRPr="00781B30">
        <w:rPr>
          <w:sz w:val="24"/>
          <w:szCs w:val="24"/>
        </w:rPr>
        <w:t xml:space="preserve"> encounters with ‘landscapes as real and physical’</w:t>
      </w:r>
      <w:r w:rsidR="00E003AE">
        <w:rPr>
          <w:sz w:val="24"/>
          <w:szCs w:val="24"/>
        </w:rPr>
        <w:t>.</w:t>
      </w:r>
      <w:r w:rsidRPr="00781B30">
        <w:rPr>
          <w:rStyle w:val="FootnoteReference"/>
          <w:sz w:val="24"/>
          <w:szCs w:val="24"/>
        </w:rPr>
        <w:footnoteReference w:id="34"/>
      </w:r>
      <w:r w:rsidR="006811DA" w:rsidRPr="00781B30">
        <w:rPr>
          <w:color w:val="000000" w:themeColor="text1"/>
          <w:sz w:val="24"/>
          <w:szCs w:val="24"/>
        </w:rPr>
        <w:t xml:space="preserve"> </w:t>
      </w:r>
      <w:r w:rsidR="00E003AE">
        <w:rPr>
          <w:color w:val="000000" w:themeColor="text1"/>
          <w:sz w:val="24"/>
          <w:szCs w:val="24"/>
        </w:rPr>
        <w:t>I</w:t>
      </w:r>
      <w:r w:rsidR="0097612B" w:rsidRPr="00781B30">
        <w:rPr>
          <w:color w:val="000000" w:themeColor="text1"/>
          <w:sz w:val="24"/>
          <w:szCs w:val="24"/>
        </w:rPr>
        <w:t>n this way</w:t>
      </w:r>
      <w:r w:rsidR="00E003AE">
        <w:rPr>
          <w:color w:val="000000" w:themeColor="text1"/>
          <w:sz w:val="24"/>
          <w:szCs w:val="24"/>
        </w:rPr>
        <w:t>,</w:t>
      </w:r>
      <w:r w:rsidR="0097612B" w:rsidRPr="00781B30">
        <w:rPr>
          <w:color w:val="000000" w:themeColor="text1"/>
          <w:sz w:val="24"/>
          <w:szCs w:val="24"/>
        </w:rPr>
        <w:t xml:space="preserve"> he sought to </w:t>
      </w:r>
      <w:r w:rsidRPr="00781B30">
        <w:rPr>
          <w:color w:val="000000" w:themeColor="text1"/>
          <w:sz w:val="24"/>
          <w:szCs w:val="24"/>
        </w:rPr>
        <w:t>amplify</w:t>
      </w:r>
      <w:r w:rsidR="006811DA" w:rsidRPr="00781B30">
        <w:rPr>
          <w:color w:val="000000" w:themeColor="text1"/>
          <w:sz w:val="24"/>
          <w:szCs w:val="24"/>
        </w:rPr>
        <w:t xml:space="preserve"> the voice of the land </w:t>
      </w:r>
      <w:r w:rsidR="00244F08" w:rsidRPr="00781B30">
        <w:rPr>
          <w:color w:val="000000" w:themeColor="text1"/>
          <w:sz w:val="24"/>
          <w:szCs w:val="24"/>
        </w:rPr>
        <w:t>and</w:t>
      </w:r>
      <w:r w:rsidRPr="00781B30">
        <w:rPr>
          <w:color w:val="000000" w:themeColor="text1"/>
          <w:sz w:val="24"/>
          <w:szCs w:val="24"/>
        </w:rPr>
        <w:t xml:space="preserve"> focus on</w:t>
      </w:r>
      <w:r w:rsidR="00244F08" w:rsidRPr="00781B30">
        <w:rPr>
          <w:color w:val="000000" w:themeColor="text1"/>
          <w:sz w:val="24"/>
          <w:szCs w:val="24"/>
        </w:rPr>
        <w:t xml:space="preserve"> the effect of this </w:t>
      </w:r>
      <w:r w:rsidR="00933373">
        <w:rPr>
          <w:color w:val="000000" w:themeColor="text1"/>
          <w:sz w:val="24"/>
          <w:szCs w:val="24"/>
        </w:rPr>
        <w:t xml:space="preserve">agency </w:t>
      </w:r>
      <w:r w:rsidR="00244F08" w:rsidRPr="00781B30">
        <w:rPr>
          <w:color w:val="000000" w:themeColor="text1"/>
          <w:sz w:val="24"/>
          <w:szCs w:val="24"/>
        </w:rPr>
        <w:t xml:space="preserve">on people’s relationships with </w:t>
      </w:r>
      <w:r w:rsidR="00BA4D35" w:rsidRPr="00781B30">
        <w:rPr>
          <w:color w:val="000000" w:themeColor="text1"/>
          <w:sz w:val="24"/>
          <w:szCs w:val="24"/>
        </w:rPr>
        <w:t>archaeological sites and their environs</w:t>
      </w:r>
      <w:r w:rsidRPr="00781B30">
        <w:rPr>
          <w:color w:val="000000" w:themeColor="text1"/>
          <w:sz w:val="24"/>
          <w:szCs w:val="24"/>
        </w:rPr>
        <w:t xml:space="preserve">. </w:t>
      </w:r>
      <w:r w:rsidR="004726DE">
        <w:rPr>
          <w:sz w:val="24"/>
          <w:szCs w:val="24"/>
        </w:rPr>
        <w:t>He explored, for example,</w:t>
      </w:r>
      <w:r w:rsidR="004726DE" w:rsidRPr="00781B30">
        <w:rPr>
          <w:sz w:val="24"/>
          <w:szCs w:val="24"/>
        </w:rPr>
        <w:t xml:space="preserve"> </w:t>
      </w:r>
      <w:r w:rsidR="004726DE">
        <w:rPr>
          <w:sz w:val="24"/>
          <w:szCs w:val="24"/>
        </w:rPr>
        <w:t xml:space="preserve">the idea </w:t>
      </w:r>
      <w:r w:rsidR="004726DE" w:rsidRPr="00781B30">
        <w:rPr>
          <w:sz w:val="24"/>
          <w:szCs w:val="24"/>
        </w:rPr>
        <w:t>that places created by people ‘draw on’ qualities of the physical landscape</w:t>
      </w:r>
      <w:r w:rsidR="004726DE" w:rsidRPr="00781B30">
        <w:rPr>
          <w:rStyle w:val="FootnoteReference"/>
          <w:color w:val="000000" w:themeColor="text1"/>
          <w:sz w:val="24"/>
          <w:szCs w:val="24"/>
        </w:rPr>
        <w:footnoteReference w:id="35"/>
      </w:r>
      <w:r w:rsidR="006F7A1F">
        <w:rPr>
          <w:sz w:val="24"/>
          <w:szCs w:val="24"/>
        </w:rPr>
        <w:t xml:space="preserve"> with</w:t>
      </w:r>
      <w:r w:rsidR="004726DE" w:rsidRPr="00781B30">
        <w:rPr>
          <w:color w:val="000000" w:themeColor="text1"/>
          <w:sz w:val="24"/>
          <w:szCs w:val="24"/>
        </w:rPr>
        <w:t xml:space="preserve"> </w:t>
      </w:r>
      <w:r w:rsidR="006F7A1F">
        <w:rPr>
          <w:color w:val="000000" w:themeColor="text1"/>
          <w:sz w:val="24"/>
          <w:szCs w:val="24"/>
        </w:rPr>
        <w:t>l</w:t>
      </w:r>
      <w:r w:rsidR="004726DE" w:rsidRPr="00781B30">
        <w:rPr>
          <w:color w:val="000000" w:themeColor="text1"/>
          <w:sz w:val="24"/>
          <w:szCs w:val="24"/>
        </w:rPr>
        <w:t>andscapes</w:t>
      </w:r>
      <w:r w:rsidR="006F7A1F">
        <w:rPr>
          <w:color w:val="000000" w:themeColor="text1"/>
          <w:sz w:val="24"/>
          <w:szCs w:val="24"/>
        </w:rPr>
        <w:t xml:space="preserve"> constructing, as well as being</w:t>
      </w:r>
      <w:r w:rsidR="004726DE" w:rsidRPr="00781B30">
        <w:rPr>
          <w:color w:val="000000" w:themeColor="text1"/>
          <w:sz w:val="24"/>
          <w:szCs w:val="24"/>
        </w:rPr>
        <w:t xml:space="preserve"> constructed by</w:t>
      </w:r>
      <w:r w:rsidR="006F7A1F">
        <w:rPr>
          <w:color w:val="000000" w:themeColor="text1"/>
          <w:sz w:val="24"/>
          <w:szCs w:val="24"/>
        </w:rPr>
        <w:t>,</w:t>
      </w:r>
      <w:r w:rsidR="004726DE" w:rsidRPr="00781B30">
        <w:rPr>
          <w:color w:val="000000" w:themeColor="text1"/>
          <w:sz w:val="24"/>
          <w:szCs w:val="24"/>
        </w:rPr>
        <w:t xml:space="preserve"> layers of narrative (placenames, stories, histories)</w:t>
      </w:r>
      <w:r w:rsidR="00E003AE">
        <w:rPr>
          <w:color w:val="000000" w:themeColor="text1"/>
          <w:sz w:val="24"/>
          <w:szCs w:val="24"/>
        </w:rPr>
        <w:t>,</w:t>
      </w:r>
      <w:r w:rsidR="004726DE" w:rsidRPr="00781B30">
        <w:rPr>
          <w:color w:val="000000" w:themeColor="text1"/>
          <w:sz w:val="24"/>
          <w:szCs w:val="24"/>
        </w:rPr>
        <w:t xml:space="preserve"> with story and landscape acting in dialogue to help co-create each other</w:t>
      </w:r>
      <w:r w:rsidR="00E003AE" w:rsidRPr="00E003AE">
        <w:rPr>
          <w:color w:val="000000" w:themeColor="text1"/>
          <w:sz w:val="24"/>
          <w:szCs w:val="24"/>
        </w:rPr>
        <w:t xml:space="preserve"> </w:t>
      </w:r>
      <w:r w:rsidR="00E003AE">
        <w:rPr>
          <w:color w:val="000000" w:themeColor="text1"/>
          <w:sz w:val="24"/>
          <w:szCs w:val="24"/>
        </w:rPr>
        <w:t xml:space="preserve">and </w:t>
      </w:r>
      <w:r w:rsidR="00E003AE" w:rsidRPr="00781B30">
        <w:rPr>
          <w:color w:val="000000" w:themeColor="text1"/>
          <w:sz w:val="24"/>
          <w:szCs w:val="24"/>
        </w:rPr>
        <w:t>bind people and place together</w:t>
      </w:r>
      <w:r w:rsidR="004726DE" w:rsidRPr="00781B30">
        <w:rPr>
          <w:color w:val="000000" w:themeColor="text1"/>
          <w:sz w:val="24"/>
          <w:szCs w:val="24"/>
        </w:rPr>
        <w:t>.</w:t>
      </w:r>
      <w:r w:rsidR="004726DE" w:rsidRPr="00781B30">
        <w:rPr>
          <w:rStyle w:val="FootnoteReference"/>
          <w:color w:val="000000" w:themeColor="text1"/>
          <w:sz w:val="24"/>
          <w:szCs w:val="24"/>
        </w:rPr>
        <w:footnoteReference w:id="36"/>
      </w:r>
      <w:r w:rsidR="004726DE" w:rsidRPr="00781B30">
        <w:rPr>
          <w:color w:val="000000" w:themeColor="text1"/>
          <w:sz w:val="24"/>
          <w:szCs w:val="24"/>
        </w:rPr>
        <w:t xml:space="preserve"> </w:t>
      </w:r>
      <w:r w:rsidR="004726DE">
        <w:rPr>
          <w:color w:val="000000" w:themeColor="text1"/>
          <w:sz w:val="24"/>
          <w:szCs w:val="24"/>
        </w:rPr>
        <w:t>Other scholars have supported this analysis of the relationship between story and place, for example Belden C.</w:t>
      </w:r>
      <w:r w:rsidR="004726DE" w:rsidRPr="00781B30">
        <w:rPr>
          <w:color w:val="000000" w:themeColor="text1"/>
          <w:sz w:val="24"/>
          <w:szCs w:val="24"/>
        </w:rPr>
        <w:t xml:space="preserve"> Lane sees stories as central to </w:t>
      </w:r>
      <w:r w:rsidR="004726DE">
        <w:rPr>
          <w:color w:val="000000" w:themeColor="text1"/>
          <w:sz w:val="24"/>
          <w:szCs w:val="24"/>
        </w:rPr>
        <w:t xml:space="preserve">sacred </w:t>
      </w:r>
      <w:r w:rsidR="004726DE" w:rsidRPr="00781B30">
        <w:rPr>
          <w:color w:val="000000" w:themeColor="text1"/>
          <w:sz w:val="24"/>
          <w:szCs w:val="24"/>
        </w:rPr>
        <w:t>place</w:t>
      </w:r>
      <w:r w:rsidR="004726DE">
        <w:rPr>
          <w:color w:val="000000" w:themeColor="text1"/>
          <w:sz w:val="24"/>
          <w:szCs w:val="24"/>
        </w:rPr>
        <w:t>s</w:t>
      </w:r>
      <w:r w:rsidR="004726DE" w:rsidRPr="00781B30">
        <w:rPr>
          <w:color w:val="000000" w:themeColor="text1"/>
          <w:sz w:val="24"/>
          <w:szCs w:val="24"/>
        </w:rPr>
        <w:t>, suggesting that the more stories that attach to a place, or the greater the importance of these stories within a culture, the more important and valued a place will be.</w:t>
      </w:r>
      <w:r w:rsidR="004726DE" w:rsidRPr="00781B30">
        <w:rPr>
          <w:rStyle w:val="FootnoteReference"/>
          <w:color w:val="000000" w:themeColor="text1"/>
          <w:sz w:val="24"/>
          <w:szCs w:val="24"/>
        </w:rPr>
        <w:footnoteReference w:id="37"/>
      </w:r>
      <w:r w:rsidR="004726DE" w:rsidRPr="00781B30">
        <w:rPr>
          <w:color w:val="000000" w:themeColor="text1"/>
          <w:sz w:val="24"/>
          <w:szCs w:val="24"/>
        </w:rPr>
        <w:t xml:space="preserve"> </w:t>
      </w:r>
      <w:r w:rsidRPr="00781B30">
        <w:rPr>
          <w:color w:val="000000" w:themeColor="text1"/>
          <w:sz w:val="24"/>
          <w:szCs w:val="24"/>
        </w:rPr>
        <w:t>Tilley’s phenomenological perspective</w:t>
      </w:r>
      <w:r w:rsidR="00244F08" w:rsidRPr="00781B30">
        <w:rPr>
          <w:color w:val="000000" w:themeColor="text1"/>
          <w:sz w:val="24"/>
          <w:szCs w:val="24"/>
        </w:rPr>
        <w:t xml:space="preserve"> </w:t>
      </w:r>
      <w:r w:rsidR="006811DA" w:rsidRPr="00781B30">
        <w:rPr>
          <w:color w:val="000000" w:themeColor="text1"/>
          <w:sz w:val="24"/>
          <w:szCs w:val="24"/>
        </w:rPr>
        <w:t>can</w:t>
      </w:r>
      <w:r w:rsidRPr="00781B30">
        <w:rPr>
          <w:color w:val="000000" w:themeColor="text1"/>
          <w:sz w:val="24"/>
          <w:szCs w:val="24"/>
        </w:rPr>
        <w:t xml:space="preserve"> therefore</w:t>
      </w:r>
      <w:r w:rsidR="006811DA" w:rsidRPr="00781B30">
        <w:rPr>
          <w:color w:val="000000" w:themeColor="text1"/>
          <w:sz w:val="24"/>
          <w:szCs w:val="24"/>
        </w:rPr>
        <w:t xml:space="preserve"> be </w:t>
      </w:r>
      <w:r w:rsidR="00BA4D35" w:rsidRPr="00781B30">
        <w:rPr>
          <w:color w:val="000000" w:themeColor="text1"/>
          <w:sz w:val="24"/>
          <w:szCs w:val="24"/>
        </w:rPr>
        <w:t>argued</w:t>
      </w:r>
      <w:r w:rsidR="006811DA" w:rsidRPr="00781B30">
        <w:rPr>
          <w:color w:val="000000" w:themeColor="text1"/>
          <w:sz w:val="24"/>
          <w:szCs w:val="24"/>
        </w:rPr>
        <w:t xml:space="preserve"> to add </w:t>
      </w:r>
      <w:r w:rsidR="006559D2" w:rsidRPr="00781B30">
        <w:rPr>
          <w:color w:val="000000" w:themeColor="text1"/>
          <w:sz w:val="24"/>
          <w:szCs w:val="24"/>
        </w:rPr>
        <w:t xml:space="preserve">an additional layer </w:t>
      </w:r>
      <w:r w:rsidR="006811DA" w:rsidRPr="00781B30">
        <w:rPr>
          <w:color w:val="000000" w:themeColor="text1"/>
          <w:sz w:val="24"/>
          <w:szCs w:val="24"/>
        </w:rPr>
        <w:t xml:space="preserve">to </w:t>
      </w:r>
      <w:r w:rsidR="006F7A1F">
        <w:rPr>
          <w:color w:val="000000" w:themeColor="text1"/>
          <w:sz w:val="24"/>
          <w:szCs w:val="24"/>
        </w:rPr>
        <w:t>Bender’s</w:t>
      </w:r>
      <w:r w:rsidR="006811DA" w:rsidRPr="00781B30">
        <w:rPr>
          <w:color w:val="000000" w:themeColor="text1"/>
          <w:sz w:val="24"/>
          <w:szCs w:val="24"/>
        </w:rPr>
        <w:t xml:space="preserve"> </w:t>
      </w:r>
      <w:r w:rsidRPr="00781B30">
        <w:rPr>
          <w:color w:val="000000" w:themeColor="text1"/>
          <w:sz w:val="24"/>
          <w:szCs w:val="24"/>
        </w:rPr>
        <w:t>analysis</w:t>
      </w:r>
      <w:r w:rsidR="006559D2" w:rsidRPr="00781B30">
        <w:rPr>
          <w:color w:val="000000" w:themeColor="text1"/>
          <w:sz w:val="24"/>
          <w:szCs w:val="24"/>
        </w:rPr>
        <w:t>, helping to build deeper understandings of</w:t>
      </w:r>
      <w:r w:rsidR="00E003AE">
        <w:rPr>
          <w:color w:val="000000" w:themeColor="text1"/>
          <w:sz w:val="24"/>
          <w:szCs w:val="24"/>
        </w:rPr>
        <w:t xml:space="preserve"> how meaning is created and</w:t>
      </w:r>
      <w:r w:rsidR="006559D2" w:rsidRPr="00781B30">
        <w:rPr>
          <w:color w:val="000000" w:themeColor="text1"/>
          <w:sz w:val="24"/>
          <w:szCs w:val="24"/>
        </w:rPr>
        <w:t xml:space="preserve"> why some places become important and contested</w:t>
      </w:r>
      <w:r w:rsidR="006811DA" w:rsidRPr="00781B30">
        <w:rPr>
          <w:color w:val="000000" w:themeColor="text1"/>
          <w:sz w:val="24"/>
          <w:szCs w:val="24"/>
        </w:rPr>
        <w:t>.</w:t>
      </w:r>
    </w:p>
    <w:p w14:paraId="46C43BCD" w14:textId="158EAA63" w:rsidR="00FB22E4" w:rsidRPr="00781B30" w:rsidRDefault="00BA4D35" w:rsidP="00BA4ED1">
      <w:pPr>
        <w:ind w:firstLine="720"/>
        <w:rPr>
          <w:color w:val="000000" w:themeColor="text1"/>
          <w:sz w:val="24"/>
          <w:szCs w:val="24"/>
        </w:rPr>
      </w:pPr>
      <w:r w:rsidRPr="00781B30">
        <w:rPr>
          <w:color w:val="000000" w:themeColor="text1"/>
          <w:sz w:val="24"/>
          <w:szCs w:val="24"/>
        </w:rPr>
        <w:t xml:space="preserve">However, how far archaeologists can </w:t>
      </w:r>
      <w:r w:rsidR="0097612B" w:rsidRPr="00781B30">
        <w:rPr>
          <w:color w:val="000000" w:themeColor="text1"/>
          <w:sz w:val="24"/>
          <w:szCs w:val="24"/>
        </w:rPr>
        <w:t>rely on</w:t>
      </w:r>
      <w:r w:rsidRPr="00781B30">
        <w:rPr>
          <w:color w:val="000000" w:themeColor="text1"/>
          <w:sz w:val="24"/>
          <w:szCs w:val="24"/>
        </w:rPr>
        <w:t xml:space="preserve"> their own present</w:t>
      </w:r>
      <w:r w:rsidR="00A77F85">
        <w:rPr>
          <w:color w:val="000000" w:themeColor="text1"/>
          <w:sz w:val="24"/>
          <w:szCs w:val="24"/>
        </w:rPr>
        <w:t>-</w:t>
      </w:r>
      <w:r w:rsidRPr="00781B30">
        <w:rPr>
          <w:color w:val="000000" w:themeColor="text1"/>
          <w:sz w:val="24"/>
          <w:szCs w:val="24"/>
        </w:rPr>
        <w:t xml:space="preserve">day embodied experience to gain insights into the past has been heavily critiqued in the years since the publication of </w:t>
      </w:r>
      <w:r w:rsidRPr="00781B30">
        <w:rPr>
          <w:i/>
          <w:iCs/>
          <w:color w:val="000000" w:themeColor="text1"/>
          <w:sz w:val="24"/>
          <w:szCs w:val="24"/>
        </w:rPr>
        <w:t>A Phenomenology of Landscape.</w:t>
      </w:r>
      <w:r w:rsidR="00EB4712" w:rsidRPr="00781B30">
        <w:rPr>
          <w:sz w:val="24"/>
          <w:szCs w:val="24"/>
        </w:rPr>
        <w:t xml:space="preserve"> </w:t>
      </w:r>
      <w:r w:rsidRPr="00781B30">
        <w:rPr>
          <w:sz w:val="24"/>
          <w:szCs w:val="24"/>
        </w:rPr>
        <w:t xml:space="preserve">Tilley’s central claim is that </w:t>
      </w:r>
      <w:r w:rsidR="004E08F5">
        <w:rPr>
          <w:sz w:val="24"/>
          <w:szCs w:val="24"/>
        </w:rPr>
        <w:t>modern people</w:t>
      </w:r>
      <w:r w:rsidR="000923EE" w:rsidRPr="00781B30">
        <w:rPr>
          <w:sz w:val="24"/>
          <w:szCs w:val="24"/>
        </w:rPr>
        <w:t xml:space="preserve"> </w:t>
      </w:r>
      <w:r w:rsidR="00EB4712" w:rsidRPr="00781B30">
        <w:rPr>
          <w:sz w:val="24"/>
          <w:szCs w:val="24"/>
        </w:rPr>
        <w:t>share a basic physiology with people from the past</w:t>
      </w:r>
      <w:r w:rsidR="000923EE" w:rsidRPr="00781B30">
        <w:rPr>
          <w:sz w:val="24"/>
          <w:szCs w:val="24"/>
        </w:rPr>
        <w:t xml:space="preserve"> and </w:t>
      </w:r>
      <w:r w:rsidRPr="00781B30">
        <w:rPr>
          <w:sz w:val="24"/>
          <w:szCs w:val="24"/>
        </w:rPr>
        <w:t xml:space="preserve">that </w:t>
      </w:r>
      <w:r w:rsidR="00A77F85">
        <w:rPr>
          <w:sz w:val="24"/>
          <w:szCs w:val="24"/>
        </w:rPr>
        <w:t>key</w:t>
      </w:r>
      <w:r w:rsidR="000923EE" w:rsidRPr="00781B30">
        <w:rPr>
          <w:sz w:val="24"/>
          <w:szCs w:val="24"/>
        </w:rPr>
        <w:t xml:space="preserve"> features of the landscape are unchanged over millennia</w:t>
      </w:r>
      <w:r w:rsidR="00E003AE">
        <w:rPr>
          <w:sz w:val="24"/>
          <w:szCs w:val="24"/>
        </w:rPr>
        <w:t>, allowing an</w:t>
      </w:r>
      <w:r w:rsidR="00E003AE" w:rsidRPr="00781B30">
        <w:rPr>
          <w:color w:val="000000" w:themeColor="text1"/>
          <w:sz w:val="24"/>
          <w:szCs w:val="24"/>
        </w:rPr>
        <w:t xml:space="preserve"> imaginative interaction with </w:t>
      </w:r>
      <w:r w:rsidR="00E003AE" w:rsidRPr="00781B30">
        <w:rPr>
          <w:color w:val="000000" w:themeColor="text1"/>
          <w:sz w:val="24"/>
          <w:szCs w:val="24"/>
        </w:rPr>
        <w:lastRenderedPageBreak/>
        <w:t xml:space="preserve">people </w:t>
      </w:r>
      <w:r w:rsidR="00E003AE">
        <w:rPr>
          <w:color w:val="000000" w:themeColor="text1"/>
          <w:sz w:val="24"/>
          <w:szCs w:val="24"/>
        </w:rPr>
        <w:t xml:space="preserve">and places </w:t>
      </w:r>
      <w:r w:rsidR="00E003AE" w:rsidRPr="00781B30">
        <w:rPr>
          <w:color w:val="000000" w:themeColor="text1"/>
          <w:sz w:val="24"/>
          <w:szCs w:val="24"/>
        </w:rPr>
        <w:t>of the past</w:t>
      </w:r>
      <w:r w:rsidRPr="00781B30">
        <w:rPr>
          <w:color w:val="000000" w:themeColor="text1"/>
          <w:sz w:val="24"/>
          <w:szCs w:val="24"/>
        </w:rPr>
        <w:t>.</w:t>
      </w:r>
      <w:r w:rsidR="009E76FD">
        <w:rPr>
          <w:rStyle w:val="FootnoteReference"/>
          <w:color w:val="000000" w:themeColor="text1"/>
          <w:sz w:val="24"/>
          <w:szCs w:val="24"/>
        </w:rPr>
        <w:footnoteReference w:id="38"/>
      </w:r>
      <w:r w:rsidR="00EB4712" w:rsidRPr="00781B30">
        <w:rPr>
          <w:color w:val="000000" w:themeColor="text1"/>
          <w:sz w:val="24"/>
          <w:szCs w:val="24"/>
        </w:rPr>
        <w:t xml:space="preserve"> </w:t>
      </w:r>
      <w:r w:rsidR="0062325C" w:rsidRPr="00781B30">
        <w:rPr>
          <w:sz w:val="24"/>
          <w:szCs w:val="24"/>
        </w:rPr>
        <w:t xml:space="preserve">Joanna Brück </w:t>
      </w:r>
      <w:r w:rsidR="000923EE" w:rsidRPr="00781B30">
        <w:rPr>
          <w:sz w:val="24"/>
          <w:szCs w:val="24"/>
        </w:rPr>
        <w:t>provide</w:t>
      </w:r>
      <w:r w:rsidR="00881778">
        <w:rPr>
          <w:sz w:val="24"/>
          <w:szCs w:val="24"/>
        </w:rPr>
        <w:t>s</w:t>
      </w:r>
      <w:r w:rsidR="000923EE" w:rsidRPr="00781B30">
        <w:rPr>
          <w:sz w:val="24"/>
          <w:szCs w:val="24"/>
        </w:rPr>
        <w:t xml:space="preserve"> a useful summary of some of the key </w:t>
      </w:r>
      <w:r w:rsidR="00165C77" w:rsidRPr="00781B30">
        <w:rPr>
          <w:sz w:val="24"/>
          <w:szCs w:val="24"/>
        </w:rPr>
        <w:t>critiques of</w:t>
      </w:r>
      <w:r w:rsidR="000923EE" w:rsidRPr="00781B30">
        <w:rPr>
          <w:sz w:val="24"/>
          <w:szCs w:val="24"/>
        </w:rPr>
        <w:t xml:space="preserve"> </w:t>
      </w:r>
      <w:r w:rsidRPr="00781B30">
        <w:rPr>
          <w:sz w:val="24"/>
          <w:szCs w:val="24"/>
        </w:rPr>
        <w:t>this central premise</w:t>
      </w:r>
      <w:r w:rsidR="00D93F62" w:rsidRPr="00781B30">
        <w:rPr>
          <w:sz w:val="24"/>
          <w:szCs w:val="24"/>
        </w:rPr>
        <w:t xml:space="preserve">, </w:t>
      </w:r>
      <w:r w:rsidRPr="00781B30">
        <w:rPr>
          <w:sz w:val="24"/>
          <w:szCs w:val="24"/>
        </w:rPr>
        <w:t xml:space="preserve">including challenges </w:t>
      </w:r>
      <w:r w:rsidR="00165C77" w:rsidRPr="00781B30">
        <w:rPr>
          <w:sz w:val="24"/>
          <w:szCs w:val="24"/>
        </w:rPr>
        <w:t xml:space="preserve">to </w:t>
      </w:r>
      <w:r w:rsidR="00D93F62" w:rsidRPr="00781B30">
        <w:rPr>
          <w:sz w:val="24"/>
          <w:szCs w:val="24"/>
        </w:rPr>
        <w:t xml:space="preserve">the implicit suggestion of a universal human body, pointing out that factors such as age, health and physical ability, as well as social and cultural differences, </w:t>
      </w:r>
      <w:r w:rsidR="00165C77" w:rsidRPr="00781B30">
        <w:rPr>
          <w:sz w:val="24"/>
          <w:szCs w:val="24"/>
        </w:rPr>
        <w:t>are likely to</w:t>
      </w:r>
      <w:r w:rsidR="00D93F62" w:rsidRPr="00781B30">
        <w:rPr>
          <w:sz w:val="24"/>
          <w:szCs w:val="24"/>
        </w:rPr>
        <w:t xml:space="preserve"> lead to different ways of experiencing the material world.</w:t>
      </w:r>
      <w:r w:rsidR="00D93F62" w:rsidRPr="00781B30">
        <w:rPr>
          <w:rStyle w:val="FootnoteReference"/>
          <w:sz w:val="24"/>
          <w:szCs w:val="24"/>
        </w:rPr>
        <w:footnoteReference w:id="39"/>
      </w:r>
      <w:r w:rsidR="00D93F62" w:rsidRPr="00781B30">
        <w:rPr>
          <w:sz w:val="24"/>
          <w:szCs w:val="24"/>
        </w:rPr>
        <w:t xml:space="preserve"> </w:t>
      </w:r>
      <w:r w:rsidR="00FB22E4" w:rsidRPr="00781B30">
        <w:rPr>
          <w:color w:val="000000" w:themeColor="text1"/>
          <w:sz w:val="24"/>
          <w:szCs w:val="24"/>
        </w:rPr>
        <w:t xml:space="preserve">Discussing some of the key critiques of Tilley’s </w:t>
      </w:r>
      <w:r w:rsidR="00CA385D" w:rsidRPr="00781B30">
        <w:rPr>
          <w:color w:val="000000" w:themeColor="text1"/>
          <w:sz w:val="24"/>
          <w:szCs w:val="24"/>
        </w:rPr>
        <w:t>phenomenological</w:t>
      </w:r>
      <w:r w:rsidR="00FB22E4" w:rsidRPr="00781B30">
        <w:rPr>
          <w:color w:val="000000" w:themeColor="text1"/>
          <w:sz w:val="24"/>
          <w:szCs w:val="24"/>
        </w:rPr>
        <w:t xml:space="preserve"> approach, Moyes</w:t>
      </w:r>
      <w:r w:rsidR="00881778">
        <w:rPr>
          <w:color w:val="000000" w:themeColor="text1"/>
          <w:sz w:val="24"/>
          <w:szCs w:val="24"/>
        </w:rPr>
        <w:t xml:space="preserve"> has</w:t>
      </w:r>
      <w:r w:rsidR="00FB22E4" w:rsidRPr="00781B30">
        <w:rPr>
          <w:color w:val="000000" w:themeColor="text1"/>
          <w:sz w:val="24"/>
          <w:szCs w:val="24"/>
        </w:rPr>
        <w:t xml:space="preserve"> </w:t>
      </w:r>
      <w:r w:rsidR="00A77F85">
        <w:rPr>
          <w:color w:val="000000" w:themeColor="text1"/>
          <w:sz w:val="24"/>
          <w:szCs w:val="24"/>
        </w:rPr>
        <w:t xml:space="preserve">further </w:t>
      </w:r>
      <w:r w:rsidR="00FB22E4" w:rsidRPr="00781B30">
        <w:rPr>
          <w:color w:val="000000" w:themeColor="text1"/>
          <w:sz w:val="24"/>
          <w:szCs w:val="24"/>
        </w:rPr>
        <w:t>suggest</w:t>
      </w:r>
      <w:r w:rsidR="00881778">
        <w:rPr>
          <w:color w:val="000000" w:themeColor="text1"/>
          <w:sz w:val="24"/>
          <w:szCs w:val="24"/>
        </w:rPr>
        <w:t>ed</w:t>
      </w:r>
      <w:r w:rsidR="00FB22E4" w:rsidRPr="00781B30">
        <w:rPr>
          <w:color w:val="000000" w:themeColor="text1"/>
          <w:sz w:val="24"/>
          <w:szCs w:val="24"/>
        </w:rPr>
        <w:t xml:space="preserve"> that</w:t>
      </w:r>
      <w:r w:rsidR="00BA4ED1">
        <w:rPr>
          <w:color w:val="000000" w:themeColor="text1"/>
          <w:sz w:val="24"/>
          <w:szCs w:val="24"/>
        </w:rPr>
        <w:t xml:space="preserve"> it</w:t>
      </w:r>
      <w:r w:rsidR="00FB22E4" w:rsidRPr="00781B30">
        <w:rPr>
          <w:color w:val="000000" w:themeColor="text1"/>
          <w:sz w:val="24"/>
          <w:szCs w:val="24"/>
        </w:rPr>
        <w:t xml:space="preserve"> was </w:t>
      </w:r>
      <w:r w:rsidR="00BA4ED1">
        <w:rPr>
          <w:color w:val="000000" w:themeColor="text1"/>
          <w:sz w:val="24"/>
          <w:szCs w:val="24"/>
        </w:rPr>
        <w:t>seen by some as</w:t>
      </w:r>
      <w:r w:rsidR="00FB22E4" w:rsidRPr="00781B30">
        <w:rPr>
          <w:color w:val="000000" w:themeColor="text1"/>
          <w:sz w:val="24"/>
          <w:szCs w:val="24"/>
        </w:rPr>
        <w:t xml:space="preserve"> </w:t>
      </w:r>
      <w:r w:rsidR="00BA4ED1">
        <w:rPr>
          <w:color w:val="000000" w:themeColor="text1"/>
          <w:sz w:val="24"/>
          <w:szCs w:val="24"/>
        </w:rPr>
        <w:t>‘</w:t>
      </w:r>
      <w:r w:rsidR="00FB22E4" w:rsidRPr="00781B30">
        <w:rPr>
          <w:color w:val="000000" w:themeColor="text1"/>
          <w:sz w:val="24"/>
          <w:szCs w:val="24"/>
        </w:rPr>
        <w:t>excessively subjec</w:t>
      </w:r>
      <w:r w:rsidR="00FB22E4" w:rsidRPr="00781B30">
        <w:rPr>
          <w:color w:val="000000" w:themeColor="text1"/>
          <w:sz w:val="24"/>
          <w:szCs w:val="24"/>
        </w:rPr>
        <w:softHyphen/>
        <w:t>tive, favouring a solitary individual, in this case one with male Western sensibilities, considered to be Colonialist and gender-centric.</w:t>
      </w:r>
      <w:r w:rsidR="00BA4ED1">
        <w:rPr>
          <w:color w:val="000000" w:themeColor="text1"/>
          <w:sz w:val="24"/>
          <w:szCs w:val="24"/>
        </w:rPr>
        <w:t>’</w:t>
      </w:r>
      <w:r w:rsidR="00FB22E4" w:rsidRPr="00781B30">
        <w:rPr>
          <w:rStyle w:val="FootnoteReference"/>
          <w:color w:val="000000" w:themeColor="text1"/>
          <w:sz w:val="24"/>
          <w:szCs w:val="24"/>
        </w:rPr>
        <w:t xml:space="preserve"> </w:t>
      </w:r>
      <w:r w:rsidR="00FB22E4" w:rsidRPr="00781B30">
        <w:rPr>
          <w:rStyle w:val="FootnoteReference"/>
          <w:color w:val="000000" w:themeColor="text1"/>
          <w:sz w:val="24"/>
          <w:szCs w:val="24"/>
        </w:rPr>
        <w:footnoteReference w:id="40"/>
      </w:r>
    </w:p>
    <w:p w14:paraId="55D7BD22" w14:textId="5AB0F3D8" w:rsidR="00D93F62" w:rsidRPr="00781B30" w:rsidRDefault="00881778" w:rsidP="00BA4ED1">
      <w:pPr>
        <w:rPr>
          <w:color w:val="000000" w:themeColor="text1"/>
          <w:sz w:val="24"/>
          <w:szCs w:val="24"/>
        </w:rPr>
      </w:pPr>
      <w:r>
        <w:rPr>
          <w:color w:val="000000" w:themeColor="text1"/>
          <w:sz w:val="24"/>
          <w:szCs w:val="24"/>
        </w:rPr>
        <w:t xml:space="preserve">John </w:t>
      </w:r>
      <w:r w:rsidR="00165C77" w:rsidRPr="00781B30">
        <w:rPr>
          <w:color w:val="000000" w:themeColor="text1"/>
          <w:sz w:val="24"/>
          <w:szCs w:val="24"/>
        </w:rPr>
        <w:t xml:space="preserve">Barrett and </w:t>
      </w:r>
      <w:r>
        <w:rPr>
          <w:color w:val="000000" w:themeColor="text1"/>
          <w:sz w:val="24"/>
          <w:szCs w:val="24"/>
        </w:rPr>
        <w:t xml:space="preserve">Ilhong </w:t>
      </w:r>
      <w:r w:rsidR="00165C77" w:rsidRPr="00781B30">
        <w:rPr>
          <w:color w:val="000000" w:themeColor="text1"/>
          <w:sz w:val="24"/>
          <w:szCs w:val="24"/>
        </w:rPr>
        <w:t>Ko</w:t>
      </w:r>
      <w:r>
        <w:rPr>
          <w:color w:val="000000" w:themeColor="text1"/>
          <w:sz w:val="24"/>
          <w:szCs w:val="24"/>
        </w:rPr>
        <w:t xml:space="preserve"> have</w:t>
      </w:r>
      <w:r w:rsidR="00A77F85">
        <w:rPr>
          <w:color w:val="000000" w:themeColor="text1"/>
          <w:sz w:val="24"/>
          <w:szCs w:val="24"/>
        </w:rPr>
        <w:t xml:space="preserve"> </w:t>
      </w:r>
      <w:r w:rsidR="00E003AE">
        <w:rPr>
          <w:color w:val="000000" w:themeColor="text1"/>
          <w:sz w:val="24"/>
          <w:szCs w:val="24"/>
        </w:rPr>
        <w:t>similarly</w:t>
      </w:r>
      <w:r w:rsidR="00165C77" w:rsidRPr="00781B30">
        <w:rPr>
          <w:color w:val="000000" w:themeColor="text1"/>
          <w:sz w:val="24"/>
          <w:szCs w:val="24"/>
        </w:rPr>
        <w:t xml:space="preserve"> argue</w:t>
      </w:r>
      <w:r>
        <w:rPr>
          <w:color w:val="000000" w:themeColor="text1"/>
          <w:sz w:val="24"/>
          <w:szCs w:val="24"/>
        </w:rPr>
        <w:t>d</w:t>
      </w:r>
      <w:r w:rsidR="00165C77" w:rsidRPr="00781B30">
        <w:rPr>
          <w:color w:val="000000" w:themeColor="text1"/>
          <w:sz w:val="24"/>
          <w:szCs w:val="24"/>
        </w:rPr>
        <w:t xml:space="preserve"> that whilst embodied encounters with landscapes may produce meaning, this can only ever be a contemporary meaning and cannot be understood as the thoughts of another person in the past.</w:t>
      </w:r>
      <w:r w:rsidR="00165C77" w:rsidRPr="00781B30">
        <w:rPr>
          <w:rStyle w:val="FootnoteReference"/>
          <w:color w:val="000000" w:themeColor="text1"/>
          <w:sz w:val="24"/>
          <w:szCs w:val="24"/>
        </w:rPr>
        <w:footnoteReference w:id="41"/>
      </w:r>
      <w:r w:rsidR="00165C77" w:rsidRPr="00781B30">
        <w:rPr>
          <w:color w:val="000000" w:themeColor="text1"/>
          <w:sz w:val="24"/>
          <w:szCs w:val="24"/>
        </w:rPr>
        <w:t xml:space="preserve"> </w:t>
      </w:r>
      <w:r>
        <w:rPr>
          <w:color w:val="000000" w:themeColor="text1"/>
          <w:sz w:val="24"/>
          <w:szCs w:val="24"/>
        </w:rPr>
        <w:t xml:space="preserve">Kim </w:t>
      </w:r>
      <w:r w:rsidR="00FB22E4" w:rsidRPr="00781B30">
        <w:rPr>
          <w:color w:val="000000" w:themeColor="text1"/>
          <w:sz w:val="24"/>
          <w:szCs w:val="24"/>
        </w:rPr>
        <w:t xml:space="preserve">Knibbe and </w:t>
      </w:r>
      <w:r>
        <w:rPr>
          <w:color w:val="000000" w:themeColor="text1"/>
          <w:sz w:val="24"/>
          <w:szCs w:val="24"/>
        </w:rPr>
        <w:t xml:space="preserve">Els </w:t>
      </w:r>
      <w:r w:rsidR="00FB22E4" w:rsidRPr="00781B30">
        <w:rPr>
          <w:color w:val="000000" w:themeColor="text1"/>
          <w:sz w:val="24"/>
          <w:szCs w:val="24"/>
        </w:rPr>
        <w:t>van Houtert further add that there is a risk that the approach creates an ‘authoritative, all-knowing, anthropological narrator perspective’</w:t>
      </w:r>
      <w:r w:rsidR="00FB22E4" w:rsidRPr="00781B30">
        <w:rPr>
          <w:rStyle w:val="FootnoteReference"/>
          <w:color w:val="000000" w:themeColor="text1"/>
          <w:sz w:val="24"/>
          <w:szCs w:val="24"/>
        </w:rPr>
        <w:footnoteReference w:id="42"/>
      </w:r>
      <w:r w:rsidR="00FB22E4" w:rsidRPr="00781B30">
        <w:rPr>
          <w:color w:val="000000" w:themeColor="text1"/>
          <w:sz w:val="24"/>
          <w:szCs w:val="24"/>
        </w:rPr>
        <w:t xml:space="preserve"> </w:t>
      </w:r>
      <w:r w:rsidR="00CA385D" w:rsidRPr="00781B30">
        <w:rPr>
          <w:color w:val="000000" w:themeColor="text1"/>
          <w:sz w:val="24"/>
          <w:szCs w:val="24"/>
        </w:rPr>
        <w:t>Thus, whilst Tilley agree</w:t>
      </w:r>
      <w:r w:rsidR="00901A75">
        <w:rPr>
          <w:color w:val="000000" w:themeColor="text1"/>
          <w:sz w:val="24"/>
          <w:szCs w:val="24"/>
        </w:rPr>
        <w:t>d</w:t>
      </w:r>
      <w:r w:rsidR="00CA385D" w:rsidRPr="00781B30">
        <w:rPr>
          <w:color w:val="000000" w:themeColor="text1"/>
          <w:sz w:val="24"/>
          <w:szCs w:val="24"/>
        </w:rPr>
        <w:t xml:space="preserve"> with Bender on the ‘multivocality’ and contested nature of place, i</w:t>
      </w:r>
      <w:r w:rsidR="00FB22E4" w:rsidRPr="00781B30">
        <w:rPr>
          <w:color w:val="000000" w:themeColor="text1"/>
          <w:sz w:val="24"/>
          <w:szCs w:val="24"/>
        </w:rPr>
        <w:t xml:space="preserve">t could be argued that </w:t>
      </w:r>
      <w:r w:rsidR="00CA385D" w:rsidRPr="00781B30">
        <w:rPr>
          <w:color w:val="000000" w:themeColor="text1"/>
          <w:sz w:val="24"/>
          <w:szCs w:val="24"/>
        </w:rPr>
        <w:t>his</w:t>
      </w:r>
      <w:r w:rsidR="00A77F85">
        <w:rPr>
          <w:color w:val="000000" w:themeColor="text1"/>
          <w:sz w:val="24"/>
          <w:szCs w:val="24"/>
        </w:rPr>
        <w:t xml:space="preserve"> phenomenological </w:t>
      </w:r>
      <w:r w:rsidR="00CA385D" w:rsidRPr="00781B30">
        <w:rPr>
          <w:color w:val="000000" w:themeColor="text1"/>
          <w:sz w:val="24"/>
          <w:szCs w:val="24"/>
        </w:rPr>
        <w:t>approach</w:t>
      </w:r>
      <w:r w:rsidR="00FB22E4" w:rsidRPr="00781B30">
        <w:rPr>
          <w:color w:val="000000" w:themeColor="text1"/>
          <w:sz w:val="24"/>
          <w:szCs w:val="24"/>
        </w:rPr>
        <w:t xml:space="preserve"> has the </w:t>
      </w:r>
      <w:r w:rsidR="00FB22E4" w:rsidRPr="00A77F85">
        <w:rPr>
          <w:color w:val="000000" w:themeColor="text1"/>
          <w:sz w:val="24"/>
          <w:szCs w:val="24"/>
        </w:rPr>
        <w:t>potential</w:t>
      </w:r>
      <w:r w:rsidR="00FB22E4" w:rsidRPr="00781B30">
        <w:rPr>
          <w:color w:val="000000" w:themeColor="text1"/>
          <w:sz w:val="24"/>
          <w:szCs w:val="24"/>
        </w:rPr>
        <w:t xml:space="preserve"> to actually undermine rather than add to the sense of multivocal landscapes invested with a wide range of meanings.</w:t>
      </w:r>
      <w:r w:rsidR="00165C77" w:rsidRPr="00781B30">
        <w:rPr>
          <w:color w:val="000000" w:themeColor="text1"/>
          <w:sz w:val="24"/>
          <w:szCs w:val="24"/>
        </w:rPr>
        <w:t xml:space="preserve"> </w:t>
      </w:r>
    </w:p>
    <w:p w14:paraId="5FB37881" w14:textId="7F989CE0" w:rsidR="00165C77" w:rsidRPr="00781B30" w:rsidRDefault="0046372E" w:rsidP="000C071D">
      <w:pPr>
        <w:ind w:firstLine="720"/>
        <w:rPr>
          <w:color w:val="000000" w:themeColor="text1"/>
          <w:sz w:val="24"/>
          <w:szCs w:val="24"/>
        </w:rPr>
      </w:pPr>
      <w:r w:rsidRPr="00781B30">
        <w:rPr>
          <w:color w:val="000000" w:themeColor="text1"/>
          <w:sz w:val="24"/>
          <w:szCs w:val="24"/>
        </w:rPr>
        <w:t>Tilley himself referred to the lack of attention to power and control as having been a ‘major theoretical void’ in phenomenology</w:t>
      </w:r>
      <w:r w:rsidR="00165C77" w:rsidRPr="00781B30">
        <w:rPr>
          <w:color w:val="000000" w:themeColor="text1"/>
          <w:sz w:val="24"/>
          <w:szCs w:val="24"/>
        </w:rPr>
        <w:t>.</w:t>
      </w:r>
      <w:r w:rsidRPr="00781B30">
        <w:rPr>
          <w:rStyle w:val="FootnoteReference"/>
          <w:color w:val="000000" w:themeColor="text1"/>
          <w:sz w:val="24"/>
          <w:szCs w:val="24"/>
        </w:rPr>
        <w:footnoteReference w:id="43"/>
      </w:r>
      <w:r w:rsidRPr="00781B30">
        <w:rPr>
          <w:color w:val="000000" w:themeColor="text1"/>
          <w:sz w:val="24"/>
          <w:szCs w:val="24"/>
        </w:rPr>
        <w:t xml:space="preserve"> </w:t>
      </w:r>
      <w:r w:rsidR="00165C77" w:rsidRPr="00781B30">
        <w:rPr>
          <w:color w:val="000000" w:themeColor="text1"/>
          <w:sz w:val="24"/>
          <w:szCs w:val="24"/>
        </w:rPr>
        <w:t xml:space="preserve">Knibbe and van Houtert </w:t>
      </w:r>
      <w:r w:rsidR="00881778">
        <w:rPr>
          <w:color w:val="000000" w:themeColor="text1"/>
          <w:sz w:val="24"/>
          <w:szCs w:val="24"/>
        </w:rPr>
        <w:t xml:space="preserve">have </w:t>
      </w:r>
      <w:r w:rsidR="00165C77" w:rsidRPr="00781B30">
        <w:rPr>
          <w:color w:val="000000" w:themeColor="text1"/>
          <w:sz w:val="24"/>
          <w:szCs w:val="24"/>
        </w:rPr>
        <w:t>argue</w:t>
      </w:r>
      <w:r w:rsidR="00881778">
        <w:rPr>
          <w:color w:val="000000" w:themeColor="text1"/>
          <w:sz w:val="24"/>
          <w:szCs w:val="24"/>
        </w:rPr>
        <w:t>d</w:t>
      </w:r>
      <w:r w:rsidR="00165C77" w:rsidRPr="00781B30">
        <w:rPr>
          <w:color w:val="000000" w:themeColor="text1"/>
          <w:sz w:val="24"/>
          <w:szCs w:val="24"/>
        </w:rPr>
        <w:t xml:space="preserve"> that it is unclear how this void can be addressed within phenomenological methodologies except by linking with ‘other domains of knowledge</w:t>
      </w:r>
      <w:r w:rsidR="00CD42E8">
        <w:rPr>
          <w:color w:val="000000" w:themeColor="text1"/>
          <w:sz w:val="24"/>
          <w:szCs w:val="24"/>
        </w:rPr>
        <w:t>.</w:t>
      </w:r>
      <w:r w:rsidR="00165C77" w:rsidRPr="00781B30">
        <w:rPr>
          <w:color w:val="000000" w:themeColor="text1"/>
          <w:sz w:val="24"/>
          <w:szCs w:val="24"/>
        </w:rPr>
        <w:t>’</w:t>
      </w:r>
      <w:r w:rsidR="00165C77" w:rsidRPr="00781B30">
        <w:rPr>
          <w:rStyle w:val="FootnoteReference"/>
          <w:color w:val="000000" w:themeColor="text1"/>
          <w:sz w:val="24"/>
          <w:szCs w:val="24"/>
        </w:rPr>
        <w:footnoteReference w:id="44"/>
      </w:r>
      <w:r w:rsidR="00165C77" w:rsidRPr="00781B30">
        <w:rPr>
          <w:color w:val="000000" w:themeColor="text1"/>
          <w:sz w:val="24"/>
          <w:szCs w:val="24"/>
        </w:rPr>
        <w:t xml:space="preserve"> </w:t>
      </w:r>
      <w:r w:rsidR="009C3351" w:rsidRPr="00781B30">
        <w:rPr>
          <w:color w:val="000000" w:themeColor="text1"/>
          <w:sz w:val="24"/>
          <w:szCs w:val="24"/>
        </w:rPr>
        <w:t>Julian Thomas and Matthew Johnson have</w:t>
      </w:r>
      <w:r w:rsidR="00165C77" w:rsidRPr="00781B30">
        <w:rPr>
          <w:color w:val="000000" w:themeColor="text1"/>
          <w:sz w:val="24"/>
          <w:szCs w:val="24"/>
        </w:rPr>
        <w:t xml:space="preserve"> similarly</w:t>
      </w:r>
      <w:r w:rsidR="009C3351" w:rsidRPr="00781B30">
        <w:rPr>
          <w:color w:val="000000" w:themeColor="text1"/>
          <w:sz w:val="24"/>
          <w:szCs w:val="24"/>
        </w:rPr>
        <w:t xml:space="preserve"> argued that phenomenology, whilst useful, should not be used a stand-alone methodology, but can be joined with other approaches to allow a more multifaceted and nuanced engagement with the archaeo</w:t>
      </w:r>
      <w:r w:rsidR="009C3351" w:rsidRPr="00781B30">
        <w:rPr>
          <w:color w:val="000000" w:themeColor="text1"/>
          <w:sz w:val="24"/>
          <w:szCs w:val="24"/>
        </w:rPr>
        <w:softHyphen/>
        <w:t>logical record.</w:t>
      </w:r>
      <w:r w:rsidR="009C3351" w:rsidRPr="00781B30">
        <w:rPr>
          <w:rStyle w:val="FootnoteReference"/>
          <w:color w:val="000000" w:themeColor="text1"/>
          <w:sz w:val="24"/>
          <w:szCs w:val="24"/>
        </w:rPr>
        <w:footnoteReference w:id="45"/>
      </w:r>
      <w:r w:rsidR="00CD42E8">
        <w:rPr>
          <w:color w:val="000000" w:themeColor="text1"/>
          <w:sz w:val="24"/>
          <w:szCs w:val="24"/>
        </w:rPr>
        <w:t xml:space="preserve"> </w:t>
      </w:r>
      <w:r w:rsidR="00016414" w:rsidRPr="00781B30">
        <w:rPr>
          <w:color w:val="000000" w:themeColor="text1"/>
          <w:sz w:val="24"/>
          <w:szCs w:val="24"/>
        </w:rPr>
        <w:t>Tilley</w:t>
      </w:r>
      <w:r w:rsidR="00016414">
        <w:rPr>
          <w:color w:val="000000" w:themeColor="text1"/>
          <w:sz w:val="24"/>
          <w:szCs w:val="24"/>
        </w:rPr>
        <w:t xml:space="preserve"> also</w:t>
      </w:r>
      <w:r w:rsidR="00016414" w:rsidRPr="00781B30">
        <w:rPr>
          <w:color w:val="000000" w:themeColor="text1"/>
          <w:sz w:val="24"/>
          <w:szCs w:val="24"/>
        </w:rPr>
        <w:t xml:space="preserve"> later suggested that </w:t>
      </w:r>
      <w:r w:rsidR="00016414" w:rsidRPr="00781B30">
        <w:rPr>
          <w:sz w:val="24"/>
          <w:szCs w:val="24"/>
        </w:rPr>
        <w:t>phenomenological methodologies could be usefully combined with</w:t>
      </w:r>
      <w:r w:rsidR="00016414">
        <w:rPr>
          <w:sz w:val="24"/>
          <w:szCs w:val="24"/>
        </w:rPr>
        <w:t xml:space="preserve"> other post-processual methodologies</w:t>
      </w:r>
      <w:r w:rsidR="00016414" w:rsidRPr="00781B30">
        <w:rPr>
          <w:sz w:val="24"/>
          <w:szCs w:val="24"/>
        </w:rPr>
        <w:t>.</w:t>
      </w:r>
      <w:r w:rsidR="00016414" w:rsidRPr="00781B30">
        <w:rPr>
          <w:rStyle w:val="FootnoteReference"/>
          <w:sz w:val="24"/>
          <w:szCs w:val="24"/>
        </w:rPr>
        <w:footnoteReference w:id="46"/>
      </w:r>
    </w:p>
    <w:p w14:paraId="4AFFDFDA" w14:textId="5A09862A" w:rsidR="00DC3084" w:rsidRPr="00781B30" w:rsidRDefault="00016414" w:rsidP="000C071D">
      <w:pPr>
        <w:ind w:firstLine="720"/>
        <w:rPr>
          <w:color w:val="000000" w:themeColor="text1"/>
          <w:sz w:val="24"/>
          <w:szCs w:val="24"/>
        </w:rPr>
      </w:pPr>
      <w:r>
        <w:rPr>
          <w:sz w:val="24"/>
          <w:szCs w:val="24"/>
        </w:rPr>
        <w:t>This call to strengthen post-processual archaeology by combining different approaches was taken up by Bender and Tilley</w:t>
      </w:r>
      <w:r w:rsidR="00881778">
        <w:rPr>
          <w:sz w:val="24"/>
          <w:szCs w:val="24"/>
        </w:rPr>
        <w:t>: w</w:t>
      </w:r>
      <w:r w:rsidR="00651B93" w:rsidRPr="00781B30">
        <w:rPr>
          <w:sz w:val="24"/>
          <w:szCs w:val="24"/>
        </w:rPr>
        <w:t>orking together</w:t>
      </w:r>
      <w:r w:rsidR="00881778">
        <w:rPr>
          <w:sz w:val="24"/>
          <w:szCs w:val="24"/>
        </w:rPr>
        <w:t>, alongside others</w:t>
      </w:r>
      <w:r w:rsidR="00651B93" w:rsidRPr="00781B30">
        <w:rPr>
          <w:sz w:val="24"/>
          <w:szCs w:val="24"/>
        </w:rPr>
        <w:t>, both at Bodmin Moor</w:t>
      </w:r>
      <w:r w:rsidR="00881778">
        <w:rPr>
          <w:rStyle w:val="FootnoteReference"/>
          <w:sz w:val="24"/>
          <w:szCs w:val="24"/>
        </w:rPr>
        <w:footnoteReference w:id="47"/>
      </w:r>
      <w:r w:rsidR="00651B93" w:rsidRPr="00781B30">
        <w:rPr>
          <w:sz w:val="24"/>
          <w:szCs w:val="24"/>
        </w:rPr>
        <w:t xml:space="preserve"> and via a ‘</w:t>
      </w:r>
      <w:r w:rsidR="00E003AE">
        <w:rPr>
          <w:sz w:val="24"/>
          <w:szCs w:val="24"/>
        </w:rPr>
        <w:t>D</w:t>
      </w:r>
      <w:r w:rsidR="00651B93" w:rsidRPr="00781B30">
        <w:rPr>
          <w:sz w:val="24"/>
          <w:szCs w:val="24"/>
        </w:rPr>
        <w:t>ialogue’ between the two scholars included</w:t>
      </w:r>
      <w:r>
        <w:rPr>
          <w:sz w:val="24"/>
          <w:szCs w:val="24"/>
        </w:rPr>
        <w:t xml:space="preserve"> as a chapter</w:t>
      </w:r>
      <w:r w:rsidR="00651B93" w:rsidRPr="00781B30">
        <w:rPr>
          <w:sz w:val="24"/>
          <w:szCs w:val="24"/>
        </w:rPr>
        <w:t xml:space="preserve"> </w:t>
      </w:r>
      <w:r w:rsidR="00651B93" w:rsidRPr="00781B30">
        <w:rPr>
          <w:sz w:val="24"/>
          <w:szCs w:val="24"/>
        </w:rPr>
        <w:lastRenderedPageBreak/>
        <w:t xml:space="preserve">in </w:t>
      </w:r>
      <w:r w:rsidR="00651B93" w:rsidRPr="00781B30">
        <w:rPr>
          <w:i/>
          <w:iCs/>
          <w:sz w:val="24"/>
          <w:szCs w:val="24"/>
        </w:rPr>
        <w:t>Stonehenge</w:t>
      </w:r>
      <w:r w:rsidR="0097612B" w:rsidRPr="00781B30">
        <w:rPr>
          <w:i/>
          <w:iCs/>
          <w:sz w:val="24"/>
          <w:szCs w:val="24"/>
        </w:rPr>
        <w:t>: Making Space</w:t>
      </w:r>
      <w:r w:rsidR="00881778">
        <w:rPr>
          <w:rStyle w:val="FootnoteReference"/>
          <w:i/>
          <w:iCs/>
          <w:sz w:val="24"/>
          <w:szCs w:val="24"/>
        </w:rPr>
        <w:footnoteReference w:id="48"/>
      </w:r>
      <w:r w:rsidR="00651B93" w:rsidRPr="00781B30">
        <w:rPr>
          <w:i/>
          <w:iCs/>
          <w:sz w:val="24"/>
          <w:szCs w:val="24"/>
        </w:rPr>
        <w:t xml:space="preserve">, </w:t>
      </w:r>
      <w:r>
        <w:rPr>
          <w:sz w:val="24"/>
          <w:szCs w:val="24"/>
        </w:rPr>
        <w:t>they</w:t>
      </w:r>
      <w:r w:rsidR="00651B93" w:rsidRPr="00781B30">
        <w:rPr>
          <w:sz w:val="24"/>
          <w:szCs w:val="24"/>
        </w:rPr>
        <w:t xml:space="preserve"> illustrated how a depth of understanding of people’s relationship</w:t>
      </w:r>
      <w:r w:rsidR="00E003AE">
        <w:rPr>
          <w:sz w:val="24"/>
          <w:szCs w:val="24"/>
        </w:rPr>
        <w:t>s</w:t>
      </w:r>
      <w:r w:rsidR="00651B93" w:rsidRPr="00781B30">
        <w:rPr>
          <w:sz w:val="24"/>
          <w:szCs w:val="24"/>
        </w:rPr>
        <w:t xml:space="preserve"> with landscapes could be created through combining analysis of social and political influences with insights into </w:t>
      </w:r>
      <w:r w:rsidR="00CA385D" w:rsidRPr="00781B30">
        <w:rPr>
          <w:sz w:val="24"/>
          <w:szCs w:val="24"/>
        </w:rPr>
        <w:t xml:space="preserve">different people’s </w:t>
      </w:r>
      <w:r w:rsidR="00651B93" w:rsidRPr="00781B30">
        <w:rPr>
          <w:sz w:val="24"/>
          <w:szCs w:val="24"/>
        </w:rPr>
        <w:t>embodied experiences</w:t>
      </w:r>
      <w:r w:rsidR="00CA385D" w:rsidRPr="00781B30">
        <w:rPr>
          <w:sz w:val="24"/>
          <w:szCs w:val="24"/>
        </w:rPr>
        <w:t>. Bender argue</w:t>
      </w:r>
      <w:r w:rsidR="00901A75">
        <w:rPr>
          <w:sz w:val="24"/>
          <w:szCs w:val="24"/>
        </w:rPr>
        <w:t>d</w:t>
      </w:r>
      <w:r w:rsidR="00CA385D" w:rsidRPr="00781B30">
        <w:rPr>
          <w:sz w:val="24"/>
          <w:szCs w:val="24"/>
        </w:rPr>
        <w:t xml:space="preserve"> that this combined approach applied to Stonehenge allow</w:t>
      </w:r>
      <w:r>
        <w:rPr>
          <w:sz w:val="24"/>
          <w:szCs w:val="24"/>
        </w:rPr>
        <w:t>ed</w:t>
      </w:r>
      <w:r w:rsidR="00CA385D" w:rsidRPr="00781B30">
        <w:rPr>
          <w:sz w:val="24"/>
          <w:szCs w:val="24"/>
        </w:rPr>
        <w:t xml:space="preserve"> her to ‘mesh an understanding of </w:t>
      </w:r>
      <w:r w:rsidR="00CA385D" w:rsidRPr="00781B30">
        <w:rPr>
          <w:i/>
          <w:iCs/>
          <w:sz w:val="24"/>
          <w:szCs w:val="24"/>
        </w:rPr>
        <w:t xml:space="preserve">embodied </w:t>
      </w:r>
      <w:r w:rsidR="00CA385D" w:rsidRPr="00781B30">
        <w:rPr>
          <w:sz w:val="24"/>
          <w:szCs w:val="24"/>
        </w:rPr>
        <w:t xml:space="preserve">landscapes with a </w:t>
      </w:r>
      <w:r w:rsidR="00CA385D" w:rsidRPr="00781B30">
        <w:rPr>
          <w:i/>
          <w:iCs/>
          <w:sz w:val="24"/>
          <w:szCs w:val="24"/>
        </w:rPr>
        <w:t xml:space="preserve">political </w:t>
      </w:r>
      <w:r w:rsidR="00CA385D" w:rsidRPr="00781B30">
        <w:rPr>
          <w:sz w:val="24"/>
          <w:szCs w:val="24"/>
        </w:rPr>
        <w:t>landscape of unequal power relations.’</w:t>
      </w:r>
      <w:r w:rsidR="00CA385D" w:rsidRPr="00781B30">
        <w:rPr>
          <w:rStyle w:val="FootnoteReference"/>
          <w:sz w:val="24"/>
          <w:szCs w:val="24"/>
        </w:rPr>
        <w:footnoteReference w:id="49"/>
      </w:r>
      <w:r w:rsidR="00CA385D" w:rsidRPr="00781B30">
        <w:rPr>
          <w:sz w:val="24"/>
          <w:szCs w:val="24"/>
        </w:rPr>
        <w:t xml:space="preserve"> </w:t>
      </w:r>
      <w:r w:rsidR="009B3481" w:rsidRPr="00781B30">
        <w:rPr>
          <w:color w:val="000000" w:themeColor="text1"/>
          <w:sz w:val="24"/>
          <w:szCs w:val="24"/>
        </w:rPr>
        <w:t>Jeremy Burchardt</w:t>
      </w:r>
      <w:r w:rsidR="007C0B23">
        <w:rPr>
          <w:color w:val="000000" w:themeColor="text1"/>
          <w:sz w:val="24"/>
          <w:szCs w:val="24"/>
        </w:rPr>
        <w:t xml:space="preserve"> </w:t>
      </w:r>
      <w:r w:rsidR="00AC1B14">
        <w:rPr>
          <w:color w:val="000000" w:themeColor="text1"/>
          <w:sz w:val="24"/>
          <w:szCs w:val="24"/>
        </w:rPr>
        <w:t>agree</w:t>
      </w:r>
      <w:r w:rsidR="00901A75">
        <w:rPr>
          <w:color w:val="000000" w:themeColor="text1"/>
          <w:sz w:val="24"/>
          <w:szCs w:val="24"/>
        </w:rPr>
        <w:t>d</w:t>
      </w:r>
      <w:r w:rsidR="009B3481" w:rsidRPr="00781B30">
        <w:rPr>
          <w:color w:val="000000" w:themeColor="text1"/>
          <w:sz w:val="24"/>
          <w:szCs w:val="24"/>
        </w:rPr>
        <w:t xml:space="preserve"> that</w:t>
      </w:r>
      <w:r w:rsidR="00CA385D" w:rsidRPr="00781B30">
        <w:rPr>
          <w:color w:val="000000" w:themeColor="text1"/>
          <w:sz w:val="24"/>
          <w:szCs w:val="24"/>
        </w:rPr>
        <w:t xml:space="preserve"> </w:t>
      </w:r>
      <w:r w:rsidR="009B3481" w:rsidRPr="00781B30">
        <w:rPr>
          <w:color w:val="000000" w:themeColor="text1"/>
          <w:sz w:val="24"/>
          <w:szCs w:val="24"/>
        </w:rPr>
        <w:t>Bender</w:t>
      </w:r>
      <w:r w:rsidR="00CA385D" w:rsidRPr="00781B30">
        <w:rPr>
          <w:color w:val="000000" w:themeColor="text1"/>
          <w:sz w:val="24"/>
          <w:szCs w:val="24"/>
        </w:rPr>
        <w:t>’s</w:t>
      </w:r>
      <w:r w:rsidR="009B3481" w:rsidRPr="00781B30">
        <w:rPr>
          <w:color w:val="000000" w:themeColor="text1"/>
          <w:sz w:val="24"/>
          <w:szCs w:val="24"/>
        </w:rPr>
        <w:t xml:space="preserve"> add</w:t>
      </w:r>
      <w:r w:rsidR="00CA385D" w:rsidRPr="00781B30">
        <w:rPr>
          <w:color w:val="000000" w:themeColor="text1"/>
          <w:sz w:val="24"/>
          <w:szCs w:val="24"/>
        </w:rPr>
        <w:t>ing of</w:t>
      </w:r>
      <w:r w:rsidR="009B3481" w:rsidRPr="00781B30">
        <w:rPr>
          <w:color w:val="000000" w:themeColor="text1"/>
          <w:sz w:val="24"/>
          <w:szCs w:val="24"/>
        </w:rPr>
        <w:t xml:space="preserve"> a political perspective to </w:t>
      </w:r>
      <w:r w:rsidR="00CA385D" w:rsidRPr="00781B30">
        <w:rPr>
          <w:color w:val="000000" w:themeColor="text1"/>
          <w:sz w:val="24"/>
          <w:szCs w:val="24"/>
        </w:rPr>
        <w:t xml:space="preserve">landscape </w:t>
      </w:r>
      <w:r w:rsidR="009B3481" w:rsidRPr="00781B30">
        <w:rPr>
          <w:color w:val="000000" w:themeColor="text1"/>
          <w:sz w:val="24"/>
          <w:szCs w:val="24"/>
        </w:rPr>
        <w:t>phenomenology</w:t>
      </w:r>
      <w:r w:rsidR="00CA385D" w:rsidRPr="00781B30">
        <w:rPr>
          <w:color w:val="000000" w:themeColor="text1"/>
          <w:sz w:val="24"/>
          <w:szCs w:val="24"/>
        </w:rPr>
        <w:t xml:space="preserve"> helped to address some of the key criticisms of the approach.</w:t>
      </w:r>
      <w:r w:rsidR="009B3481" w:rsidRPr="00781B30">
        <w:rPr>
          <w:rStyle w:val="FootnoteReference"/>
          <w:color w:val="000000" w:themeColor="text1"/>
          <w:sz w:val="24"/>
          <w:szCs w:val="24"/>
        </w:rPr>
        <w:footnoteReference w:id="50"/>
      </w:r>
      <w:r w:rsidR="0097612B" w:rsidRPr="00781B30">
        <w:rPr>
          <w:color w:val="000000" w:themeColor="text1"/>
          <w:sz w:val="24"/>
          <w:szCs w:val="24"/>
        </w:rPr>
        <w:t xml:space="preserve"> </w:t>
      </w:r>
      <w:r w:rsidR="000F0BBF" w:rsidRPr="00781B30">
        <w:rPr>
          <w:color w:val="000000" w:themeColor="text1"/>
          <w:sz w:val="24"/>
          <w:szCs w:val="24"/>
        </w:rPr>
        <w:t xml:space="preserve">It can therefore be argued that Bender’s theory of contested space and Tilley’s phenomenological perspective </w:t>
      </w:r>
      <w:r w:rsidR="0097612B" w:rsidRPr="00781B30">
        <w:rPr>
          <w:color w:val="000000" w:themeColor="text1"/>
          <w:sz w:val="24"/>
          <w:szCs w:val="24"/>
        </w:rPr>
        <w:t xml:space="preserve">can be utilised in ways that </w:t>
      </w:r>
      <w:r w:rsidR="000F0BBF" w:rsidRPr="00781B30">
        <w:rPr>
          <w:color w:val="000000" w:themeColor="text1"/>
          <w:sz w:val="24"/>
          <w:szCs w:val="24"/>
        </w:rPr>
        <w:t xml:space="preserve">complement each other, </w:t>
      </w:r>
      <w:r w:rsidR="00AC1B14">
        <w:rPr>
          <w:color w:val="000000" w:themeColor="text1"/>
          <w:sz w:val="24"/>
          <w:szCs w:val="24"/>
        </w:rPr>
        <w:t>allowing the development of</w:t>
      </w:r>
      <w:r w:rsidR="000F0BBF" w:rsidRPr="00781B30">
        <w:rPr>
          <w:color w:val="000000" w:themeColor="text1"/>
          <w:sz w:val="24"/>
          <w:szCs w:val="24"/>
        </w:rPr>
        <w:t xml:space="preserve"> </w:t>
      </w:r>
      <w:r w:rsidR="00AC1B14">
        <w:rPr>
          <w:color w:val="000000" w:themeColor="text1"/>
          <w:sz w:val="24"/>
          <w:szCs w:val="24"/>
        </w:rPr>
        <w:t>richer understandings</w:t>
      </w:r>
      <w:r w:rsidR="000F0BBF" w:rsidRPr="00781B30">
        <w:rPr>
          <w:color w:val="000000" w:themeColor="text1"/>
          <w:sz w:val="24"/>
          <w:szCs w:val="24"/>
        </w:rPr>
        <w:t xml:space="preserve"> than either approach is able to achieve on its own. However, </w:t>
      </w:r>
      <w:r w:rsidR="009C3351" w:rsidRPr="00781B30">
        <w:rPr>
          <w:color w:val="000000" w:themeColor="text1"/>
          <w:sz w:val="24"/>
          <w:szCs w:val="24"/>
        </w:rPr>
        <w:t xml:space="preserve">some have suggested </w:t>
      </w:r>
      <w:r w:rsidR="0097612B" w:rsidRPr="00781B30">
        <w:rPr>
          <w:color w:val="000000" w:themeColor="text1"/>
          <w:sz w:val="24"/>
          <w:szCs w:val="24"/>
        </w:rPr>
        <w:t>adding yet more</w:t>
      </w:r>
      <w:r w:rsidR="009C3351" w:rsidRPr="00781B30">
        <w:rPr>
          <w:color w:val="000000" w:themeColor="text1"/>
          <w:sz w:val="24"/>
          <w:szCs w:val="24"/>
        </w:rPr>
        <w:t xml:space="preserve"> methodologi</w:t>
      </w:r>
      <w:r w:rsidR="0097612B" w:rsidRPr="00781B30">
        <w:rPr>
          <w:color w:val="000000" w:themeColor="text1"/>
          <w:sz w:val="24"/>
          <w:szCs w:val="24"/>
        </w:rPr>
        <w:t xml:space="preserve">cal layers to build deeper, </w:t>
      </w:r>
      <w:r w:rsidR="009C3351" w:rsidRPr="00781B30">
        <w:rPr>
          <w:color w:val="000000" w:themeColor="text1"/>
          <w:sz w:val="24"/>
          <w:szCs w:val="24"/>
        </w:rPr>
        <w:t xml:space="preserve">more robust understandings. Moyes, for examples, suggests adopting </w:t>
      </w:r>
      <w:r w:rsidR="00DC3084" w:rsidRPr="00781B30">
        <w:rPr>
          <w:color w:val="000000" w:themeColor="text1"/>
          <w:sz w:val="24"/>
          <w:szCs w:val="24"/>
        </w:rPr>
        <w:t>Alison Wylie</w:t>
      </w:r>
      <w:r w:rsidR="009C3351" w:rsidRPr="00781B30">
        <w:rPr>
          <w:color w:val="000000" w:themeColor="text1"/>
          <w:sz w:val="24"/>
          <w:szCs w:val="24"/>
        </w:rPr>
        <w:t>’s</w:t>
      </w:r>
      <w:r w:rsidR="00DC3084" w:rsidRPr="00781B30">
        <w:rPr>
          <w:color w:val="000000" w:themeColor="text1"/>
          <w:sz w:val="24"/>
          <w:szCs w:val="24"/>
        </w:rPr>
        <w:t xml:space="preserve"> </w:t>
      </w:r>
      <w:r w:rsidR="009C3351" w:rsidRPr="00781B30">
        <w:rPr>
          <w:color w:val="000000" w:themeColor="text1"/>
          <w:sz w:val="24"/>
          <w:szCs w:val="24"/>
        </w:rPr>
        <w:t>‘</w:t>
      </w:r>
      <w:r w:rsidR="00DC3084" w:rsidRPr="00781B30">
        <w:rPr>
          <w:color w:val="000000" w:themeColor="text1"/>
          <w:sz w:val="24"/>
          <w:szCs w:val="24"/>
        </w:rPr>
        <w:t>cables and tacking</w:t>
      </w:r>
      <w:r w:rsidR="009C3351" w:rsidRPr="00781B30">
        <w:rPr>
          <w:color w:val="000000" w:themeColor="text1"/>
          <w:sz w:val="24"/>
          <w:szCs w:val="24"/>
        </w:rPr>
        <w:t>’</w:t>
      </w:r>
      <w:r w:rsidR="00DC3084" w:rsidRPr="00781B30">
        <w:rPr>
          <w:color w:val="000000" w:themeColor="text1"/>
          <w:sz w:val="24"/>
          <w:szCs w:val="24"/>
        </w:rPr>
        <w:t xml:space="preserve"> model of </w:t>
      </w:r>
      <w:r w:rsidR="009C3351" w:rsidRPr="00781B30">
        <w:rPr>
          <w:color w:val="000000" w:themeColor="text1"/>
          <w:sz w:val="24"/>
          <w:szCs w:val="24"/>
        </w:rPr>
        <w:t>archaeological investigation,</w:t>
      </w:r>
      <w:r w:rsidR="009C3351" w:rsidRPr="00781B30">
        <w:rPr>
          <w:rStyle w:val="FootnoteReference"/>
          <w:color w:val="000000" w:themeColor="text1"/>
          <w:sz w:val="24"/>
          <w:szCs w:val="24"/>
        </w:rPr>
        <w:footnoteReference w:id="51"/>
      </w:r>
      <w:r w:rsidR="009C3351" w:rsidRPr="00781B30">
        <w:rPr>
          <w:color w:val="000000" w:themeColor="text1"/>
          <w:sz w:val="24"/>
          <w:szCs w:val="24"/>
        </w:rPr>
        <w:t xml:space="preserve"> </w:t>
      </w:r>
      <w:r w:rsidR="007C0B23">
        <w:rPr>
          <w:color w:val="000000" w:themeColor="text1"/>
          <w:sz w:val="24"/>
          <w:szCs w:val="24"/>
        </w:rPr>
        <w:t xml:space="preserve">combining post-processual approaches with a wider range of methods and methodologies </w:t>
      </w:r>
      <w:r w:rsidR="00DC3084" w:rsidRPr="00781B30">
        <w:rPr>
          <w:color w:val="000000" w:themeColor="text1"/>
          <w:sz w:val="24"/>
          <w:szCs w:val="24"/>
        </w:rPr>
        <w:t xml:space="preserve">to </w:t>
      </w:r>
      <w:r w:rsidR="007C0B23">
        <w:rPr>
          <w:color w:val="000000" w:themeColor="text1"/>
          <w:sz w:val="24"/>
          <w:szCs w:val="24"/>
        </w:rPr>
        <w:t>build more</w:t>
      </w:r>
      <w:r w:rsidR="00DC3084" w:rsidRPr="00781B30">
        <w:rPr>
          <w:color w:val="000000" w:themeColor="text1"/>
          <w:sz w:val="24"/>
          <w:szCs w:val="24"/>
        </w:rPr>
        <w:t xml:space="preserve"> </w:t>
      </w:r>
      <w:r w:rsidR="007C0B23">
        <w:rPr>
          <w:color w:val="000000" w:themeColor="text1"/>
          <w:sz w:val="24"/>
          <w:szCs w:val="24"/>
        </w:rPr>
        <w:t>‘</w:t>
      </w:r>
      <w:r w:rsidR="00DC3084" w:rsidRPr="00781B30">
        <w:rPr>
          <w:color w:val="000000" w:themeColor="text1"/>
          <w:sz w:val="24"/>
          <w:szCs w:val="24"/>
        </w:rPr>
        <w:t>complex and nuanced arguments.</w:t>
      </w:r>
      <w:r w:rsidR="007C0B23">
        <w:rPr>
          <w:color w:val="000000" w:themeColor="text1"/>
          <w:sz w:val="24"/>
          <w:szCs w:val="24"/>
        </w:rPr>
        <w:t>’</w:t>
      </w:r>
      <w:r w:rsidR="00DC3084" w:rsidRPr="00781B30">
        <w:rPr>
          <w:rStyle w:val="FootnoteReference"/>
          <w:color w:val="000000" w:themeColor="text1"/>
          <w:sz w:val="24"/>
          <w:szCs w:val="24"/>
        </w:rPr>
        <w:footnoteReference w:id="52"/>
      </w:r>
    </w:p>
    <w:p w14:paraId="2F2BC840" w14:textId="3F3A9D76" w:rsidR="008A68C0" w:rsidRPr="003F59D6" w:rsidRDefault="008A68C0" w:rsidP="003F59D6">
      <w:pPr>
        <w:rPr>
          <w:b/>
          <w:bCs/>
          <w:sz w:val="24"/>
          <w:szCs w:val="24"/>
        </w:rPr>
      </w:pPr>
      <w:r w:rsidRPr="003F59D6">
        <w:rPr>
          <w:b/>
          <w:bCs/>
          <w:sz w:val="24"/>
          <w:szCs w:val="24"/>
        </w:rPr>
        <w:t>Conclusion</w:t>
      </w:r>
    </w:p>
    <w:p w14:paraId="6BFF8DEA" w14:textId="419A9E68" w:rsidR="00931E92" w:rsidRDefault="00EE7A9D" w:rsidP="000C071D">
      <w:pPr>
        <w:rPr>
          <w:sz w:val="24"/>
          <w:szCs w:val="24"/>
        </w:rPr>
      </w:pPr>
      <w:r>
        <w:rPr>
          <w:color w:val="000000" w:themeColor="text1"/>
          <w:sz w:val="24"/>
          <w:szCs w:val="24"/>
        </w:rPr>
        <w:t xml:space="preserve">In conclusion, both Bender and Tilley base their approaches on </w:t>
      </w:r>
      <w:r w:rsidR="00AC1B14">
        <w:rPr>
          <w:color w:val="000000" w:themeColor="text1"/>
          <w:sz w:val="24"/>
          <w:szCs w:val="24"/>
        </w:rPr>
        <w:t>a</w:t>
      </w:r>
      <w:r>
        <w:rPr>
          <w:color w:val="000000" w:themeColor="text1"/>
          <w:sz w:val="24"/>
          <w:szCs w:val="24"/>
        </w:rPr>
        <w:t xml:space="preserve"> view of landscapes as subjective, and seek to understand the ways in which relationships between people and landscapes are created and re-created. </w:t>
      </w:r>
      <w:r w:rsidRPr="00781B30">
        <w:rPr>
          <w:sz w:val="24"/>
          <w:szCs w:val="24"/>
        </w:rPr>
        <w:t>Both authors argue that the physical material landscape is not passive but is co-creative of place. Where the authors differ is in methodology and emphasis, and their approaches can be brought together to build a more nuanced and complex understanding of landscapes, helping to address some of the criticisms that have been levelled at each approach.</w:t>
      </w:r>
      <w:r>
        <w:rPr>
          <w:sz w:val="24"/>
          <w:szCs w:val="24"/>
        </w:rPr>
        <w:t xml:space="preserve"> </w:t>
      </w:r>
      <w:r w:rsidR="00BA4D35" w:rsidRPr="00781B30">
        <w:rPr>
          <w:color w:val="000000" w:themeColor="text1"/>
          <w:sz w:val="24"/>
          <w:szCs w:val="24"/>
        </w:rPr>
        <w:t xml:space="preserve">Bender’s theory of contested space </w:t>
      </w:r>
      <w:r>
        <w:rPr>
          <w:color w:val="000000" w:themeColor="text1"/>
          <w:sz w:val="24"/>
          <w:szCs w:val="24"/>
        </w:rPr>
        <w:t>suggests ways in which</w:t>
      </w:r>
      <w:r w:rsidR="00BA4D35" w:rsidRPr="00781B30">
        <w:rPr>
          <w:color w:val="000000" w:themeColor="text1"/>
          <w:sz w:val="24"/>
          <w:szCs w:val="24"/>
        </w:rPr>
        <w:t xml:space="preserve"> power, politic</w:t>
      </w:r>
      <w:r>
        <w:rPr>
          <w:color w:val="000000" w:themeColor="text1"/>
          <w:sz w:val="24"/>
          <w:szCs w:val="24"/>
        </w:rPr>
        <w:t>s</w:t>
      </w:r>
      <w:r w:rsidR="00BA4D35" w:rsidRPr="00781B30">
        <w:rPr>
          <w:color w:val="000000" w:themeColor="text1"/>
          <w:sz w:val="24"/>
          <w:szCs w:val="24"/>
        </w:rPr>
        <w:t xml:space="preserve"> and social relations can influence different people’s experience of the meaning of place, whilst Tilley’s phenomenological perspective helps to foreground the physical relationships and subjective personal experiences that help people and physical landscape co-create contested biographies of place.</w:t>
      </w:r>
      <w:r>
        <w:rPr>
          <w:color w:val="000000" w:themeColor="text1"/>
          <w:sz w:val="24"/>
          <w:szCs w:val="24"/>
        </w:rPr>
        <w:t xml:space="preserve"> The approaches can thus be argued to be </w:t>
      </w:r>
      <w:r w:rsidR="00196EF4">
        <w:rPr>
          <w:color w:val="000000" w:themeColor="text1"/>
          <w:sz w:val="24"/>
          <w:szCs w:val="24"/>
        </w:rPr>
        <w:t>mutually</w:t>
      </w:r>
      <w:r w:rsidR="00931E92" w:rsidRPr="00781B30">
        <w:rPr>
          <w:sz w:val="24"/>
          <w:szCs w:val="24"/>
        </w:rPr>
        <w:t xml:space="preserve"> </w:t>
      </w:r>
      <w:r w:rsidR="004D72C5">
        <w:rPr>
          <w:sz w:val="24"/>
          <w:szCs w:val="24"/>
        </w:rPr>
        <w:t>supportive</w:t>
      </w:r>
      <w:r w:rsidR="00931E92" w:rsidRPr="00781B30">
        <w:rPr>
          <w:sz w:val="24"/>
          <w:szCs w:val="24"/>
        </w:rPr>
        <w:t xml:space="preserve"> and complementary</w:t>
      </w:r>
      <w:r>
        <w:rPr>
          <w:sz w:val="24"/>
          <w:szCs w:val="24"/>
        </w:rPr>
        <w:t xml:space="preserve">. However, it </w:t>
      </w:r>
      <w:r w:rsidR="00AC1B14">
        <w:rPr>
          <w:sz w:val="24"/>
          <w:szCs w:val="24"/>
        </w:rPr>
        <w:t>has also been suggested</w:t>
      </w:r>
      <w:r>
        <w:rPr>
          <w:sz w:val="24"/>
          <w:szCs w:val="24"/>
        </w:rPr>
        <w:t xml:space="preserve"> that </w:t>
      </w:r>
      <w:r w:rsidR="004D72C5">
        <w:rPr>
          <w:sz w:val="24"/>
          <w:szCs w:val="24"/>
        </w:rPr>
        <w:t>those wishing to develop deeper, more nuanced insights into relationships between people and landscapes c</w:t>
      </w:r>
      <w:r>
        <w:rPr>
          <w:sz w:val="24"/>
          <w:szCs w:val="24"/>
        </w:rPr>
        <w:t>ould go further still in layering multiple theories, methods and methodologies</w:t>
      </w:r>
      <w:r w:rsidR="004D72C5">
        <w:rPr>
          <w:sz w:val="24"/>
          <w:szCs w:val="24"/>
        </w:rPr>
        <w:t>.</w:t>
      </w:r>
      <w:r w:rsidR="00AC1B14">
        <w:rPr>
          <w:sz w:val="24"/>
          <w:szCs w:val="24"/>
        </w:rPr>
        <w:t xml:space="preserve"> </w:t>
      </w:r>
    </w:p>
    <w:p w14:paraId="388EC8C6" w14:textId="77777777" w:rsidR="003351FC" w:rsidRDefault="003351FC">
      <w:pPr>
        <w:rPr>
          <w:b/>
          <w:bCs/>
          <w:sz w:val="24"/>
          <w:szCs w:val="24"/>
        </w:rPr>
      </w:pPr>
      <w:r>
        <w:rPr>
          <w:b/>
          <w:bCs/>
          <w:sz w:val="24"/>
          <w:szCs w:val="24"/>
        </w:rPr>
        <w:br w:type="page"/>
      </w:r>
    </w:p>
    <w:p w14:paraId="010A7569" w14:textId="05F23959" w:rsidR="00196EF4" w:rsidRPr="003F59D6" w:rsidRDefault="00196EF4" w:rsidP="003F59D6">
      <w:pPr>
        <w:rPr>
          <w:b/>
          <w:bCs/>
          <w:sz w:val="24"/>
          <w:szCs w:val="24"/>
        </w:rPr>
      </w:pPr>
      <w:r w:rsidRPr="003F59D6">
        <w:rPr>
          <w:b/>
          <w:bCs/>
          <w:sz w:val="24"/>
          <w:szCs w:val="24"/>
        </w:rPr>
        <w:lastRenderedPageBreak/>
        <w:t>Bibliography</w:t>
      </w:r>
    </w:p>
    <w:p w14:paraId="40847D68"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 xml:space="preserve">Bender, Barbara, ‘Landscape and Politics.’ In Victor Buchli (Ed.) </w:t>
      </w:r>
      <w:r w:rsidRPr="00BF0EDC">
        <w:rPr>
          <w:i/>
          <w:iCs/>
          <w:color w:val="000000" w:themeColor="text1"/>
          <w:sz w:val="24"/>
          <w:szCs w:val="24"/>
        </w:rPr>
        <w:t xml:space="preserve">The Material Culture Reader, </w:t>
      </w:r>
      <w:r w:rsidRPr="00BF0EDC">
        <w:rPr>
          <w:color w:val="000000" w:themeColor="text1"/>
          <w:sz w:val="24"/>
          <w:szCs w:val="24"/>
        </w:rPr>
        <w:t>(Abingdon: Routledge, 2002), pp.135-139.</w:t>
      </w:r>
    </w:p>
    <w:p w14:paraId="35CBC717" w14:textId="77777777" w:rsidR="003351FC" w:rsidRPr="00BF0EDC" w:rsidRDefault="003351FC" w:rsidP="003351FC">
      <w:pPr>
        <w:pStyle w:val="FootnoteText"/>
        <w:spacing w:after="120"/>
        <w:rPr>
          <w:color w:val="000000" w:themeColor="text1"/>
          <w:sz w:val="24"/>
          <w:szCs w:val="24"/>
        </w:rPr>
      </w:pPr>
      <w:r w:rsidRPr="00BF0EDC">
        <w:rPr>
          <w:color w:val="000000" w:themeColor="text1"/>
          <w:sz w:val="24"/>
          <w:szCs w:val="24"/>
        </w:rPr>
        <w:t xml:space="preserve">Bender, Barbara, ‘Theorising Landscapes, and the Prehistoric Landscapes of Stonehenge.’ </w:t>
      </w:r>
      <w:r w:rsidRPr="00BF0EDC">
        <w:rPr>
          <w:i/>
          <w:iCs/>
          <w:color w:val="000000" w:themeColor="text1"/>
          <w:sz w:val="24"/>
          <w:szCs w:val="24"/>
        </w:rPr>
        <w:t>Man</w:t>
      </w:r>
      <w:r w:rsidRPr="00BF0EDC">
        <w:rPr>
          <w:color w:val="000000" w:themeColor="text1"/>
          <w:sz w:val="24"/>
          <w:szCs w:val="24"/>
        </w:rPr>
        <w:t>, Vol. 27, No. 4, (1992) pp.735-755.</w:t>
      </w:r>
    </w:p>
    <w:p w14:paraId="65A17BB2"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Bender, Barbara, ‘Time and Landscape,’ </w:t>
      </w:r>
      <w:r w:rsidRPr="00BF0EDC">
        <w:rPr>
          <w:i/>
          <w:iCs/>
          <w:color w:val="000000" w:themeColor="text1"/>
          <w:sz w:val="24"/>
          <w:szCs w:val="24"/>
        </w:rPr>
        <w:t>Current Anthropology</w:t>
      </w:r>
      <w:r w:rsidRPr="00BF0EDC">
        <w:rPr>
          <w:color w:val="000000" w:themeColor="text1"/>
          <w:sz w:val="24"/>
          <w:szCs w:val="24"/>
        </w:rPr>
        <w:t>, vol. 43, no. S4 (2002) pp.S103–12. </w:t>
      </w:r>
    </w:p>
    <w:p w14:paraId="7F133A4C" w14:textId="77777777" w:rsidR="003351FC" w:rsidRPr="00BF0EDC" w:rsidRDefault="003351FC" w:rsidP="003351FC">
      <w:pPr>
        <w:pStyle w:val="Default"/>
        <w:spacing w:after="120"/>
        <w:rPr>
          <w:rFonts w:asciiTheme="minorHAnsi" w:hAnsiTheme="minorHAnsi"/>
          <w:color w:val="000000" w:themeColor="text1"/>
        </w:rPr>
      </w:pPr>
      <w:r w:rsidRPr="00BF0EDC">
        <w:rPr>
          <w:rFonts w:asciiTheme="minorHAnsi" w:hAnsiTheme="minorHAnsi"/>
          <w:color w:val="000000" w:themeColor="text1"/>
        </w:rPr>
        <w:t xml:space="preserve">Bender, Barbara, </w:t>
      </w:r>
      <w:r w:rsidRPr="00BF0EDC">
        <w:rPr>
          <w:rFonts w:asciiTheme="minorHAnsi" w:hAnsiTheme="minorHAnsi"/>
          <w:i/>
          <w:iCs/>
          <w:color w:val="000000" w:themeColor="text1"/>
        </w:rPr>
        <w:t>Stonehenge: Making Space</w:t>
      </w:r>
      <w:r w:rsidRPr="00BF0EDC">
        <w:rPr>
          <w:rFonts w:asciiTheme="minorHAnsi" w:hAnsiTheme="minorHAnsi"/>
          <w:color w:val="000000" w:themeColor="text1"/>
        </w:rPr>
        <w:t>, (Oxford: Berg, 1998).</w:t>
      </w:r>
    </w:p>
    <w:p w14:paraId="1FB05F43"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Bender, Barbara, Sue Hamilton, and Christopher Tilley, ‘Leskernick: Stone Worlds; Alternative Narratives; Nested Landscapes’, </w:t>
      </w:r>
      <w:r w:rsidRPr="00BF0EDC">
        <w:rPr>
          <w:i/>
          <w:iCs/>
          <w:color w:val="000000" w:themeColor="text1"/>
          <w:sz w:val="24"/>
          <w:szCs w:val="24"/>
        </w:rPr>
        <w:t>Proceedings of the Prehistoric Society</w:t>
      </w:r>
      <w:r w:rsidRPr="00BF0EDC">
        <w:rPr>
          <w:color w:val="000000" w:themeColor="text1"/>
          <w:sz w:val="24"/>
          <w:szCs w:val="24"/>
        </w:rPr>
        <w:t>, 63 (1997), pp.147–78</w:t>
      </w:r>
    </w:p>
    <w:p w14:paraId="4C434550" w14:textId="77777777" w:rsidR="003351FC" w:rsidRPr="00BF0EDC" w:rsidRDefault="003351FC" w:rsidP="003351FC">
      <w:pPr>
        <w:pStyle w:val="FootnoteText"/>
        <w:spacing w:after="120"/>
        <w:rPr>
          <w:color w:val="000000" w:themeColor="text1"/>
          <w:sz w:val="24"/>
          <w:szCs w:val="24"/>
        </w:rPr>
      </w:pPr>
      <w:r w:rsidRPr="00BF0EDC">
        <w:rPr>
          <w:color w:val="000000" w:themeColor="text1"/>
          <w:sz w:val="24"/>
          <w:szCs w:val="24"/>
        </w:rPr>
        <w:t xml:space="preserve">Brady, Bernadette, ‘Introduction Part 1 – Sacred Geography: Conversations with Place’, in </w:t>
      </w:r>
      <w:r w:rsidRPr="00BF0EDC">
        <w:rPr>
          <w:i/>
          <w:iCs/>
          <w:color w:val="000000" w:themeColor="text1"/>
          <w:sz w:val="24"/>
          <w:szCs w:val="24"/>
        </w:rPr>
        <w:t>Sacred Geography</w:t>
      </w:r>
      <w:r w:rsidRPr="00BF0EDC">
        <w:rPr>
          <w:color w:val="000000" w:themeColor="text1"/>
          <w:sz w:val="24"/>
          <w:szCs w:val="24"/>
        </w:rPr>
        <w:t xml:space="preserve"> ed. By Bernadette Brady and Jack Hunter (Ceredigion: Sophia Centre Press, 2024), pp.1-10. </w:t>
      </w:r>
    </w:p>
    <w:p w14:paraId="4BC6DBD6"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Brück, Joanna, ‘Experiencing the past? The development of a phenomenological archaeology in British prehistory’. </w:t>
      </w:r>
      <w:r w:rsidRPr="00BF0EDC">
        <w:rPr>
          <w:i/>
          <w:iCs/>
          <w:color w:val="000000" w:themeColor="text1"/>
          <w:sz w:val="24"/>
          <w:szCs w:val="24"/>
        </w:rPr>
        <w:t>Archaeological Dialogues</w:t>
      </w:r>
      <w:r w:rsidRPr="00BF0EDC">
        <w:rPr>
          <w:color w:val="000000" w:themeColor="text1"/>
          <w:sz w:val="24"/>
          <w:szCs w:val="24"/>
        </w:rPr>
        <w:t>, 12.1, (2005), pp.45-72.</w:t>
      </w:r>
    </w:p>
    <w:p w14:paraId="26EC8F6A"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Burchardt, Jeremy, ‘From Field Walking to Phenomenology: A Review of Recent British Landscape Historiography’, </w:t>
      </w:r>
      <w:r w:rsidRPr="00BF0EDC">
        <w:rPr>
          <w:i/>
          <w:iCs/>
          <w:color w:val="000000" w:themeColor="text1"/>
          <w:sz w:val="24"/>
          <w:szCs w:val="24"/>
        </w:rPr>
        <w:t>The Historical Journal</w:t>
      </w:r>
      <w:r w:rsidRPr="00BF0EDC">
        <w:rPr>
          <w:color w:val="000000" w:themeColor="text1"/>
          <w:sz w:val="24"/>
          <w:szCs w:val="24"/>
        </w:rPr>
        <w:t>, 67 (2024), pp.583–609</w:t>
      </w:r>
    </w:p>
    <w:p w14:paraId="5C4693D9" w14:textId="77777777" w:rsidR="003351FC" w:rsidRPr="00BF0EDC" w:rsidRDefault="003351FC" w:rsidP="003351FC">
      <w:pPr>
        <w:pStyle w:val="FootnoteText"/>
        <w:spacing w:after="120"/>
        <w:rPr>
          <w:color w:val="000000" w:themeColor="text1"/>
          <w:sz w:val="24"/>
          <w:szCs w:val="24"/>
        </w:rPr>
      </w:pPr>
      <w:r w:rsidRPr="00BF0EDC">
        <w:rPr>
          <w:color w:val="000000" w:themeColor="text1"/>
          <w:sz w:val="24"/>
          <w:szCs w:val="24"/>
        </w:rPr>
        <w:t>Fleming, Andrew, ‘Post-Processual Landscape Archaeology: A Critique’, </w:t>
      </w:r>
      <w:r w:rsidRPr="00BF0EDC">
        <w:rPr>
          <w:i/>
          <w:iCs/>
          <w:color w:val="000000" w:themeColor="text1"/>
          <w:sz w:val="24"/>
          <w:szCs w:val="24"/>
        </w:rPr>
        <w:t>Cambridge Archaeological Journal</w:t>
      </w:r>
      <w:r w:rsidRPr="00BF0EDC">
        <w:rPr>
          <w:color w:val="000000" w:themeColor="text1"/>
          <w:sz w:val="24"/>
          <w:szCs w:val="24"/>
        </w:rPr>
        <w:t>, 16 (2006), pp.267–80.</w:t>
      </w:r>
    </w:p>
    <w:p w14:paraId="1AA2CA78"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Knibbe, Kim &amp; Van Houtert, Els</w:t>
      </w:r>
      <w:r>
        <w:rPr>
          <w:color w:val="000000" w:themeColor="text1"/>
          <w:sz w:val="24"/>
          <w:szCs w:val="24"/>
        </w:rPr>
        <w:t>,</w:t>
      </w:r>
      <w:r w:rsidRPr="00BF0EDC">
        <w:rPr>
          <w:color w:val="000000" w:themeColor="text1"/>
          <w:sz w:val="24"/>
          <w:szCs w:val="24"/>
        </w:rPr>
        <w:t xml:space="preserve"> ‘Religious Experience and Phenomenology’, in Hilary Callan (Ed), </w:t>
      </w:r>
      <w:r w:rsidRPr="00BF0EDC">
        <w:rPr>
          <w:i/>
          <w:iCs/>
          <w:color w:val="000000" w:themeColor="text1"/>
          <w:sz w:val="24"/>
          <w:szCs w:val="24"/>
        </w:rPr>
        <w:t>The International Encyclopedia of Anthropology</w:t>
      </w:r>
      <w:r>
        <w:rPr>
          <w:i/>
          <w:iCs/>
          <w:color w:val="000000" w:themeColor="text1"/>
          <w:sz w:val="24"/>
          <w:szCs w:val="24"/>
        </w:rPr>
        <w:t xml:space="preserve"> </w:t>
      </w:r>
      <w:r>
        <w:rPr>
          <w:color w:val="000000" w:themeColor="text1"/>
          <w:sz w:val="24"/>
          <w:szCs w:val="24"/>
        </w:rPr>
        <w:t>(2018)</w:t>
      </w:r>
      <w:r w:rsidRPr="00BF0EDC">
        <w:rPr>
          <w:color w:val="000000" w:themeColor="text1"/>
          <w:sz w:val="24"/>
          <w:szCs w:val="24"/>
        </w:rPr>
        <w:t xml:space="preserve">.  DOI: 10.1002/9781118924396.wbiea1929. </w:t>
      </w:r>
    </w:p>
    <w:p w14:paraId="723E20E0" w14:textId="77777777" w:rsidR="003351FC" w:rsidRPr="00BF0EDC" w:rsidRDefault="003351FC" w:rsidP="003351FC">
      <w:pPr>
        <w:pStyle w:val="Default"/>
        <w:spacing w:after="120"/>
        <w:rPr>
          <w:rFonts w:asciiTheme="minorHAnsi" w:hAnsiTheme="minorHAnsi"/>
          <w:color w:val="000000" w:themeColor="text1"/>
        </w:rPr>
      </w:pPr>
      <w:r w:rsidRPr="00BF0EDC">
        <w:rPr>
          <w:rFonts w:asciiTheme="minorHAnsi" w:hAnsiTheme="minorHAnsi"/>
          <w:color w:val="000000" w:themeColor="text1"/>
        </w:rPr>
        <w:t xml:space="preserve">Lane, Belden C., </w:t>
      </w:r>
      <w:r w:rsidRPr="00BF0EDC">
        <w:rPr>
          <w:rFonts w:asciiTheme="minorHAnsi" w:hAnsiTheme="minorHAnsi"/>
          <w:i/>
          <w:iCs/>
          <w:color w:val="000000" w:themeColor="text1"/>
        </w:rPr>
        <w:t>Landscapes of the Sacred: Geography and Narrative in American Spirituality</w:t>
      </w:r>
      <w:r w:rsidRPr="00BF0EDC">
        <w:rPr>
          <w:rFonts w:asciiTheme="minorHAnsi" w:hAnsiTheme="minorHAnsi"/>
          <w:color w:val="000000" w:themeColor="text1"/>
        </w:rPr>
        <w:t xml:space="preserve">. Expanded edn (Baltimore, Maryland: Johns Hopkins University Press, 2001). </w:t>
      </w:r>
    </w:p>
    <w:p w14:paraId="548035EC"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 xml:space="preserve">Moyes, Holley, ‘The Life and Afterlife of Phenomenology in Archaeological Theory and Practice,’ in Patrick Londen, Jeffrey Yoshimi &amp; Philip Walsh, </w:t>
      </w:r>
      <w:r w:rsidRPr="00BF0EDC">
        <w:rPr>
          <w:i/>
          <w:iCs/>
          <w:color w:val="000000" w:themeColor="text1"/>
          <w:sz w:val="24"/>
          <w:szCs w:val="24"/>
        </w:rPr>
        <w:t>Horizons of Phenomenology: Essays on the State of the Field and Its Applications</w:t>
      </w:r>
      <w:r w:rsidRPr="00BF0EDC">
        <w:rPr>
          <w:color w:val="000000" w:themeColor="text1"/>
          <w:sz w:val="24"/>
          <w:szCs w:val="24"/>
        </w:rPr>
        <w:t>. (Cham: Springer Verlag, 2024), pp. 307-324.</w:t>
      </w:r>
    </w:p>
    <w:p w14:paraId="55A18503"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 xml:space="preserve">Tilley, Christopher, ‘Phenomenological Approaches to Landscape Archaeology’ in Bruno David and Julian Thomas (Eds). </w:t>
      </w:r>
      <w:r w:rsidRPr="00BF0EDC">
        <w:rPr>
          <w:i/>
          <w:iCs/>
          <w:color w:val="000000" w:themeColor="text1"/>
          <w:sz w:val="24"/>
          <w:szCs w:val="24"/>
        </w:rPr>
        <w:t xml:space="preserve">Handbook of Landscape Archaeology. </w:t>
      </w:r>
      <w:r w:rsidRPr="00BF0EDC">
        <w:rPr>
          <w:color w:val="000000" w:themeColor="text1"/>
          <w:sz w:val="24"/>
          <w:szCs w:val="24"/>
        </w:rPr>
        <w:t xml:space="preserve">(Abingdon: Routledge, 2008). </w:t>
      </w:r>
    </w:p>
    <w:p w14:paraId="30789B9B"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Tilley, Christopher, and Kate Cameron-Daum, </w:t>
      </w:r>
      <w:r w:rsidRPr="00BF0EDC">
        <w:rPr>
          <w:i/>
          <w:iCs/>
          <w:color w:val="000000" w:themeColor="text1"/>
          <w:sz w:val="24"/>
          <w:szCs w:val="24"/>
        </w:rPr>
        <w:t>Anthropology of Landscape: The Extraordinary in the Ordinary</w:t>
      </w:r>
      <w:r w:rsidRPr="00BF0EDC">
        <w:rPr>
          <w:color w:val="000000" w:themeColor="text1"/>
          <w:sz w:val="24"/>
          <w:szCs w:val="24"/>
        </w:rPr>
        <w:t xml:space="preserve">. (London: UCL Press, 2017). </w:t>
      </w:r>
    </w:p>
    <w:p w14:paraId="1DF66925" w14:textId="77777777" w:rsidR="003351FC" w:rsidRPr="00BF0EDC" w:rsidRDefault="003351FC" w:rsidP="003351FC">
      <w:pPr>
        <w:spacing w:after="120" w:line="240" w:lineRule="auto"/>
        <w:rPr>
          <w:color w:val="000000" w:themeColor="text1"/>
          <w:sz w:val="24"/>
          <w:szCs w:val="24"/>
        </w:rPr>
      </w:pPr>
      <w:r w:rsidRPr="00BF0EDC">
        <w:rPr>
          <w:color w:val="000000" w:themeColor="text1"/>
          <w:sz w:val="24"/>
          <w:szCs w:val="24"/>
        </w:rPr>
        <w:t>Tilley, Christopher, </w:t>
      </w:r>
      <w:r w:rsidRPr="00BF0EDC">
        <w:rPr>
          <w:i/>
          <w:iCs/>
          <w:color w:val="000000" w:themeColor="text1"/>
          <w:sz w:val="24"/>
          <w:szCs w:val="24"/>
        </w:rPr>
        <w:t>A Phenomenology of Landscape: Places, Paths, and Monuments,</w:t>
      </w:r>
      <w:r w:rsidRPr="00BF0EDC">
        <w:rPr>
          <w:color w:val="000000" w:themeColor="text1"/>
          <w:sz w:val="24"/>
          <w:szCs w:val="24"/>
        </w:rPr>
        <w:t xml:space="preserve"> (Oxford, U.K.: Berg, 1994).</w:t>
      </w:r>
    </w:p>
    <w:p w14:paraId="112C7022" w14:textId="77777777" w:rsidR="003351FC" w:rsidRPr="00BF0EDC" w:rsidRDefault="003351FC" w:rsidP="003351FC">
      <w:pPr>
        <w:pStyle w:val="FootnoteText"/>
        <w:spacing w:after="120"/>
        <w:rPr>
          <w:color w:val="000000" w:themeColor="text1"/>
          <w:sz w:val="24"/>
          <w:szCs w:val="24"/>
        </w:rPr>
      </w:pPr>
      <w:r w:rsidRPr="00BF0EDC">
        <w:rPr>
          <w:color w:val="000000" w:themeColor="text1"/>
          <w:sz w:val="24"/>
          <w:szCs w:val="24"/>
        </w:rPr>
        <w:t>University College London, ‘Appointments: Barbara Bender’ (no date). &lt;https://profiles.ucl.ac.uk/4518&gt; [Accessed 08/11/2025]</w:t>
      </w:r>
    </w:p>
    <w:p w14:paraId="70D68AF6" w14:textId="77777777" w:rsidR="003351FC" w:rsidRPr="00BF0EDC" w:rsidRDefault="003351FC" w:rsidP="003351FC">
      <w:pPr>
        <w:pStyle w:val="FootnoteText"/>
        <w:spacing w:after="120"/>
        <w:rPr>
          <w:b/>
          <w:bCs/>
          <w:color w:val="000000" w:themeColor="text1"/>
          <w:sz w:val="24"/>
          <w:szCs w:val="24"/>
        </w:rPr>
      </w:pPr>
      <w:r w:rsidRPr="00BF0EDC">
        <w:rPr>
          <w:color w:val="000000" w:themeColor="text1"/>
          <w:sz w:val="24"/>
          <w:szCs w:val="24"/>
        </w:rPr>
        <w:lastRenderedPageBreak/>
        <w:t>University College London, ‘In memory of Professor Christopher Tilley.’ (2024) &lt;https://www.ucl.ac.uk/social-historical-sciences/news/2024/mar/memory-professor-christopher-tilley&gt; [Accessed 08/11/2025]</w:t>
      </w:r>
    </w:p>
    <w:sectPr w:rsidR="003351FC" w:rsidRPr="00BF0ED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7C986" w14:textId="77777777" w:rsidR="00DF54B1" w:rsidRDefault="00DF54B1" w:rsidP="00EC567F">
      <w:pPr>
        <w:spacing w:after="0" w:line="240" w:lineRule="auto"/>
      </w:pPr>
      <w:r>
        <w:separator/>
      </w:r>
    </w:p>
  </w:endnote>
  <w:endnote w:type="continuationSeparator" w:id="0">
    <w:p w14:paraId="55C5813E" w14:textId="77777777" w:rsidR="00DF54B1" w:rsidRDefault="00DF54B1" w:rsidP="00EC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9F07E1" w14:textId="2191EC20" w:rsidR="004B0F3D" w:rsidRDefault="004B0F3D">
    <w:pPr>
      <w:pStyle w:val="Footer"/>
      <w:jc w:val="right"/>
    </w:pPr>
    <w:r>
      <w:t xml:space="preserve">Page </w:t>
    </w:r>
    <w:sdt>
      <w:sdtPr>
        <w:id w:val="-104790473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57B4A37" w14:textId="77777777" w:rsidR="004B0F3D" w:rsidRDefault="004B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906A5" w14:textId="77777777" w:rsidR="00DF54B1" w:rsidRDefault="00DF54B1" w:rsidP="00EC567F">
      <w:pPr>
        <w:spacing w:after="0" w:line="240" w:lineRule="auto"/>
      </w:pPr>
      <w:r>
        <w:separator/>
      </w:r>
    </w:p>
  </w:footnote>
  <w:footnote w:type="continuationSeparator" w:id="0">
    <w:p w14:paraId="73483B5B" w14:textId="77777777" w:rsidR="00DF54B1" w:rsidRDefault="00DF54B1" w:rsidP="00EC567F">
      <w:pPr>
        <w:spacing w:after="0" w:line="240" w:lineRule="auto"/>
      </w:pPr>
      <w:r>
        <w:continuationSeparator/>
      </w:r>
    </w:p>
  </w:footnote>
  <w:footnote w:id="1">
    <w:p w14:paraId="1869B144" w14:textId="67883263" w:rsidR="00EC567F" w:rsidRPr="00102F6D" w:rsidRDefault="00EC567F" w:rsidP="002563B6">
      <w:pPr>
        <w:pStyle w:val="Default"/>
        <w:rPr>
          <w:rFonts w:asciiTheme="minorHAnsi" w:hAnsiTheme="minorHAnsi"/>
          <w:color w:val="000000" w:themeColor="text1"/>
          <w:sz w:val="20"/>
          <w:szCs w:val="20"/>
        </w:rPr>
      </w:pPr>
      <w:r w:rsidRPr="00102F6D">
        <w:rPr>
          <w:rStyle w:val="FootnoteReference"/>
          <w:rFonts w:asciiTheme="minorHAnsi" w:hAnsiTheme="minorHAnsi" w:cstheme="minorBidi"/>
          <w:color w:val="auto"/>
          <w:kern w:val="2"/>
          <w:sz w:val="20"/>
          <w:szCs w:val="20"/>
        </w:rPr>
        <w:footnoteRef/>
      </w:r>
      <w:r w:rsidRPr="00102F6D">
        <w:rPr>
          <w:rStyle w:val="FootnoteReference"/>
          <w:rFonts w:asciiTheme="minorHAnsi" w:hAnsiTheme="minorHAnsi" w:cstheme="minorBidi"/>
          <w:color w:val="auto"/>
          <w:kern w:val="2"/>
          <w:sz w:val="20"/>
          <w:szCs w:val="20"/>
        </w:rPr>
        <w:t xml:space="preserve"> </w:t>
      </w:r>
      <w:r w:rsidR="006E4185" w:rsidRPr="00102F6D">
        <w:rPr>
          <w:rFonts w:asciiTheme="minorHAnsi" w:hAnsiTheme="minorHAnsi"/>
          <w:color w:val="000000" w:themeColor="text1"/>
          <w:sz w:val="20"/>
          <w:szCs w:val="20"/>
        </w:rPr>
        <w:t xml:space="preserve">Barbara Bender, </w:t>
      </w:r>
      <w:r w:rsidR="006E4185" w:rsidRPr="00102F6D">
        <w:rPr>
          <w:rFonts w:asciiTheme="minorHAnsi" w:hAnsiTheme="minorHAnsi"/>
          <w:i/>
          <w:iCs/>
          <w:color w:val="000000" w:themeColor="text1"/>
          <w:sz w:val="20"/>
          <w:szCs w:val="20"/>
        </w:rPr>
        <w:t>Stonehenge: Making Space</w:t>
      </w:r>
      <w:r w:rsidR="006E4185" w:rsidRPr="00102F6D">
        <w:rPr>
          <w:rFonts w:asciiTheme="minorHAnsi" w:hAnsiTheme="minorHAnsi"/>
          <w:color w:val="000000" w:themeColor="text1"/>
          <w:sz w:val="20"/>
          <w:szCs w:val="20"/>
        </w:rPr>
        <w:t>, (Oxford: Berg, 1998); Barbara Bender, Sue Hamilton, and Christopher Tilley, ‘Leskernick: Stone Worlds; Alternative Narratives; Nested Landscapes’, </w:t>
      </w:r>
      <w:r w:rsidR="006E4185" w:rsidRPr="00102F6D">
        <w:rPr>
          <w:rFonts w:asciiTheme="minorHAnsi" w:hAnsiTheme="minorHAnsi"/>
          <w:i/>
          <w:iCs/>
          <w:color w:val="000000" w:themeColor="text1"/>
          <w:sz w:val="20"/>
          <w:szCs w:val="20"/>
        </w:rPr>
        <w:t>Proceedings of the Prehistoric Society</w:t>
      </w:r>
      <w:r w:rsidR="006E4185" w:rsidRPr="00102F6D">
        <w:rPr>
          <w:rFonts w:asciiTheme="minorHAnsi" w:hAnsiTheme="minorHAnsi"/>
          <w:color w:val="000000" w:themeColor="text1"/>
          <w:sz w:val="20"/>
          <w:szCs w:val="20"/>
        </w:rPr>
        <w:t>, 63 (1997), pp.147–78</w:t>
      </w:r>
    </w:p>
  </w:footnote>
  <w:footnote w:id="2">
    <w:p w14:paraId="29C23D9E" w14:textId="679CD065" w:rsidR="00EC567F" w:rsidRPr="00102F6D" w:rsidRDefault="00EC567F"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6E4185" w:rsidRPr="00102F6D">
        <w:rPr>
          <w:color w:val="000000" w:themeColor="text1"/>
          <w:sz w:val="20"/>
          <w:szCs w:val="20"/>
        </w:rPr>
        <w:t>Christopher Tilley, </w:t>
      </w:r>
      <w:r w:rsidR="006E4185" w:rsidRPr="00102F6D">
        <w:rPr>
          <w:i/>
          <w:iCs/>
          <w:color w:val="000000" w:themeColor="text1"/>
          <w:sz w:val="20"/>
          <w:szCs w:val="20"/>
        </w:rPr>
        <w:t>A Phenomenology of Landscape: Places, Paths, and Monuments,</w:t>
      </w:r>
      <w:r w:rsidR="006E4185" w:rsidRPr="00102F6D">
        <w:rPr>
          <w:color w:val="000000" w:themeColor="text1"/>
          <w:sz w:val="20"/>
          <w:szCs w:val="20"/>
        </w:rPr>
        <w:t xml:space="preserve"> (Oxford, U.K.: Berg, 1994).</w:t>
      </w:r>
    </w:p>
  </w:footnote>
  <w:footnote w:id="3">
    <w:p w14:paraId="1BC2ADEB" w14:textId="74305D41" w:rsidR="00EC567F" w:rsidRPr="00102F6D" w:rsidRDefault="00EC567F" w:rsidP="002563B6">
      <w:pPr>
        <w:pStyle w:val="FootnoteText"/>
      </w:pPr>
      <w:r w:rsidRPr="00102F6D">
        <w:rPr>
          <w:rStyle w:val="FootnoteReference"/>
        </w:rPr>
        <w:footnoteRef/>
      </w:r>
      <w:r w:rsidRPr="00102F6D">
        <w:t xml:space="preserve"> </w:t>
      </w:r>
      <w:r w:rsidR="006E4185" w:rsidRPr="00102F6D">
        <w:rPr>
          <w:color w:val="000000" w:themeColor="text1"/>
        </w:rPr>
        <w:t xml:space="preserve">Barbara Bender, </w:t>
      </w:r>
      <w:r w:rsidR="006E4185" w:rsidRPr="00102F6D">
        <w:rPr>
          <w:i/>
          <w:iCs/>
          <w:color w:val="000000" w:themeColor="text1"/>
        </w:rPr>
        <w:t>Stonehenge: Making Space</w:t>
      </w:r>
      <w:r w:rsidR="006E4185" w:rsidRPr="00102F6D">
        <w:rPr>
          <w:color w:val="000000" w:themeColor="text1"/>
        </w:rPr>
        <w:t>, (Oxford: Berg, 1998).</w:t>
      </w:r>
    </w:p>
  </w:footnote>
  <w:footnote w:id="4">
    <w:p w14:paraId="31831F2D" w14:textId="5780DD52" w:rsidR="00935461" w:rsidRPr="00102F6D" w:rsidRDefault="00935461"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6E4185" w:rsidRPr="00102F6D">
        <w:rPr>
          <w:color w:val="000000" w:themeColor="text1"/>
          <w:sz w:val="20"/>
          <w:szCs w:val="20"/>
        </w:rPr>
        <w:t xml:space="preserve">Holley Moyes, ‘The Life and Afterlife of Phenomenology in Archaeological Theory and Practice,’ in Patrick Londen, Jeffrey Yoshimi &amp; Philip Walsh, </w:t>
      </w:r>
      <w:r w:rsidR="006E4185" w:rsidRPr="00102F6D">
        <w:rPr>
          <w:i/>
          <w:iCs/>
          <w:color w:val="000000" w:themeColor="text1"/>
          <w:sz w:val="20"/>
          <w:szCs w:val="20"/>
        </w:rPr>
        <w:t>Horizons of Phenomenology: Essays on the State of the Field and Its Applications</w:t>
      </w:r>
      <w:r w:rsidR="006E4185" w:rsidRPr="00102F6D">
        <w:rPr>
          <w:color w:val="000000" w:themeColor="text1"/>
          <w:sz w:val="20"/>
          <w:szCs w:val="20"/>
        </w:rPr>
        <w:t>. (Cham: Springer Verlag, 2024), pp. 307-324, p</w:t>
      </w:r>
      <w:r w:rsidRPr="00102F6D">
        <w:rPr>
          <w:sz w:val="20"/>
          <w:szCs w:val="20"/>
        </w:rPr>
        <w:t>.308</w:t>
      </w:r>
    </w:p>
  </w:footnote>
  <w:footnote w:id="5">
    <w:p w14:paraId="4823E5A9" w14:textId="6D2D5BDA" w:rsidR="00935461" w:rsidRPr="00102F6D" w:rsidRDefault="00935461" w:rsidP="002563B6">
      <w:pPr>
        <w:pStyle w:val="FootnoteText"/>
        <w:rPr>
          <w:color w:val="000000" w:themeColor="text1"/>
        </w:rPr>
      </w:pPr>
      <w:r w:rsidRPr="00102F6D">
        <w:rPr>
          <w:rStyle w:val="FootnoteReference"/>
        </w:rPr>
        <w:footnoteRef/>
      </w:r>
      <w:r w:rsidRPr="00102F6D">
        <w:t xml:space="preserve"> </w:t>
      </w:r>
      <w:r w:rsidR="006E4185" w:rsidRPr="00102F6D">
        <w:rPr>
          <w:color w:val="000000" w:themeColor="text1"/>
        </w:rPr>
        <w:t>Andrew Fleming, ‘Post-Processual Landscape Archaeology: A Critique’, </w:t>
      </w:r>
      <w:r w:rsidR="006E4185" w:rsidRPr="00102F6D">
        <w:rPr>
          <w:i/>
          <w:iCs/>
          <w:color w:val="000000" w:themeColor="text1"/>
        </w:rPr>
        <w:t>Cambridge Archaeological Journal</w:t>
      </w:r>
      <w:r w:rsidR="006E4185" w:rsidRPr="00102F6D">
        <w:rPr>
          <w:color w:val="000000" w:themeColor="text1"/>
        </w:rPr>
        <w:t>, 16 (2006), pp.267–80,</w:t>
      </w:r>
      <w:r w:rsidRPr="00102F6D">
        <w:t xml:space="preserve"> </w:t>
      </w:r>
      <w:r w:rsidR="006E4185" w:rsidRPr="00102F6D">
        <w:t>p</w:t>
      </w:r>
      <w:r w:rsidRPr="00102F6D">
        <w:t>.267</w:t>
      </w:r>
    </w:p>
  </w:footnote>
  <w:footnote w:id="6">
    <w:p w14:paraId="2D9EF0E9" w14:textId="77B3D686" w:rsidR="00935461" w:rsidRPr="00102F6D" w:rsidRDefault="00935461" w:rsidP="002563B6">
      <w:pPr>
        <w:pStyle w:val="FootnoteText"/>
      </w:pPr>
      <w:r w:rsidRPr="00102F6D">
        <w:rPr>
          <w:rStyle w:val="FootnoteReference"/>
        </w:rPr>
        <w:footnoteRef/>
      </w:r>
      <w:r w:rsidRPr="00102F6D">
        <w:t xml:space="preserve"> </w:t>
      </w:r>
      <w:r w:rsidR="006E4185" w:rsidRPr="00102F6D">
        <w:rPr>
          <w:color w:val="000000" w:themeColor="text1"/>
        </w:rPr>
        <w:t>Moyes, ‘The Life and Afterlife of Phenomenology’, p</w:t>
      </w:r>
      <w:r w:rsidRPr="00102F6D">
        <w:t>.308</w:t>
      </w:r>
    </w:p>
  </w:footnote>
  <w:footnote w:id="7">
    <w:p w14:paraId="2FD4A710" w14:textId="3D323509" w:rsidR="00EC567F" w:rsidRPr="00102F6D" w:rsidRDefault="00EC567F" w:rsidP="002563B6">
      <w:pPr>
        <w:pStyle w:val="FootnoteText"/>
        <w:rPr>
          <w:b/>
          <w:bCs/>
          <w:color w:val="000000" w:themeColor="text1"/>
        </w:rPr>
      </w:pPr>
      <w:r w:rsidRPr="00102F6D">
        <w:rPr>
          <w:rStyle w:val="FootnoteReference"/>
        </w:rPr>
        <w:footnoteRef/>
      </w:r>
      <w:r w:rsidRPr="00102F6D">
        <w:t xml:space="preserve"> </w:t>
      </w:r>
      <w:r w:rsidR="006E4185" w:rsidRPr="00102F6D">
        <w:rPr>
          <w:color w:val="000000" w:themeColor="text1"/>
        </w:rPr>
        <w:t>University College London, ‘In memory of Professor Christopher Tilley.’ (2024) &lt;https://www.ucl.ac.uk/social-historical-sciences/news/2024/mar/memory-professor-christopher-tilley&gt; [Accessed 08/11/2025]</w:t>
      </w:r>
    </w:p>
  </w:footnote>
  <w:footnote w:id="8">
    <w:p w14:paraId="7150B97E" w14:textId="38D0BEA3" w:rsidR="003A1A3D" w:rsidRPr="00102F6D" w:rsidRDefault="003A1A3D"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p>
  </w:footnote>
  <w:footnote w:id="9">
    <w:p w14:paraId="0C19CF62" w14:textId="1F45E3AB" w:rsidR="00EC567F" w:rsidRPr="00E97E82" w:rsidRDefault="00EC567F" w:rsidP="002563B6">
      <w:pPr>
        <w:pStyle w:val="FootnoteText"/>
        <w:rPr>
          <w:b/>
          <w:bCs/>
        </w:rPr>
      </w:pPr>
      <w:r w:rsidRPr="00102F6D">
        <w:rPr>
          <w:rStyle w:val="FootnoteReference"/>
        </w:rPr>
        <w:footnoteRef/>
      </w:r>
      <w:r w:rsidRPr="00102F6D">
        <w:t xml:space="preserve"> </w:t>
      </w:r>
      <w:r w:rsidR="006E4185" w:rsidRPr="00102F6D">
        <w:rPr>
          <w:color w:val="000000" w:themeColor="text1"/>
        </w:rPr>
        <w:t>University College London, ‘In memory of Professor Christopher Tilley.’</w:t>
      </w:r>
    </w:p>
  </w:footnote>
  <w:footnote w:id="10">
    <w:p w14:paraId="420A77F6" w14:textId="3B140BC6" w:rsidR="003A1A3D" w:rsidRDefault="003A1A3D" w:rsidP="002563B6">
      <w:pPr>
        <w:pStyle w:val="FootnoteText"/>
      </w:pPr>
      <w:r>
        <w:rPr>
          <w:rStyle w:val="FootnoteReference"/>
        </w:rPr>
        <w:footnoteRef/>
      </w:r>
      <w:r>
        <w:t xml:space="preserve"> </w:t>
      </w:r>
      <w:r w:rsidR="006E4185" w:rsidRPr="004C7A81">
        <w:rPr>
          <w:color w:val="000000" w:themeColor="text1"/>
        </w:rPr>
        <w:t>Tilley, </w:t>
      </w:r>
      <w:r w:rsidR="006E4185" w:rsidRPr="004C7A81">
        <w:rPr>
          <w:i/>
          <w:iCs/>
          <w:color w:val="000000" w:themeColor="text1"/>
        </w:rPr>
        <w:t>A Phenomenology of Landscape</w:t>
      </w:r>
      <w:r w:rsidR="006E4185">
        <w:rPr>
          <w:i/>
          <w:iCs/>
          <w:color w:val="000000" w:themeColor="text1"/>
        </w:rPr>
        <w:t>.</w:t>
      </w:r>
    </w:p>
  </w:footnote>
  <w:footnote w:id="11">
    <w:p w14:paraId="67B6E2A0" w14:textId="1B30A715" w:rsidR="00EC567F" w:rsidRPr="00783614" w:rsidRDefault="00EC567F" w:rsidP="002563B6">
      <w:pPr>
        <w:pStyle w:val="FootnoteText"/>
        <w:rPr>
          <w:color w:val="000000" w:themeColor="text1"/>
        </w:rPr>
      </w:pPr>
      <w:r>
        <w:rPr>
          <w:rStyle w:val="FootnoteReference"/>
        </w:rPr>
        <w:footnoteRef/>
      </w:r>
      <w:r>
        <w:t xml:space="preserve"> </w:t>
      </w:r>
      <w:r w:rsidR="00783614" w:rsidRPr="004C7A81">
        <w:rPr>
          <w:color w:val="000000" w:themeColor="text1"/>
        </w:rPr>
        <w:t>University College London, ‘Appointments: Barbara Bender’ (no date). &lt;https://profiles.ucl.ac.uk/4518&gt; [Accessed 08/11/2025]</w:t>
      </w:r>
      <w:r w:rsidR="00102F6D">
        <w:rPr>
          <w:color w:val="000000" w:themeColor="text1"/>
        </w:rPr>
        <w:t>.</w:t>
      </w:r>
    </w:p>
  </w:footnote>
  <w:footnote w:id="12">
    <w:p w14:paraId="4679B09B" w14:textId="52A29F71" w:rsidR="004E08F5" w:rsidRPr="00102F6D" w:rsidRDefault="004E08F5" w:rsidP="002563B6">
      <w:pPr>
        <w:pStyle w:val="FootnoteText"/>
        <w:rPr>
          <w:b/>
          <w:bCs/>
        </w:rPr>
      </w:pPr>
      <w:r>
        <w:rPr>
          <w:rStyle w:val="FootnoteReference"/>
        </w:rPr>
        <w:footnoteRef/>
      </w:r>
      <w:r>
        <w:t xml:space="preserve"> </w:t>
      </w:r>
      <w:r w:rsidR="00102F6D" w:rsidRPr="006E4185">
        <w:rPr>
          <w:color w:val="000000" w:themeColor="text1"/>
        </w:rPr>
        <w:t xml:space="preserve">Bender, </w:t>
      </w:r>
      <w:r w:rsidR="00102F6D" w:rsidRPr="006E4185">
        <w:rPr>
          <w:i/>
          <w:iCs/>
          <w:color w:val="000000" w:themeColor="text1"/>
        </w:rPr>
        <w:t>Stonehenge</w:t>
      </w:r>
      <w:r w:rsidR="00102F6D">
        <w:rPr>
          <w:i/>
          <w:iCs/>
          <w:color w:val="000000" w:themeColor="text1"/>
        </w:rPr>
        <w:t>.</w:t>
      </w:r>
    </w:p>
  </w:footnote>
  <w:footnote w:id="13">
    <w:p w14:paraId="50A83CE9" w14:textId="1EA0D5A4" w:rsidR="005B02FE" w:rsidRPr="00783614" w:rsidRDefault="005B02FE" w:rsidP="002563B6">
      <w:pPr>
        <w:pStyle w:val="FootnoteText"/>
        <w:rPr>
          <w:color w:val="000000" w:themeColor="text1"/>
        </w:rPr>
      </w:pPr>
      <w:r>
        <w:rPr>
          <w:rStyle w:val="FootnoteReference"/>
        </w:rPr>
        <w:footnoteRef/>
      </w:r>
      <w:r>
        <w:t xml:space="preserve"> </w:t>
      </w:r>
      <w:r w:rsidR="00783614" w:rsidRPr="004C7A81">
        <w:rPr>
          <w:color w:val="000000" w:themeColor="text1"/>
        </w:rPr>
        <w:t xml:space="preserve">Barbara Bender, ‘Theorising Landscapes, and the Prehistoric Landscapes of Stonehenge.’ </w:t>
      </w:r>
      <w:r w:rsidR="00783614" w:rsidRPr="004C7A81">
        <w:rPr>
          <w:i/>
          <w:iCs/>
          <w:color w:val="000000" w:themeColor="text1"/>
        </w:rPr>
        <w:t>Man</w:t>
      </w:r>
      <w:r w:rsidR="00783614" w:rsidRPr="004C7A81">
        <w:rPr>
          <w:color w:val="000000" w:themeColor="text1"/>
        </w:rPr>
        <w:t>, Vol. 27, No. 4, (1992) pp.735-755</w:t>
      </w:r>
      <w:r w:rsidR="00783614">
        <w:rPr>
          <w:color w:val="000000" w:themeColor="text1"/>
        </w:rPr>
        <w:t>, p</w:t>
      </w:r>
      <w:r>
        <w:t>.735</w:t>
      </w:r>
      <w:r w:rsidR="00102F6D">
        <w:t>.</w:t>
      </w:r>
    </w:p>
  </w:footnote>
  <w:footnote w:id="14">
    <w:p w14:paraId="4516E73F" w14:textId="4F056FDA" w:rsidR="005B02FE" w:rsidRDefault="005B02FE" w:rsidP="002563B6">
      <w:pPr>
        <w:pStyle w:val="FootnoteText"/>
      </w:pPr>
      <w:r>
        <w:rPr>
          <w:rStyle w:val="FootnoteReference"/>
        </w:rPr>
        <w:footnoteRef/>
      </w:r>
      <w:r>
        <w:t xml:space="preserve"> </w:t>
      </w:r>
      <w:r w:rsidR="006E4185" w:rsidRPr="006E4185">
        <w:rPr>
          <w:color w:val="000000" w:themeColor="text1"/>
        </w:rPr>
        <w:t xml:space="preserve">Bender, </w:t>
      </w:r>
      <w:r w:rsidR="006E4185" w:rsidRPr="006E4185">
        <w:rPr>
          <w:i/>
          <w:iCs/>
          <w:color w:val="000000" w:themeColor="text1"/>
        </w:rPr>
        <w:t>Stonehenge</w:t>
      </w:r>
      <w:r w:rsidR="006E4185">
        <w:rPr>
          <w:i/>
          <w:iCs/>
          <w:color w:val="000000" w:themeColor="text1"/>
        </w:rPr>
        <w:t>,</w:t>
      </w:r>
      <w:r w:rsidR="006E4185">
        <w:t xml:space="preserve"> p</w:t>
      </w:r>
      <w:r>
        <w:t>.9</w:t>
      </w:r>
      <w:r w:rsidR="00102F6D">
        <w:t>.</w:t>
      </w:r>
    </w:p>
  </w:footnote>
  <w:footnote w:id="15">
    <w:p w14:paraId="1AB22EE9" w14:textId="7554BDE2" w:rsidR="005B02FE" w:rsidRDefault="005B02FE" w:rsidP="002563B6">
      <w:pPr>
        <w:pStyle w:val="FootnoteText"/>
      </w:pPr>
      <w:r>
        <w:rPr>
          <w:rStyle w:val="FootnoteReference"/>
        </w:rPr>
        <w:footnoteRef/>
      </w:r>
      <w:r>
        <w:t xml:space="preserve"> </w:t>
      </w:r>
      <w:r w:rsidR="00102F6D" w:rsidRPr="006E4185">
        <w:rPr>
          <w:color w:val="000000" w:themeColor="text1"/>
        </w:rPr>
        <w:t xml:space="preserve">Bender, </w:t>
      </w:r>
      <w:r w:rsidR="00102F6D" w:rsidRPr="006E4185">
        <w:rPr>
          <w:i/>
          <w:iCs/>
          <w:color w:val="000000" w:themeColor="text1"/>
        </w:rPr>
        <w:t>Stonehenge</w:t>
      </w:r>
      <w:r w:rsidR="00102F6D">
        <w:rPr>
          <w:i/>
          <w:iCs/>
          <w:color w:val="000000" w:themeColor="text1"/>
        </w:rPr>
        <w:t>.</w:t>
      </w:r>
    </w:p>
  </w:footnote>
  <w:footnote w:id="16">
    <w:p w14:paraId="19B202B1" w14:textId="511042B0" w:rsidR="00495713" w:rsidRDefault="00495713" w:rsidP="002563B6">
      <w:pPr>
        <w:pStyle w:val="FootnoteText"/>
      </w:pPr>
      <w:r>
        <w:rPr>
          <w:rStyle w:val="FootnoteReference"/>
        </w:rPr>
        <w:footnoteRef/>
      </w:r>
      <w:r>
        <w:t xml:space="preserve"> </w:t>
      </w:r>
      <w:r w:rsidR="006E4185" w:rsidRPr="006E4185">
        <w:rPr>
          <w:color w:val="000000" w:themeColor="text1"/>
        </w:rPr>
        <w:t xml:space="preserve">Bender, </w:t>
      </w:r>
      <w:r w:rsidR="006E4185" w:rsidRPr="006E4185">
        <w:rPr>
          <w:i/>
          <w:iCs/>
          <w:color w:val="000000" w:themeColor="text1"/>
        </w:rPr>
        <w:t>Stonehenge</w:t>
      </w:r>
      <w:r w:rsidR="006E4185">
        <w:rPr>
          <w:i/>
          <w:iCs/>
          <w:color w:val="000000" w:themeColor="text1"/>
        </w:rPr>
        <w:t>.</w:t>
      </w:r>
    </w:p>
  </w:footnote>
  <w:footnote w:id="17">
    <w:p w14:paraId="622969DC" w14:textId="6CC85786" w:rsidR="005B02FE" w:rsidRPr="00102F6D" w:rsidRDefault="005B02FE"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783614" w:rsidRPr="00102F6D">
        <w:rPr>
          <w:color w:val="000000" w:themeColor="text1"/>
          <w:sz w:val="20"/>
          <w:szCs w:val="20"/>
        </w:rPr>
        <w:t xml:space="preserve">Barbara Bender, ‘Landscape and Politics.’ In Victor Buchli (Ed.) </w:t>
      </w:r>
      <w:r w:rsidR="00783614" w:rsidRPr="00102F6D">
        <w:rPr>
          <w:i/>
          <w:iCs/>
          <w:color w:val="000000" w:themeColor="text1"/>
          <w:sz w:val="20"/>
          <w:szCs w:val="20"/>
        </w:rPr>
        <w:t xml:space="preserve">The Material Culture Reader, </w:t>
      </w:r>
      <w:r w:rsidR="00783614" w:rsidRPr="00102F6D">
        <w:rPr>
          <w:color w:val="000000" w:themeColor="text1"/>
          <w:sz w:val="20"/>
          <w:szCs w:val="20"/>
        </w:rPr>
        <w:t>(Abingdon: Routledge, 2002), pp.135-139</w:t>
      </w:r>
      <w:r w:rsidRPr="00102F6D">
        <w:rPr>
          <w:color w:val="000000" w:themeColor="text1"/>
          <w:sz w:val="20"/>
          <w:szCs w:val="20"/>
        </w:rPr>
        <w:t xml:space="preserve">, </w:t>
      </w:r>
      <w:r w:rsidR="00783614" w:rsidRPr="00102F6D">
        <w:rPr>
          <w:color w:val="000000" w:themeColor="text1"/>
          <w:sz w:val="20"/>
          <w:szCs w:val="20"/>
        </w:rPr>
        <w:t>p</w:t>
      </w:r>
      <w:r w:rsidRPr="00102F6D">
        <w:rPr>
          <w:color w:val="000000" w:themeColor="text1"/>
          <w:sz w:val="20"/>
          <w:szCs w:val="20"/>
        </w:rPr>
        <w:t>.138</w:t>
      </w:r>
      <w:r w:rsidR="00783614" w:rsidRPr="00102F6D">
        <w:rPr>
          <w:color w:val="000000" w:themeColor="text1"/>
          <w:sz w:val="20"/>
          <w:szCs w:val="20"/>
        </w:rPr>
        <w:t>.</w:t>
      </w:r>
    </w:p>
  </w:footnote>
  <w:footnote w:id="18">
    <w:p w14:paraId="2118FCD9" w14:textId="69403454" w:rsidR="00AE08D1" w:rsidRPr="00102F6D" w:rsidRDefault="00AE08D1" w:rsidP="002563B6">
      <w:pPr>
        <w:pStyle w:val="FootnoteText"/>
      </w:pPr>
      <w:r w:rsidRPr="00102F6D">
        <w:rPr>
          <w:rStyle w:val="FootnoteReference"/>
        </w:rPr>
        <w:footnoteRef/>
      </w:r>
      <w:r w:rsidRPr="00102F6D">
        <w:t xml:space="preserve"> </w:t>
      </w:r>
      <w:r w:rsidR="00102F6D" w:rsidRPr="00102F6D">
        <w:rPr>
          <w:color w:val="000000" w:themeColor="text1"/>
        </w:rPr>
        <w:t>Tilley, </w:t>
      </w:r>
      <w:r w:rsidR="00102F6D" w:rsidRPr="00102F6D">
        <w:rPr>
          <w:i/>
          <w:iCs/>
          <w:color w:val="000000" w:themeColor="text1"/>
        </w:rPr>
        <w:t>A Phenomenology of Landscape</w:t>
      </w:r>
    </w:p>
  </w:footnote>
  <w:footnote w:id="19">
    <w:p w14:paraId="019083D1" w14:textId="68A47599" w:rsidR="005B02FE" w:rsidRPr="00102F6D" w:rsidRDefault="005B02FE"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r w:rsidR="0030410D">
        <w:t>, p.14</w:t>
      </w:r>
      <w:r w:rsidR="00D04320">
        <w:t>.</w:t>
      </w:r>
    </w:p>
  </w:footnote>
  <w:footnote w:id="20">
    <w:p w14:paraId="6930C832" w14:textId="4A32654F" w:rsidR="00AE08D1" w:rsidRPr="00102F6D" w:rsidRDefault="00AE08D1" w:rsidP="002563B6">
      <w:pPr>
        <w:pStyle w:val="FootnoteText"/>
      </w:pPr>
      <w:r w:rsidRPr="00102F6D">
        <w:rPr>
          <w:rStyle w:val="FootnoteReference"/>
        </w:rPr>
        <w:footnoteRef/>
      </w:r>
      <w:r w:rsidRPr="00102F6D">
        <w:t xml:space="preserve"> </w:t>
      </w:r>
      <w:r w:rsidR="00102F6D" w:rsidRPr="00102F6D">
        <w:rPr>
          <w:color w:val="000000" w:themeColor="text1"/>
        </w:rPr>
        <w:t>Tilley, </w:t>
      </w:r>
      <w:r w:rsidR="00102F6D" w:rsidRPr="00102F6D">
        <w:rPr>
          <w:i/>
          <w:iCs/>
          <w:color w:val="000000" w:themeColor="text1"/>
        </w:rPr>
        <w:t>A Phenomenology of Landscape</w:t>
      </w:r>
      <w:r w:rsidR="00102F6D">
        <w:rPr>
          <w:i/>
          <w:iCs/>
          <w:color w:val="000000" w:themeColor="text1"/>
        </w:rPr>
        <w:t xml:space="preserve">; </w:t>
      </w:r>
      <w:r w:rsidR="00102F6D" w:rsidRPr="00102F6D">
        <w:rPr>
          <w:color w:val="000000" w:themeColor="text1"/>
        </w:rPr>
        <w:t xml:space="preserve">Christopher Tilley, ‘Phenomenological Approaches to Landscape Archaeology’ in Bruno David and Julian Thomas (Eds). </w:t>
      </w:r>
      <w:r w:rsidR="00102F6D" w:rsidRPr="00102F6D">
        <w:rPr>
          <w:i/>
          <w:iCs/>
          <w:color w:val="000000" w:themeColor="text1"/>
        </w:rPr>
        <w:t xml:space="preserve">Handbook of Landscape Archaeology. </w:t>
      </w:r>
      <w:r w:rsidR="00102F6D" w:rsidRPr="00102F6D">
        <w:rPr>
          <w:color w:val="000000" w:themeColor="text1"/>
        </w:rPr>
        <w:t>(Abingdon: Routledge, 2008)</w:t>
      </w:r>
      <w:r w:rsidR="00102F6D">
        <w:rPr>
          <w:color w:val="000000" w:themeColor="text1"/>
        </w:rPr>
        <w:t>.</w:t>
      </w:r>
    </w:p>
  </w:footnote>
  <w:footnote w:id="21">
    <w:p w14:paraId="597B8039" w14:textId="2DE5A35A" w:rsidR="00D64607" w:rsidRPr="00102F6D" w:rsidRDefault="00D64607"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p>
  </w:footnote>
  <w:footnote w:id="22">
    <w:p w14:paraId="0D6C50F5" w14:textId="063A407C" w:rsidR="00D64607" w:rsidRPr="00102F6D" w:rsidRDefault="00D64607" w:rsidP="002563B6">
      <w:pPr>
        <w:pStyle w:val="FootnoteText"/>
      </w:pPr>
      <w:r w:rsidRPr="00102F6D">
        <w:rPr>
          <w:rStyle w:val="FootnoteReference"/>
        </w:rPr>
        <w:footnoteRef/>
      </w:r>
      <w:r w:rsidRPr="00102F6D">
        <w:t xml:space="preserve"> </w:t>
      </w:r>
      <w:r w:rsidR="00102F6D" w:rsidRPr="00102F6D">
        <w:t>Bender,</w:t>
      </w:r>
      <w:r w:rsidR="00102F6D">
        <w:t xml:space="preserve"> </w:t>
      </w:r>
      <w:r w:rsidR="00102F6D" w:rsidRPr="00102F6D">
        <w:rPr>
          <w:i/>
          <w:iCs/>
        </w:rPr>
        <w:t>Stonehenge</w:t>
      </w:r>
      <w:r w:rsidR="00102F6D">
        <w:t>; Bender,</w:t>
      </w:r>
      <w:r w:rsidR="00102F6D" w:rsidRPr="00102F6D">
        <w:t xml:space="preserve"> ‘Landscape and Politics’</w:t>
      </w:r>
      <w:r w:rsidR="00102F6D">
        <w:t>.</w:t>
      </w:r>
    </w:p>
  </w:footnote>
  <w:footnote w:id="23">
    <w:p w14:paraId="07F0B46A" w14:textId="2BFA6EAE" w:rsidR="00E102B2" w:rsidRPr="00102F6D" w:rsidRDefault="00E102B2" w:rsidP="002563B6">
      <w:pPr>
        <w:pStyle w:val="FootnoteText"/>
      </w:pPr>
      <w:r w:rsidRPr="00102F6D">
        <w:rPr>
          <w:rStyle w:val="FootnoteReference"/>
        </w:rPr>
        <w:footnoteRef/>
      </w:r>
      <w:r w:rsidRPr="00102F6D">
        <w:t xml:space="preserve"> </w:t>
      </w:r>
      <w:r w:rsidR="00783614" w:rsidRPr="00102F6D">
        <w:t>Bender, ‘</w:t>
      </w:r>
      <w:r w:rsidRPr="00102F6D">
        <w:t xml:space="preserve">Landscape and </w:t>
      </w:r>
      <w:r w:rsidR="00783614" w:rsidRPr="00102F6D">
        <w:t>P</w:t>
      </w:r>
      <w:r w:rsidRPr="00102F6D">
        <w:t>olitics</w:t>
      </w:r>
      <w:r w:rsidR="00783614" w:rsidRPr="00102F6D">
        <w:t>’</w:t>
      </w:r>
      <w:r w:rsidRPr="00102F6D">
        <w:t xml:space="preserve">, </w:t>
      </w:r>
      <w:r w:rsidR="00783614" w:rsidRPr="00102F6D">
        <w:t>p</w:t>
      </w:r>
      <w:r w:rsidRPr="00102F6D">
        <w:t>.136</w:t>
      </w:r>
    </w:p>
  </w:footnote>
  <w:footnote w:id="24">
    <w:p w14:paraId="4A47C649" w14:textId="79694CC3" w:rsidR="0025629B" w:rsidRPr="00102F6D" w:rsidRDefault="0025629B"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r w:rsidRPr="00102F6D">
        <w:t xml:space="preserve">, </w:t>
      </w:r>
      <w:r w:rsidR="00F9582B">
        <w:t>p</w:t>
      </w:r>
      <w:r w:rsidRPr="00102F6D">
        <w:t>.15</w:t>
      </w:r>
    </w:p>
  </w:footnote>
  <w:footnote w:id="25">
    <w:p w14:paraId="65DAE241" w14:textId="1B1C8C7B" w:rsidR="00F9582B" w:rsidRPr="00F9582B" w:rsidRDefault="00F9582B">
      <w:pPr>
        <w:pStyle w:val="FootnoteText"/>
        <w:rPr>
          <w:i/>
          <w:iCs/>
        </w:rPr>
      </w:pPr>
      <w:r>
        <w:rPr>
          <w:rStyle w:val="FootnoteReference"/>
        </w:rPr>
        <w:footnoteRef/>
      </w:r>
      <w:r>
        <w:t xml:space="preserve"> Bender, </w:t>
      </w:r>
      <w:r>
        <w:rPr>
          <w:i/>
          <w:iCs/>
        </w:rPr>
        <w:t>Stonehenge.</w:t>
      </w:r>
    </w:p>
  </w:footnote>
  <w:footnote w:id="26">
    <w:p w14:paraId="02EAB333" w14:textId="36CEF15A" w:rsidR="00F9582B" w:rsidRDefault="00F9582B">
      <w:pPr>
        <w:pStyle w:val="FootnoteText"/>
      </w:pPr>
      <w:r>
        <w:rPr>
          <w:rStyle w:val="FootnoteReference"/>
        </w:rPr>
        <w:footnoteRef/>
      </w:r>
      <w:r>
        <w:t xml:space="preserve"> </w:t>
      </w:r>
      <w:r w:rsidRPr="00102F6D">
        <w:rPr>
          <w:color w:val="000000" w:themeColor="text1"/>
        </w:rPr>
        <w:t>Tilley, </w:t>
      </w:r>
      <w:r w:rsidRPr="00102F6D">
        <w:rPr>
          <w:i/>
          <w:iCs/>
          <w:color w:val="000000" w:themeColor="text1"/>
        </w:rPr>
        <w:t>A Phenomenology of Landscape</w:t>
      </w:r>
      <w:r>
        <w:t>.</w:t>
      </w:r>
    </w:p>
  </w:footnote>
  <w:footnote w:id="27">
    <w:p w14:paraId="7D143FD3" w14:textId="77777777" w:rsidR="0090431D" w:rsidRPr="00F9582B" w:rsidRDefault="0090431D" w:rsidP="0090431D">
      <w:pPr>
        <w:pStyle w:val="FootnoteText"/>
        <w:rPr>
          <w:i/>
          <w:iCs/>
        </w:rPr>
      </w:pPr>
      <w:r>
        <w:rPr>
          <w:rStyle w:val="FootnoteReference"/>
        </w:rPr>
        <w:footnoteRef/>
      </w:r>
      <w:r>
        <w:t xml:space="preserve"> Bender, </w:t>
      </w:r>
      <w:r>
        <w:rPr>
          <w:i/>
          <w:iCs/>
        </w:rPr>
        <w:t>Stonehenge.</w:t>
      </w:r>
    </w:p>
  </w:footnote>
  <w:footnote w:id="28">
    <w:p w14:paraId="520453AD" w14:textId="77777777" w:rsidR="0090431D" w:rsidRDefault="0090431D" w:rsidP="0090431D">
      <w:pPr>
        <w:pStyle w:val="FootnoteText"/>
      </w:pPr>
      <w:r>
        <w:rPr>
          <w:rStyle w:val="FootnoteReference"/>
        </w:rPr>
        <w:footnoteRef/>
      </w:r>
      <w:r>
        <w:t xml:space="preserve"> </w:t>
      </w:r>
      <w:r w:rsidRPr="00102F6D">
        <w:rPr>
          <w:color w:val="000000" w:themeColor="text1"/>
        </w:rPr>
        <w:t>Tilley, </w:t>
      </w:r>
      <w:r w:rsidRPr="00102F6D">
        <w:rPr>
          <w:i/>
          <w:iCs/>
          <w:color w:val="000000" w:themeColor="text1"/>
        </w:rPr>
        <w:t>A Phenomenology of Landscape</w:t>
      </w:r>
      <w:r>
        <w:t>.</w:t>
      </w:r>
    </w:p>
  </w:footnote>
  <w:footnote w:id="29">
    <w:p w14:paraId="3529E954" w14:textId="6C4D588C" w:rsidR="00233B40" w:rsidRPr="00102F6D" w:rsidRDefault="00233B40"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783614" w:rsidRPr="00102F6D">
        <w:rPr>
          <w:color w:val="000000" w:themeColor="text1"/>
          <w:sz w:val="20"/>
          <w:szCs w:val="20"/>
        </w:rPr>
        <w:t>Christopher Tilley, ‘Phenomenological Approaches to Landscape Archaeology’</w:t>
      </w:r>
      <w:r w:rsidR="00102F6D">
        <w:rPr>
          <w:color w:val="000000" w:themeColor="text1"/>
          <w:sz w:val="20"/>
          <w:szCs w:val="20"/>
        </w:rPr>
        <w:t xml:space="preserve">, </w:t>
      </w:r>
      <w:r w:rsidR="00783614" w:rsidRPr="00102F6D">
        <w:rPr>
          <w:sz w:val="20"/>
          <w:szCs w:val="20"/>
        </w:rPr>
        <w:t>p</w:t>
      </w:r>
      <w:r w:rsidRPr="00102F6D">
        <w:rPr>
          <w:sz w:val="20"/>
          <w:szCs w:val="20"/>
        </w:rPr>
        <w:t>.271.</w:t>
      </w:r>
    </w:p>
  </w:footnote>
  <w:footnote w:id="30">
    <w:p w14:paraId="33BBD7C4" w14:textId="77777777" w:rsidR="0090431D" w:rsidRDefault="0090431D" w:rsidP="0090431D">
      <w:pPr>
        <w:pStyle w:val="FootnoteText"/>
      </w:pPr>
      <w:r>
        <w:rPr>
          <w:rStyle w:val="FootnoteReference"/>
        </w:rPr>
        <w:footnoteRef/>
      </w:r>
      <w:r>
        <w:t xml:space="preserve"> </w:t>
      </w:r>
      <w:r w:rsidRPr="00102F6D">
        <w:rPr>
          <w:color w:val="000000" w:themeColor="text1"/>
        </w:rPr>
        <w:t>Tilley, </w:t>
      </w:r>
      <w:r w:rsidRPr="00102F6D">
        <w:rPr>
          <w:i/>
          <w:iCs/>
          <w:color w:val="000000" w:themeColor="text1"/>
        </w:rPr>
        <w:t>A Phenomenology of Landscape</w:t>
      </w:r>
      <w:r>
        <w:t>.</w:t>
      </w:r>
    </w:p>
  </w:footnote>
  <w:footnote w:id="31">
    <w:p w14:paraId="71A7CBF6" w14:textId="7B036550" w:rsidR="0090431D" w:rsidRPr="0090431D" w:rsidRDefault="0090431D">
      <w:pPr>
        <w:pStyle w:val="FootnoteText"/>
        <w:rPr>
          <w:i/>
          <w:iCs/>
        </w:rPr>
      </w:pPr>
      <w:r>
        <w:rPr>
          <w:rStyle w:val="FootnoteReference"/>
        </w:rPr>
        <w:footnoteRef/>
      </w:r>
      <w:r>
        <w:t xml:space="preserve"> Bender, </w:t>
      </w:r>
      <w:r>
        <w:rPr>
          <w:i/>
          <w:iCs/>
        </w:rPr>
        <w:t>Stonehenge.</w:t>
      </w:r>
    </w:p>
  </w:footnote>
  <w:footnote w:id="32">
    <w:p w14:paraId="2ADFB69E" w14:textId="40992834" w:rsidR="00783614" w:rsidRPr="00102F6D" w:rsidRDefault="0025629B" w:rsidP="002563B6">
      <w:pPr>
        <w:pStyle w:val="FootnoteText"/>
        <w:rPr>
          <w:color w:val="000000" w:themeColor="text1"/>
        </w:rPr>
      </w:pPr>
      <w:r w:rsidRPr="00783614">
        <w:rPr>
          <w:rStyle w:val="FootnoteReference"/>
        </w:rPr>
        <w:footnoteRef/>
      </w:r>
      <w:r w:rsidRPr="00783614">
        <w:t xml:space="preserve"> </w:t>
      </w:r>
      <w:r w:rsidR="00783614" w:rsidRPr="00102F6D">
        <w:rPr>
          <w:color w:val="000000" w:themeColor="text1"/>
        </w:rPr>
        <w:t>Barbara Bender, ‘Time and Landscape,’ </w:t>
      </w:r>
      <w:r w:rsidR="00783614" w:rsidRPr="00102F6D">
        <w:rPr>
          <w:i/>
          <w:iCs/>
          <w:color w:val="000000" w:themeColor="text1"/>
        </w:rPr>
        <w:t>Current Anthropology</w:t>
      </w:r>
      <w:r w:rsidR="00783614" w:rsidRPr="00102F6D">
        <w:rPr>
          <w:color w:val="000000" w:themeColor="text1"/>
        </w:rPr>
        <w:t>, vol. 43, no. S4 (2002) pp.S103–12. </w:t>
      </w:r>
    </w:p>
    <w:p w14:paraId="4D4B1144" w14:textId="636D9341" w:rsidR="0025629B" w:rsidRPr="00102F6D" w:rsidRDefault="0025629B" w:rsidP="002563B6">
      <w:pPr>
        <w:pStyle w:val="FootnoteText"/>
      </w:pPr>
      <w:r w:rsidRPr="00102F6D">
        <w:t xml:space="preserve"> P.104</w:t>
      </w:r>
    </w:p>
  </w:footnote>
  <w:footnote w:id="33">
    <w:p w14:paraId="5B489782" w14:textId="5097E233" w:rsidR="009E76FD" w:rsidRDefault="009E76FD">
      <w:pPr>
        <w:pStyle w:val="FootnoteText"/>
      </w:pPr>
      <w:r>
        <w:rPr>
          <w:rStyle w:val="FootnoteReference"/>
        </w:rPr>
        <w:footnoteRef/>
      </w:r>
      <w:r>
        <w:t xml:space="preserve"> Bender, </w:t>
      </w:r>
      <w:r>
        <w:rPr>
          <w:i/>
          <w:iCs/>
        </w:rPr>
        <w:t>Stonehenge.</w:t>
      </w:r>
    </w:p>
  </w:footnote>
  <w:footnote w:id="34">
    <w:p w14:paraId="4CC14048" w14:textId="5B51D64B" w:rsidR="00AB40C7" w:rsidRPr="00102F6D" w:rsidRDefault="00AB40C7" w:rsidP="002563B6">
      <w:pPr>
        <w:pStyle w:val="FootnoteText"/>
      </w:pPr>
      <w:r w:rsidRPr="00102F6D">
        <w:rPr>
          <w:rStyle w:val="FootnoteReference"/>
        </w:rPr>
        <w:footnoteRef/>
      </w:r>
      <w:r w:rsidRPr="00102F6D">
        <w:t xml:space="preserve"> </w:t>
      </w:r>
      <w:r w:rsidR="00783614" w:rsidRPr="00102F6D">
        <w:rPr>
          <w:color w:val="000000" w:themeColor="text1"/>
        </w:rPr>
        <w:t>Tilley, ‘Phenomenological Approaches to Landscape Archaeology’, p</w:t>
      </w:r>
      <w:r w:rsidRPr="00102F6D">
        <w:t>.271.</w:t>
      </w:r>
    </w:p>
  </w:footnote>
  <w:footnote w:id="35">
    <w:p w14:paraId="286BACCC" w14:textId="36580B6C" w:rsidR="004726DE" w:rsidRPr="00102F6D" w:rsidRDefault="004726DE"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r w:rsidRPr="00102F6D">
        <w:t xml:space="preserve"> </w:t>
      </w:r>
      <w:r w:rsidR="006E4185" w:rsidRPr="00102F6D">
        <w:t>p</w:t>
      </w:r>
      <w:r w:rsidRPr="00102F6D">
        <w:t>.26</w:t>
      </w:r>
    </w:p>
  </w:footnote>
  <w:footnote w:id="36">
    <w:p w14:paraId="45D0D511" w14:textId="4EDCF35A" w:rsidR="004726DE" w:rsidRPr="00102F6D" w:rsidRDefault="004726DE"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 xml:space="preserve">A Phenomenology of Landscape, </w:t>
      </w:r>
      <w:r w:rsidR="006E4185" w:rsidRPr="00102F6D">
        <w:rPr>
          <w:color w:val="000000" w:themeColor="text1"/>
        </w:rPr>
        <w:t>p</w:t>
      </w:r>
      <w:r w:rsidRPr="00102F6D">
        <w:t>.33</w:t>
      </w:r>
    </w:p>
  </w:footnote>
  <w:footnote w:id="37">
    <w:p w14:paraId="778AC789" w14:textId="17EDE2CC" w:rsidR="004726DE" w:rsidRPr="00102F6D" w:rsidRDefault="004726DE" w:rsidP="00102F6D">
      <w:pPr>
        <w:pStyle w:val="Default"/>
        <w:rPr>
          <w:rFonts w:asciiTheme="minorHAnsi" w:hAnsiTheme="minorHAnsi"/>
          <w:color w:val="000000" w:themeColor="text1"/>
          <w:sz w:val="20"/>
          <w:szCs w:val="20"/>
        </w:rPr>
      </w:pPr>
      <w:r w:rsidRPr="00102F6D">
        <w:rPr>
          <w:rStyle w:val="FootnoteReference"/>
          <w:rFonts w:asciiTheme="minorHAnsi" w:hAnsiTheme="minorHAnsi"/>
          <w:sz w:val="20"/>
          <w:szCs w:val="20"/>
        </w:rPr>
        <w:footnoteRef/>
      </w:r>
      <w:r w:rsidRPr="00102F6D">
        <w:rPr>
          <w:rFonts w:asciiTheme="minorHAnsi" w:hAnsiTheme="minorHAnsi"/>
          <w:sz w:val="20"/>
          <w:szCs w:val="20"/>
        </w:rPr>
        <w:t xml:space="preserve"> </w:t>
      </w:r>
      <w:r w:rsidR="00783614" w:rsidRPr="00102F6D">
        <w:rPr>
          <w:rFonts w:asciiTheme="minorHAnsi" w:hAnsiTheme="minorHAnsi"/>
          <w:color w:val="000000" w:themeColor="text1"/>
          <w:sz w:val="20"/>
          <w:szCs w:val="20"/>
        </w:rPr>
        <w:t xml:space="preserve">Belden C. Lane, </w:t>
      </w:r>
      <w:r w:rsidR="00783614" w:rsidRPr="00102F6D">
        <w:rPr>
          <w:rFonts w:asciiTheme="minorHAnsi" w:hAnsiTheme="minorHAnsi"/>
          <w:i/>
          <w:iCs/>
          <w:color w:val="000000" w:themeColor="text1"/>
          <w:sz w:val="20"/>
          <w:szCs w:val="20"/>
        </w:rPr>
        <w:t>Landscapes of the Sacred: Geography and Narrative in American Spirituality</w:t>
      </w:r>
      <w:r w:rsidR="00783614" w:rsidRPr="00102F6D">
        <w:rPr>
          <w:rFonts w:asciiTheme="minorHAnsi" w:hAnsiTheme="minorHAnsi"/>
          <w:color w:val="000000" w:themeColor="text1"/>
          <w:sz w:val="20"/>
          <w:szCs w:val="20"/>
        </w:rPr>
        <w:t>. Expanded edn (Baltimore, Maryland: Johns Hopkins University Press, 2001)</w:t>
      </w:r>
      <w:r w:rsidR="00327FFC">
        <w:rPr>
          <w:rFonts w:asciiTheme="minorHAnsi" w:hAnsiTheme="minorHAnsi"/>
          <w:color w:val="000000" w:themeColor="text1"/>
          <w:sz w:val="20"/>
          <w:szCs w:val="20"/>
        </w:rPr>
        <w:t>, p</w:t>
      </w:r>
      <w:r w:rsidR="00327FFC" w:rsidRPr="00327FFC">
        <w:rPr>
          <w:rFonts w:asciiTheme="minorHAnsi" w:hAnsiTheme="minorHAnsi"/>
          <w:color w:val="000000" w:themeColor="text1"/>
          <w:sz w:val="20"/>
          <w:szCs w:val="20"/>
        </w:rPr>
        <w:t>.15</w:t>
      </w:r>
      <w:r w:rsidR="00783614" w:rsidRPr="00102F6D">
        <w:rPr>
          <w:rFonts w:asciiTheme="minorHAnsi" w:hAnsiTheme="minorHAnsi"/>
          <w:color w:val="000000" w:themeColor="text1"/>
          <w:sz w:val="20"/>
          <w:szCs w:val="20"/>
        </w:rPr>
        <w:t xml:space="preserve">. </w:t>
      </w:r>
    </w:p>
  </w:footnote>
  <w:footnote w:id="38">
    <w:p w14:paraId="0304E3B4" w14:textId="6DF361B9" w:rsidR="009E76FD" w:rsidRPr="009E76FD" w:rsidRDefault="009E76FD">
      <w:pPr>
        <w:pStyle w:val="FootnoteText"/>
        <w:rPr>
          <w:i/>
          <w:iCs/>
        </w:rPr>
      </w:pPr>
      <w:r>
        <w:rPr>
          <w:rStyle w:val="FootnoteReference"/>
        </w:rPr>
        <w:footnoteRef/>
      </w:r>
      <w:r>
        <w:t xml:space="preserve"> Tilley, </w:t>
      </w:r>
      <w:r>
        <w:rPr>
          <w:i/>
          <w:iCs/>
        </w:rPr>
        <w:t>A Phenomenology of Landscape.</w:t>
      </w:r>
    </w:p>
  </w:footnote>
  <w:footnote w:id="39">
    <w:p w14:paraId="4B7FAC51" w14:textId="24AA79CC" w:rsidR="00D93F62" w:rsidRPr="00102F6D" w:rsidRDefault="00D93F62"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DF3D7C" w:rsidRPr="00102F6D">
        <w:rPr>
          <w:color w:val="000000" w:themeColor="text1"/>
          <w:sz w:val="20"/>
          <w:szCs w:val="20"/>
        </w:rPr>
        <w:t>Joanna Brück, ‘Experiencing the past? The development of a phenomenological archaeology in British prehistory’. </w:t>
      </w:r>
      <w:r w:rsidR="00DF3D7C" w:rsidRPr="00102F6D">
        <w:rPr>
          <w:i/>
          <w:iCs/>
          <w:color w:val="000000" w:themeColor="text1"/>
          <w:sz w:val="20"/>
          <w:szCs w:val="20"/>
        </w:rPr>
        <w:t>Archaeological Dialogues</w:t>
      </w:r>
      <w:r w:rsidR="00DF3D7C" w:rsidRPr="00102F6D">
        <w:rPr>
          <w:color w:val="000000" w:themeColor="text1"/>
          <w:sz w:val="20"/>
          <w:szCs w:val="20"/>
        </w:rPr>
        <w:t>, 12.1, (2005), pp.45-72</w:t>
      </w:r>
      <w:r w:rsidRPr="00102F6D">
        <w:rPr>
          <w:sz w:val="20"/>
          <w:szCs w:val="20"/>
        </w:rPr>
        <w:t xml:space="preserve">, </w:t>
      </w:r>
      <w:r w:rsidR="00DF3D7C" w:rsidRPr="00102F6D">
        <w:rPr>
          <w:sz w:val="20"/>
          <w:szCs w:val="20"/>
        </w:rPr>
        <w:t>p</w:t>
      </w:r>
      <w:r w:rsidRPr="00102F6D">
        <w:rPr>
          <w:sz w:val="20"/>
          <w:szCs w:val="20"/>
        </w:rPr>
        <w:t>.45</w:t>
      </w:r>
    </w:p>
  </w:footnote>
  <w:footnote w:id="40">
    <w:p w14:paraId="713703A2" w14:textId="6FF865DE" w:rsidR="00FB22E4" w:rsidRPr="00102F6D" w:rsidRDefault="00FB22E4" w:rsidP="002563B6">
      <w:pPr>
        <w:pStyle w:val="FootnoteText"/>
        <w:rPr>
          <w:color w:val="000000" w:themeColor="text1"/>
        </w:rPr>
      </w:pPr>
      <w:r w:rsidRPr="00102F6D">
        <w:rPr>
          <w:rStyle w:val="FootnoteReference"/>
        </w:rPr>
        <w:footnoteRef/>
      </w:r>
      <w:r w:rsidRPr="00102F6D">
        <w:t xml:space="preserve"> Moyes</w:t>
      </w:r>
      <w:r w:rsidR="00D43046" w:rsidRPr="00102F6D">
        <w:t>,</w:t>
      </w:r>
      <w:r w:rsidRPr="00102F6D">
        <w:t xml:space="preserve"> </w:t>
      </w:r>
      <w:r w:rsidR="00D43046" w:rsidRPr="00102F6D">
        <w:t>‘</w:t>
      </w:r>
      <w:r w:rsidRPr="00102F6D">
        <w:t>The Life and Afterlife of Phenomenology</w:t>
      </w:r>
      <w:r w:rsidR="00D43046" w:rsidRPr="00102F6D">
        <w:t>’</w:t>
      </w:r>
      <w:r w:rsidRPr="00102F6D">
        <w:t xml:space="preserve">, </w:t>
      </w:r>
      <w:r w:rsidR="00D43046" w:rsidRPr="00102F6D">
        <w:t>p</w:t>
      </w:r>
      <w:r w:rsidRPr="00102F6D">
        <w:t>.309</w:t>
      </w:r>
    </w:p>
  </w:footnote>
  <w:footnote w:id="41">
    <w:p w14:paraId="422C4B76" w14:textId="57C8F94F" w:rsidR="00165C77" w:rsidRPr="00102F6D" w:rsidRDefault="00165C77" w:rsidP="002563B6">
      <w:pPr>
        <w:pStyle w:val="FootnoteText"/>
      </w:pPr>
      <w:r w:rsidRPr="00102F6D">
        <w:rPr>
          <w:rStyle w:val="FootnoteReference"/>
        </w:rPr>
        <w:footnoteRef/>
      </w:r>
      <w:r w:rsidRPr="00102F6D">
        <w:t xml:space="preserve"> </w:t>
      </w:r>
      <w:r w:rsidR="00551C60" w:rsidRPr="00102F6D">
        <w:t xml:space="preserve">John, C </w:t>
      </w:r>
      <w:r w:rsidRPr="00102F6D">
        <w:t xml:space="preserve">Barrett. &amp; Ko, I. </w:t>
      </w:r>
      <w:r w:rsidR="00551C60" w:rsidRPr="00102F6D">
        <w:t>‘</w:t>
      </w:r>
      <w:r w:rsidRPr="00102F6D">
        <w:t>A phenomenology of landscape: A crisis in British landscape archaeology?</w:t>
      </w:r>
      <w:r w:rsidR="00551C60" w:rsidRPr="00102F6D">
        <w:t>’</w:t>
      </w:r>
      <w:r w:rsidRPr="00102F6D">
        <w:t xml:space="preserve"> </w:t>
      </w:r>
      <w:r w:rsidRPr="00102F6D">
        <w:rPr>
          <w:i/>
          <w:iCs/>
        </w:rPr>
        <w:t xml:space="preserve">Journal of Social Archaeology, </w:t>
      </w:r>
      <w:r w:rsidRPr="00102F6D">
        <w:t>9</w:t>
      </w:r>
      <w:r w:rsidR="00551C60" w:rsidRPr="00102F6D">
        <w:t>.</w:t>
      </w:r>
      <w:r w:rsidRPr="00102F6D">
        <w:t>3</w:t>
      </w:r>
      <w:r w:rsidR="00551C60" w:rsidRPr="00102F6D">
        <w:t xml:space="preserve"> (2009</w:t>
      </w:r>
      <w:r w:rsidRPr="00102F6D">
        <w:t>),</w:t>
      </w:r>
      <w:r w:rsidR="00551C60" w:rsidRPr="00102F6D">
        <w:t>pp.</w:t>
      </w:r>
      <w:r w:rsidRPr="00102F6D">
        <w:t xml:space="preserve"> 275–294. Cites in Moyes</w:t>
      </w:r>
      <w:r w:rsidR="00551C60" w:rsidRPr="00102F6D">
        <w:t xml:space="preserve"> ‘The Life and Afterlife of Phenomenology’</w:t>
      </w:r>
      <w:r w:rsidRPr="00102F6D">
        <w:t>.</w:t>
      </w:r>
    </w:p>
  </w:footnote>
  <w:footnote w:id="42">
    <w:p w14:paraId="110186AC" w14:textId="568BF07D" w:rsidR="00FB22E4" w:rsidRPr="00102F6D" w:rsidRDefault="00FB22E4"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DF3D7C" w:rsidRPr="00102F6D">
        <w:rPr>
          <w:color w:val="000000" w:themeColor="text1"/>
          <w:sz w:val="20"/>
          <w:szCs w:val="20"/>
        </w:rPr>
        <w:t xml:space="preserve">Kim Knibbe &amp; Els Van Houtert, ‘Religious Experience and Phenomenology’, in Hilary Callan (Ed), </w:t>
      </w:r>
      <w:r w:rsidR="00DF3D7C" w:rsidRPr="00102F6D">
        <w:rPr>
          <w:i/>
          <w:iCs/>
          <w:color w:val="000000" w:themeColor="text1"/>
          <w:sz w:val="20"/>
          <w:szCs w:val="20"/>
        </w:rPr>
        <w:t>The International Encyclopedia of Anthropology</w:t>
      </w:r>
      <w:r w:rsidR="00DF3D7C" w:rsidRPr="00102F6D">
        <w:rPr>
          <w:color w:val="000000" w:themeColor="text1"/>
          <w:sz w:val="20"/>
          <w:szCs w:val="20"/>
        </w:rPr>
        <w:t xml:space="preserve"> (2018). DOI: 10.1002/9781118924396.wbiea1929</w:t>
      </w:r>
      <w:r w:rsidRPr="00102F6D">
        <w:rPr>
          <w:sz w:val="20"/>
          <w:szCs w:val="20"/>
        </w:rPr>
        <w:t xml:space="preserve">, </w:t>
      </w:r>
      <w:r w:rsidR="00DF3D7C" w:rsidRPr="00102F6D">
        <w:rPr>
          <w:sz w:val="20"/>
          <w:szCs w:val="20"/>
        </w:rPr>
        <w:t>p</w:t>
      </w:r>
      <w:r w:rsidRPr="00102F6D">
        <w:rPr>
          <w:sz w:val="20"/>
          <w:szCs w:val="20"/>
        </w:rPr>
        <w:t>.8</w:t>
      </w:r>
    </w:p>
  </w:footnote>
  <w:footnote w:id="43">
    <w:p w14:paraId="2507A97A" w14:textId="33023799" w:rsidR="0046372E" w:rsidRPr="00102F6D" w:rsidRDefault="0046372E" w:rsidP="002563B6">
      <w:pPr>
        <w:pStyle w:val="FootnoteText"/>
      </w:pPr>
      <w:r w:rsidRPr="00102F6D">
        <w:rPr>
          <w:rStyle w:val="FootnoteReference"/>
        </w:rPr>
        <w:footnoteRef/>
      </w:r>
      <w:r w:rsidRPr="00102F6D">
        <w:t xml:space="preserve"> </w:t>
      </w:r>
      <w:r w:rsidR="006E4185" w:rsidRPr="00102F6D">
        <w:rPr>
          <w:color w:val="000000" w:themeColor="text1"/>
        </w:rPr>
        <w:t>Tilley, </w:t>
      </w:r>
      <w:r w:rsidR="006E4185" w:rsidRPr="00102F6D">
        <w:rPr>
          <w:i/>
          <w:iCs/>
          <w:color w:val="000000" w:themeColor="text1"/>
        </w:rPr>
        <w:t>A Phenomenology of Landscape,</w:t>
      </w:r>
      <w:r w:rsidR="006E4185" w:rsidRPr="00102F6D">
        <w:t xml:space="preserve"> p</w:t>
      </w:r>
      <w:r w:rsidRPr="00102F6D">
        <w:t>.26</w:t>
      </w:r>
    </w:p>
  </w:footnote>
  <w:footnote w:id="44">
    <w:p w14:paraId="13F7818C" w14:textId="7E034297" w:rsidR="00165C77" w:rsidRPr="00102F6D" w:rsidRDefault="00165C77" w:rsidP="002563B6">
      <w:pPr>
        <w:pStyle w:val="FootnoteText"/>
      </w:pPr>
      <w:r w:rsidRPr="00102F6D">
        <w:rPr>
          <w:rStyle w:val="FootnoteReference"/>
        </w:rPr>
        <w:footnoteRef/>
      </w:r>
      <w:r w:rsidRPr="00102F6D">
        <w:t xml:space="preserve"> </w:t>
      </w:r>
      <w:r w:rsidR="00DF3D7C" w:rsidRPr="00102F6D">
        <w:t>Knibbe and va Houtert, ‘</w:t>
      </w:r>
      <w:r w:rsidRPr="00102F6D">
        <w:t>Religious experience and Phenomenology</w:t>
      </w:r>
      <w:r w:rsidR="00DF3D7C" w:rsidRPr="00102F6D">
        <w:t>’</w:t>
      </w:r>
      <w:r w:rsidRPr="00102F6D">
        <w:t xml:space="preserve">, </w:t>
      </w:r>
      <w:r w:rsidR="00DF3D7C" w:rsidRPr="00102F6D">
        <w:t>p</w:t>
      </w:r>
      <w:r w:rsidRPr="00102F6D">
        <w:t>.8</w:t>
      </w:r>
    </w:p>
  </w:footnote>
  <w:footnote w:id="45">
    <w:p w14:paraId="769348AD" w14:textId="41CB8597" w:rsidR="009C3351" w:rsidRPr="00102F6D" w:rsidRDefault="009C3351" w:rsidP="002563B6">
      <w:pPr>
        <w:pStyle w:val="FootnoteText"/>
      </w:pPr>
      <w:r w:rsidRPr="00102F6D">
        <w:rPr>
          <w:rStyle w:val="FootnoteReference"/>
        </w:rPr>
        <w:footnoteRef/>
      </w:r>
      <w:r w:rsidRPr="00102F6D">
        <w:t xml:space="preserve"> </w:t>
      </w:r>
      <w:r w:rsidR="00D43046" w:rsidRPr="00102F6D">
        <w:t>Moyes, ‘The Life and Afterlife of Phenomenology’</w:t>
      </w:r>
      <w:r w:rsidRPr="00102F6D">
        <w:t xml:space="preserve">, </w:t>
      </w:r>
      <w:r w:rsidR="00D43046" w:rsidRPr="00102F6D">
        <w:t>p</w:t>
      </w:r>
      <w:r w:rsidRPr="00102F6D">
        <w:t>.310</w:t>
      </w:r>
    </w:p>
  </w:footnote>
  <w:footnote w:id="46">
    <w:p w14:paraId="7094FE63" w14:textId="456D113A" w:rsidR="00016414" w:rsidRPr="00102F6D" w:rsidRDefault="00016414" w:rsidP="002563B6">
      <w:pPr>
        <w:pStyle w:val="FootnoteText"/>
      </w:pPr>
      <w:r w:rsidRPr="00102F6D">
        <w:rPr>
          <w:rStyle w:val="FootnoteReference"/>
        </w:rPr>
        <w:footnoteRef/>
      </w:r>
      <w:r w:rsidRPr="00102F6D">
        <w:t xml:space="preserve"> </w:t>
      </w:r>
      <w:r w:rsidR="00DF3D7C" w:rsidRPr="00102F6D">
        <w:t xml:space="preserve">Christopher Tilley, </w:t>
      </w:r>
      <w:r w:rsidRPr="00102F6D">
        <w:rPr>
          <w:i/>
          <w:iCs/>
        </w:rPr>
        <w:t>The materiality of stone. Explorations in landscape phenomenology</w:t>
      </w:r>
      <w:r w:rsidRPr="00102F6D">
        <w:t xml:space="preserve">, </w:t>
      </w:r>
      <w:r w:rsidR="00DF3D7C" w:rsidRPr="00102F6D">
        <w:t>(</w:t>
      </w:r>
      <w:r w:rsidRPr="00102F6D">
        <w:t>Oxford</w:t>
      </w:r>
      <w:r w:rsidR="00551C60" w:rsidRPr="00102F6D">
        <w:t>: Routledge, 2004</w:t>
      </w:r>
      <w:r w:rsidR="00DF3D7C" w:rsidRPr="00102F6D">
        <w:t>)</w:t>
      </w:r>
      <w:r w:rsidR="00551C60" w:rsidRPr="00102F6D">
        <w:t>. C</w:t>
      </w:r>
      <w:r w:rsidRPr="00102F6D">
        <w:t>ited in Bruck,</w:t>
      </w:r>
      <w:r w:rsidR="00DF3D7C" w:rsidRPr="00102F6D">
        <w:t xml:space="preserve"> ‘Experiencing the past?’</w:t>
      </w:r>
      <w:r w:rsidRPr="00102F6D">
        <w:t xml:space="preserve"> </w:t>
      </w:r>
      <w:r w:rsidR="00DF3D7C" w:rsidRPr="00102F6D">
        <w:t>p</w:t>
      </w:r>
      <w:r w:rsidRPr="00102F6D">
        <w:t>.57</w:t>
      </w:r>
    </w:p>
  </w:footnote>
  <w:footnote w:id="47">
    <w:p w14:paraId="0143928E" w14:textId="446246E9" w:rsidR="00881778" w:rsidRDefault="00881778">
      <w:pPr>
        <w:pStyle w:val="FootnoteText"/>
      </w:pPr>
      <w:r>
        <w:rPr>
          <w:rStyle w:val="FootnoteReference"/>
        </w:rPr>
        <w:footnoteRef/>
      </w:r>
      <w:r>
        <w:t xml:space="preserve"> </w:t>
      </w:r>
      <w:r w:rsidRPr="00102F6D">
        <w:rPr>
          <w:color w:val="000000" w:themeColor="text1"/>
        </w:rPr>
        <w:t>Barbara Bender, Sue Hamilton, and Christopher Tilley, ‘Leskernick: Stone Worlds; Alternative Narratives; Nested Landscapes’, </w:t>
      </w:r>
      <w:r w:rsidRPr="00102F6D">
        <w:rPr>
          <w:i/>
          <w:iCs/>
          <w:color w:val="000000" w:themeColor="text1"/>
        </w:rPr>
        <w:t>Proceedings of the Prehistoric Society</w:t>
      </w:r>
      <w:r w:rsidRPr="00102F6D">
        <w:rPr>
          <w:color w:val="000000" w:themeColor="text1"/>
        </w:rPr>
        <w:t>, 63 (1997), pp.147–78</w:t>
      </w:r>
      <w:r>
        <w:rPr>
          <w:color w:val="000000" w:themeColor="text1"/>
        </w:rPr>
        <w:t>.</w:t>
      </w:r>
      <w:r>
        <w:t xml:space="preserve"> </w:t>
      </w:r>
    </w:p>
  </w:footnote>
  <w:footnote w:id="48">
    <w:p w14:paraId="027C7E62" w14:textId="112229E8" w:rsidR="00881778" w:rsidRDefault="00881778">
      <w:pPr>
        <w:pStyle w:val="FootnoteText"/>
      </w:pPr>
      <w:r>
        <w:rPr>
          <w:rStyle w:val="FootnoteReference"/>
        </w:rPr>
        <w:footnoteRef/>
      </w:r>
      <w:r>
        <w:t xml:space="preserve"> </w:t>
      </w:r>
      <w:r w:rsidRPr="00102F6D">
        <w:rPr>
          <w:color w:val="000000" w:themeColor="text1"/>
        </w:rPr>
        <w:t xml:space="preserve">Bender, </w:t>
      </w:r>
      <w:r w:rsidRPr="00102F6D">
        <w:rPr>
          <w:i/>
          <w:iCs/>
          <w:color w:val="000000" w:themeColor="text1"/>
        </w:rPr>
        <w:t>Stonehenge</w:t>
      </w:r>
      <w:r>
        <w:t>.</w:t>
      </w:r>
    </w:p>
  </w:footnote>
  <w:footnote w:id="49">
    <w:p w14:paraId="36325FC7" w14:textId="5A808CB4" w:rsidR="00CA385D" w:rsidRPr="00102F6D" w:rsidRDefault="00CA385D" w:rsidP="002563B6">
      <w:pPr>
        <w:pStyle w:val="FootnoteText"/>
      </w:pPr>
      <w:r w:rsidRPr="00102F6D">
        <w:rPr>
          <w:rStyle w:val="FootnoteReference"/>
        </w:rPr>
        <w:footnoteRef/>
      </w:r>
      <w:r w:rsidRPr="00102F6D">
        <w:t xml:space="preserve"> </w:t>
      </w:r>
      <w:r w:rsidR="006E4185" w:rsidRPr="00102F6D">
        <w:rPr>
          <w:color w:val="000000" w:themeColor="text1"/>
        </w:rPr>
        <w:t xml:space="preserve">Bender, </w:t>
      </w:r>
      <w:r w:rsidR="006E4185" w:rsidRPr="00102F6D">
        <w:rPr>
          <w:i/>
          <w:iCs/>
          <w:color w:val="000000" w:themeColor="text1"/>
        </w:rPr>
        <w:t>Stonehenge</w:t>
      </w:r>
      <w:r w:rsidRPr="00102F6D">
        <w:t xml:space="preserve">, </w:t>
      </w:r>
      <w:r w:rsidR="006E4185" w:rsidRPr="00102F6D">
        <w:t>p</w:t>
      </w:r>
      <w:r w:rsidRPr="00102F6D">
        <w:t>.38</w:t>
      </w:r>
      <w:r w:rsidR="00700CC3">
        <w:t>.</w:t>
      </w:r>
    </w:p>
  </w:footnote>
  <w:footnote w:id="50">
    <w:p w14:paraId="7EDE62AC" w14:textId="0B586DFF" w:rsidR="009B3481" w:rsidRPr="002563B6" w:rsidRDefault="009B3481" w:rsidP="002563B6">
      <w:pPr>
        <w:spacing w:after="0" w:line="240" w:lineRule="auto"/>
        <w:rPr>
          <w:color w:val="000000" w:themeColor="text1"/>
          <w:sz w:val="20"/>
          <w:szCs w:val="20"/>
        </w:rPr>
      </w:pPr>
      <w:r w:rsidRPr="00102F6D">
        <w:rPr>
          <w:rStyle w:val="FootnoteReference"/>
          <w:sz w:val="20"/>
          <w:szCs w:val="20"/>
        </w:rPr>
        <w:footnoteRef/>
      </w:r>
      <w:r w:rsidRPr="00102F6D">
        <w:rPr>
          <w:sz w:val="20"/>
          <w:szCs w:val="20"/>
        </w:rPr>
        <w:t xml:space="preserve"> </w:t>
      </w:r>
      <w:r w:rsidR="002563B6" w:rsidRPr="00102F6D">
        <w:rPr>
          <w:color w:val="000000" w:themeColor="text1"/>
          <w:sz w:val="20"/>
          <w:szCs w:val="20"/>
        </w:rPr>
        <w:t>Jeremy Burchardt, ‘From Field Walking to Phenomenology: A Review of Recent British Landscape Historiography’, </w:t>
      </w:r>
      <w:r w:rsidR="002563B6" w:rsidRPr="00102F6D">
        <w:rPr>
          <w:i/>
          <w:iCs/>
          <w:color w:val="000000" w:themeColor="text1"/>
          <w:sz w:val="20"/>
          <w:szCs w:val="20"/>
        </w:rPr>
        <w:t>The Historical Journal</w:t>
      </w:r>
      <w:r w:rsidR="002563B6" w:rsidRPr="00102F6D">
        <w:rPr>
          <w:color w:val="000000" w:themeColor="text1"/>
          <w:sz w:val="20"/>
          <w:szCs w:val="20"/>
        </w:rPr>
        <w:t>, 67 (2024), pp.583–609</w:t>
      </w:r>
      <w:r w:rsidRPr="00102F6D">
        <w:rPr>
          <w:sz w:val="20"/>
          <w:szCs w:val="20"/>
        </w:rPr>
        <w:t xml:space="preserve">, </w:t>
      </w:r>
      <w:r w:rsidR="002563B6" w:rsidRPr="00102F6D">
        <w:rPr>
          <w:sz w:val="20"/>
          <w:szCs w:val="20"/>
        </w:rPr>
        <w:t>p</w:t>
      </w:r>
      <w:r w:rsidRPr="00102F6D">
        <w:rPr>
          <w:sz w:val="20"/>
          <w:szCs w:val="20"/>
        </w:rPr>
        <w:t>.603</w:t>
      </w:r>
      <w:r w:rsidR="00700CC3">
        <w:rPr>
          <w:sz w:val="20"/>
          <w:szCs w:val="20"/>
        </w:rPr>
        <w:t>.</w:t>
      </w:r>
    </w:p>
  </w:footnote>
  <w:footnote w:id="51">
    <w:p w14:paraId="7295199A" w14:textId="03F670E4" w:rsidR="009C3351" w:rsidRDefault="009C3351" w:rsidP="002563B6">
      <w:pPr>
        <w:pStyle w:val="FootnoteText"/>
      </w:pPr>
      <w:r>
        <w:rPr>
          <w:rStyle w:val="FootnoteReference"/>
        </w:rPr>
        <w:footnoteRef/>
      </w:r>
      <w:r>
        <w:t xml:space="preserve"> </w:t>
      </w:r>
      <w:r w:rsidR="00D43046" w:rsidRPr="000A58F4">
        <w:t>Moyes</w:t>
      </w:r>
      <w:r w:rsidR="00D43046">
        <w:t>,</w:t>
      </w:r>
      <w:r w:rsidR="00D43046" w:rsidRPr="000A58F4">
        <w:t xml:space="preserve"> </w:t>
      </w:r>
      <w:r w:rsidR="00D43046">
        <w:t>‘</w:t>
      </w:r>
      <w:r w:rsidR="00D43046" w:rsidRPr="000A58F4">
        <w:t>The Life and Afterlife of Phenomenology</w:t>
      </w:r>
      <w:r w:rsidR="00D43046">
        <w:t>’</w:t>
      </w:r>
      <w:r>
        <w:t xml:space="preserve">, </w:t>
      </w:r>
      <w:r w:rsidR="00D43046">
        <w:t>p</w:t>
      </w:r>
      <w:r>
        <w:t>.317</w:t>
      </w:r>
      <w:r w:rsidR="00700CC3">
        <w:t>.</w:t>
      </w:r>
    </w:p>
  </w:footnote>
  <w:footnote w:id="52">
    <w:p w14:paraId="225C831F" w14:textId="20558191" w:rsidR="00DC3084" w:rsidRDefault="00DC3084" w:rsidP="002563B6">
      <w:pPr>
        <w:pStyle w:val="FootnoteText"/>
      </w:pPr>
      <w:r>
        <w:rPr>
          <w:rStyle w:val="FootnoteReference"/>
        </w:rPr>
        <w:footnoteRef/>
      </w:r>
      <w:r>
        <w:t xml:space="preserve"> </w:t>
      </w:r>
      <w:r w:rsidR="00D43046" w:rsidRPr="000A58F4">
        <w:t>Moyes</w:t>
      </w:r>
      <w:r w:rsidR="00D43046">
        <w:t>,</w:t>
      </w:r>
      <w:r w:rsidR="00D43046" w:rsidRPr="000A58F4">
        <w:t xml:space="preserve"> </w:t>
      </w:r>
      <w:r w:rsidR="00D43046">
        <w:t>‘</w:t>
      </w:r>
      <w:r w:rsidR="00D43046" w:rsidRPr="000A58F4">
        <w:t>The Life and Afterlife of Phenomenology</w:t>
      </w:r>
      <w:r w:rsidR="00D43046">
        <w:t>’</w:t>
      </w:r>
      <w:r>
        <w:t xml:space="preserve">, </w:t>
      </w:r>
      <w:r w:rsidR="00D43046">
        <w:t>p</w:t>
      </w:r>
      <w:r>
        <w:t>.317</w:t>
      </w:r>
      <w:r w:rsidR="00700CC3">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D2C4B"/>
    <w:multiLevelType w:val="hybridMultilevel"/>
    <w:tmpl w:val="FF9A6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12403"/>
    <w:multiLevelType w:val="hybridMultilevel"/>
    <w:tmpl w:val="A4CA4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039B0"/>
    <w:multiLevelType w:val="hybridMultilevel"/>
    <w:tmpl w:val="AD6A3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F0C45"/>
    <w:multiLevelType w:val="hybridMultilevel"/>
    <w:tmpl w:val="E9A4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E4507"/>
    <w:multiLevelType w:val="hybridMultilevel"/>
    <w:tmpl w:val="BF98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820702">
    <w:abstractNumId w:val="1"/>
  </w:num>
  <w:num w:numId="2" w16cid:durableId="1145009901">
    <w:abstractNumId w:val="3"/>
  </w:num>
  <w:num w:numId="3" w16cid:durableId="412439025">
    <w:abstractNumId w:val="4"/>
  </w:num>
  <w:num w:numId="4" w16cid:durableId="1438519241">
    <w:abstractNumId w:val="2"/>
  </w:num>
  <w:num w:numId="5" w16cid:durableId="280232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8DC"/>
    <w:rsid w:val="00016414"/>
    <w:rsid w:val="00023CA9"/>
    <w:rsid w:val="0005050A"/>
    <w:rsid w:val="00062DBA"/>
    <w:rsid w:val="00084519"/>
    <w:rsid w:val="000923EE"/>
    <w:rsid w:val="000C071D"/>
    <w:rsid w:val="000F0BBF"/>
    <w:rsid w:val="00102F6D"/>
    <w:rsid w:val="00104B62"/>
    <w:rsid w:val="00122925"/>
    <w:rsid w:val="00123B9C"/>
    <w:rsid w:val="0016400A"/>
    <w:rsid w:val="001648D7"/>
    <w:rsid w:val="00165C77"/>
    <w:rsid w:val="00196EF4"/>
    <w:rsid w:val="001A452B"/>
    <w:rsid w:val="002141A3"/>
    <w:rsid w:val="00233B40"/>
    <w:rsid w:val="00244F08"/>
    <w:rsid w:val="002472CA"/>
    <w:rsid w:val="0025629B"/>
    <w:rsid w:val="002563B6"/>
    <w:rsid w:val="002735F4"/>
    <w:rsid w:val="002C7298"/>
    <w:rsid w:val="002F238B"/>
    <w:rsid w:val="00301E96"/>
    <w:rsid w:val="0030410D"/>
    <w:rsid w:val="00327FFC"/>
    <w:rsid w:val="003351FC"/>
    <w:rsid w:val="00344B9C"/>
    <w:rsid w:val="0035032A"/>
    <w:rsid w:val="00360F2E"/>
    <w:rsid w:val="0038047F"/>
    <w:rsid w:val="003A1A3D"/>
    <w:rsid w:val="003F59D6"/>
    <w:rsid w:val="00406FA9"/>
    <w:rsid w:val="004127F6"/>
    <w:rsid w:val="00416C74"/>
    <w:rsid w:val="00421B22"/>
    <w:rsid w:val="0046089F"/>
    <w:rsid w:val="0046372E"/>
    <w:rsid w:val="004726DE"/>
    <w:rsid w:val="00495713"/>
    <w:rsid w:val="004B0F3D"/>
    <w:rsid w:val="004D72C5"/>
    <w:rsid w:val="004E08F5"/>
    <w:rsid w:val="005214EA"/>
    <w:rsid w:val="00551C60"/>
    <w:rsid w:val="005725F1"/>
    <w:rsid w:val="005A44C3"/>
    <w:rsid w:val="005B02FE"/>
    <w:rsid w:val="005E1510"/>
    <w:rsid w:val="00605DBB"/>
    <w:rsid w:val="006169D3"/>
    <w:rsid w:val="0062325C"/>
    <w:rsid w:val="00651B93"/>
    <w:rsid w:val="006559D2"/>
    <w:rsid w:val="006811DA"/>
    <w:rsid w:val="00684199"/>
    <w:rsid w:val="006B78C7"/>
    <w:rsid w:val="006C46D8"/>
    <w:rsid w:val="006E4185"/>
    <w:rsid w:val="006F0ABF"/>
    <w:rsid w:val="006F7A1F"/>
    <w:rsid w:val="00700CC3"/>
    <w:rsid w:val="00724705"/>
    <w:rsid w:val="0073280B"/>
    <w:rsid w:val="00781B30"/>
    <w:rsid w:val="00783614"/>
    <w:rsid w:val="007C0B23"/>
    <w:rsid w:val="00835907"/>
    <w:rsid w:val="008418DC"/>
    <w:rsid w:val="00843E93"/>
    <w:rsid w:val="00881778"/>
    <w:rsid w:val="00891F26"/>
    <w:rsid w:val="008A68C0"/>
    <w:rsid w:val="008F09DC"/>
    <w:rsid w:val="00901A75"/>
    <w:rsid w:val="0090431D"/>
    <w:rsid w:val="00917320"/>
    <w:rsid w:val="00931E92"/>
    <w:rsid w:val="00933373"/>
    <w:rsid w:val="0093345D"/>
    <w:rsid w:val="00935461"/>
    <w:rsid w:val="0096000B"/>
    <w:rsid w:val="0097612B"/>
    <w:rsid w:val="00985488"/>
    <w:rsid w:val="00994F10"/>
    <w:rsid w:val="009B3481"/>
    <w:rsid w:val="009C3351"/>
    <w:rsid w:val="009C3476"/>
    <w:rsid w:val="009E76FD"/>
    <w:rsid w:val="009F455D"/>
    <w:rsid w:val="00A10EF6"/>
    <w:rsid w:val="00A47B0D"/>
    <w:rsid w:val="00A77DC7"/>
    <w:rsid w:val="00A77F85"/>
    <w:rsid w:val="00AB40C7"/>
    <w:rsid w:val="00AC1B14"/>
    <w:rsid w:val="00AC2EF3"/>
    <w:rsid w:val="00AE08D1"/>
    <w:rsid w:val="00AE4A7C"/>
    <w:rsid w:val="00B212F1"/>
    <w:rsid w:val="00B43304"/>
    <w:rsid w:val="00B44FE0"/>
    <w:rsid w:val="00BA4D35"/>
    <w:rsid w:val="00BA4ED1"/>
    <w:rsid w:val="00BB39A3"/>
    <w:rsid w:val="00BF0EDC"/>
    <w:rsid w:val="00C663D4"/>
    <w:rsid w:val="00C94FD8"/>
    <w:rsid w:val="00CA385D"/>
    <w:rsid w:val="00CB4741"/>
    <w:rsid w:val="00CD42E8"/>
    <w:rsid w:val="00D04320"/>
    <w:rsid w:val="00D12EF9"/>
    <w:rsid w:val="00D300DC"/>
    <w:rsid w:val="00D43046"/>
    <w:rsid w:val="00D64607"/>
    <w:rsid w:val="00D7459B"/>
    <w:rsid w:val="00D857D2"/>
    <w:rsid w:val="00D93F62"/>
    <w:rsid w:val="00DB246F"/>
    <w:rsid w:val="00DC3084"/>
    <w:rsid w:val="00DC3641"/>
    <w:rsid w:val="00DD2B43"/>
    <w:rsid w:val="00DE56F5"/>
    <w:rsid w:val="00DF3D7C"/>
    <w:rsid w:val="00DF54B1"/>
    <w:rsid w:val="00E003AE"/>
    <w:rsid w:val="00E102B2"/>
    <w:rsid w:val="00E12B2E"/>
    <w:rsid w:val="00E609B6"/>
    <w:rsid w:val="00E73C61"/>
    <w:rsid w:val="00E875FA"/>
    <w:rsid w:val="00EB4712"/>
    <w:rsid w:val="00EC567F"/>
    <w:rsid w:val="00EE7A9D"/>
    <w:rsid w:val="00F141BF"/>
    <w:rsid w:val="00F16AFB"/>
    <w:rsid w:val="00F21C80"/>
    <w:rsid w:val="00F237CB"/>
    <w:rsid w:val="00F9582B"/>
    <w:rsid w:val="00FA29E9"/>
    <w:rsid w:val="00FB2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DEADD"/>
  <w15:chartTrackingRefBased/>
  <w15:docId w15:val="{6ABEF045-B3CB-4F64-9909-6464AC04D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67F"/>
  </w:style>
  <w:style w:type="paragraph" w:styleId="Heading1">
    <w:name w:val="heading 1"/>
    <w:basedOn w:val="Normal"/>
    <w:next w:val="Normal"/>
    <w:link w:val="Heading1Char"/>
    <w:uiPriority w:val="9"/>
    <w:qFormat/>
    <w:rsid w:val="00781B30"/>
    <w:pPr>
      <w:keepNext/>
      <w:keepLines/>
      <w:spacing w:before="360" w:after="8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781B30"/>
    <w:pPr>
      <w:keepNext/>
      <w:keepLines/>
      <w:spacing w:before="160" w:after="80"/>
      <w:outlineLvl w:val="1"/>
    </w:pPr>
    <w:rPr>
      <w:rFonts w:asciiTheme="majorHAnsi" w:eastAsiaTheme="majorEastAsia" w:hAnsiTheme="majorHAnsi" w:cstheme="majorBidi"/>
      <w:b/>
      <w:bCs/>
      <w:color w:val="000000" w:themeColor="text1"/>
      <w:sz w:val="24"/>
      <w:szCs w:val="24"/>
    </w:rPr>
  </w:style>
  <w:style w:type="paragraph" w:styleId="Heading3">
    <w:name w:val="heading 3"/>
    <w:basedOn w:val="Normal"/>
    <w:next w:val="Normal"/>
    <w:link w:val="Heading3Char"/>
    <w:uiPriority w:val="9"/>
    <w:semiHidden/>
    <w:unhideWhenUsed/>
    <w:qFormat/>
    <w:rsid w:val="008418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8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8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8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8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8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8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B30"/>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781B30"/>
    <w:rPr>
      <w:rFonts w:asciiTheme="majorHAnsi" w:eastAsiaTheme="majorEastAsia" w:hAnsiTheme="majorHAnsi" w:cstheme="majorBidi"/>
      <w:b/>
      <w:bCs/>
      <w:color w:val="000000" w:themeColor="text1"/>
      <w:sz w:val="24"/>
      <w:szCs w:val="24"/>
    </w:rPr>
  </w:style>
  <w:style w:type="character" w:customStyle="1" w:styleId="Heading3Char">
    <w:name w:val="Heading 3 Char"/>
    <w:basedOn w:val="DefaultParagraphFont"/>
    <w:link w:val="Heading3"/>
    <w:uiPriority w:val="9"/>
    <w:semiHidden/>
    <w:rsid w:val="008418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8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8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8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8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8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8DC"/>
    <w:rPr>
      <w:rFonts w:eastAsiaTheme="majorEastAsia" w:cstheme="majorBidi"/>
      <w:color w:val="272727" w:themeColor="text1" w:themeTint="D8"/>
    </w:rPr>
  </w:style>
  <w:style w:type="paragraph" w:styleId="Title">
    <w:name w:val="Title"/>
    <w:basedOn w:val="Normal"/>
    <w:next w:val="Normal"/>
    <w:link w:val="TitleChar"/>
    <w:uiPriority w:val="10"/>
    <w:qFormat/>
    <w:rsid w:val="008418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8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8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8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8DC"/>
    <w:pPr>
      <w:spacing w:before="160"/>
      <w:jc w:val="center"/>
    </w:pPr>
    <w:rPr>
      <w:i/>
      <w:iCs/>
      <w:color w:val="404040" w:themeColor="text1" w:themeTint="BF"/>
    </w:rPr>
  </w:style>
  <w:style w:type="character" w:customStyle="1" w:styleId="QuoteChar">
    <w:name w:val="Quote Char"/>
    <w:basedOn w:val="DefaultParagraphFont"/>
    <w:link w:val="Quote"/>
    <w:uiPriority w:val="29"/>
    <w:rsid w:val="008418DC"/>
    <w:rPr>
      <w:i/>
      <w:iCs/>
      <w:color w:val="404040" w:themeColor="text1" w:themeTint="BF"/>
    </w:rPr>
  </w:style>
  <w:style w:type="paragraph" w:styleId="ListParagraph">
    <w:name w:val="List Paragraph"/>
    <w:basedOn w:val="Normal"/>
    <w:uiPriority w:val="34"/>
    <w:qFormat/>
    <w:rsid w:val="008418DC"/>
    <w:pPr>
      <w:ind w:left="720"/>
      <w:contextualSpacing/>
    </w:pPr>
  </w:style>
  <w:style w:type="character" w:styleId="IntenseEmphasis">
    <w:name w:val="Intense Emphasis"/>
    <w:basedOn w:val="DefaultParagraphFont"/>
    <w:uiPriority w:val="21"/>
    <w:qFormat/>
    <w:rsid w:val="008418DC"/>
    <w:rPr>
      <w:i/>
      <w:iCs/>
      <w:color w:val="0F4761" w:themeColor="accent1" w:themeShade="BF"/>
    </w:rPr>
  </w:style>
  <w:style w:type="paragraph" w:styleId="IntenseQuote">
    <w:name w:val="Intense Quote"/>
    <w:basedOn w:val="Normal"/>
    <w:next w:val="Normal"/>
    <w:link w:val="IntenseQuoteChar"/>
    <w:uiPriority w:val="30"/>
    <w:qFormat/>
    <w:rsid w:val="00841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8DC"/>
    <w:rPr>
      <w:i/>
      <w:iCs/>
      <w:color w:val="0F4761" w:themeColor="accent1" w:themeShade="BF"/>
    </w:rPr>
  </w:style>
  <w:style w:type="character" w:styleId="IntenseReference">
    <w:name w:val="Intense Reference"/>
    <w:basedOn w:val="DefaultParagraphFont"/>
    <w:uiPriority w:val="32"/>
    <w:qFormat/>
    <w:rsid w:val="008418DC"/>
    <w:rPr>
      <w:b/>
      <w:bCs/>
      <w:smallCaps/>
      <w:color w:val="0F4761" w:themeColor="accent1" w:themeShade="BF"/>
      <w:spacing w:val="5"/>
    </w:rPr>
  </w:style>
  <w:style w:type="paragraph" w:styleId="FootnoteText">
    <w:name w:val="footnote text"/>
    <w:basedOn w:val="Normal"/>
    <w:link w:val="FootnoteTextChar"/>
    <w:uiPriority w:val="99"/>
    <w:semiHidden/>
    <w:unhideWhenUsed/>
    <w:rsid w:val="00EC56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67F"/>
    <w:rPr>
      <w:sz w:val="20"/>
      <w:szCs w:val="20"/>
    </w:rPr>
  </w:style>
  <w:style w:type="character" w:styleId="FootnoteReference">
    <w:name w:val="footnote reference"/>
    <w:basedOn w:val="DefaultParagraphFont"/>
    <w:uiPriority w:val="99"/>
    <w:semiHidden/>
    <w:unhideWhenUsed/>
    <w:rsid w:val="00EC567F"/>
    <w:rPr>
      <w:vertAlign w:val="superscript"/>
    </w:rPr>
  </w:style>
  <w:style w:type="character" w:styleId="CommentReference">
    <w:name w:val="annotation reference"/>
    <w:basedOn w:val="DefaultParagraphFont"/>
    <w:uiPriority w:val="99"/>
    <w:semiHidden/>
    <w:unhideWhenUsed/>
    <w:rsid w:val="005B02FE"/>
    <w:rPr>
      <w:sz w:val="16"/>
      <w:szCs w:val="16"/>
    </w:rPr>
  </w:style>
  <w:style w:type="paragraph" w:styleId="CommentText">
    <w:name w:val="annotation text"/>
    <w:basedOn w:val="Normal"/>
    <w:link w:val="CommentTextChar"/>
    <w:uiPriority w:val="99"/>
    <w:unhideWhenUsed/>
    <w:rsid w:val="005B02FE"/>
    <w:pPr>
      <w:spacing w:line="240" w:lineRule="auto"/>
    </w:pPr>
    <w:rPr>
      <w:sz w:val="20"/>
      <w:szCs w:val="20"/>
    </w:rPr>
  </w:style>
  <w:style w:type="character" w:customStyle="1" w:styleId="CommentTextChar">
    <w:name w:val="Comment Text Char"/>
    <w:basedOn w:val="DefaultParagraphFont"/>
    <w:link w:val="CommentText"/>
    <w:uiPriority w:val="99"/>
    <w:rsid w:val="005B02FE"/>
    <w:rPr>
      <w:sz w:val="20"/>
      <w:szCs w:val="20"/>
    </w:rPr>
  </w:style>
  <w:style w:type="character" w:styleId="Hyperlink">
    <w:name w:val="Hyperlink"/>
    <w:basedOn w:val="DefaultParagraphFont"/>
    <w:uiPriority w:val="99"/>
    <w:unhideWhenUsed/>
    <w:rsid w:val="001648D7"/>
    <w:rPr>
      <w:color w:val="467886" w:themeColor="hyperlink"/>
      <w:u w:val="single"/>
    </w:rPr>
  </w:style>
  <w:style w:type="paragraph" w:styleId="Header">
    <w:name w:val="header"/>
    <w:basedOn w:val="Normal"/>
    <w:link w:val="HeaderChar"/>
    <w:uiPriority w:val="99"/>
    <w:unhideWhenUsed/>
    <w:rsid w:val="004B0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F3D"/>
  </w:style>
  <w:style w:type="paragraph" w:styleId="Footer">
    <w:name w:val="footer"/>
    <w:basedOn w:val="Normal"/>
    <w:link w:val="FooterChar"/>
    <w:uiPriority w:val="99"/>
    <w:unhideWhenUsed/>
    <w:rsid w:val="004B0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F3D"/>
  </w:style>
  <w:style w:type="paragraph" w:customStyle="1" w:styleId="Default">
    <w:name w:val="Default"/>
    <w:rsid w:val="00994F10"/>
    <w:pPr>
      <w:autoSpaceDE w:val="0"/>
      <w:autoSpaceDN w:val="0"/>
      <w:adjustRightInd w:val="0"/>
      <w:spacing w:after="0" w:line="240" w:lineRule="auto"/>
    </w:pPr>
    <w:rPr>
      <w:rFonts w:ascii="Arial" w:hAnsi="Arial" w:cs="Arial"/>
      <w:color w:val="000000"/>
      <w:kern w:val="0"/>
      <w:sz w:val="24"/>
      <w:szCs w:val="24"/>
    </w:rPr>
  </w:style>
  <w:style w:type="character" w:styleId="UnresolvedMention">
    <w:name w:val="Unresolved Mention"/>
    <w:basedOn w:val="DefaultParagraphFont"/>
    <w:uiPriority w:val="99"/>
    <w:semiHidden/>
    <w:unhideWhenUsed/>
    <w:rsid w:val="00994F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079E8-181E-4676-8CBE-60ED20A21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89</cp:revision>
  <dcterms:created xsi:type="dcterms:W3CDTF">2025-11-13T10:13:00Z</dcterms:created>
  <dcterms:modified xsi:type="dcterms:W3CDTF">2025-11-13T23:45:00Z</dcterms:modified>
</cp:coreProperties>
</file>