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5225D7E">
      <w:pPr>
        <w:spacing w:after="0"/>
        <w:ind w:right="22"/>
        <w:jc w:val="center"/>
        <w:rPr>
          <w:rFonts w:ascii="Times New Roman" w:hAnsi="Times New Roman" w:cs="Times New Roman" w:eastAsiaTheme="majorEastAsia"/>
          <w:color w:val="2E75B6" w:themeColor="accent1" w:themeShade="BF"/>
          <w:sz w:val="24"/>
          <w:szCs w:val="24"/>
        </w:rPr>
      </w:pPr>
      <w:r>
        <w:rPr>
          <w:rFonts w:ascii="Times New Roman" w:hAnsi="Times New Roman" w:cs="Times New Roman" w:eastAsiaTheme="majorEastAsia"/>
          <w:color w:val="2E75B6" w:themeColor="accent1" w:themeShade="BF"/>
          <w:sz w:val="24"/>
          <w:szCs w:val="24"/>
        </w:rPr>
        <w:drawing>
          <wp:anchor distT="0" distB="0" distL="114300" distR="114300" simplePos="0" relativeHeight="251659264" behindDoc="1" locked="0" layoutInCell="1" allowOverlap="1">
            <wp:simplePos x="0" y="0"/>
            <wp:positionH relativeFrom="column">
              <wp:posOffset>139700</wp:posOffset>
            </wp:positionH>
            <wp:positionV relativeFrom="paragraph">
              <wp:posOffset>184150</wp:posOffset>
            </wp:positionV>
            <wp:extent cx="5943600" cy="327025"/>
            <wp:effectExtent l="0" t="0" r="0" b="0"/>
            <wp:wrapNone/>
            <wp:docPr id="1864857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57064"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943600" cy="327025"/>
                    </a:xfrm>
                    <a:prstGeom prst="rect">
                      <a:avLst/>
                    </a:prstGeom>
                  </pic:spPr>
                </pic:pic>
              </a:graphicData>
            </a:graphic>
          </wp:anchor>
        </w:drawing>
      </w:r>
    </w:p>
    <w:p w14:paraId="52698702">
      <w:pPr>
        <w:spacing w:after="0"/>
        <w:ind w:right="22"/>
        <w:jc w:val="center"/>
        <w:rPr>
          <w:rFonts w:ascii="Times New Roman" w:hAnsi="Times New Roman" w:cs="Times New Roman" w:eastAsiaTheme="majorEastAsia"/>
          <w:color w:val="2E75B6" w:themeColor="accent1" w:themeShade="BF"/>
          <w:sz w:val="24"/>
          <w:szCs w:val="24"/>
        </w:rPr>
      </w:pPr>
    </w:p>
    <w:p w14:paraId="356D4892">
      <w:pPr>
        <w:spacing w:after="0"/>
        <w:ind w:right="22"/>
        <w:jc w:val="center"/>
        <w:rPr>
          <w:rFonts w:ascii="Times New Roman" w:hAnsi="Times New Roman" w:cs="Times New Roman"/>
          <w:sz w:val="24"/>
          <w:szCs w:val="24"/>
        </w:rPr>
      </w:pPr>
    </w:p>
    <w:tbl>
      <w:tblPr>
        <w:tblStyle w:val="17"/>
        <w:tblW w:w="9926" w:type="dxa"/>
        <w:tblInd w:w="-5" w:type="dxa"/>
        <w:tblLayout w:type="autofit"/>
        <w:tblCellMar>
          <w:top w:w="50" w:type="dxa"/>
          <w:left w:w="106" w:type="dxa"/>
          <w:bottom w:w="0" w:type="dxa"/>
          <w:right w:w="0" w:type="dxa"/>
        </w:tblCellMar>
      </w:tblPr>
      <w:tblGrid>
        <w:gridCol w:w="2096"/>
        <w:gridCol w:w="3295"/>
        <w:gridCol w:w="2264"/>
        <w:gridCol w:w="2271"/>
      </w:tblGrid>
      <w:tr w14:paraId="580C7064">
        <w:tblPrEx>
          <w:tblCellMar>
            <w:top w:w="50" w:type="dxa"/>
            <w:left w:w="106" w:type="dxa"/>
            <w:bottom w:w="0" w:type="dxa"/>
            <w:right w:w="0" w:type="dxa"/>
          </w:tblCellMar>
        </w:tblPrEx>
        <w:trPr>
          <w:trHeight w:val="502" w:hRule="atLeast"/>
        </w:trPr>
        <w:tc>
          <w:tcPr>
            <w:tcW w:w="2096" w:type="dxa"/>
            <w:tcBorders>
              <w:top w:val="single" w:color="000000" w:sz="4" w:space="0"/>
              <w:left w:val="single" w:color="000000" w:sz="4" w:space="0"/>
              <w:bottom w:val="single" w:color="000000" w:sz="4" w:space="0"/>
              <w:right w:val="single" w:color="000000" w:sz="4" w:space="0"/>
            </w:tcBorders>
            <w:vAlign w:val="center"/>
          </w:tcPr>
          <w:p w14:paraId="3C85D1A5">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Student name: </w:t>
            </w:r>
          </w:p>
        </w:tc>
        <w:tc>
          <w:tcPr>
            <w:tcW w:w="3295" w:type="dxa"/>
            <w:tcBorders>
              <w:top w:val="single" w:color="000000" w:sz="4" w:space="0"/>
              <w:left w:val="single" w:color="000000" w:sz="4" w:space="0"/>
              <w:bottom w:val="single" w:color="000000" w:sz="4" w:space="0"/>
              <w:right w:val="single" w:color="000000" w:sz="4" w:space="0"/>
            </w:tcBorders>
            <w:vAlign w:val="center"/>
          </w:tcPr>
          <w:p w14:paraId="74C88127">
            <w:pPr>
              <w:spacing w:after="0" w:line="240" w:lineRule="auto"/>
              <w:rPr>
                <w:rFonts w:hint="default" w:ascii="Times New Roman" w:hAnsi="Times New Roman" w:cs="Times New Roman" w:eastAsiaTheme="minorEastAsia"/>
                <w:kern w:val="2"/>
                <w:sz w:val="24"/>
                <w:szCs w:val="24"/>
                <w:lang w:val="en-US"/>
                <w14:ligatures w14:val="standardContextual"/>
              </w:rPr>
            </w:pPr>
            <w:r>
              <w:rPr>
                <w:rFonts w:ascii="Times New Roman" w:hAnsi="Times New Roman" w:eastAsia="Arial" w:cs="Times New Roman"/>
                <w:b/>
                <w:kern w:val="2"/>
                <w:sz w:val="24"/>
                <w:szCs w:val="24"/>
                <w14:ligatures w14:val="standardContextual"/>
              </w:rPr>
              <w:t xml:space="preserve">      </w:t>
            </w:r>
            <w:r>
              <w:rPr>
                <w:rFonts w:hint="default" w:ascii="Times New Roman" w:hAnsi="Times New Roman" w:eastAsia="Arial" w:cs="Times New Roman"/>
                <w:b/>
                <w:kern w:val="2"/>
                <w:sz w:val="24"/>
                <w:szCs w:val="24"/>
                <w:lang w:val="en-US"/>
                <w14:ligatures w14:val="standardContextual"/>
              </w:rPr>
              <w:t>Volodymyr Kalhin</w:t>
            </w:r>
          </w:p>
        </w:tc>
        <w:tc>
          <w:tcPr>
            <w:tcW w:w="2264" w:type="dxa"/>
            <w:tcBorders>
              <w:top w:val="single" w:color="000000" w:sz="4" w:space="0"/>
              <w:left w:val="single" w:color="000000" w:sz="4" w:space="0"/>
              <w:bottom w:val="single" w:color="000000" w:sz="4" w:space="0"/>
              <w:right w:val="single" w:color="000000" w:sz="4" w:space="0"/>
            </w:tcBorders>
            <w:shd w:val="clear" w:color="auto" w:fill="D9D9D9"/>
            <w:vAlign w:val="center"/>
          </w:tcPr>
          <w:p w14:paraId="4B0FA9AE">
            <w:pPr>
              <w:spacing w:after="0" w:line="240" w:lineRule="auto"/>
              <w:ind w:left="1"/>
              <w:jc w:val="both"/>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Student ID number: </w:t>
            </w:r>
          </w:p>
        </w:tc>
        <w:tc>
          <w:tcPr>
            <w:tcW w:w="2271" w:type="dxa"/>
            <w:tcBorders>
              <w:top w:val="single" w:color="000000" w:sz="4" w:space="0"/>
              <w:left w:val="single" w:color="000000" w:sz="4" w:space="0"/>
              <w:bottom w:val="single" w:color="000000" w:sz="4" w:space="0"/>
              <w:right w:val="single" w:color="000000" w:sz="4" w:space="0"/>
            </w:tcBorders>
            <w:vAlign w:val="center"/>
          </w:tcPr>
          <w:p w14:paraId="32ED636F">
            <w:pPr>
              <w:spacing w:after="0" w:line="240" w:lineRule="auto"/>
              <w:ind w:left="5"/>
              <w:rPr>
                <w:rFonts w:hint="default" w:ascii="Times New Roman" w:hAnsi="Times New Roman" w:cs="Times New Roman" w:eastAsiaTheme="minorEastAsia"/>
                <w:kern w:val="2"/>
                <w:sz w:val="24"/>
                <w:szCs w:val="24"/>
                <w:lang w:val="en-US"/>
                <w14:ligatures w14:val="standardContextual"/>
              </w:rPr>
            </w:pPr>
            <w:r>
              <w:rPr>
                <w:rFonts w:ascii="Times New Roman" w:hAnsi="Times New Roman" w:eastAsia="Arial" w:cs="Times New Roman"/>
                <w:b/>
                <w:kern w:val="2"/>
                <w:sz w:val="24"/>
                <w:szCs w:val="24"/>
                <w14:ligatures w14:val="standardContextual"/>
              </w:rPr>
              <w:t xml:space="preserve"> </w:t>
            </w:r>
            <w:r>
              <w:rPr>
                <w:rFonts w:hint="default" w:ascii="Times New Roman" w:hAnsi="Times New Roman" w:eastAsia="Arial" w:cs="Times New Roman"/>
                <w:b/>
                <w:kern w:val="2"/>
                <w:sz w:val="24"/>
                <w:szCs w:val="24"/>
                <w:lang w:val="en-US"/>
                <w14:ligatures w14:val="standardContextual"/>
              </w:rPr>
              <w:t>2514104</w:t>
            </w:r>
          </w:p>
        </w:tc>
      </w:tr>
      <w:tr w14:paraId="31FAB3EB">
        <w:tblPrEx>
          <w:tblCellMar>
            <w:top w:w="50" w:type="dxa"/>
            <w:left w:w="106" w:type="dxa"/>
            <w:bottom w:w="0" w:type="dxa"/>
            <w:right w:w="0" w:type="dxa"/>
          </w:tblCellMar>
        </w:tblPrEx>
        <w:trPr>
          <w:trHeight w:val="758" w:hRule="atLeast"/>
        </w:trPr>
        <w:tc>
          <w:tcPr>
            <w:tcW w:w="2096" w:type="dxa"/>
            <w:tcBorders>
              <w:top w:val="single" w:color="000000" w:sz="4" w:space="0"/>
              <w:left w:val="single" w:color="000000" w:sz="4" w:space="0"/>
              <w:bottom w:val="single" w:color="000000" w:sz="4" w:space="0"/>
              <w:right w:val="single" w:color="000000" w:sz="4" w:space="0"/>
            </w:tcBorders>
          </w:tcPr>
          <w:p w14:paraId="704088B6">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Programme: </w:t>
            </w:r>
          </w:p>
        </w:tc>
        <w:tc>
          <w:tcPr>
            <w:tcW w:w="7830" w:type="dxa"/>
            <w:gridSpan w:val="3"/>
            <w:tcBorders>
              <w:top w:val="single" w:color="000000" w:sz="4" w:space="0"/>
              <w:left w:val="single" w:color="000000" w:sz="4" w:space="0"/>
              <w:bottom w:val="single" w:color="000000" w:sz="4" w:space="0"/>
              <w:right w:val="single" w:color="000000" w:sz="4" w:space="0"/>
            </w:tcBorders>
            <w:vAlign w:val="center"/>
          </w:tcPr>
          <w:p w14:paraId="76C9ACE5">
            <w:pPr>
              <w:spacing w:after="0" w:line="240" w:lineRule="auto"/>
              <w:jc w:val="both"/>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Certificate of Higher Education Skills for the Workplace (Health &amp; Social Care) </w:t>
            </w:r>
          </w:p>
        </w:tc>
      </w:tr>
      <w:tr w14:paraId="53B50BAC">
        <w:tblPrEx>
          <w:tblCellMar>
            <w:top w:w="50" w:type="dxa"/>
            <w:left w:w="106" w:type="dxa"/>
            <w:bottom w:w="0" w:type="dxa"/>
            <w:right w:w="0" w:type="dxa"/>
          </w:tblCellMar>
        </w:tblPrEx>
        <w:trPr>
          <w:trHeight w:val="504" w:hRule="atLeast"/>
        </w:trPr>
        <w:tc>
          <w:tcPr>
            <w:tcW w:w="2096" w:type="dxa"/>
            <w:tcBorders>
              <w:top w:val="single" w:color="000000" w:sz="4" w:space="0"/>
              <w:left w:val="single" w:color="000000" w:sz="4" w:space="0"/>
              <w:bottom w:val="single" w:color="000000" w:sz="4" w:space="0"/>
              <w:right w:val="single" w:color="000000" w:sz="4" w:space="0"/>
            </w:tcBorders>
            <w:vAlign w:val="center"/>
          </w:tcPr>
          <w:p w14:paraId="79D51968">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Module: </w:t>
            </w:r>
          </w:p>
        </w:tc>
        <w:tc>
          <w:tcPr>
            <w:tcW w:w="7830" w:type="dxa"/>
            <w:gridSpan w:val="3"/>
            <w:tcBorders>
              <w:top w:val="single" w:color="000000" w:sz="4" w:space="0"/>
              <w:left w:val="single" w:color="000000" w:sz="4" w:space="0"/>
              <w:bottom w:val="single" w:color="000000" w:sz="4" w:space="0"/>
              <w:right w:val="single" w:color="000000" w:sz="4" w:space="0"/>
            </w:tcBorders>
            <w:vAlign w:val="center"/>
          </w:tcPr>
          <w:p w14:paraId="7F3C9F37">
            <w:pPr>
              <w:spacing w:after="0" w:line="240" w:lineRule="auto"/>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Digital Skills and Research Methods</w:t>
            </w:r>
          </w:p>
        </w:tc>
      </w:tr>
      <w:tr w14:paraId="4B623FCC">
        <w:tblPrEx>
          <w:tblCellMar>
            <w:top w:w="50" w:type="dxa"/>
            <w:left w:w="106" w:type="dxa"/>
            <w:bottom w:w="0" w:type="dxa"/>
            <w:right w:w="0" w:type="dxa"/>
          </w:tblCellMar>
        </w:tblPrEx>
        <w:trPr>
          <w:trHeight w:val="504" w:hRule="atLeast"/>
        </w:trPr>
        <w:tc>
          <w:tcPr>
            <w:tcW w:w="2096" w:type="dxa"/>
            <w:tcBorders>
              <w:top w:val="single" w:color="000000" w:sz="4" w:space="0"/>
              <w:left w:val="single" w:color="000000" w:sz="4" w:space="0"/>
              <w:bottom w:val="single" w:color="000000" w:sz="4" w:space="0"/>
              <w:right w:val="single" w:color="000000" w:sz="4" w:space="0"/>
            </w:tcBorders>
            <w:vAlign w:val="center"/>
          </w:tcPr>
          <w:p w14:paraId="638DA7B7">
            <w:pPr>
              <w:spacing w:after="0" w:line="240" w:lineRule="auto"/>
              <w:ind w:left="2"/>
              <w:rPr>
                <w:rFonts w:ascii="Times New Roman" w:hAnsi="Times New Roman" w:eastAsia="Arial" w:cs="Times New Roman"/>
                <w:b/>
                <w:kern w:val="2"/>
                <w:sz w:val="24"/>
                <w:szCs w:val="24"/>
                <w14:ligatures w14:val="standardContextual"/>
              </w:rPr>
            </w:pPr>
            <w:r>
              <w:rPr>
                <w:rFonts w:ascii="Times New Roman" w:hAnsi="Times New Roman" w:eastAsia="Arial" w:cs="Times New Roman"/>
                <w:b/>
                <w:kern w:val="2"/>
                <w:sz w:val="24"/>
                <w:szCs w:val="24"/>
                <w14:ligatures w14:val="standardContextual"/>
              </w:rPr>
              <w:t>Assignment Title</w:t>
            </w:r>
          </w:p>
        </w:tc>
        <w:tc>
          <w:tcPr>
            <w:tcW w:w="7830" w:type="dxa"/>
            <w:gridSpan w:val="3"/>
            <w:tcBorders>
              <w:top w:val="single" w:color="000000" w:sz="4" w:space="0"/>
              <w:left w:val="single" w:color="000000" w:sz="4" w:space="0"/>
              <w:bottom w:val="single" w:color="000000" w:sz="4" w:space="0"/>
              <w:right w:val="single" w:color="000000" w:sz="4" w:space="0"/>
            </w:tcBorders>
            <w:vAlign w:val="center"/>
          </w:tcPr>
          <w:p w14:paraId="4C67F657">
            <w:pPr>
              <w:spacing w:after="0" w:line="240" w:lineRule="auto"/>
              <w:rPr>
                <w:rFonts w:ascii="Times New Roman" w:hAnsi="Times New Roman" w:eastAsia="Arial" w:cs="Times New Roman"/>
                <w:b/>
                <w:kern w:val="2"/>
                <w:sz w:val="24"/>
                <w:szCs w:val="24"/>
                <w14:ligatures w14:val="standardContextual"/>
              </w:rPr>
            </w:pPr>
            <w:r>
              <w:rPr>
                <w:rFonts w:ascii="Times New Roman" w:hAnsi="Times New Roman" w:cs="Times New Roman" w:eastAsiaTheme="minorEastAsia"/>
                <w:b/>
                <w:kern w:val="2"/>
                <w:sz w:val="24"/>
                <w:szCs w:val="24"/>
                <w14:ligatures w14:val="standardContextual"/>
              </w:rPr>
              <w:t>Ambulance Response Time Delays and Their Effects on Patient Safety and Paramedic Practice</w:t>
            </w:r>
          </w:p>
        </w:tc>
      </w:tr>
      <w:tr w14:paraId="0414839B">
        <w:tblPrEx>
          <w:tblCellMar>
            <w:top w:w="50" w:type="dxa"/>
            <w:left w:w="106" w:type="dxa"/>
            <w:bottom w:w="0" w:type="dxa"/>
            <w:right w:w="0" w:type="dxa"/>
          </w:tblCellMar>
        </w:tblPrEx>
        <w:trPr>
          <w:trHeight w:val="768" w:hRule="atLeast"/>
        </w:trPr>
        <w:tc>
          <w:tcPr>
            <w:tcW w:w="2096" w:type="dxa"/>
            <w:tcBorders>
              <w:top w:val="single" w:color="000000" w:sz="4" w:space="0"/>
              <w:left w:val="single" w:color="000000" w:sz="4" w:space="0"/>
              <w:bottom w:val="single" w:color="000000" w:sz="4" w:space="0"/>
              <w:right w:val="single" w:color="000000" w:sz="4" w:space="0"/>
            </w:tcBorders>
          </w:tcPr>
          <w:p w14:paraId="133646EF">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Module code: </w:t>
            </w:r>
          </w:p>
        </w:tc>
        <w:tc>
          <w:tcPr>
            <w:tcW w:w="3295" w:type="dxa"/>
            <w:tcBorders>
              <w:top w:val="single" w:color="000000" w:sz="4" w:space="0"/>
              <w:left w:val="single" w:color="000000" w:sz="4" w:space="0"/>
              <w:bottom w:val="single" w:color="000000" w:sz="4" w:space="0"/>
              <w:right w:val="single" w:color="000000" w:sz="4" w:space="0"/>
            </w:tcBorders>
          </w:tcPr>
          <w:p w14:paraId="244BFFCA">
            <w:pPr>
              <w:spacing w:after="0" w:line="240" w:lineRule="auto"/>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LCHS4007 </w:t>
            </w:r>
          </w:p>
        </w:tc>
        <w:tc>
          <w:tcPr>
            <w:tcW w:w="2264" w:type="dxa"/>
            <w:tcBorders>
              <w:top w:val="single" w:color="000000" w:sz="4" w:space="0"/>
              <w:left w:val="single" w:color="000000" w:sz="4" w:space="0"/>
              <w:bottom w:val="single" w:color="000000" w:sz="4" w:space="0"/>
              <w:right w:val="single" w:color="000000" w:sz="4" w:space="0"/>
            </w:tcBorders>
            <w:shd w:val="clear" w:color="auto" w:fill="D9D9D9"/>
          </w:tcPr>
          <w:p w14:paraId="12A0AE5E">
            <w:pPr>
              <w:spacing w:after="0" w:line="240" w:lineRule="auto"/>
              <w:ind w:left="1" w:right="103"/>
              <w:jc w:val="both"/>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Contribution to Overall Module Assessment (%): </w:t>
            </w:r>
          </w:p>
        </w:tc>
        <w:tc>
          <w:tcPr>
            <w:tcW w:w="2271" w:type="dxa"/>
            <w:tcBorders>
              <w:top w:val="single" w:color="000000" w:sz="4" w:space="0"/>
              <w:left w:val="single" w:color="000000" w:sz="4" w:space="0"/>
              <w:bottom w:val="single" w:color="000000" w:sz="4" w:space="0"/>
              <w:right w:val="single" w:color="000000" w:sz="4" w:space="0"/>
            </w:tcBorders>
          </w:tcPr>
          <w:p w14:paraId="394E18A7">
            <w:pPr>
              <w:spacing w:after="0" w:line="240" w:lineRule="auto"/>
              <w:ind w:left="5"/>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50% </w:t>
            </w:r>
          </w:p>
        </w:tc>
      </w:tr>
      <w:tr w14:paraId="0755B277">
        <w:tblPrEx>
          <w:tblCellMar>
            <w:top w:w="50" w:type="dxa"/>
            <w:left w:w="106" w:type="dxa"/>
            <w:bottom w:w="0" w:type="dxa"/>
            <w:right w:w="0" w:type="dxa"/>
          </w:tblCellMar>
        </w:tblPrEx>
        <w:trPr>
          <w:trHeight w:val="500" w:hRule="atLeast"/>
        </w:trPr>
        <w:tc>
          <w:tcPr>
            <w:tcW w:w="2096" w:type="dxa"/>
            <w:tcBorders>
              <w:top w:val="single" w:color="000000" w:sz="4" w:space="0"/>
              <w:left w:val="single" w:color="000000" w:sz="4" w:space="0"/>
              <w:bottom w:val="single" w:color="000000" w:sz="4" w:space="0"/>
              <w:right w:val="single" w:color="000000" w:sz="4" w:space="0"/>
            </w:tcBorders>
            <w:vAlign w:val="center"/>
          </w:tcPr>
          <w:p w14:paraId="220988FC">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Lecturer: </w:t>
            </w:r>
          </w:p>
        </w:tc>
        <w:tc>
          <w:tcPr>
            <w:tcW w:w="3295" w:type="dxa"/>
            <w:tcBorders>
              <w:top w:val="single" w:color="000000" w:sz="4" w:space="0"/>
              <w:left w:val="single" w:color="000000" w:sz="4" w:space="0"/>
              <w:bottom w:val="single" w:color="000000" w:sz="4" w:space="0"/>
              <w:right w:val="single" w:color="000000" w:sz="4" w:space="0"/>
            </w:tcBorders>
            <w:vAlign w:val="center"/>
          </w:tcPr>
          <w:p w14:paraId="62D8DD73">
            <w:pPr>
              <w:spacing w:after="0" w:line="240" w:lineRule="auto"/>
              <w:rPr>
                <w:rFonts w:hint="default" w:ascii="Times New Roman" w:hAnsi="Times New Roman" w:cs="Times New Roman" w:eastAsiaTheme="minorEastAsia"/>
                <w:kern w:val="2"/>
                <w:sz w:val="24"/>
                <w:szCs w:val="24"/>
                <w:lang w:val="en-US"/>
                <w14:ligatures w14:val="standardContextual"/>
              </w:rPr>
            </w:pPr>
            <w:r>
              <w:rPr>
                <w:rFonts w:ascii="Times New Roman" w:hAnsi="Times New Roman" w:eastAsia="Arial" w:cs="Times New Roman"/>
                <w:b/>
                <w:kern w:val="2"/>
                <w:sz w:val="24"/>
                <w:szCs w:val="24"/>
                <w14:ligatures w14:val="standardContextual"/>
              </w:rPr>
              <w:t xml:space="preserve"> </w:t>
            </w:r>
            <w:r>
              <w:rPr>
                <w:rFonts w:hint="default" w:ascii="Times New Roman" w:hAnsi="Times New Roman" w:eastAsia="Arial" w:cs="Times New Roman"/>
                <w:b/>
                <w:kern w:val="2"/>
                <w:sz w:val="24"/>
                <w:szCs w:val="24"/>
                <w:lang w:val="en-US"/>
                <w14:ligatures w14:val="standardContextual"/>
              </w:rPr>
              <w:t>Md Sadeque Imam Shaikh</w:t>
            </w:r>
          </w:p>
        </w:tc>
        <w:tc>
          <w:tcPr>
            <w:tcW w:w="2264" w:type="dxa"/>
            <w:tcBorders>
              <w:top w:val="single" w:color="000000" w:sz="4" w:space="0"/>
              <w:left w:val="single" w:color="000000" w:sz="4" w:space="0"/>
              <w:bottom w:val="single" w:color="000000" w:sz="4" w:space="0"/>
              <w:right w:val="single" w:color="000000" w:sz="4" w:space="0"/>
            </w:tcBorders>
            <w:shd w:val="clear" w:color="auto" w:fill="D9D9D9"/>
            <w:vAlign w:val="center"/>
          </w:tcPr>
          <w:p w14:paraId="34B45D92">
            <w:pPr>
              <w:spacing w:after="0" w:line="240" w:lineRule="auto"/>
              <w:ind w:left="1"/>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Internal Verifier: </w:t>
            </w:r>
          </w:p>
        </w:tc>
        <w:tc>
          <w:tcPr>
            <w:tcW w:w="2271" w:type="dxa"/>
            <w:tcBorders>
              <w:top w:val="single" w:color="000000" w:sz="4" w:space="0"/>
              <w:left w:val="single" w:color="000000" w:sz="4" w:space="0"/>
              <w:bottom w:val="single" w:color="000000" w:sz="4" w:space="0"/>
              <w:right w:val="single" w:color="000000" w:sz="4" w:space="0"/>
            </w:tcBorders>
            <w:vAlign w:val="center"/>
          </w:tcPr>
          <w:p w14:paraId="067666E2">
            <w:pPr>
              <w:spacing w:after="0" w:line="240" w:lineRule="auto"/>
              <w:ind w:left="5"/>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Patronella Ganza </w:t>
            </w:r>
          </w:p>
        </w:tc>
      </w:tr>
    </w:tbl>
    <w:p w14:paraId="07229442">
      <w:pPr>
        <w:spacing w:line="360" w:lineRule="auto"/>
        <w:jc w:val="center"/>
        <w:rPr>
          <w:rFonts w:ascii="Times New Roman" w:hAnsi="Times New Roman" w:cs="Times New Roman"/>
          <w:b/>
          <w:sz w:val="24"/>
          <w:szCs w:val="24"/>
        </w:rPr>
      </w:pPr>
    </w:p>
    <w:p w14:paraId="1F3D72A1">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hAnsiTheme="minorHAnsi" w:eastAsiaTheme="minorHAnsi" w:cstheme="minorBidi"/>
          <w:color w:val="auto"/>
          <w:sz w:val="22"/>
          <w:szCs w:val="22"/>
        </w:rPr>
        <w:id w:val="1528066285"/>
        <w:docPartObj>
          <w:docPartGallery w:val="Table of Contents"/>
          <w:docPartUnique/>
        </w:docPartObj>
      </w:sdtPr>
      <w:sdtEndPr>
        <w:rPr>
          <w:rFonts w:asciiTheme="minorHAnsi" w:hAnsiTheme="minorHAnsi" w:eastAsiaTheme="minorHAnsi" w:cstheme="minorBidi"/>
          <w:b/>
          <w:bCs/>
          <w:color w:val="auto"/>
          <w:sz w:val="22"/>
          <w:szCs w:val="22"/>
        </w:rPr>
      </w:sdtEndPr>
      <w:sdtContent>
        <w:p w14:paraId="48261494">
          <w:pPr>
            <w:pStyle w:val="19"/>
            <w:jc w:val="center"/>
          </w:pPr>
          <w:r>
            <w:t>Table of Contents</w:t>
          </w:r>
        </w:p>
        <w:p w14:paraId="49C8B658">
          <w:pPr>
            <w:pStyle w:val="9"/>
            <w:tabs>
              <w:tab w:val="right" w:leader="dot" w:pos="9350"/>
            </w:tabs>
            <w:rPr>
              <w:rFonts w:eastAsiaTheme="minorEastAsia"/>
              <w:kern w:val="2"/>
              <w:sz w:val="24"/>
              <w:szCs w:val="24"/>
              <w14:ligatures w14:val="standardContextual"/>
            </w:rPr>
          </w:pPr>
          <w:r>
            <w:fldChar w:fldCharType="begin"/>
          </w:r>
          <w:r>
            <w:instrText xml:space="preserve"> TOC \o "1-3" \h \z \u </w:instrText>
          </w:r>
          <w:r>
            <w:fldChar w:fldCharType="separate"/>
          </w:r>
          <w:r>
            <w:fldChar w:fldCharType="begin"/>
          </w:r>
          <w:r>
            <w:instrText xml:space="preserve"> HYPERLINK \l "_Toc213534028" </w:instrText>
          </w:r>
          <w:r>
            <w:fldChar w:fldCharType="separate"/>
          </w:r>
          <w:r>
            <w:rPr>
              <w:rStyle w:val="6"/>
              <w:rFonts w:ascii="Times New Roman" w:hAnsi="Times New Roman" w:cs="Times New Roman"/>
            </w:rPr>
            <w:t>Ambulance Response Time Delays and Their Effects on Patient Safety and Paramedic Practice</w:t>
          </w:r>
          <w:r>
            <w:tab/>
          </w:r>
          <w:r>
            <w:fldChar w:fldCharType="begin"/>
          </w:r>
          <w:r>
            <w:instrText xml:space="preserve"> PAGEREF _Toc213534028 \h </w:instrText>
          </w:r>
          <w:r>
            <w:fldChar w:fldCharType="separate"/>
          </w:r>
          <w:r>
            <w:t>3</w:t>
          </w:r>
          <w:r>
            <w:fldChar w:fldCharType="end"/>
          </w:r>
          <w:r>
            <w:fldChar w:fldCharType="end"/>
          </w:r>
        </w:p>
        <w:p w14:paraId="34082B41">
          <w:pPr>
            <w:pStyle w:val="9"/>
            <w:tabs>
              <w:tab w:val="right" w:leader="dot" w:pos="9350"/>
            </w:tabs>
            <w:rPr>
              <w:rFonts w:eastAsiaTheme="minorEastAsia"/>
              <w:kern w:val="2"/>
              <w:sz w:val="24"/>
              <w:szCs w:val="24"/>
              <w14:ligatures w14:val="standardContextual"/>
            </w:rPr>
          </w:pPr>
          <w:r>
            <w:fldChar w:fldCharType="begin"/>
          </w:r>
          <w:r>
            <w:instrText xml:space="preserve"> HYPERLINK \l "_Toc213534029" </w:instrText>
          </w:r>
          <w:r>
            <w:fldChar w:fldCharType="separate"/>
          </w:r>
          <w:r>
            <w:rPr>
              <w:rStyle w:val="6"/>
              <w:rFonts w:ascii="Times New Roman" w:hAnsi="Times New Roman" w:cs="Times New Roman"/>
            </w:rPr>
            <w:t>Introduction</w:t>
          </w:r>
          <w:r>
            <w:tab/>
          </w:r>
          <w:r>
            <w:fldChar w:fldCharType="begin"/>
          </w:r>
          <w:r>
            <w:instrText xml:space="preserve"> PAGEREF _Toc213534029 \h </w:instrText>
          </w:r>
          <w:r>
            <w:fldChar w:fldCharType="separate"/>
          </w:r>
          <w:r>
            <w:t>3</w:t>
          </w:r>
          <w:r>
            <w:fldChar w:fldCharType="end"/>
          </w:r>
          <w:r>
            <w:fldChar w:fldCharType="end"/>
          </w:r>
        </w:p>
        <w:p w14:paraId="38703BEC">
          <w:pPr>
            <w:pStyle w:val="9"/>
            <w:tabs>
              <w:tab w:val="right" w:leader="dot" w:pos="9350"/>
            </w:tabs>
            <w:rPr>
              <w:rFonts w:eastAsiaTheme="minorEastAsia"/>
              <w:kern w:val="2"/>
              <w:sz w:val="24"/>
              <w:szCs w:val="24"/>
              <w14:ligatures w14:val="standardContextual"/>
            </w:rPr>
          </w:pPr>
          <w:r>
            <w:fldChar w:fldCharType="begin"/>
          </w:r>
          <w:r>
            <w:instrText xml:space="preserve"> HYPERLINK \l "_Toc213534030" </w:instrText>
          </w:r>
          <w:r>
            <w:fldChar w:fldCharType="separate"/>
          </w:r>
          <w:r>
            <w:rPr>
              <w:rStyle w:val="6"/>
              <w:rFonts w:ascii="Times New Roman" w:hAnsi="Times New Roman" w:cs="Times New Roman"/>
            </w:rPr>
            <w:t>TASK 1: Ambulance Response Time Delays and Their Effects on Patient Safety and Paramedic Practice</w:t>
          </w:r>
          <w:r>
            <w:tab/>
          </w:r>
          <w:r>
            <w:fldChar w:fldCharType="begin"/>
          </w:r>
          <w:r>
            <w:instrText xml:space="preserve"> PAGEREF _Toc213534030 \h </w:instrText>
          </w:r>
          <w:r>
            <w:fldChar w:fldCharType="separate"/>
          </w:r>
          <w:r>
            <w:t>3</w:t>
          </w:r>
          <w:r>
            <w:fldChar w:fldCharType="end"/>
          </w:r>
          <w:r>
            <w:fldChar w:fldCharType="end"/>
          </w:r>
        </w:p>
        <w:p w14:paraId="44B7A85F">
          <w:pPr>
            <w:pStyle w:val="9"/>
            <w:tabs>
              <w:tab w:val="right" w:leader="dot" w:pos="9350"/>
            </w:tabs>
            <w:rPr>
              <w:rFonts w:eastAsiaTheme="minorEastAsia"/>
              <w:kern w:val="2"/>
              <w:sz w:val="24"/>
              <w:szCs w:val="24"/>
              <w14:ligatures w14:val="standardContextual"/>
            </w:rPr>
          </w:pPr>
          <w:r>
            <w:fldChar w:fldCharType="begin"/>
          </w:r>
          <w:r>
            <w:instrText xml:space="preserve"> HYPERLINK \l "_Toc213534031" </w:instrText>
          </w:r>
          <w:r>
            <w:fldChar w:fldCharType="separate"/>
          </w:r>
          <w:r>
            <w:rPr>
              <w:rStyle w:val="6"/>
              <w:rFonts w:ascii="Times New Roman" w:hAnsi="Times New Roman" w:cs="Times New Roman"/>
            </w:rPr>
            <w:t>TASK 2: Research Methodologies</w:t>
          </w:r>
          <w:r>
            <w:tab/>
          </w:r>
          <w:r>
            <w:fldChar w:fldCharType="begin"/>
          </w:r>
          <w:r>
            <w:instrText xml:space="preserve"> PAGEREF _Toc213534031 \h </w:instrText>
          </w:r>
          <w:r>
            <w:fldChar w:fldCharType="separate"/>
          </w:r>
          <w:r>
            <w:t>5</w:t>
          </w:r>
          <w:r>
            <w:fldChar w:fldCharType="end"/>
          </w:r>
          <w:r>
            <w:fldChar w:fldCharType="end"/>
          </w:r>
        </w:p>
        <w:p w14:paraId="54C323F8">
          <w:pPr>
            <w:pStyle w:val="9"/>
            <w:tabs>
              <w:tab w:val="right" w:leader="dot" w:pos="9350"/>
            </w:tabs>
            <w:rPr>
              <w:rFonts w:eastAsiaTheme="minorEastAsia"/>
              <w:kern w:val="2"/>
              <w:sz w:val="24"/>
              <w:szCs w:val="24"/>
              <w14:ligatures w14:val="standardContextual"/>
            </w:rPr>
          </w:pPr>
          <w:r>
            <w:fldChar w:fldCharType="begin"/>
          </w:r>
          <w:r>
            <w:instrText xml:space="preserve"> HYPERLINK \l "_Toc213534032" </w:instrText>
          </w:r>
          <w:r>
            <w:fldChar w:fldCharType="separate"/>
          </w:r>
          <w:r>
            <w:rPr>
              <w:rStyle w:val="6"/>
              <w:rFonts w:ascii="Times New Roman" w:hAnsi="Times New Roman" w:cs="Times New Roman"/>
            </w:rPr>
            <w:t>TASK 3: Data Collection</w:t>
          </w:r>
          <w:r>
            <w:tab/>
          </w:r>
          <w:r>
            <w:fldChar w:fldCharType="begin"/>
          </w:r>
          <w:r>
            <w:instrText xml:space="preserve"> PAGEREF _Toc213534032 \h </w:instrText>
          </w:r>
          <w:r>
            <w:fldChar w:fldCharType="separate"/>
          </w:r>
          <w:r>
            <w:t>6</w:t>
          </w:r>
          <w:r>
            <w:fldChar w:fldCharType="end"/>
          </w:r>
          <w:r>
            <w:fldChar w:fldCharType="end"/>
          </w:r>
        </w:p>
        <w:p w14:paraId="5D47CAAB">
          <w:pPr>
            <w:pStyle w:val="9"/>
            <w:tabs>
              <w:tab w:val="right" w:leader="dot" w:pos="9350"/>
            </w:tabs>
            <w:rPr>
              <w:rFonts w:eastAsiaTheme="minorEastAsia"/>
              <w:kern w:val="2"/>
              <w:sz w:val="24"/>
              <w:szCs w:val="24"/>
              <w14:ligatures w14:val="standardContextual"/>
            </w:rPr>
          </w:pPr>
          <w:r>
            <w:fldChar w:fldCharType="begin"/>
          </w:r>
          <w:r>
            <w:instrText xml:space="preserve"> HYPERLINK \l "_Toc213534033" </w:instrText>
          </w:r>
          <w:r>
            <w:fldChar w:fldCharType="separate"/>
          </w:r>
          <w:r>
            <w:rPr>
              <w:rStyle w:val="6"/>
              <w:rFonts w:ascii="Times New Roman" w:hAnsi="Times New Roman" w:cs="Times New Roman"/>
            </w:rPr>
            <w:t>Conclusion</w:t>
          </w:r>
          <w:r>
            <w:tab/>
          </w:r>
          <w:r>
            <w:fldChar w:fldCharType="begin"/>
          </w:r>
          <w:r>
            <w:instrText xml:space="preserve"> PAGEREF _Toc213534033 \h </w:instrText>
          </w:r>
          <w:r>
            <w:fldChar w:fldCharType="separate"/>
          </w:r>
          <w:r>
            <w:t>6</w:t>
          </w:r>
          <w:r>
            <w:fldChar w:fldCharType="end"/>
          </w:r>
          <w:r>
            <w:fldChar w:fldCharType="end"/>
          </w:r>
        </w:p>
        <w:p w14:paraId="2636D957">
          <w:pPr>
            <w:pStyle w:val="9"/>
            <w:tabs>
              <w:tab w:val="right" w:leader="dot" w:pos="9350"/>
            </w:tabs>
            <w:rPr>
              <w:rFonts w:eastAsiaTheme="minorEastAsia"/>
              <w:kern w:val="2"/>
              <w:sz w:val="24"/>
              <w:szCs w:val="24"/>
              <w14:ligatures w14:val="standardContextual"/>
            </w:rPr>
          </w:pPr>
          <w:r>
            <w:fldChar w:fldCharType="begin"/>
          </w:r>
          <w:r>
            <w:instrText xml:space="preserve"> HYPERLINK \l "_Toc213534034" </w:instrText>
          </w:r>
          <w:r>
            <w:fldChar w:fldCharType="separate"/>
          </w:r>
          <w:r>
            <w:rPr>
              <w:rStyle w:val="6"/>
              <w:rFonts w:ascii="Times New Roman" w:hAnsi="Times New Roman" w:cs="Times New Roman"/>
            </w:rPr>
            <w:t>Reference List</w:t>
          </w:r>
          <w:r>
            <w:tab/>
          </w:r>
          <w:r>
            <w:fldChar w:fldCharType="begin"/>
          </w:r>
          <w:r>
            <w:instrText xml:space="preserve"> PAGEREF _Toc213534034 \h </w:instrText>
          </w:r>
          <w:r>
            <w:fldChar w:fldCharType="separate"/>
          </w:r>
          <w:r>
            <w:t>8</w:t>
          </w:r>
          <w:r>
            <w:fldChar w:fldCharType="end"/>
          </w:r>
          <w:r>
            <w:fldChar w:fldCharType="end"/>
          </w:r>
        </w:p>
        <w:p w14:paraId="77F04216">
          <w:r>
            <w:rPr>
              <w:b/>
              <w:bCs/>
            </w:rPr>
            <w:fldChar w:fldCharType="end"/>
          </w:r>
        </w:p>
      </w:sdtContent>
    </w:sdt>
    <w:p w14:paraId="2E26715A">
      <w:pPr>
        <w:rPr>
          <w:rFonts w:ascii="Times New Roman" w:hAnsi="Times New Roman" w:cs="Times New Roman" w:eastAsiaTheme="majorEastAsia"/>
          <w:color w:val="2E75B6" w:themeColor="accent1" w:themeShade="BF"/>
          <w:sz w:val="24"/>
          <w:szCs w:val="24"/>
        </w:rPr>
      </w:pPr>
      <w:r>
        <w:rPr>
          <w:rFonts w:ascii="Times New Roman" w:hAnsi="Times New Roman" w:cs="Times New Roman"/>
          <w:sz w:val="24"/>
          <w:szCs w:val="24"/>
        </w:rPr>
        <w:br w:type="page"/>
      </w:r>
    </w:p>
    <w:p w14:paraId="6F906597">
      <w:pPr>
        <w:pStyle w:val="2"/>
        <w:jc w:val="center"/>
        <w:rPr>
          <w:rFonts w:ascii="Times New Roman" w:hAnsi="Times New Roman" w:cs="Times New Roman"/>
          <w:sz w:val="24"/>
          <w:szCs w:val="24"/>
        </w:rPr>
      </w:pPr>
      <w:bookmarkStart w:id="0" w:name="_Toc213534028"/>
      <w:r>
        <w:rPr>
          <w:rFonts w:ascii="Times New Roman" w:hAnsi="Times New Roman" w:cs="Times New Roman"/>
          <w:sz w:val="24"/>
          <w:szCs w:val="24"/>
        </w:rPr>
        <w:t>Ambulance Response Time Delays and Their Effects on Patient Safety and Paramedic Practice</w:t>
      </w:r>
      <w:bookmarkEnd w:id="0"/>
    </w:p>
    <w:p w14:paraId="7BEFAC1C">
      <w:pPr>
        <w:pStyle w:val="2"/>
        <w:rPr>
          <w:rFonts w:ascii="Times New Roman" w:hAnsi="Times New Roman" w:cs="Times New Roman"/>
          <w:sz w:val="24"/>
          <w:szCs w:val="24"/>
        </w:rPr>
      </w:pPr>
      <w:bookmarkStart w:id="1" w:name="_Toc213534029"/>
      <w:r>
        <w:rPr>
          <w:rFonts w:ascii="Times New Roman" w:hAnsi="Times New Roman" w:cs="Times New Roman"/>
          <w:sz w:val="24"/>
          <w:szCs w:val="24"/>
        </w:rPr>
        <w:t>Introduction</w:t>
      </w:r>
      <w:bookmarkEnd w:id="1"/>
    </w:p>
    <w:p w14:paraId="34AAA6BC">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This research report will focus on the issue of ambulance response-time delays and their impact on the safety of patients and paramedic practice in the UK. In most regions, it is taking paramedics longer to arrive at patients even in life-threatening situations, creating problems in patient safety, treatment outcome and increasing stress levels and workloads among paramedics. The report is supposed to describe the reasons why ambulance delays are a major issue and to determine the people who are affected. It will also address the research methods and data which can assist in the investigation of this problem and comprehend its effects better.</w:t>
      </w:r>
    </w:p>
    <w:p w14:paraId="11CB4634">
      <w:pPr>
        <w:pStyle w:val="2"/>
        <w:rPr>
          <w:rFonts w:ascii="Times New Roman" w:hAnsi="Times New Roman" w:cs="Times New Roman"/>
          <w:sz w:val="24"/>
          <w:szCs w:val="24"/>
        </w:rPr>
      </w:pPr>
      <w:bookmarkStart w:id="2" w:name="_Toc213534030"/>
      <w:r>
        <w:rPr>
          <w:rFonts w:ascii="Times New Roman" w:hAnsi="Times New Roman" w:cs="Times New Roman"/>
          <w:sz w:val="24"/>
          <w:szCs w:val="24"/>
        </w:rPr>
        <w:t>TASK 1: Ambulance Response Time Delays and Their Effects on Patient Safety and Paramedic Practice</w:t>
      </w:r>
      <w:bookmarkEnd w:id="2"/>
    </w:p>
    <w:p w14:paraId="3E50EC71">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Increasing delays in the ambulance response time and its impact on patient safety and the paramedical work have significantly influenced the health and social care sector in the UK (NHS England, 2025). Ambulance services play a crucial role in the emergency care unit by attending to urgent calls, stabilising patients on-scene, and transporting t</w:t>
      </w:r>
      <w:bookmarkStart w:id="7" w:name="_GoBack"/>
      <w:bookmarkEnd w:id="7"/>
      <w:r>
        <w:rPr>
          <w:rFonts w:ascii="Times New Roman" w:hAnsi="Times New Roman" w:cs="Times New Roman"/>
          <w:sz w:val="24"/>
          <w:szCs w:val="24"/>
        </w:rPr>
        <w:t>hem to hospital. When response times are extended, both patients and frontline practitioners may suffer. This issue affects patients who wait longer for life-saving care, paramedics who face operational strain, the ambulance organisations, and the hospital services that are needed to manage resource pressures.</w:t>
      </w:r>
    </w:p>
    <w:p w14:paraId="418B83B1">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Ambulance response time delays show in several ways. These include extended wait from call to arrival, longer on-scene times, and increased handover of patients into hospital emergency departments. For instance, national data indicate that the mean response standard for Category 1 incidents in England is 15 minutes. However, the performance is worse. Additionally, handover delays at hospital entry have been identified as a growing safety risk. The Association Chief Executives (AACE) reported that since April 2018 an average of 190,000 handovers each month exceeded the 15-minute target for transferring patients from ambulance to hospital staff. These delay come from issues like overcrowded A&amp;E departments, shortage of staff, high service demand, and strained social-care discharge route.</w:t>
      </w:r>
    </w:p>
    <w:p w14:paraId="2047F292">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The result of delayed ambulance response time is significant. Beginning from the patient, slower arrival may lead to clinical deterioration, increased risk of severe outcomes or mortality, and minimized chances of getting timely interventions (Wankhade, 2011). International evidence suggest that each additional minute of ambulance wait time can reduce survival probability after out of hospital cardiac arrest by about 5%. According to paramedic and organizational idea, delays hinder operational capacity, reduce available vehicles for new calls, increase job stress, and increase the risk of missed emergency calls. It is essential to look as the causes, range and impact of these days since the ambulance response time is part of urgent and emergency care.</w:t>
      </w:r>
    </w:p>
    <w:p w14:paraId="033199A5">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Research on this topic is important for various reasons. Firstly, the ambulance services within the UK operate under increasing pressure that challenge timely response. There is demand for 999 services, an ageing population, and rising problem of cases. Secondly, response time delays cross with hospital capacity issues and inefficient healthcare delivery. Overcrowded A&amp;E units and delayed discharges from hospital for example affect flow. They influence ambulance of-load times, thereby, reducing resource availability in the field. This aspect demands research that involves pre-hospital and hospital settings (Civil Service, 2025). Thirdly, paramedic practice is evolving. There is expansion of roles, new models of dispatch and treatment among others, meaning that traditional performance metric may not handle emerging issues. Therefore, conducting research on this topic will enable evidence-based recommendations to improve critical time care, management of workforce, and patient safety.</w:t>
      </w:r>
    </w:p>
    <w:p w14:paraId="20DFF0D0">
      <w:pPr>
        <w:spacing w:after="0" w:line="360" w:lineRule="auto"/>
        <w:rPr>
          <w:rFonts w:ascii="Times New Roman" w:hAnsi="Times New Roman" w:cs="Times New Roman"/>
          <w:sz w:val="24"/>
          <w:szCs w:val="24"/>
        </w:rPr>
      </w:pPr>
      <w:r>
        <w:rPr>
          <w:rFonts w:ascii="Times New Roman" w:hAnsi="Times New Roman" w:cs="Times New Roman"/>
          <w:sz w:val="24"/>
          <w:szCs w:val="24"/>
        </w:rPr>
        <w:t>Three relevant information sources support this research topic.</w:t>
      </w:r>
    </w:p>
    <w:p w14:paraId="4A2612F0">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Source 1: “Ambulance response times: The NH’S falling house of cards.” (Miller et al., 2024) This source shows recent analysis of UK ambulance response-time performance. It illustrates the gap between national targets and actual outcomes, especially for the most serious call-categories. It is relevant since it indicates the current seriousness of response-delay times in the UK. It was selected since it presents empirical data on the system-wide challenges facing ambulance services. It also establishes the urgency of response delays as a research focus.</w:t>
      </w:r>
    </w:p>
    <w:p w14:paraId="31B15495">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Source 2: “Why have ambulance waiting times been getting worse?” (Health Foundation, 2023). This report is from a health-policy research organization. It examines the underlying factors to increasing response times, including hospital handover delay, A&amp;E congestion, reduction in workforce, and system demand dynamics. It is important because it explores the root causes of response-time delays rather than simply documenting the standards. This source is relevant since it offers insight into organisational and systemic factors of delays that assists to justify research into interventions and practices. </w:t>
      </w:r>
    </w:p>
    <w:p w14:paraId="7B06B855">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Source 3: “Delayed hospital handovers: Impact assessment of patient harm.” (Association of Ambulance Chief Executives (AACE), 2021) This source is from the AACE and it presents structured clinical review of harm caused when ambulances wait excessive time for handover at emergency departments. It emphasises the patient-safety factors of ambulance delays entering hospital care. It was selected because it links delay not just to performance metrics but to substantial patient safety risks. Thereby, increasing the research focus to patient outcomes and paramedic operational effects.</w:t>
      </w:r>
    </w:p>
    <w:p w14:paraId="4BDA9DC6">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Combined, these sources provide solid grounding for investigating ambulance response-time delays by establishing the extent of the problem, exploring systematic cause, and connecting delays to negative patient and operational outcomes. They align well with the aims of the research topic and finding evidence gaps where further investigation is needed.</w:t>
      </w:r>
    </w:p>
    <w:p w14:paraId="1CE38960">
      <w:pPr>
        <w:pStyle w:val="2"/>
        <w:rPr>
          <w:rFonts w:ascii="Times New Roman" w:hAnsi="Times New Roman" w:cs="Times New Roman"/>
          <w:sz w:val="24"/>
          <w:szCs w:val="24"/>
        </w:rPr>
      </w:pPr>
      <w:bookmarkStart w:id="3" w:name="_Toc213534031"/>
      <w:r>
        <w:rPr>
          <w:rFonts w:ascii="Times New Roman" w:hAnsi="Times New Roman" w:cs="Times New Roman"/>
          <w:sz w:val="24"/>
          <w:szCs w:val="24"/>
        </w:rPr>
        <w:t>TASK 2: Research Methodologies</w:t>
      </w:r>
      <w:bookmarkEnd w:id="3"/>
    </w:p>
    <w:p w14:paraId="6019F68C">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The two main approaches to research are quantitative and qualitative methodologies. Quantitative research involves collecting data that can be expressed in numbers and analysed statistically (Qualtrics, 2023). It is structured and objective and often used to test hypotheses, measure variables, and draw generalisable conclusions. On the other hand, qualitatibe research explored meanings, experience and social aspect through words, observations or interviews. It is less structured, more flexible, and aims to provide depth. The differences between the two include the nature of data (numerical vs textual), the research design (Fixed and emergent), and the purpose (measuring and exploring).</w:t>
      </w:r>
    </w:p>
    <w:p w14:paraId="5F144E6C">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In this research topic related to an investigation into ambulances and response delays, I will adopt a mixed-methods methodology. This approach combines quantitative elements such as measuring response times, number of handover delates and their connection with outcomes and qualitative elements such as interviewing paramedics about their experiences when delays occur or exploring how delays affect patient safety/staff practice (Simply Psychology, 2023). The mixed-methods design is justified in this context because the topic has both measurable dimensions (response time statistics, resource data) and experiential dimensions (paramedic practice, perceptions of patient safety). If the research lacks quantitative component, it may neglect the scale and pattern of delays. Without the qualitative part, the human impact and professional context is likely to be under-analysed (Qualtrics, 2023). Therefore, both methods ensure a more in-depth understanding of causes, effects and possible interventions in ambulance response time delays.</w:t>
      </w:r>
    </w:p>
    <w:p w14:paraId="29115EDA">
      <w:pPr>
        <w:pStyle w:val="2"/>
        <w:rPr>
          <w:rFonts w:ascii="Times New Roman" w:hAnsi="Times New Roman" w:cs="Times New Roman"/>
          <w:sz w:val="24"/>
          <w:szCs w:val="24"/>
        </w:rPr>
      </w:pPr>
      <w:bookmarkStart w:id="4" w:name="_Toc213534032"/>
      <w:r>
        <w:rPr>
          <w:rFonts w:ascii="Times New Roman" w:hAnsi="Times New Roman" w:cs="Times New Roman"/>
          <w:sz w:val="24"/>
          <w:szCs w:val="24"/>
        </w:rPr>
        <w:t>TASK 3: Data Collection</w:t>
      </w:r>
      <w:bookmarkEnd w:id="4"/>
    </w:p>
    <w:p w14:paraId="1A708DF7">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Data collection in research can be categorized as either primary or secondary. Primary data is information collected directly by the research for the purpose of their specific study. This may incorporate surveys, interviews, observation or experience. It offers primary information and as such enables the researcher to delve into certain questions pertaining to the matter (Saunders et al., 2019). Conversely, the secondary data is information that has already been gathered by other researchers or organisations. This comprises published reports and scholarly articles, government statistics, and health service records. The advantage of secondary data is that it can be quite simple to obtain, relatively inexpensive, and can be compared over time and setting (Bryman, 2016).</w:t>
      </w:r>
    </w:p>
    <w:p w14:paraId="6B02FC1E">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In this study, I will adopt primary as well as secondary data. This will be as per the mixed-methods approach of the research methodologies. The primary data will consist of an interview with paramedics and staff in emergency care in order to know their experience of delay, their operational problems as well as the impact of patient care. The secondary data will consist of national statistics on ambulance responses, hospital handovers and published reports of organisations such as NHS England (NHS England, 2025).</w:t>
      </w:r>
    </w:p>
    <w:p w14:paraId="6C8EFE5C">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Such a mix of both techniques can be rationalised by the fact that the secondary data will enable the study to establish the trends, patterns, and magnitude of delays in the UK. Concerning primary data, it provides more insight into human and professional implications that statistics cannot provide (Saunders, 2019). These methods offer data sources that provide a comprehensive understanding on causes, effects, and potential ways to improve response performance and patient safety.</w:t>
      </w:r>
    </w:p>
    <w:p w14:paraId="44C10C2D">
      <w:pPr>
        <w:pStyle w:val="2"/>
        <w:rPr>
          <w:rFonts w:ascii="Times New Roman" w:hAnsi="Times New Roman" w:cs="Times New Roman"/>
          <w:sz w:val="24"/>
          <w:szCs w:val="24"/>
        </w:rPr>
      </w:pPr>
      <w:bookmarkStart w:id="5" w:name="_Toc213534033"/>
      <w:r>
        <w:rPr>
          <w:rFonts w:ascii="Times New Roman" w:hAnsi="Times New Roman" w:cs="Times New Roman"/>
          <w:sz w:val="24"/>
          <w:szCs w:val="24"/>
        </w:rPr>
        <w:t>Conclusion</w:t>
      </w:r>
      <w:bookmarkEnd w:id="5"/>
    </w:p>
    <w:p w14:paraId="7E89F3AF">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This research report has examined the problem of ambulance response -time delays and their impact on patient safety and paramedic practice in the UK. It was found that the following factors contribute to the delays, overcrowded A&amp;E departments, staff shortage, high demand of the emergency services and slow hospital handovers. Such delays accelerate the probability of clinical deterioration in patients and reduce their access to timely care. It is also evident that paramedics feel the strain of their operations, stress and less ability to respond to other emergencies, thereby compromising the overall service of the ambulance services. Through the mixed-method design, which integrates quantitative data with qualitative information, the study is given a detailed perception of the extent and the degree of the problem as well as its effects. By analysing these factors and impacts, the study shows the necessity of immediate measures to enhance responsiveness. It also emphasises the need to ensure that the staff is supported and that there is a safer and more effective emergency care throughout the UK.</w:t>
      </w:r>
    </w:p>
    <w:p w14:paraId="488EDB86">
      <w:pPr>
        <w:rPr>
          <w:rFonts w:ascii="Times New Roman" w:hAnsi="Times New Roman" w:cs="Times New Roman"/>
          <w:sz w:val="24"/>
          <w:szCs w:val="24"/>
        </w:rPr>
      </w:pPr>
      <w:r>
        <w:rPr>
          <w:rFonts w:ascii="Times New Roman" w:hAnsi="Times New Roman" w:cs="Times New Roman"/>
          <w:sz w:val="24"/>
          <w:szCs w:val="24"/>
        </w:rPr>
        <w:br w:type="page"/>
      </w:r>
    </w:p>
    <w:p w14:paraId="49A2FA46">
      <w:pPr>
        <w:pStyle w:val="2"/>
        <w:jc w:val="center"/>
        <w:rPr>
          <w:rFonts w:ascii="Times New Roman" w:hAnsi="Times New Roman" w:cs="Times New Roman"/>
          <w:sz w:val="24"/>
          <w:szCs w:val="24"/>
        </w:rPr>
      </w:pPr>
      <w:bookmarkStart w:id="6" w:name="_Toc213534034"/>
      <w:r>
        <w:rPr>
          <w:rFonts w:ascii="Times New Roman" w:hAnsi="Times New Roman" w:cs="Times New Roman"/>
          <w:sz w:val="24"/>
          <w:szCs w:val="24"/>
        </w:rPr>
        <w:t>Reference List</w:t>
      </w:r>
      <w:bookmarkEnd w:id="6"/>
    </w:p>
    <w:p w14:paraId="0C681DE2">
      <w:pPr>
        <w:pStyle w:val="11"/>
        <w:spacing w:before="240" w:beforeAutospacing="0" w:line="360" w:lineRule="auto"/>
      </w:pPr>
      <w:r>
        <w:t xml:space="preserve">Association of Ambulance Chief Executives (AACE). (2021). </w:t>
      </w:r>
      <w:r>
        <w:rPr>
          <w:rStyle w:val="5"/>
        </w:rPr>
        <w:t>Delayed hospital handovers: Impact assessment of patient harm.</w:t>
      </w:r>
      <w:r>
        <w:t xml:space="preserve"> Retrieved from: </w:t>
      </w:r>
      <w:r>
        <w:fldChar w:fldCharType="begin"/>
      </w:r>
      <w:r>
        <w:instrText xml:space="preserve"> HYPERLINK "https://aace.org.uk/wp-content/uploads/2021/11/AACE-Delayed-hospital-handovers-Impact-assessment-of-patient-harm-FINAL-Nov-2021.pdf?utm_source=chatgpt.com" \t "_new" </w:instrText>
      </w:r>
      <w:r>
        <w:fldChar w:fldCharType="separate"/>
      </w:r>
      <w:r>
        <w:rPr>
          <w:rStyle w:val="6"/>
        </w:rPr>
        <w:t>https://aace.org.uk/wp-content/uploads/2021/11/AACE-Delayed-hospital-handovers-Impact-assessment-of-patient-harm-FINAL-Nov-2021.pdf</w:t>
      </w:r>
      <w:r>
        <w:rPr>
          <w:rStyle w:val="6"/>
        </w:rPr>
        <w:fldChar w:fldCharType="end"/>
      </w:r>
    </w:p>
    <w:p w14:paraId="114F2166">
      <w:pPr>
        <w:spacing w:before="240"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Bryman, A. (2016). </w:t>
      </w:r>
      <w:r>
        <w:rPr>
          <w:rFonts w:ascii="Times New Roman" w:hAnsi="Times New Roman" w:cs="Times New Roman"/>
          <w:i/>
          <w:iCs/>
          <w:color w:val="222222"/>
          <w:sz w:val="24"/>
          <w:szCs w:val="24"/>
          <w:shd w:val="clear" w:color="auto" w:fill="FFFFFF"/>
        </w:rPr>
        <w:t>Social research methods</w:t>
      </w:r>
      <w:r>
        <w:rPr>
          <w:rFonts w:ascii="Times New Roman" w:hAnsi="Times New Roman" w:cs="Times New Roman"/>
          <w:color w:val="222222"/>
          <w:sz w:val="24"/>
          <w:szCs w:val="24"/>
          <w:shd w:val="clear" w:color="auto" w:fill="FFFFFF"/>
        </w:rPr>
        <w:t>. Oxford university press.</w:t>
      </w:r>
    </w:p>
    <w:p w14:paraId="23C105AC">
      <w:pPr>
        <w:pStyle w:val="11"/>
        <w:spacing w:before="240" w:beforeAutospacing="0" w:line="360" w:lineRule="auto"/>
      </w:pPr>
      <w:r>
        <w:t xml:space="preserve">Civil Service. (2025). </w:t>
      </w:r>
      <w:r>
        <w:rPr>
          <w:rStyle w:val="5"/>
        </w:rPr>
        <w:t>Summary of ambulance response time data in the UK.</w:t>
      </w:r>
      <w:r>
        <w:t xml:space="preserve"> Retrieved from: </w:t>
      </w:r>
      <w:r>
        <w:fldChar w:fldCharType="begin"/>
      </w:r>
      <w:r>
        <w:instrText xml:space="preserve"> HYPERLINK "https://analysisfunction.civilservice.gov.uk/government-statistical-service-and-statistician-group/user-facing-pages/health-and-care-statistics/summary-of-ambulance-response-time-data-in-the-uk/?utm_source=chatgpt.com" \t "_new" </w:instrText>
      </w:r>
      <w:r>
        <w:fldChar w:fldCharType="separate"/>
      </w:r>
      <w:r>
        <w:rPr>
          <w:rStyle w:val="6"/>
        </w:rPr>
        <w:t>https://analysisfunction.civilservice.gov.uk/government-statistical-service-and-statistician-group/user-facing-pages/health-and-care-statistics/summary-of-ambulance-response-time-data-in-the-uk/</w:t>
      </w:r>
      <w:r>
        <w:rPr>
          <w:rStyle w:val="6"/>
        </w:rPr>
        <w:fldChar w:fldCharType="end"/>
      </w:r>
    </w:p>
    <w:p w14:paraId="3F035321">
      <w:pPr>
        <w:pStyle w:val="11"/>
        <w:spacing w:before="240" w:beforeAutospacing="0" w:line="360" w:lineRule="auto"/>
      </w:pPr>
      <w:r>
        <w:t xml:space="preserve">Health Foundation. (2023). </w:t>
      </w:r>
      <w:r>
        <w:rPr>
          <w:rStyle w:val="5"/>
        </w:rPr>
        <w:t>Why have ambulance waiting times been getting worse?</w:t>
      </w:r>
      <w:r>
        <w:t xml:space="preserve"> Retrieved from: </w:t>
      </w:r>
      <w:r>
        <w:fldChar w:fldCharType="begin"/>
      </w:r>
      <w:r>
        <w:instrText xml:space="preserve"> HYPERLINK "https://www.health.org.uk/reports-and-analysis/analysis/why-have-ambulance-waiting-times-been-getting-worse?utm_source=chatgpt.com" \t "_new" </w:instrText>
      </w:r>
      <w:r>
        <w:fldChar w:fldCharType="separate"/>
      </w:r>
      <w:r>
        <w:rPr>
          <w:rStyle w:val="6"/>
        </w:rPr>
        <w:t>https://www.health.org.uk/reports-and-analysis/analysis/why-have-ambulance-waiting-times-been-getting-worse</w:t>
      </w:r>
      <w:r>
        <w:rPr>
          <w:rStyle w:val="6"/>
        </w:rPr>
        <w:fldChar w:fldCharType="end"/>
      </w:r>
    </w:p>
    <w:p w14:paraId="7D98E2F0">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 Miller, T., et al. (2024). </w:t>
      </w:r>
      <w:r>
        <w:rPr>
          <w:rStyle w:val="5"/>
          <w:rFonts w:ascii="Times New Roman" w:hAnsi="Times New Roman" w:cs="Times New Roman"/>
          <w:sz w:val="24"/>
          <w:szCs w:val="24"/>
        </w:rPr>
        <w:t>Ambulance response times: The NHS’s falling house of cards.</w:t>
      </w:r>
      <w:r>
        <w:rPr>
          <w:rFonts w:ascii="Times New Roman" w:hAnsi="Times New Roman" w:cs="Times New Roman"/>
          <w:sz w:val="24"/>
          <w:szCs w:val="24"/>
        </w:rPr>
        <w:t xml:space="preserve"> PMC Article. Retrieved from: </w:t>
      </w:r>
      <w:r>
        <w:fldChar w:fldCharType="begin"/>
      </w:r>
      <w:r>
        <w:instrText xml:space="preserve"> HYPERLINK "https://pmc.ncbi.nlm.nih.gov/articles/PMC9423059/?utm_source=chatgpt.com" \t "_new" </w:instrText>
      </w:r>
      <w:r>
        <w:fldChar w:fldCharType="separate"/>
      </w:r>
      <w:r>
        <w:rPr>
          <w:rStyle w:val="6"/>
          <w:rFonts w:ascii="Times New Roman" w:hAnsi="Times New Roman" w:cs="Times New Roman"/>
          <w:sz w:val="24"/>
          <w:szCs w:val="24"/>
        </w:rPr>
        <w:t>https://pmc.ncbi.nlm.nih.gov/articles/PMC9423059/</w:t>
      </w:r>
      <w:r>
        <w:rPr>
          <w:rStyle w:val="6"/>
          <w:rFonts w:ascii="Times New Roman" w:hAnsi="Times New Roman" w:cs="Times New Roman"/>
          <w:sz w:val="24"/>
          <w:szCs w:val="24"/>
        </w:rPr>
        <w:fldChar w:fldCharType="end"/>
      </w:r>
    </w:p>
    <w:p w14:paraId="6D471C1A">
      <w:pPr>
        <w:pStyle w:val="11"/>
        <w:spacing w:before="240" w:beforeAutospacing="0" w:line="360" w:lineRule="auto"/>
      </w:pPr>
      <w:r>
        <w:t xml:space="preserve">NHS England. (2025). </w:t>
      </w:r>
      <w:r>
        <w:rPr>
          <w:rStyle w:val="5"/>
        </w:rPr>
        <w:t>Ambulance Quality Indicators.</w:t>
      </w:r>
      <w:r>
        <w:t xml:space="preserve"> Retrieved from: </w:t>
      </w:r>
      <w:r>
        <w:fldChar w:fldCharType="begin"/>
      </w:r>
      <w:r>
        <w:instrText xml:space="preserve"> HYPERLINK "https://www.england.nhs.uk/statistics/statistical-work-areas/ambulance-quality-indicators/?utm_source=chatgpt.com" \t "_new" </w:instrText>
      </w:r>
      <w:r>
        <w:fldChar w:fldCharType="separate"/>
      </w:r>
      <w:r>
        <w:rPr>
          <w:rStyle w:val="6"/>
        </w:rPr>
        <w:t>https://www.england.nhs.uk/statistics/statistical-work-areas/ambulance-quality-indicators/</w:t>
      </w:r>
      <w:r>
        <w:rPr>
          <w:rStyle w:val="6"/>
        </w:rPr>
        <w:fldChar w:fldCharType="end"/>
      </w:r>
    </w:p>
    <w:p w14:paraId="5C0E08A8">
      <w:pPr>
        <w:pStyle w:val="11"/>
        <w:spacing w:before="240" w:beforeAutospacing="0" w:line="360" w:lineRule="auto"/>
      </w:pPr>
      <w:r>
        <w:t xml:space="preserve">Qualtrics. (2023). </w:t>
      </w:r>
      <w:r>
        <w:rPr>
          <w:rStyle w:val="5"/>
        </w:rPr>
        <w:t>Qualitative vs Quantitative Research Methods.</w:t>
      </w:r>
      <w:r>
        <w:t xml:space="preserve"> Retrieved from: </w:t>
      </w:r>
      <w:r>
        <w:fldChar w:fldCharType="begin"/>
      </w:r>
      <w:r>
        <w:instrText xml:space="preserve"> HYPERLINK "https://www.qualtrics.com/articles/strategy-research/qualitative-vs-quantitative-research/?utm_source=chatgpt.com" \t "_new" </w:instrText>
      </w:r>
      <w:r>
        <w:fldChar w:fldCharType="separate"/>
      </w:r>
      <w:r>
        <w:rPr>
          <w:rStyle w:val="6"/>
        </w:rPr>
        <w:t>https://www.qualtrics.com/articles/strategy-research/qualitative-vs-quantitative-research/</w:t>
      </w:r>
      <w:r>
        <w:rPr>
          <w:rStyle w:val="6"/>
        </w:rPr>
        <w:fldChar w:fldCharType="end"/>
      </w:r>
    </w:p>
    <w:p w14:paraId="216EEE93">
      <w:pPr>
        <w:spacing w:before="240"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Saunders, M. N., Lewis, P., and Thornhill, A. (2019). Research methods for business students (Eighth). </w:t>
      </w:r>
      <w:r>
        <w:rPr>
          <w:rFonts w:ascii="Times New Roman" w:hAnsi="Times New Roman" w:cs="Times New Roman"/>
          <w:i/>
          <w:iCs/>
          <w:color w:val="222222"/>
          <w:sz w:val="24"/>
          <w:szCs w:val="24"/>
          <w:shd w:val="clear" w:color="auto" w:fill="FFFFFF"/>
        </w:rPr>
        <w:t>Harlow: Pearson education limited</w:t>
      </w:r>
      <w:r>
        <w:rPr>
          <w:rFonts w:ascii="Times New Roman" w:hAnsi="Times New Roman" w:cs="Times New Roman"/>
          <w:color w:val="222222"/>
          <w:sz w:val="24"/>
          <w:szCs w:val="24"/>
          <w:shd w:val="clear" w:color="auto" w:fill="FFFFFF"/>
        </w:rPr>
        <w:t>.</w:t>
      </w:r>
    </w:p>
    <w:p w14:paraId="37C33334">
      <w:pPr>
        <w:pStyle w:val="11"/>
        <w:spacing w:before="240" w:beforeAutospacing="0" w:line="360" w:lineRule="auto"/>
      </w:pPr>
      <w:r>
        <w:t xml:space="preserve">Simply Psychology. (2023). </w:t>
      </w:r>
      <w:r>
        <w:rPr>
          <w:rStyle w:val="5"/>
        </w:rPr>
        <w:t>Qualitative vs Quantitative Research.</w:t>
      </w:r>
      <w:r>
        <w:t xml:space="preserve"> Retrieved from: </w:t>
      </w:r>
      <w:r>
        <w:fldChar w:fldCharType="begin"/>
      </w:r>
      <w:r>
        <w:instrText xml:space="preserve"> HYPERLINK "https://www.simplypsychology.org/qualitative-quantitative.html?utm_source=chatgpt.com" \t "_new" </w:instrText>
      </w:r>
      <w:r>
        <w:fldChar w:fldCharType="separate"/>
      </w:r>
      <w:r>
        <w:rPr>
          <w:rStyle w:val="6"/>
        </w:rPr>
        <w:t>https://www.simplypsychology.org/qualitative-quantitative.html</w:t>
      </w:r>
      <w:r>
        <w:rPr>
          <w:rStyle w:val="6"/>
        </w:rPr>
        <w:fldChar w:fldCharType="end"/>
      </w:r>
    </w:p>
    <w:p w14:paraId="56901566">
      <w:pPr>
        <w:pStyle w:val="11"/>
        <w:spacing w:before="240" w:beforeAutospacing="0" w:line="360" w:lineRule="auto"/>
      </w:pPr>
      <w:r>
        <w:t xml:space="preserve">Wankhade, P. (2011). </w:t>
      </w:r>
      <w:r>
        <w:rPr>
          <w:rStyle w:val="5"/>
        </w:rPr>
        <w:t>Performance measurement and the UK emergency ambulance service: Unintended consequences of the ambulance response time targets.</w:t>
      </w:r>
      <w:r>
        <w:t xml:space="preserve"> International Journal of Public Sector Management, 24(5), 382</w:t>
      </w:r>
      <w:r>
        <w:noBreakHyphen/>
      </w:r>
      <w:r>
        <w:t xml:space="preserve">402. Retrieved from: </w:t>
      </w:r>
      <w:r>
        <w:fldChar w:fldCharType="begin"/>
      </w:r>
      <w:r>
        <w:instrText xml:space="preserve"> HYPERLINK "https://research.edgehill.ac.uk/files/22844848/IJPSM_2011_paper_accepted_version.pdf?utm_source=chatgpt.com" \t "_new" </w:instrText>
      </w:r>
      <w:r>
        <w:fldChar w:fldCharType="separate"/>
      </w:r>
      <w:r>
        <w:rPr>
          <w:rStyle w:val="6"/>
        </w:rPr>
        <w:t>https://research.edgehill.ac.uk/files/22844848/IJPSM_2011_paper_accepted_version.pdf</w:t>
      </w:r>
      <w:r>
        <w:rPr>
          <w:rStyle w:val="6"/>
        </w:rPr>
        <w:fldChar w:fldCharType="end"/>
      </w: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Courier New">
    <w:panose1 w:val="02070309020205020404"/>
    <w:charset w:val="00"/>
    <w:family w:val="modern"/>
    <w:pitch w:val="default"/>
    <w:sig w:usb0="E0002EFF" w:usb1="C0007843" w:usb2="00000009" w:usb3="00000000" w:csb0="400001FF" w:csb1="FFFF0000"/>
  </w:font>
  <w:font w:name="黑体">
    <w:altName w:val="SimSun"/>
    <w:panose1 w:val="02010609060101010101"/>
    <w:charset w:val="86"/>
    <w:family w:val="modern"/>
    <w:pitch w:val="default"/>
    <w:sig w:usb0="800002BF" w:usb1="38CF7CFA" w:usb2="00000016" w:usb3="00000000" w:csb0="00040001" w:csb1="0000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B3AA400">
    <w:pPr>
      <w:pStyle w:val="8"/>
      <w:jc w:val="right"/>
      <w:rPr>
        <w:rFonts w:ascii="Times New Roman" w:hAnsi="Times New Roman" w:cs="Times New Roman"/>
        <w:sz w:val="24"/>
        <w:szCs w:val="24"/>
      </w:rPr>
    </w:pPr>
    <w:r>
      <w:rPr>
        <w:rFonts w:ascii="Times New Roman" w:hAnsi="Times New Roman" w:cs="Times New Roman"/>
        <w:sz w:val="28"/>
        <w:szCs w:val="28"/>
      </w:rPr>
      <w:drawing>
        <wp:anchor distT="0" distB="0" distL="114300" distR="114300" simplePos="0" relativeHeight="251659264" behindDoc="1" locked="0" layoutInCell="1" allowOverlap="1">
          <wp:simplePos x="0" y="0"/>
          <wp:positionH relativeFrom="column">
            <wp:posOffset>-768350</wp:posOffset>
          </wp:positionH>
          <wp:positionV relativeFrom="paragraph">
            <wp:posOffset>-387350</wp:posOffset>
          </wp:positionV>
          <wp:extent cx="1809750" cy="723900"/>
          <wp:effectExtent l="0" t="0" r="0" b="0"/>
          <wp:wrapNone/>
          <wp:docPr id="299" name="Picture 299"/>
          <wp:cNvGraphicFramePr/>
          <a:graphic xmlns:a="http://schemas.openxmlformats.org/drawingml/2006/main">
            <a:graphicData uri="http://schemas.openxmlformats.org/drawingml/2006/picture">
              <pic:pic xmlns:pic="http://schemas.openxmlformats.org/drawingml/2006/picture">
                <pic:nvPicPr>
                  <pic:cNvPr id="299" name="Picture 299"/>
                  <pic:cNvPicPr/>
                </pic:nvPicPr>
                <pic:blipFill>
                  <a:blip r:embed="rId1">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anchor>
      </w:drawing>
    </w:r>
    <w:sdt>
      <w:sdtPr>
        <w:rPr>
          <w:rFonts w:ascii="Times New Roman" w:hAnsi="Times New Roman" w:cs="Times New Roman"/>
          <w:sz w:val="24"/>
          <w:szCs w:val="24"/>
        </w:rPr>
        <w:id w:val="952138531"/>
        <w:docPartObj>
          <w:docPartGallery w:val="AutoText"/>
        </w:docPartObj>
      </w:sdtPr>
      <w:sdtEndPr>
        <w:rPr>
          <w:rFonts w:ascii="Times New Roman" w:hAnsi="Times New Roman" w:cs="Times New Roman"/>
          <w:sz w:val="24"/>
          <w:szCs w:val="24"/>
        </w:r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p>
  <w:p w14:paraId="63B25689">
    <w:pPr>
      <w:pStyle w:val="8"/>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2BB5"/>
    <w:rsid w:val="000017FB"/>
    <w:rsid w:val="000837C9"/>
    <w:rsid w:val="000E5B51"/>
    <w:rsid w:val="00142D44"/>
    <w:rsid w:val="0033394F"/>
    <w:rsid w:val="004F6732"/>
    <w:rsid w:val="005C610B"/>
    <w:rsid w:val="005E7B52"/>
    <w:rsid w:val="006444C2"/>
    <w:rsid w:val="006F2556"/>
    <w:rsid w:val="0079248D"/>
    <w:rsid w:val="007C0346"/>
    <w:rsid w:val="007C25ED"/>
    <w:rsid w:val="009E3155"/>
    <w:rsid w:val="00A41D4E"/>
    <w:rsid w:val="00A857C4"/>
    <w:rsid w:val="00AE14F3"/>
    <w:rsid w:val="00B133EB"/>
    <w:rsid w:val="00B64689"/>
    <w:rsid w:val="00BF782B"/>
    <w:rsid w:val="00C369A1"/>
    <w:rsid w:val="00C570D0"/>
    <w:rsid w:val="00CB0E6C"/>
    <w:rsid w:val="00CF6BD8"/>
    <w:rsid w:val="00D005F4"/>
    <w:rsid w:val="00D579D3"/>
    <w:rsid w:val="00E02BE9"/>
    <w:rsid w:val="00E203FC"/>
    <w:rsid w:val="00F31E89"/>
    <w:rsid w:val="00F72BB5"/>
    <w:rsid w:val="00FE76FF"/>
    <w:rsid w:val="00FF78FE"/>
    <w:rsid w:val="682564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8"/>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character" w:styleId="5">
    <w:name w:val="Emphasis"/>
    <w:basedOn w:val="3"/>
    <w:qFormat/>
    <w:uiPriority w:val="20"/>
    <w:rPr>
      <w:i/>
      <w:iCs/>
    </w:rPr>
  </w:style>
  <w:style w:type="character" w:styleId="6">
    <w:name w:val="Hyperlink"/>
    <w:basedOn w:val="3"/>
    <w:unhideWhenUsed/>
    <w:uiPriority w:val="99"/>
    <w:rPr>
      <w:color w:val="0000FF"/>
      <w:u w:val="single"/>
    </w:rPr>
  </w:style>
  <w:style w:type="character" w:styleId="7">
    <w:name w:val="Strong"/>
    <w:basedOn w:val="3"/>
    <w:qFormat/>
    <w:uiPriority w:val="22"/>
    <w:rPr>
      <w:b/>
      <w:bCs/>
    </w:rPr>
  </w:style>
  <w:style w:type="paragraph" w:styleId="8">
    <w:name w:val="header"/>
    <w:basedOn w:val="1"/>
    <w:link w:val="15"/>
    <w:unhideWhenUsed/>
    <w:uiPriority w:val="99"/>
    <w:pPr>
      <w:tabs>
        <w:tab w:val="center" w:pos="4680"/>
        <w:tab w:val="right" w:pos="9360"/>
      </w:tabs>
      <w:spacing w:after="0" w:line="240" w:lineRule="auto"/>
    </w:pPr>
  </w:style>
  <w:style w:type="paragraph" w:styleId="9">
    <w:name w:val="toc 1"/>
    <w:basedOn w:val="1"/>
    <w:next w:val="1"/>
    <w:autoRedefine/>
    <w:unhideWhenUsed/>
    <w:qFormat/>
    <w:uiPriority w:val="39"/>
    <w:pPr>
      <w:spacing w:after="100"/>
    </w:pPr>
  </w:style>
  <w:style w:type="paragraph" w:styleId="10">
    <w:name w:val="footer"/>
    <w:basedOn w:val="1"/>
    <w:link w:val="16"/>
    <w:unhideWhenUsed/>
    <w:qFormat/>
    <w:uiPriority w:val="99"/>
    <w:pPr>
      <w:tabs>
        <w:tab w:val="center" w:pos="4680"/>
        <w:tab w:val="right" w:pos="9360"/>
      </w:tabs>
      <w:spacing w:after="0" w:line="240" w:lineRule="auto"/>
    </w:pPr>
  </w:style>
  <w:style w:type="paragraph" w:styleId="11">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customStyle="1" w:styleId="12">
    <w:name w:val="ms-1"/>
    <w:basedOn w:val="3"/>
    <w:uiPriority w:val="0"/>
  </w:style>
  <w:style w:type="character" w:customStyle="1" w:styleId="13">
    <w:name w:val="max-w-[15ch]"/>
    <w:basedOn w:val="3"/>
    <w:uiPriority w:val="0"/>
  </w:style>
  <w:style w:type="character" w:customStyle="1" w:styleId="14">
    <w:name w:val="-me-1"/>
    <w:basedOn w:val="3"/>
    <w:uiPriority w:val="0"/>
  </w:style>
  <w:style w:type="character" w:customStyle="1" w:styleId="15">
    <w:name w:val="Header Char"/>
    <w:basedOn w:val="3"/>
    <w:link w:val="8"/>
    <w:qFormat/>
    <w:uiPriority w:val="99"/>
  </w:style>
  <w:style w:type="character" w:customStyle="1" w:styleId="16">
    <w:name w:val="Footer Char"/>
    <w:basedOn w:val="3"/>
    <w:link w:val="10"/>
    <w:qFormat/>
    <w:uiPriority w:val="99"/>
  </w:style>
  <w:style w:type="table" w:customStyle="1" w:styleId="17">
    <w:name w:val="TableGrid"/>
    <w:qFormat/>
    <w:uiPriority w:val="0"/>
    <w:pPr>
      <w:spacing w:after="0" w:line="240" w:lineRule="auto"/>
    </w:pPr>
    <w:rPr>
      <w:rFonts w:eastAsiaTheme="minorEastAsia"/>
      <w:kern w:val="2"/>
      <w:sz w:val="24"/>
      <w:szCs w:val="24"/>
      <w14:ligatures w14:val="standardContextual"/>
    </w:rPr>
    <w:tblPr>
      <w:tblCellMar>
        <w:top w:w="0" w:type="dxa"/>
        <w:left w:w="0" w:type="dxa"/>
        <w:bottom w:w="0" w:type="dxa"/>
        <w:right w:w="0" w:type="dxa"/>
      </w:tblCellMar>
    </w:tblPr>
  </w:style>
  <w:style w:type="character" w:customStyle="1" w:styleId="18">
    <w:name w:val="Heading 1 Char"/>
    <w:basedOn w:val="3"/>
    <w:link w:val="2"/>
    <w:qFormat/>
    <w:uiPriority w:val="9"/>
    <w:rPr>
      <w:rFonts w:asciiTheme="majorHAnsi" w:hAnsiTheme="majorHAnsi" w:eastAsiaTheme="majorEastAsia" w:cstheme="majorBidi"/>
      <w:color w:val="2E75B6" w:themeColor="accent1" w:themeShade="BF"/>
      <w:sz w:val="32"/>
      <w:szCs w:val="32"/>
    </w:rPr>
  </w:style>
  <w:style w:type="paragraph" w:customStyle="1" w:styleId="19">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7AE2E-9A66-4873-9FD9-6655CEA3B617}">
  <ds:schemaRefs/>
</ds:datastoreItem>
</file>

<file path=docProps/app.xml><?xml version="1.0" encoding="utf-8"?>
<Properties xmlns="http://schemas.openxmlformats.org/officeDocument/2006/extended-properties" xmlns:vt="http://schemas.openxmlformats.org/officeDocument/2006/docPropsVTypes">
  <Template>Normal</Template>
  <Pages>9</Pages>
  <Words>2317</Words>
  <Characters>13208</Characters>
  <Lines>110</Lines>
  <Paragraphs>30</Paragraphs>
  <TotalTime>173</TotalTime>
  <ScaleCrop>false</ScaleCrop>
  <LinksUpToDate>false</LinksUpToDate>
  <CharactersWithSpaces>15495</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2025-11-08T13:20:00Z</dcterms:created>
  <dc:creator>VOLODMYR</dc:creator>
  <cp:lastModifiedBy>mrjag</cp:lastModifiedBy>
  <dcterms:modified xsi:type="dcterms:W3CDTF">2025-12-11T20:45:51Z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1049-12.2.0.23155</vt:lpwstr>
  </property>
  <property fmtid="{D5CDD505-2E9C-101B-9397-08002B2CF9AE}" pid="3" name="ICV">
    <vt:lpwstr>3B3A385824C34E52B2D36E247CE35F1E_13</vt:lpwstr>
  </property>
</Properties>
</file>