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0B5083" w14:textId="77777777" w:rsidR="00E907BD" w:rsidRPr="00EA0AEB" w:rsidRDefault="00E907BD" w:rsidP="00EA0AEB">
      <w:pPr>
        <w:spacing w:line="480" w:lineRule="auto"/>
        <w:jc w:val="both"/>
        <w:rPr>
          <w:rFonts w:ascii="Arial" w:hAnsi="Arial" w:cs="Arial"/>
          <w:sz w:val="24"/>
          <w:szCs w:val="24"/>
        </w:rPr>
      </w:pPr>
    </w:p>
    <w:p w14:paraId="633CEA93" w14:textId="77777777" w:rsidR="00EB437C" w:rsidRPr="00EA0AEB" w:rsidRDefault="00EB437C" w:rsidP="00EA0AEB">
      <w:pPr>
        <w:spacing w:line="480" w:lineRule="auto"/>
        <w:jc w:val="both"/>
        <w:rPr>
          <w:rFonts w:ascii="Arial" w:hAnsi="Arial" w:cs="Arial"/>
          <w:sz w:val="24"/>
          <w:szCs w:val="24"/>
        </w:rPr>
      </w:pPr>
    </w:p>
    <w:p w14:paraId="20BA30CC" w14:textId="77777777" w:rsidR="00EB437C" w:rsidRPr="00EA0AEB" w:rsidRDefault="00EB437C" w:rsidP="00EA0AEB">
      <w:pPr>
        <w:spacing w:line="480" w:lineRule="auto"/>
        <w:jc w:val="both"/>
        <w:rPr>
          <w:rFonts w:ascii="Arial" w:hAnsi="Arial" w:cs="Arial"/>
          <w:sz w:val="24"/>
          <w:szCs w:val="24"/>
        </w:rPr>
      </w:pPr>
    </w:p>
    <w:p w14:paraId="601A71BF" w14:textId="0891789C" w:rsidR="00EB437C" w:rsidRDefault="00622533" w:rsidP="00622533">
      <w:pPr>
        <w:pStyle w:val="Heading1"/>
      </w:pPr>
      <w:r>
        <w:t>international financial Management</w:t>
      </w:r>
    </w:p>
    <w:p w14:paraId="5BEC053A" w14:textId="77777777" w:rsidR="00622533" w:rsidRDefault="00622533" w:rsidP="00622533"/>
    <w:p w14:paraId="4FCCB9C9" w14:textId="77777777" w:rsidR="00622533" w:rsidRDefault="00622533" w:rsidP="00622533"/>
    <w:p w14:paraId="200B621D" w14:textId="2AC89F4B" w:rsidR="00622533" w:rsidRPr="00622533" w:rsidRDefault="00622533" w:rsidP="00622533">
      <w:pPr>
        <w:jc w:val="center"/>
        <w:rPr>
          <w:rFonts w:ascii="Bahnschrift SemiBold Condensed" w:hAnsi="Bahnschrift SemiBold Condensed"/>
          <w:sz w:val="40"/>
          <w:szCs w:val="40"/>
        </w:rPr>
      </w:pPr>
      <w:proofErr w:type="gramStart"/>
      <w:r w:rsidRPr="00622533">
        <w:rPr>
          <w:rFonts w:ascii="Bahnschrift SemiBold Condensed" w:hAnsi="Bahnschrift SemiBold Condensed"/>
          <w:sz w:val="40"/>
          <w:szCs w:val="40"/>
        </w:rPr>
        <w:t>by</w:t>
      </w:r>
      <w:proofErr w:type="gramEnd"/>
    </w:p>
    <w:p w14:paraId="7C0027F0" w14:textId="57BB825C" w:rsidR="00622533" w:rsidRPr="00622533" w:rsidRDefault="00622533" w:rsidP="00622533">
      <w:pPr>
        <w:jc w:val="center"/>
        <w:rPr>
          <w:rFonts w:ascii="Bahnschrift SemiBold Condensed" w:hAnsi="Bahnschrift SemiBold Condensed"/>
          <w:sz w:val="40"/>
          <w:szCs w:val="40"/>
        </w:rPr>
      </w:pPr>
      <w:bookmarkStart w:id="0" w:name="_GoBack"/>
      <w:bookmarkEnd w:id="0"/>
      <w:proofErr w:type="spellStart"/>
      <w:r w:rsidRPr="00622533">
        <w:rPr>
          <w:rFonts w:ascii="Bahnschrift SemiBold Condensed" w:hAnsi="Bahnschrift SemiBold Condensed"/>
          <w:sz w:val="40"/>
          <w:szCs w:val="40"/>
        </w:rPr>
        <w:t>Lyubomir</w:t>
      </w:r>
      <w:proofErr w:type="spellEnd"/>
      <w:r w:rsidRPr="00622533">
        <w:rPr>
          <w:rFonts w:ascii="Bahnschrift SemiBold Condensed" w:hAnsi="Bahnschrift SemiBold Condensed"/>
          <w:sz w:val="40"/>
          <w:szCs w:val="40"/>
        </w:rPr>
        <w:t xml:space="preserve"> </w:t>
      </w:r>
      <w:proofErr w:type="spellStart"/>
      <w:r w:rsidRPr="00622533">
        <w:rPr>
          <w:rFonts w:ascii="Bahnschrift SemiBold Condensed" w:hAnsi="Bahnschrift SemiBold Condensed"/>
          <w:sz w:val="40"/>
          <w:szCs w:val="40"/>
        </w:rPr>
        <w:t>Malamov</w:t>
      </w:r>
      <w:proofErr w:type="spellEnd"/>
    </w:p>
    <w:p w14:paraId="2D090CD0" w14:textId="77777777" w:rsidR="00622533" w:rsidRPr="00622533" w:rsidRDefault="00622533" w:rsidP="00622533">
      <w:pPr>
        <w:jc w:val="center"/>
        <w:rPr>
          <w:rFonts w:ascii="Bahnschrift SemiBold Condensed" w:hAnsi="Bahnschrift SemiBold Condensed"/>
          <w:sz w:val="40"/>
          <w:szCs w:val="40"/>
        </w:rPr>
      </w:pPr>
    </w:p>
    <w:p w14:paraId="7DCC20BF" w14:textId="77777777" w:rsidR="00622533" w:rsidRPr="00622533" w:rsidRDefault="00622533" w:rsidP="00622533">
      <w:pPr>
        <w:jc w:val="center"/>
        <w:rPr>
          <w:rFonts w:ascii="Bahnschrift SemiBold Condensed" w:hAnsi="Bahnschrift SemiBold Condensed"/>
          <w:sz w:val="40"/>
          <w:szCs w:val="40"/>
        </w:rPr>
      </w:pPr>
    </w:p>
    <w:p w14:paraId="1B11370D" w14:textId="37BE9E4A" w:rsidR="00622533" w:rsidRPr="00622533" w:rsidRDefault="00622533" w:rsidP="00622533">
      <w:pPr>
        <w:jc w:val="center"/>
        <w:rPr>
          <w:rFonts w:ascii="Bahnschrift SemiBold Condensed" w:hAnsi="Bahnschrift SemiBold Condensed"/>
          <w:sz w:val="40"/>
          <w:szCs w:val="40"/>
        </w:rPr>
      </w:pPr>
      <w:r w:rsidRPr="00622533">
        <w:rPr>
          <w:rFonts w:ascii="Bahnschrift SemiBold Condensed" w:hAnsi="Bahnschrift SemiBold Condensed"/>
          <w:sz w:val="40"/>
          <w:szCs w:val="40"/>
        </w:rPr>
        <w:t>BABM Level 6 Term 1</w:t>
      </w:r>
    </w:p>
    <w:p w14:paraId="10BE2FCE" w14:textId="6B3C9CC4" w:rsidR="00EB437C" w:rsidRPr="00EA0AEB" w:rsidRDefault="00EB437C" w:rsidP="00EA0AEB">
      <w:pPr>
        <w:spacing w:line="480" w:lineRule="auto"/>
        <w:jc w:val="both"/>
        <w:rPr>
          <w:rFonts w:ascii="Arial" w:hAnsi="Arial" w:cs="Arial"/>
          <w:sz w:val="24"/>
          <w:szCs w:val="24"/>
        </w:rPr>
      </w:pPr>
      <w:r w:rsidRPr="00EA0AEB">
        <w:rPr>
          <w:rFonts w:ascii="Arial" w:hAnsi="Arial" w:cs="Arial"/>
          <w:sz w:val="24"/>
          <w:szCs w:val="24"/>
        </w:rPr>
        <w:br w:type="page"/>
      </w:r>
    </w:p>
    <w:sdt>
      <w:sdtPr>
        <w:rPr>
          <w:rFonts w:ascii="Arial" w:eastAsiaTheme="minorHAnsi" w:hAnsi="Arial" w:cs="Arial"/>
          <w:caps w:val="0"/>
          <w:color w:val="auto"/>
          <w:spacing w:val="0"/>
          <w:sz w:val="24"/>
          <w:szCs w:val="24"/>
          <w:lang w:val="en-AU"/>
        </w:rPr>
        <w:id w:val="-311483502"/>
        <w:docPartObj>
          <w:docPartGallery w:val="Table of Contents"/>
          <w:docPartUnique/>
        </w:docPartObj>
      </w:sdtPr>
      <w:sdtEndPr>
        <w:rPr>
          <w:rFonts w:eastAsiaTheme="majorEastAsia"/>
          <w:b/>
          <w:bCs/>
          <w:noProof/>
          <w:lang w:val="en-IN"/>
        </w:rPr>
      </w:sdtEndPr>
      <w:sdtContent>
        <w:p w14:paraId="0DC8F602" w14:textId="14936C8D" w:rsidR="003B38D4" w:rsidRPr="00EA0AEB" w:rsidRDefault="003B38D4" w:rsidP="00EA0AEB">
          <w:pPr>
            <w:pStyle w:val="TOCHeading"/>
            <w:spacing w:line="480" w:lineRule="auto"/>
            <w:jc w:val="both"/>
            <w:rPr>
              <w:rFonts w:ascii="Arial" w:hAnsi="Arial" w:cs="Arial"/>
              <w:b/>
              <w:bCs/>
              <w:color w:val="auto"/>
              <w:sz w:val="24"/>
              <w:szCs w:val="24"/>
            </w:rPr>
          </w:pPr>
          <w:r w:rsidRPr="00EA0AEB">
            <w:rPr>
              <w:rFonts w:ascii="Arial" w:hAnsi="Arial" w:cs="Arial"/>
              <w:b/>
              <w:bCs/>
              <w:color w:val="auto"/>
              <w:sz w:val="24"/>
              <w:szCs w:val="24"/>
            </w:rPr>
            <w:t>Table of Contents</w:t>
          </w:r>
        </w:p>
        <w:p w14:paraId="5D1C5448" w14:textId="41310A39" w:rsidR="003B38D4" w:rsidRPr="00EA0AEB" w:rsidRDefault="003B38D4" w:rsidP="00EA0AEB">
          <w:pPr>
            <w:pStyle w:val="TOC1"/>
            <w:tabs>
              <w:tab w:val="right" w:leader="dot" w:pos="9016"/>
            </w:tabs>
            <w:spacing w:line="480" w:lineRule="auto"/>
            <w:jc w:val="both"/>
            <w:rPr>
              <w:rFonts w:ascii="Arial" w:eastAsiaTheme="minorEastAsia" w:hAnsi="Arial" w:cs="Arial"/>
              <w:noProof/>
              <w:sz w:val="24"/>
              <w:szCs w:val="24"/>
              <w:lang w:eastAsia="en-IN"/>
            </w:rPr>
          </w:pPr>
          <w:r w:rsidRPr="00EA0AEB">
            <w:rPr>
              <w:rFonts w:ascii="Arial" w:hAnsi="Arial" w:cs="Arial"/>
              <w:sz w:val="24"/>
              <w:szCs w:val="24"/>
            </w:rPr>
            <w:fldChar w:fldCharType="begin"/>
          </w:r>
          <w:r w:rsidRPr="00EA0AEB">
            <w:rPr>
              <w:rFonts w:ascii="Arial" w:hAnsi="Arial" w:cs="Arial"/>
              <w:sz w:val="24"/>
              <w:szCs w:val="24"/>
            </w:rPr>
            <w:instrText xml:space="preserve"> TOC \o "1-3" \h \z \u </w:instrText>
          </w:r>
          <w:r w:rsidRPr="00EA0AEB">
            <w:rPr>
              <w:rFonts w:ascii="Arial" w:hAnsi="Arial" w:cs="Arial"/>
              <w:sz w:val="24"/>
              <w:szCs w:val="24"/>
            </w:rPr>
            <w:fldChar w:fldCharType="separate"/>
          </w:r>
          <w:hyperlink w:anchor="_Toc134128248" w:history="1">
            <w:r w:rsidRPr="00EA0AEB">
              <w:rPr>
                <w:rStyle w:val="Hyperlink"/>
                <w:rFonts w:ascii="Arial" w:hAnsi="Arial" w:cs="Arial"/>
                <w:noProof/>
                <w:sz w:val="24"/>
                <w:szCs w:val="24"/>
              </w:rPr>
              <w:t>Dividend Discount Model (DDM):</w:t>
            </w:r>
            <w:r w:rsidRPr="00EA0AEB">
              <w:rPr>
                <w:rFonts w:ascii="Arial" w:hAnsi="Arial" w:cs="Arial"/>
                <w:noProof/>
                <w:webHidden/>
                <w:sz w:val="24"/>
                <w:szCs w:val="24"/>
              </w:rPr>
              <w:tab/>
            </w:r>
            <w:r w:rsidRPr="00EA0AEB">
              <w:rPr>
                <w:rFonts w:ascii="Arial" w:hAnsi="Arial" w:cs="Arial"/>
                <w:noProof/>
                <w:webHidden/>
                <w:sz w:val="24"/>
                <w:szCs w:val="24"/>
              </w:rPr>
              <w:fldChar w:fldCharType="begin"/>
            </w:r>
            <w:r w:rsidRPr="00EA0AEB">
              <w:rPr>
                <w:rFonts w:ascii="Arial" w:hAnsi="Arial" w:cs="Arial"/>
                <w:noProof/>
                <w:webHidden/>
                <w:sz w:val="24"/>
                <w:szCs w:val="24"/>
              </w:rPr>
              <w:instrText xml:space="preserve"> PAGEREF _Toc134128248 \h </w:instrText>
            </w:r>
            <w:r w:rsidRPr="00EA0AEB">
              <w:rPr>
                <w:rFonts w:ascii="Arial" w:hAnsi="Arial" w:cs="Arial"/>
                <w:noProof/>
                <w:webHidden/>
                <w:sz w:val="24"/>
                <w:szCs w:val="24"/>
              </w:rPr>
            </w:r>
            <w:r w:rsidRPr="00EA0AEB">
              <w:rPr>
                <w:rFonts w:ascii="Arial" w:hAnsi="Arial" w:cs="Arial"/>
                <w:noProof/>
                <w:webHidden/>
                <w:sz w:val="24"/>
                <w:szCs w:val="24"/>
              </w:rPr>
              <w:fldChar w:fldCharType="separate"/>
            </w:r>
            <w:r w:rsidRPr="00EA0AEB">
              <w:rPr>
                <w:rFonts w:ascii="Arial" w:hAnsi="Arial" w:cs="Arial"/>
                <w:noProof/>
                <w:webHidden/>
                <w:sz w:val="24"/>
                <w:szCs w:val="24"/>
              </w:rPr>
              <w:t>3</w:t>
            </w:r>
            <w:r w:rsidRPr="00EA0AEB">
              <w:rPr>
                <w:rFonts w:ascii="Arial" w:hAnsi="Arial" w:cs="Arial"/>
                <w:noProof/>
                <w:webHidden/>
                <w:sz w:val="24"/>
                <w:szCs w:val="24"/>
              </w:rPr>
              <w:fldChar w:fldCharType="end"/>
            </w:r>
          </w:hyperlink>
        </w:p>
        <w:p w14:paraId="22DA2680" w14:textId="4B83DAB9" w:rsidR="003B38D4" w:rsidRPr="00EA0AEB" w:rsidRDefault="007378A4" w:rsidP="00EA0AEB">
          <w:pPr>
            <w:pStyle w:val="TOC2"/>
            <w:tabs>
              <w:tab w:val="right" w:leader="dot" w:pos="9016"/>
            </w:tabs>
            <w:spacing w:line="480" w:lineRule="auto"/>
            <w:jc w:val="both"/>
            <w:rPr>
              <w:rFonts w:ascii="Arial" w:eastAsiaTheme="minorEastAsia" w:hAnsi="Arial" w:cs="Arial"/>
              <w:noProof/>
              <w:sz w:val="24"/>
              <w:szCs w:val="24"/>
              <w:lang w:eastAsia="en-IN"/>
            </w:rPr>
          </w:pPr>
          <w:hyperlink w:anchor="_Toc134128249" w:history="1">
            <w:r w:rsidR="003B38D4" w:rsidRPr="00EA0AEB">
              <w:rPr>
                <w:rStyle w:val="Hyperlink"/>
                <w:rFonts w:ascii="Arial" w:hAnsi="Arial" w:cs="Arial"/>
                <w:noProof/>
                <w:sz w:val="24"/>
                <w:szCs w:val="24"/>
              </w:rPr>
              <w:t>Stable Dividend Policy:</w:t>
            </w:r>
            <w:r w:rsidR="003B38D4" w:rsidRPr="00EA0AEB">
              <w:rPr>
                <w:rFonts w:ascii="Arial" w:hAnsi="Arial" w:cs="Arial"/>
                <w:noProof/>
                <w:webHidden/>
                <w:sz w:val="24"/>
                <w:szCs w:val="24"/>
              </w:rPr>
              <w:tab/>
            </w:r>
            <w:r w:rsidR="003B38D4" w:rsidRPr="00EA0AEB">
              <w:rPr>
                <w:rFonts w:ascii="Arial" w:hAnsi="Arial" w:cs="Arial"/>
                <w:noProof/>
                <w:webHidden/>
                <w:sz w:val="24"/>
                <w:szCs w:val="24"/>
              </w:rPr>
              <w:fldChar w:fldCharType="begin"/>
            </w:r>
            <w:r w:rsidR="003B38D4" w:rsidRPr="00EA0AEB">
              <w:rPr>
                <w:rFonts w:ascii="Arial" w:hAnsi="Arial" w:cs="Arial"/>
                <w:noProof/>
                <w:webHidden/>
                <w:sz w:val="24"/>
                <w:szCs w:val="24"/>
              </w:rPr>
              <w:instrText xml:space="preserve"> PAGEREF _Toc134128249 \h </w:instrText>
            </w:r>
            <w:r w:rsidR="003B38D4" w:rsidRPr="00EA0AEB">
              <w:rPr>
                <w:rFonts w:ascii="Arial" w:hAnsi="Arial" w:cs="Arial"/>
                <w:noProof/>
                <w:webHidden/>
                <w:sz w:val="24"/>
                <w:szCs w:val="24"/>
              </w:rPr>
            </w:r>
            <w:r w:rsidR="003B38D4" w:rsidRPr="00EA0AEB">
              <w:rPr>
                <w:rFonts w:ascii="Arial" w:hAnsi="Arial" w:cs="Arial"/>
                <w:noProof/>
                <w:webHidden/>
                <w:sz w:val="24"/>
                <w:szCs w:val="24"/>
              </w:rPr>
              <w:fldChar w:fldCharType="separate"/>
            </w:r>
            <w:r w:rsidR="003B38D4" w:rsidRPr="00EA0AEB">
              <w:rPr>
                <w:rFonts w:ascii="Arial" w:hAnsi="Arial" w:cs="Arial"/>
                <w:noProof/>
                <w:webHidden/>
                <w:sz w:val="24"/>
                <w:szCs w:val="24"/>
              </w:rPr>
              <w:t>3</w:t>
            </w:r>
            <w:r w:rsidR="003B38D4" w:rsidRPr="00EA0AEB">
              <w:rPr>
                <w:rFonts w:ascii="Arial" w:hAnsi="Arial" w:cs="Arial"/>
                <w:noProof/>
                <w:webHidden/>
                <w:sz w:val="24"/>
                <w:szCs w:val="24"/>
              </w:rPr>
              <w:fldChar w:fldCharType="end"/>
            </w:r>
          </w:hyperlink>
        </w:p>
        <w:p w14:paraId="2603B5E6" w14:textId="03CB3FDD" w:rsidR="003B38D4" w:rsidRPr="00EA0AEB" w:rsidRDefault="007378A4" w:rsidP="00EA0AEB">
          <w:pPr>
            <w:pStyle w:val="TOC2"/>
            <w:tabs>
              <w:tab w:val="right" w:leader="dot" w:pos="9016"/>
            </w:tabs>
            <w:spacing w:line="480" w:lineRule="auto"/>
            <w:jc w:val="both"/>
            <w:rPr>
              <w:rFonts w:ascii="Arial" w:eastAsiaTheme="minorEastAsia" w:hAnsi="Arial" w:cs="Arial"/>
              <w:noProof/>
              <w:sz w:val="24"/>
              <w:szCs w:val="24"/>
              <w:lang w:eastAsia="en-IN"/>
            </w:rPr>
          </w:pPr>
          <w:hyperlink w:anchor="_Toc134128250" w:history="1">
            <w:r w:rsidR="003B38D4" w:rsidRPr="00EA0AEB">
              <w:rPr>
                <w:rStyle w:val="Hyperlink"/>
                <w:rFonts w:ascii="Arial" w:hAnsi="Arial" w:cs="Arial"/>
                <w:noProof/>
                <w:sz w:val="24"/>
                <w:szCs w:val="24"/>
              </w:rPr>
              <w:t>Constant Dividend Policy:</w:t>
            </w:r>
            <w:r w:rsidR="003B38D4" w:rsidRPr="00EA0AEB">
              <w:rPr>
                <w:rFonts w:ascii="Arial" w:hAnsi="Arial" w:cs="Arial"/>
                <w:noProof/>
                <w:webHidden/>
                <w:sz w:val="24"/>
                <w:szCs w:val="24"/>
              </w:rPr>
              <w:tab/>
            </w:r>
            <w:r w:rsidR="003B38D4" w:rsidRPr="00EA0AEB">
              <w:rPr>
                <w:rFonts w:ascii="Arial" w:hAnsi="Arial" w:cs="Arial"/>
                <w:noProof/>
                <w:webHidden/>
                <w:sz w:val="24"/>
                <w:szCs w:val="24"/>
              </w:rPr>
              <w:fldChar w:fldCharType="begin"/>
            </w:r>
            <w:r w:rsidR="003B38D4" w:rsidRPr="00EA0AEB">
              <w:rPr>
                <w:rFonts w:ascii="Arial" w:hAnsi="Arial" w:cs="Arial"/>
                <w:noProof/>
                <w:webHidden/>
                <w:sz w:val="24"/>
                <w:szCs w:val="24"/>
              </w:rPr>
              <w:instrText xml:space="preserve"> PAGEREF _Toc134128250 \h </w:instrText>
            </w:r>
            <w:r w:rsidR="003B38D4" w:rsidRPr="00EA0AEB">
              <w:rPr>
                <w:rFonts w:ascii="Arial" w:hAnsi="Arial" w:cs="Arial"/>
                <w:noProof/>
                <w:webHidden/>
                <w:sz w:val="24"/>
                <w:szCs w:val="24"/>
              </w:rPr>
            </w:r>
            <w:r w:rsidR="003B38D4" w:rsidRPr="00EA0AEB">
              <w:rPr>
                <w:rFonts w:ascii="Arial" w:hAnsi="Arial" w:cs="Arial"/>
                <w:noProof/>
                <w:webHidden/>
                <w:sz w:val="24"/>
                <w:szCs w:val="24"/>
              </w:rPr>
              <w:fldChar w:fldCharType="separate"/>
            </w:r>
            <w:r w:rsidR="003B38D4" w:rsidRPr="00EA0AEB">
              <w:rPr>
                <w:rFonts w:ascii="Arial" w:hAnsi="Arial" w:cs="Arial"/>
                <w:noProof/>
                <w:webHidden/>
                <w:sz w:val="24"/>
                <w:szCs w:val="24"/>
              </w:rPr>
              <w:t>3</w:t>
            </w:r>
            <w:r w:rsidR="003B38D4" w:rsidRPr="00EA0AEB">
              <w:rPr>
                <w:rFonts w:ascii="Arial" w:hAnsi="Arial" w:cs="Arial"/>
                <w:noProof/>
                <w:webHidden/>
                <w:sz w:val="24"/>
                <w:szCs w:val="24"/>
              </w:rPr>
              <w:fldChar w:fldCharType="end"/>
            </w:r>
          </w:hyperlink>
        </w:p>
        <w:p w14:paraId="7765F146" w14:textId="4A3AF6C0" w:rsidR="003B38D4" w:rsidRPr="00EA0AEB" w:rsidRDefault="007378A4" w:rsidP="00EA0AEB">
          <w:pPr>
            <w:pStyle w:val="TOC2"/>
            <w:tabs>
              <w:tab w:val="right" w:leader="dot" w:pos="9016"/>
            </w:tabs>
            <w:spacing w:line="480" w:lineRule="auto"/>
            <w:jc w:val="both"/>
            <w:rPr>
              <w:rFonts w:ascii="Arial" w:eastAsiaTheme="minorEastAsia" w:hAnsi="Arial" w:cs="Arial"/>
              <w:noProof/>
              <w:sz w:val="24"/>
              <w:szCs w:val="24"/>
              <w:lang w:eastAsia="en-IN"/>
            </w:rPr>
          </w:pPr>
          <w:hyperlink w:anchor="_Toc134128251" w:history="1">
            <w:r w:rsidR="003B38D4" w:rsidRPr="00EA0AEB">
              <w:rPr>
                <w:rStyle w:val="Hyperlink"/>
                <w:rFonts w:ascii="Arial" w:hAnsi="Arial" w:cs="Arial"/>
                <w:noProof/>
                <w:sz w:val="24"/>
                <w:szCs w:val="24"/>
              </w:rPr>
              <w:t>Residual Dividend Policy:</w:t>
            </w:r>
            <w:r w:rsidR="003B38D4" w:rsidRPr="00EA0AEB">
              <w:rPr>
                <w:rFonts w:ascii="Arial" w:hAnsi="Arial" w:cs="Arial"/>
                <w:noProof/>
                <w:webHidden/>
                <w:sz w:val="24"/>
                <w:szCs w:val="24"/>
              </w:rPr>
              <w:tab/>
            </w:r>
            <w:r w:rsidR="003B38D4" w:rsidRPr="00EA0AEB">
              <w:rPr>
                <w:rFonts w:ascii="Arial" w:hAnsi="Arial" w:cs="Arial"/>
                <w:noProof/>
                <w:webHidden/>
                <w:sz w:val="24"/>
                <w:szCs w:val="24"/>
              </w:rPr>
              <w:fldChar w:fldCharType="begin"/>
            </w:r>
            <w:r w:rsidR="003B38D4" w:rsidRPr="00EA0AEB">
              <w:rPr>
                <w:rFonts w:ascii="Arial" w:hAnsi="Arial" w:cs="Arial"/>
                <w:noProof/>
                <w:webHidden/>
                <w:sz w:val="24"/>
                <w:szCs w:val="24"/>
              </w:rPr>
              <w:instrText xml:space="preserve"> PAGEREF _Toc134128251 \h </w:instrText>
            </w:r>
            <w:r w:rsidR="003B38D4" w:rsidRPr="00EA0AEB">
              <w:rPr>
                <w:rFonts w:ascii="Arial" w:hAnsi="Arial" w:cs="Arial"/>
                <w:noProof/>
                <w:webHidden/>
                <w:sz w:val="24"/>
                <w:szCs w:val="24"/>
              </w:rPr>
            </w:r>
            <w:r w:rsidR="003B38D4" w:rsidRPr="00EA0AEB">
              <w:rPr>
                <w:rFonts w:ascii="Arial" w:hAnsi="Arial" w:cs="Arial"/>
                <w:noProof/>
                <w:webHidden/>
                <w:sz w:val="24"/>
                <w:szCs w:val="24"/>
              </w:rPr>
              <w:fldChar w:fldCharType="separate"/>
            </w:r>
            <w:r w:rsidR="003B38D4" w:rsidRPr="00EA0AEB">
              <w:rPr>
                <w:rFonts w:ascii="Arial" w:hAnsi="Arial" w:cs="Arial"/>
                <w:noProof/>
                <w:webHidden/>
                <w:sz w:val="24"/>
                <w:szCs w:val="24"/>
              </w:rPr>
              <w:t>4</w:t>
            </w:r>
            <w:r w:rsidR="003B38D4" w:rsidRPr="00EA0AEB">
              <w:rPr>
                <w:rFonts w:ascii="Arial" w:hAnsi="Arial" w:cs="Arial"/>
                <w:noProof/>
                <w:webHidden/>
                <w:sz w:val="24"/>
                <w:szCs w:val="24"/>
              </w:rPr>
              <w:fldChar w:fldCharType="end"/>
            </w:r>
          </w:hyperlink>
        </w:p>
        <w:p w14:paraId="1CE5F787" w14:textId="514BDB39" w:rsidR="003B38D4" w:rsidRPr="00EA0AEB" w:rsidRDefault="007378A4" w:rsidP="00EA0AEB">
          <w:pPr>
            <w:pStyle w:val="TOC1"/>
            <w:tabs>
              <w:tab w:val="right" w:leader="dot" w:pos="9016"/>
            </w:tabs>
            <w:spacing w:line="480" w:lineRule="auto"/>
            <w:jc w:val="both"/>
            <w:rPr>
              <w:rFonts w:ascii="Arial" w:eastAsiaTheme="minorEastAsia" w:hAnsi="Arial" w:cs="Arial"/>
              <w:noProof/>
              <w:sz w:val="24"/>
              <w:szCs w:val="24"/>
              <w:lang w:eastAsia="en-IN"/>
            </w:rPr>
          </w:pPr>
          <w:hyperlink w:anchor="_Toc134128252" w:history="1">
            <w:r w:rsidR="003B38D4" w:rsidRPr="00EA0AEB">
              <w:rPr>
                <w:rStyle w:val="Hyperlink"/>
                <w:rFonts w:ascii="Arial" w:hAnsi="Arial" w:cs="Arial"/>
                <w:noProof/>
                <w:sz w:val="24"/>
                <w:szCs w:val="24"/>
              </w:rPr>
              <w:t>The Efficient Market Hypothesis (EMH):</w:t>
            </w:r>
            <w:r w:rsidR="003B38D4" w:rsidRPr="00EA0AEB">
              <w:rPr>
                <w:rFonts w:ascii="Arial" w:hAnsi="Arial" w:cs="Arial"/>
                <w:noProof/>
                <w:webHidden/>
                <w:sz w:val="24"/>
                <w:szCs w:val="24"/>
              </w:rPr>
              <w:tab/>
            </w:r>
            <w:r w:rsidR="003B38D4" w:rsidRPr="00EA0AEB">
              <w:rPr>
                <w:rFonts w:ascii="Arial" w:hAnsi="Arial" w:cs="Arial"/>
                <w:noProof/>
                <w:webHidden/>
                <w:sz w:val="24"/>
                <w:szCs w:val="24"/>
              </w:rPr>
              <w:fldChar w:fldCharType="begin"/>
            </w:r>
            <w:r w:rsidR="003B38D4" w:rsidRPr="00EA0AEB">
              <w:rPr>
                <w:rFonts w:ascii="Arial" w:hAnsi="Arial" w:cs="Arial"/>
                <w:noProof/>
                <w:webHidden/>
                <w:sz w:val="24"/>
                <w:szCs w:val="24"/>
              </w:rPr>
              <w:instrText xml:space="preserve"> PAGEREF _Toc134128252 \h </w:instrText>
            </w:r>
            <w:r w:rsidR="003B38D4" w:rsidRPr="00EA0AEB">
              <w:rPr>
                <w:rFonts w:ascii="Arial" w:hAnsi="Arial" w:cs="Arial"/>
                <w:noProof/>
                <w:webHidden/>
                <w:sz w:val="24"/>
                <w:szCs w:val="24"/>
              </w:rPr>
            </w:r>
            <w:r w:rsidR="003B38D4" w:rsidRPr="00EA0AEB">
              <w:rPr>
                <w:rFonts w:ascii="Arial" w:hAnsi="Arial" w:cs="Arial"/>
                <w:noProof/>
                <w:webHidden/>
                <w:sz w:val="24"/>
                <w:szCs w:val="24"/>
              </w:rPr>
              <w:fldChar w:fldCharType="separate"/>
            </w:r>
            <w:r w:rsidR="003B38D4" w:rsidRPr="00EA0AEB">
              <w:rPr>
                <w:rFonts w:ascii="Arial" w:hAnsi="Arial" w:cs="Arial"/>
                <w:noProof/>
                <w:webHidden/>
                <w:sz w:val="24"/>
                <w:szCs w:val="24"/>
              </w:rPr>
              <w:t>4</w:t>
            </w:r>
            <w:r w:rsidR="003B38D4" w:rsidRPr="00EA0AEB">
              <w:rPr>
                <w:rFonts w:ascii="Arial" w:hAnsi="Arial" w:cs="Arial"/>
                <w:noProof/>
                <w:webHidden/>
                <w:sz w:val="24"/>
                <w:szCs w:val="24"/>
              </w:rPr>
              <w:fldChar w:fldCharType="end"/>
            </w:r>
          </w:hyperlink>
        </w:p>
        <w:p w14:paraId="3D55BB81" w14:textId="506B0BA9" w:rsidR="003B38D4" w:rsidRPr="00EA0AEB" w:rsidRDefault="007378A4" w:rsidP="00EA0AEB">
          <w:pPr>
            <w:pStyle w:val="TOC1"/>
            <w:tabs>
              <w:tab w:val="right" w:leader="dot" w:pos="9016"/>
            </w:tabs>
            <w:spacing w:line="480" w:lineRule="auto"/>
            <w:jc w:val="both"/>
            <w:rPr>
              <w:rFonts w:ascii="Arial" w:eastAsiaTheme="minorEastAsia" w:hAnsi="Arial" w:cs="Arial"/>
              <w:noProof/>
              <w:sz w:val="24"/>
              <w:szCs w:val="24"/>
              <w:lang w:eastAsia="en-IN"/>
            </w:rPr>
          </w:pPr>
          <w:hyperlink w:anchor="_Toc134128253" w:history="1">
            <w:r w:rsidR="003B38D4" w:rsidRPr="00EA0AEB">
              <w:rPr>
                <w:rStyle w:val="Hyperlink"/>
                <w:rFonts w:ascii="Arial" w:hAnsi="Arial" w:cs="Arial"/>
                <w:noProof/>
                <w:sz w:val="24"/>
                <w:szCs w:val="24"/>
              </w:rPr>
              <w:t>Appraising Project:</w:t>
            </w:r>
            <w:r w:rsidR="003B38D4" w:rsidRPr="00EA0AEB">
              <w:rPr>
                <w:rFonts w:ascii="Arial" w:hAnsi="Arial" w:cs="Arial"/>
                <w:noProof/>
                <w:webHidden/>
                <w:sz w:val="24"/>
                <w:szCs w:val="24"/>
              </w:rPr>
              <w:tab/>
            </w:r>
            <w:r w:rsidR="003B38D4" w:rsidRPr="00EA0AEB">
              <w:rPr>
                <w:rFonts w:ascii="Arial" w:hAnsi="Arial" w:cs="Arial"/>
                <w:noProof/>
                <w:webHidden/>
                <w:sz w:val="24"/>
                <w:szCs w:val="24"/>
              </w:rPr>
              <w:fldChar w:fldCharType="begin"/>
            </w:r>
            <w:r w:rsidR="003B38D4" w:rsidRPr="00EA0AEB">
              <w:rPr>
                <w:rFonts w:ascii="Arial" w:hAnsi="Arial" w:cs="Arial"/>
                <w:noProof/>
                <w:webHidden/>
                <w:sz w:val="24"/>
                <w:szCs w:val="24"/>
              </w:rPr>
              <w:instrText xml:space="preserve"> PAGEREF _Toc134128253 \h </w:instrText>
            </w:r>
            <w:r w:rsidR="003B38D4" w:rsidRPr="00EA0AEB">
              <w:rPr>
                <w:rFonts w:ascii="Arial" w:hAnsi="Arial" w:cs="Arial"/>
                <w:noProof/>
                <w:webHidden/>
                <w:sz w:val="24"/>
                <w:szCs w:val="24"/>
              </w:rPr>
            </w:r>
            <w:r w:rsidR="003B38D4" w:rsidRPr="00EA0AEB">
              <w:rPr>
                <w:rFonts w:ascii="Arial" w:hAnsi="Arial" w:cs="Arial"/>
                <w:noProof/>
                <w:webHidden/>
                <w:sz w:val="24"/>
                <w:szCs w:val="24"/>
              </w:rPr>
              <w:fldChar w:fldCharType="separate"/>
            </w:r>
            <w:r w:rsidR="003B38D4" w:rsidRPr="00EA0AEB">
              <w:rPr>
                <w:rFonts w:ascii="Arial" w:hAnsi="Arial" w:cs="Arial"/>
                <w:noProof/>
                <w:webHidden/>
                <w:sz w:val="24"/>
                <w:szCs w:val="24"/>
              </w:rPr>
              <w:t>6</w:t>
            </w:r>
            <w:r w:rsidR="003B38D4" w:rsidRPr="00EA0AEB">
              <w:rPr>
                <w:rFonts w:ascii="Arial" w:hAnsi="Arial" w:cs="Arial"/>
                <w:noProof/>
                <w:webHidden/>
                <w:sz w:val="24"/>
                <w:szCs w:val="24"/>
              </w:rPr>
              <w:fldChar w:fldCharType="end"/>
            </w:r>
          </w:hyperlink>
        </w:p>
        <w:p w14:paraId="1D0705F4" w14:textId="46D8403B" w:rsidR="003B38D4" w:rsidRPr="00EA0AEB" w:rsidRDefault="007378A4" w:rsidP="00EA0AEB">
          <w:pPr>
            <w:pStyle w:val="TOC1"/>
            <w:tabs>
              <w:tab w:val="right" w:leader="dot" w:pos="9016"/>
            </w:tabs>
            <w:spacing w:line="480" w:lineRule="auto"/>
            <w:jc w:val="both"/>
            <w:rPr>
              <w:rFonts w:ascii="Arial" w:eastAsiaTheme="minorEastAsia" w:hAnsi="Arial" w:cs="Arial"/>
              <w:noProof/>
              <w:sz w:val="24"/>
              <w:szCs w:val="24"/>
              <w:lang w:eastAsia="en-IN"/>
            </w:rPr>
          </w:pPr>
          <w:hyperlink w:anchor="_Toc134128254" w:history="1">
            <w:r w:rsidR="003B38D4" w:rsidRPr="00EA0AEB">
              <w:rPr>
                <w:rStyle w:val="Hyperlink"/>
                <w:rFonts w:ascii="Arial" w:hAnsi="Arial" w:cs="Arial"/>
                <w:noProof/>
                <w:sz w:val="24"/>
                <w:szCs w:val="24"/>
              </w:rPr>
              <w:t>References:</w:t>
            </w:r>
            <w:r w:rsidR="003B38D4" w:rsidRPr="00EA0AEB">
              <w:rPr>
                <w:rFonts w:ascii="Arial" w:hAnsi="Arial" w:cs="Arial"/>
                <w:noProof/>
                <w:webHidden/>
                <w:sz w:val="24"/>
                <w:szCs w:val="24"/>
              </w:rPr>
              <w:tab/>
            </w:r>
            <w:r w:rsidR="003B38D4" w:rsidRPr="00EA0AEB">
              <w:rPr>
                <w:rFonts w:ascii="Arial" w:hAnsi="Arial" w:cs="Arial"/>
                <w:noProof/>
                <w:webHidden/>
                <w:sz w:val="24"/>
                <w:szCs w:val="24"/>
              </w:rPr>
              <w:fldChar w:fldCharType="begin"/>
            </w:r>
            <w:r w:rsidR="003B38D4" w:rsidRPr="00EA0AEB">
              <w:rPr>
                <w:rFonts w:ascii="Arial" w:hAnsi="Arial" w:cs="Arial"/>
                <w:noProof/>
                <w:webHidden/>
                <w:sz w:val="24"/>
                <w:szCs w:val="24"/>
              </w:rPr>
              <w:instrText xml:space="preserve"> PAGEREF _Toc134128254 \h </w:instrText>
            </w:r>
            <w:r w:rsidR="003B38D4" w:rsidRPr="00EA0AEB">
              <w:rPr>
                <w:rFonts w:ascii="Arial" w:hAnsi="Arial" w:cs="Arial"/>
                <w:noProof/>
                <w:webHidden/>
                <w:sz w:val="24"/>
                <w:szCs w:val="24"/>
              </w:rPr>
            </w:r>
            <w:r w:rsidR="003B38D4" w:rsidRPr="00EA0AEB">
              <w:rPr>
                <w:rFonts w:ascii="Arial" w:hAnsi="Arial" w:cs="Arial"/>
                <w:noProof/>
                <w:webHidden/>
                <w:sz w:val="24"/>
                <w:szCs w:val="24"/>
              </w:rPr>
              <w:fldChar w:fldCharType="separate"/>
            </w:r>
            <w:r w:rsidR="003B38D4" w:rsidRPr="00EA0AEB">
              <w:rPr>
                <w:rFonts w:ascii="Arial" w:hAnsi="Arial" w:cs="Arial"/>
                <w:noProof/>
                <w:webHidden/>
                <w:sz w:val="24"/>
                <w:szCs w:val="24"/>
              </w:rPr>
              <w:t>8</w:t>
            </w:r>
            <w:r w:rsidR="003B38D4" w:rsidRPr="00EA0AEB">
              <w:rPr>
                <w:rFonts w:ascii="Arial" w:hAnsi="Arial" w:cs="Arial"/>
                <w:noProof/>
                <w:webHidden/>
                <w:sz w:val="24"/>
                <w:szCs w:val="24"/>
              </w:rPr>
              <w:fldChar w:fldCharType="end"/>
            </w:r>
          </w:hyperlink>
        </w:p>
        <w:p w14:paraId="71926026" w14:textId="317C1D0F" w:rsidR="003B38D4" w:rsidRPr="00EA0AEB" w:rsidRDefault="003B38D4" w:rsidP="00EA0AEB">
          <w:pPr>
            <w:spacing w:line="480" w:lineRule="auto"/>
            <w:jc w:val="both"/>
            <w:rPr>
              <w:rFonts w:ascii="Arial" w:hAnsi="Arial" w:cs="Arial"/>
              <w:sz w:val="24"/>
              <w:szCs w:val="24"/>
            </w:rPr>
          </w:pPr>
          <w:r w:rsidRPr="00EA0AEB">
            <w:rPr>
              <w:rFonts w:ascii="Arial" w:hAnsi="Arial" w:cs="Arial"/>
              <w:b/>
              <w:bCs/>
              <w:noProof/>
              <w:sz w:val="24"/>
              <w:szCs w:val="24"/>
            </w:rPr>
            <w:fldChar w:fldCharType="end"/>
          </w:r>
        </w:p>
      </w:sdtContent>
    </w:sdt>
    <w:p w14:paraId="0F570E7B" w14:textId="19D34127" w:rsidR="00EB437C" w:rsidRPr="00EA0AEB" w:rsidRDefault="00EB437C" w:rsidP="00EA0AEB">
      <w:pPr>
        <w:spacing w:line="480" w:lineRule="auto"/>
        <w:jc w:val="both"/>
        <w:rPr>
          <w:rFonts w:ascii="Arial" w:hAnsi="Arial" w:cs="Arial"/>
          <w:sz w:val="24"/>
          <w:szCs w:val="24"/>
        </w:rPr>
      </w:pPr>
      <w:r w:rsidRPr="00EA0AEB">
        <w:rPr>
          <w:rFonts w:ascii="Arial" w:hAnsi="Arial" w:cs="Arial"/>
          <w:sz w:val="24"/>
          <w:szCs w:val="24"/>
        </w:rPr>
        <w:br w:type="page"/>
      </w:r>
    </w:p>
    <w:p w14:paraId="58773F0C" w14:textId="4A160F01" w:rsidR="00EB437C" w:rsidRPr="00EA0AEB" w:rsidRDefault="00EB437C" w:rsidP="00EA0AEB">
      <w:pPr>
        <w:pStyle w:val="Heading1"/>
        <w:spacing w:line="480" w:lineRule="auto"/>
        <w:jc w:val="both"/>
        <w:rPr>
          <w:rFonts w:ascii="Arial" w:hAnsi="Arial" w:cs="Arial"/>
          <w:sz w:val="24"/>
          <w:szCs w:val="24"/>
        </w:rPr>
      </w:pPr>
      <w:bookmarkStart w:id="1" w:name="_Toc134128248"/>
      <w:r w:rsidRPr="00EA0AEB">
        <w:rPr>
          <w:rFonts w:ascii="Arial" w:hAnsi="Arial" w:cs="Arial"/>
          <w:sz w:val="24"/>
          <w:szCs w:val="24"/>
        </w:rPr>
        <w:lastRenderedPageBreak/>
        <w:t>Dividend Discount Model (DDM):</w:t>
      </w:r>
      <w:bookmarkEnd w:id="1"/>
    </w:p>
    <w:p w14:paraId="5ADA3E3B" w14:textId="77777777" w:rsidR="006E748E" w:rsidRPr="00EA0AEB" w:rsidRDefault="00EB437C" w:rsidP="00EA0AEB">
      <w:pPr>
        <w:spacing w:line="480" w:lineRule="auto"/>
        <w:jc w:val="both"/>
        <w:rPr>
          <w:rFonts w:ascii="Arial" w:hAnsi="Arial" w:cs="Arial"/>
          <w:sz w:val="24"/>
          <w:szCs w:val="24"/>
        </w:rPr>
      </w:pPr>
      <w:r w:rsidRPr="00EA0AEB">
        <w:rPr>
          <w:rFonts w:ascii="Arial" w:hAnsi="Arial" w:cs="Arial"/>
          <w:sz w:val="24"/>
          <w:szCs w:val="24"/>
        </w:rPr>
        <w:t xml:space="preserve">The firms like Tesco Plc. are listed with the London Stock Exchange. The listing of firm occurs to gain equity fund from the market against the shares of the company. It is necessary to note that the shareholders are entitled to gain certain percentage of profit that the firm earns in a single year. This sharing of profit by the firm to their investors is known as dividend. The process of providing the dividend to the investors of the firm is known as dividend pay-out process. The policy related to the dividend pay-out depends company to company. </w:t>
      </w:r>
      <w:r w:rsidR="006E748E" w:rsidRPr="00EA0AEB">
        <w:rPr>
          <w:rFonts w:ascii="Arial" w:hAnsi="Arial" w:cs="Arial"/>
          <w:sz w:val="24"/>
          <w:szCs w:val="24"/>
        </w:rPr>
        <w:t xml:space="preserve">There are several strategies that the firm adopts during the implementation of dividend policy. These policies improve the pay-out process of the company. </w:t>
      </w:r>
    </w:p>
    <w:p w14:paraId="4F4FC823" w14:textId="77777777" w:rsidR="006E748E" w:rsidRPr="00EA0AEB" w:rsidRDefault="006E748E" w:rsidP="00EA0AEB">
      <w:pPr>
        <w:pStyle w:val="Heading2"/>
        <w:spacing w:line="480" w:lineRule="auto"/>
        <w:jc w:val="both"/>
        <w:rPr>
          <w:rFonts w:ascii="Arial" w:hAnsi="Arial" w:cs="Arial"/>
        </w:rPr>
      </w:pPr>
      <w:bookmarkStart w:id="2" w:name="_Toc134128249"/>
      <w:r w:rsidRPr="00EA0AEB">
        <w:rPr>
          <w:rFonts w:ascii="Arial" w:hAnsi="Arial" w:cs="Arial"/>
        </w:rPr>
        <w:t>Stable Dividend Policy:</w:t>
      </w:r>
      <w:bookmarkEnd w:id="2"/>
    </w:p>
    <w:p w14:paraId="05989F3A" w14:textId="23917BA6" w:rsidR="00961ADA" w:rsidRPr="00EA0AEB" w:rsidRDefault="006E748E" w:rsidP="00EA0AEB">
      <w:pPr>
        <w:spacing w:line="480" w:lineRule="auto"/>
        <w:jc w:val="both"/>
        <w:rPr>
          <w:rFonts w:ascii="Arial" w:hAnsi="Arial" w:cs="Arial"/>
          <w:sz w:val="24"/>
          <w:szCs w:val="24"/>
        </w:rPr>
      </w:pPr>
      <w:r w:rsidRPr="00EA0AEB">
        <w:rPr>
          <w:rFonts w:ascii="Arial" w:hAnsi="Arial" w:cs="Arial"/>
          <w:sz w:val="24"/>
          <w:szCs w:val="24"/>
        </w:rPr>
        <w:t>The stable dividend policy is one of the dividend pay-out strategies, which is being utilised by many firms. In this dividend pay-out strategy, the firm pay-out certain amount of dividend on regular basis</w:t>
      </w:r>
      <w:r w:rsidR="00800570" w:rsidRPr="00EA0AEB">
        <w:rPr>
          <w:rFonts w:ascii="Arial" w:hAnsi="Arial" w:cs="Arial"/>
          <w:sz w:val="24"/>
          <w:szCs w:val="24"/>
        </w:rPr>
        <w:t xml:space="preserve"> (</w:t>
      </w:r>
      <w:r w:rsidR="00800570" w:rsidRPr="00EA0AEB">
        <w:rPr>
          <w:rFonts w:ascii="Arial" w:hAnsi="Arial" w:cs="Arial"/>
          <w:sz w:val="24"/>
          <w:szCs w:val="24"/>
          <w:shd w:val="clear" w:color="auto" w:fill="FFFFFF"/>
        </w:rPr>
        <w:t>KANAKRIYAH 2020)</w:t>
      </w:r>
      <w:r w:rsidRPr="00EA0AEB">
        <w:rPr>
          <w:rFonts w:ascii="Arial" w:hAnsi="Arial" w:cs="Arial"/>
          <w:sz w:val="24"/>
          <w:szCs w:val="24"/>
        </w:rPr>
        <w:t xml:space="preserve">. The investors prefer this strategy as they can experience continuous cash flow from the firm. The firms, which implements this dividend pay-out strategy are involved in paying dividends, even when the firm </w:t>
      </w:r>
      <w:r w:rsidR="00961ADA" w:rsidRPr="00EA0AEB">
        <w:rPr>
          <w:rFonts w:ascii="Arial" w:hAnsi="Arial" w:cs="Arial"/>
          <w:sz w:val="24"/>
          <w:szCs w:val="24"/>
        </w:rPr>
        <w:t xml:space="preserve">is not making any profit. The stability of the firm can be attained by the company by aligning the dividend policy of the firm with long-term growth. In this dividend paying process the dividends are being paid on monthly basis. </w:t>
      </w:r>
      <w:r w:rsidRPr="00EA0AEB">
        <w:rPr>
          <w:rFonts w:ascii="Arial" w:hAnsi="Arial" w:cs="Arial"/>
          <w:sz w:val="24"/>
          <w:szCs w:val="24"/>
        </w:rPr>
        <w:t xml:space="preserve"> </w:t>
      </w:r>
    </w:p>
    <w:p w14:paraId="707E9245" w14:textId="77777777" w:rsidR="00961ADA" w:rsidRPr="00EA0AEB" w:rsidRDefault="00961ADA" w:rsidP="00EA0AEB">
      <w:pPr>
        <w:pStyle w:val="Heading2"/>
        <w:spacing w:line="480" w:lineRule="auto"/>
        <w:jc w:val="both"/>
        <w:rPr>
          <w:rFonts w:ascii="Arial" w:hAnsi="Arial" w:cs="Arial"/>
        </w:rPr>
      </w:pPr>
      <w:bookmarkStart w:id="3" w:name="_Toc134128250"/>
      <w:r w:rsidRPr="00EA0AEB">
        <w:rPr>
          <w:rFonts w:ascii="Arial" w:hAnsi="Arial" w:cs="Arial"/>
        </w:rPr>
        <w:t>Constant Dividend Policy:</w:t>
      </w:r>
      <w:bookmarkEnd w:id="3"/>
    </w:p>
    <w:p w14:paraId="08D6C33A" w14:textId="77777777" w:rsidR="00B67A21" w:rsidRPr="00EA0AEB" w:rsidRDefault="00961ADA" w:rsidP="00EA0AEB">
      <w:pPr>
        <w:spacing w:line="480" w:lineRule="auto"/>
        <w:jc w:val="both"/>
        <w:rPr>
          <w:rFonts w:ascii="Arial" w:hAnsi="Arial" w:cs="Arial"/>
          <w:sz w:val="24"/>
          <w:szCs w:val="24"/>
        </w:rPr>
      </w:pPr>
      <w:r w:rsidRPr="00EA0AEB">
        <w:rPr>
          <w:rFonts w:ascii="Arial" w:hAnsi="Arial" w:cs="Arial"/>
          <w:sz w:val="24"/>
          <w:szCs w:val="24"/>
        </w:rPr>
        <w:t xml:space="preserve">The dividend pay-out process of the firm under constant dividend policy assists the firm to pay the fixed percentage of profit to the shareholders on regular basis. It is </w:t>
      </w:r>
      <w:r w:rsidRPr="00EA0AEB">
        <w:rPr>
          <w:rFonts w:ascii="Arial" w:hAnsi="Arial" w:cs="Arial"/>
          <w:sz w:val="24"/>
          <w:szCs w:val="24"/>
        </w:rPr>
        <w:lastRenderedPageBreak/>
        <w:t xml:space="preserve">necessary to note that the financial progression of the firm can provide higher dividend to the investors. The investors of the firm experience the alteration in the performance of the firm through their dividend receiving process. In this dividend pay-out process if the dividend earnings are low, then the shareholders may not get dividend. The investors cannot predict the amount of dividend they can gain from the firm.  </w:t>
      </w:r>
    </w:p>
    <w:p w14:paraId="050CC47E" w14:textId="77777777" w:rsidR="00B67A21" w:rsidRPr="00EA0AEB" w:rsidRDefault="00B67A21" w:rsidP="00EA0AEB">
      <w:pPr>
        <w:pStyle w:val="Heading2"/>
        <w:spacing w:line="480" w:lineRule="auto"/>
        <w:jc w:val="both"/>
        <w:rPr>
          <w:rFonts w:ascii="Arial" w:hAnsi="Arial" w:cs="Arial"/>
        </w:rPr>
      </w:pPr>
      <w:bookmarkStart w:id="4" w:name="_Toc134128251"/>
      <w:r w:rsidRPr="00EA0AEB">
        <w:rPr>
          <w:rFonts w:ascii="Arial" w:hAnsi="Arial" w:cs="Arial"/>
        </w:rPr>
        <w:t>Residual Dividend Policy:</w:t>
      </w:r>
      <w:bookmarkEnd w:id="4"/>
    </w:p>
    <w:p w14:paraId="35C8D75F" w14:textId="459799B5" w:rsidR="006E748E" w:rsidRPr="00EA0AEB" w:rsidRDefault="00B67A21" w:rsidP="00EA0AEB">
      <w:pPr>
        <w:spacing w:line="480" w:lineRule="auto"/>
        <w:jc w:val="both"/>
        <w:rPr>
          <w:rFonts w:ascii="Arial" w:hAnsi="Arial" w:cs="Arial"/>
          <w:sz w:val="24"/>
          <w:szCs w:val="24"/>
        </w:rPr>
      </w:pPr>
      <w:r w:rsidRPr="00EA0AEB">
        <w:rPr>
          <w:rFonts w:ascii="Arial" w:hAnsi="Arial" w:cs="Arial"/>
          <w:sz w:val="24"/>
          <w:szCs w:val="24"/>
        </w:rPr>
        <w:t>The residual dividend policy is the process of paying-out dividends after considering the expenses of capital expenditures and working capital of the company</w:t>
      </w:r>
      <w:r w:rsidR="009F0D71" w:rsidRPr="00EA0AEB">
        <w:rPr>
          <w:rFonts w:ascii="Arial" w:hAnsi="Arial" w:cs="Arial"/>
          <w:sz w:val="24"/>
          <w:szCs w:val="24"/>
        </w:rPr>
        <w:t xml:space="preserve"> (</w:t>
      </w:r>
      <w:r w:rsidR="009F0D71" w:rsidRPr="00EA0AEB">
        <w:rPr>
          <w:rFonts w:ascii="Arial" w:hAnsi="Arial" w:cs="Arial"/>
          <w:sz w:val="24"/>
          <w:szCs w:val="24"/>
          <w:shd w:val="clear" w:color="auto" w:fill="FFFFFF"/>
        </w:rPr>
        <w:t xml:space="preserve">Trinh, </w:t>
      </w:r>
      <w:proofErr w:type="spellStart"/>
      <w:r w:rsidR="009F0D71" w:rsidRPr="00EA0AEB">
        <w:rPr>
          <w:rFonts w:ascii="Arial" w:hAnsi="Arial" w:cs="Arial"/>
          <w:sz w:val="24"/>
          <w:szCs w:val="24"/>
          <w:shd w:val="clear" w:color="auto" w:fill="FFFFFF"/>
        </w:rPr>
        <w:t>Elnahass</w:t>
      </w:r>
      <w:proofErr w:type="spellEnd"/>
      <w:r w:rsidR="009F0D71" w:rsidRPr="00EA0AEB">
        <w:rPr>
          <w:rFonts w:ascii="Arial" w:hAnsi="Arial" w:cs="Arial"/>
          <w:sz w:val="24"/>
          <w:szCs w:val="24"/>
          <w:shd w:val="clear" w:color="auto" w:fill="FFFFFF"/>
        </w:rPr>
        <w:t xml:space="preserve"> and </w:t>
      </w:r>
      <w:proofErr w:type="spellStart"/>
      <w:r w:rsidR="009F0D71" w:rsidRPr="00EA0AEB">
        <w:rPr>
          <w:rFonts w:ascii="Arial" w:hAnsi="Arial" w:cs="Arial"/>
          <w:sz w:val="24"/>
          <w:szCs w:val="24"/>
          <w:shd w:val="clear" w:color="auto" w:fill="FFFFFF"/>
        </w:rPr>
        <w:t>Salama</w:t>
      </w:r>
      <w:proofErr w:type="spellEnd"/>
      <w:r w:rsidR="009F0D71" w:rsidRPr="00EA0AEB">
        <w:rPr>
          <w:rFonts w:ascii="Arial" w:hAnsi="Arial" w:cs="Arial"/>
          <w:sz w:val="24"/>
          <w:szCs w:val="24"/>
          <w:shd w:val="clear" w:color="auto" w:fill="FFFFFF"/>
        </w:rPr>
        <w:t xml:space="preserve"> 2021)</w:t>
      </w:r>
      <w:r w:rsidRPr="00EA0AEB">
        <w:rPr>
          <w:rFonts w:ascii="Arial" w:hAnsi="Arial" w:cs="Arial"/>
          <w:sz w:val="24"/>
          <w:szCs w:val="24"/>
        </w:rPr>
        <w:t xml:space="preserve">. The residual dividend policy is considered to be changing depending on the progression of the business. It is important to note that the shareholders are more interested in residual dividend policy. The main reason behind it is that the firms minimise their debt first and then they pay-out the dividends to their shareholders of the company. The process indicates the stability position of the company. </w:t>
      </w:r>
      <w:r w:rsidR="00961ADA" w:rsidRPr="00EA0AEB">
        <w:rPr>
          <w:rFonts w:ascii="Arial" w:hAnsi="Arial" w:cs="Arial"/>
          <w:sz w:val="24"/>
          <w:szCs w:val="24"/>
        </w:rPr>
        <w:t xml:space="preserve"> </w:t>
      </w:r>
      <w:r w:rsidR="006E748E" w:rsidRPr="00EA0AEB">
        <w:rPr>
          <w:rFonts w:ascii="Arial" w:hAnsi="Arial" w:cs="Arial"/>
          <w:sz w:val="24"/>
          <w:szCs w:val="24"/>
        </w:rPr>
        <w:t xml:space="preserve"> </w:t>
      </w:r>
    </w:p>
    <w:p w14:paraId="6225AC70" w14:textId="7EE0F666" w:rsidR="006E748E" w:rsidRPr="00EA0AEB" w:rsidRDefault="00464D39" w:rsidP="00EA0AEB">
      <w:pPr>
        <w:spacing w:line="480" w:lineRule="auto"/>
        <w:jc w:val="both"/>
        <w:rPr>
          <w:rFonts w:ascii="Arial" w:hAnsi="Arial" w:cs="Arial"/>
          <w:sz w:val="24"/>
          <w:szCs w:val="24"/>
        </w:rPr>
      </w:pPr>
      <w:r w:rsidRPr="00EA0AEB">
        <w:rPr>
          <w:rFonts w:ascii="Arial" w:hAnsi="Arial" w:cs="Arial"/>
          <w:sz w:val="24"/>
          <w:szCs w:val="24"/>
        </w:rPr>
        <w:t xml:space="preserve">The annual report of Tesco Plc. revealed that the firm is involved in utilising constant dividend policy. The company distributes their dividend depending on their profitability that made by the firm during their business operations for the period. It is necessary to note that by utilising residual dividend policy, the firm incorporates the investors in their decision-making strategy. The main issue that can be identified under this dividend pay-out strategy is that the internal control of the firm gets affected due to the involvement of investors in the company. </w:t>
      </w:r>
      <w:r w:rsidR="006834C6" w:rsidRPr="00EA0AEB">
        <w:rPr>
          <w:rFonts w:ascii="Arial" w:hAnsi="Arial" w:cs="Arial"/>
          <w:sz w:val="24"/>
          <w:szCs w:val="24"/>
        </w:rPr>
        <w:t xml:space="preserve">This is one of the main reasons it is advisable for Tesco Plc. to reduce the dependency on equity and alter the capital structure of their company. </w:t>
      </w:r>
    </w:p>
    <w:p w14:paraId="7E93EE6C" w14:textId="4E8A7552" w:rsidR="006834C6" w:rsidRPr="00EA0AEB" w:rsidRDefault="00956846" w:rsidP="00EA0AEB">
      <w:pPr>
        <w:pStyle w:val="Heading1"/>
        <w:spacing w:line="480" w:lineRule="auto"/>
        <w:jc w:val="both"/>
        <w:rPr>
          <w:rFonts w:ascii="Arial" w:hAnsi="Arial" w:cs="Arial"/>
          <w:sz w:val="24"/>
          <w:szCs w:val="24"/>
        </w:rPr>
      </w:pPr>
      <w:bookmarkStart w:id="5" w:name="_Toc134128252"/>
      <w:r w:rsidRPr="00EA0AEB">
        <w:rPr>
          <w:rFonts w:ascii="Arial" w:hAnsi="Arial" w:cs="Arial"/>
          <w:sz w:val="24"/>
          <w:szCs w:val="24"/>
        </w:rPr>
        <w:lastRenderedPageBreak/>
        <w:t>The Efficient Market Hypothesis (EMH):</w:t>
      </w:r>
      <w:bookmarkEnd w:id="5"/>
    </w:p>
    <w:p w14:paraId="3A89E3FE" w14:textId="11AD26A7" w:rsidR="00513530" w:rsidRPr="00EA0AEB" w:rsidRDefault="00956846" w:rsidP="00EA0AEB">
      <w:pPr>
        <w:spacing w:line="480" w:lineRule="auto"/>
        <w:jc w:val="both"/>
        <w:rPr>
          <w:rFonts w:ascii="Arial" w:hAnsi="Arial" w:cs="Arial"/>
          <w:sz w:val="24"/>
          <w:szCs w:val="24"/>
        </w:rPr>
      </w:pPr>
      <w:r w:rsidRPr="00EA0AEB">
        <w:rPr>
          <w:rFonts w:ascii="Arial" w:hAnsi="Arial" w:cs="Arial"/>
          <w:sz w:val="24"/>
          <w:szCs w:val="24"/>
        </w:rPr>
        <w:t xml:space="preserve">The efficient market hypothesis (EMH) is an investment process, which the management of the firm implements in their company to gain high return. As per this theory, it can be identified that return from the investment cannot outperform the market average that are reflected by the stock exchanges of the country. The theory suggests that in short-term the return can be </w:t>
      </w:r>
      <w:r w:rsidR="00513530" w:rsidRPr="00EA0AEB">
        <w:rPr>
          <w:rFonts w:ascii="Arial" w:hAnsi="Arial" w:cs="Arial"/>
          <w:sz w:val="24"/>
          <w:szCs w:val="24"/>
        </w:rPr>
        <w:t>more</w:t>
      </w:r>
      <w:r w:rsidRPr="00EA0AEB">
        <w:rPr>
          <w:rFonts w:ascii="Arial" w:hAnsi="Arial" w:cs="Arial"/>
          <w:sz w:val="24"/>
          <w:szCs w:val="24"/>
        </w:rPr>
        <w:t xml:space="preserve"> than the market average, but in the long-run the investor cannot receive higher return than the market average. The alteration in the security markets have direct effects on the return that the firm gains from their investments.</w:t>
      </w:r>
      <w:r w:rsidR="00513530" w:rsidRPr="00EA0AEB">
        <w:rPr>
          <w:rFonts w:ascii="Arial" w:hAnsi="Arial" w:cs="Arial"/>
          <w:sz w:val="24"/>
          <w:szCs w:val="24"/>
        </w:rPr>
        <w:t xml:space="preserve"> The information regarding the movement of the shares is shared among the investors, which created the effects in the demand and supply of the shares of the company</w:t>
      </w:r>
      <w:r w:rsidR="00FC33A2" w:rsidRPr="00EA0AEB">
        <w:rPr>
          <w:rFonts w:ascii="Arial" w:hAnsi="Arial" w:cs="Arial"/>
          <w:sz w:val="24"/>
          <w:szCs w:val="24"/>
        </w:rPr>
        <w:t xml:space="preserve"> (</w:t>
      </w:r>
      <w:r w:rsidR="00FC33A2" w:rsidRPr="00EA0AEB">
        <w:rPr>
          <w:rFonts w:ascii="Arial" w:hAnsi="Arial" w:cs="Arial"/>
          <w:sz w:val="24"/>
          <w:szCs w:val="24"/>
          <w:shd w:val="clear" w:color="auto" w:fill="FFFFFF"/>
        </w:rPr>
        <w:t xml:space="preserve">Singh, </w:t>
      </w:r>
      <w:proofErr w:type="spellStart"/>
      <w:r w:rsidR="00FC33A2" w:rsidRPr="00EA0AEB">
        <w:rPr>
          <w:rFonts w:ascii="Arial" w:hAnsi="Arial" w:cs="Arial"/>
          <w:sz w:val="24"/>
          <w:szCs w:val="24"/>
          <w:shd w:val="clear" w:color="auto" w:fill="FFFFFF"/>
        </w:rPr>
        <w:t>Babshetti</w:t>
      </w:r>
      <w:proofErr w:type="spellEnd"/>
      <w:r w:rsidR="00FC33A2" w:rsidRPr="00EA0AEB">
        <w:rPr>
          <w:rFonts w:ascii="Arial" w:hAnsi="Arial" w:cs="Arial"/>
          <w:sz w:val="24"/>
          <w:szCs w:val="24"/>
          <w:shd w:val="clear" w:color="auto" w:fill="FFFFFF"/>
        </w:rPr>
        <w:t xml:space="preserve"> and </w:t>
      </w:r>
      <w:proofErr w:type="spellStart"/>
      <w:r w:rsidR="00FC33A2" w:rsidRPr="00EA0AEB">
        <w:rPr>
          <w:rFonts w:ascii="Arial" w:hAnsi="Arial" w:cs="Arial"/>
          <w:sz w:val="24"/>
          <w:szCs w:val="24"/>
          <w:shd w:val="clear" w:color="auto" w:fill="FFFFFF"/>
        </w:rPr>
        <w:t>Shivaprasad</w:t>
      </w:r>
      <w:proofErr w:type="spellEnd"/>
      <w:r w:rsidR="00FC33A2" w:rsidRPr="00EA0AEB">
        <w:rPr>
          <w:rFonts w:ascii="Arial" w:hAnsi="Arial" w:cs="Arial"/>
          <w:sz w:val="24"/>
          <w:szCs w:val="24"/>
          <w:shd w:val="clear" w:color="auto" w:fill="FFFFFF"/>
        </w:rPr>
        <w:t xml:space="preserve"> 2021)</w:t>
      </w:r>
      <w:r w:rsidR="00513530" w:rsidRPr="00EA0AEB">
        <w:rPr>
          <w:rFonts w:ascii="Arial" w:hAnsi="Arial" w:cs="Arial"/>
          <w:sz w:val="24"/>
          <w:szCs w:val="24"/>
        </w:rPr>
        <w:t>. The EMH has its own 3 forms that indicates the 3 levels of</w:t>
      </w:r>
      <w:r w:rsidRPr="00EA0AEB">
        <w:rPr>
          <w:rFonts w:ascii="Arial" w:hAnsi="Arial" w:cs="Arial"/>
          <w:sz w:val="24"/>
          <w:szCs w:val="24"/>
        </w:rPr>
        <w:t xml:space="preserve"> </w:t>
      </w:r>
      <w:r w:rsidR="00513530" w:rsidRPr="00EA0AEB">
        <w:rPr>
          <w:rFonts w:ascii="Arial" w:hAnsi="Arial" w:cs="Arial"/>
          <w:sz w:val="24"/>
          <w:szCs w:val="24"/>
        </w:rPr>
        <w:t xml:space="preserve">market efficiency of the company. </w:t>
      </w:r>
    </w:p>
    <w:p w14:paraId="41238F4E" w14:textId="7DF590FE" w:rsidR="00513530" w:rsidRPr="00EA0AEB" w:rsidRDefault="00513530" w:rsidP="00EA0AEB">
      <w:pPr>
        <w:spacing w:line="480" w:lineRule="auto"/>
        <w:jc w:val="both"/>
        <w:rPr>
          <w:rFonts w:ascii="Arial" w:hAnsi="Arial" w:cs="Arial"/>
          <w:sz w:val="24"/>
          <w:szCs w:val="24"/>
        </w:rPr>
      </w:pPr>
      <w:r w:rsidRPr="00EA0AEB">
        <w:rPr>
          <w:rFonts w:ascii="Arial" w:hAnsi="Arial" w:cs="Arial"/>
          <w:sz w:val="24"/>
          <w:szCs w:val="24"/>
        </w:rPr>
        <w:t>The 1</w:t>
      </w:r>
      <w:r w:rsidRPr="00EA0AEB">
        <w:rPr>
          <w:rFonts w:ascii="Arial" w:hAnsi="Arial" w:cs="Arial"/>
          <w:sz w:val="24"/>
          <w:szCs w:val="24"/>
          <w:vertAlign w:val="superscript"/>
        </w:rPr>
        <w:t>st</w:t>
      </w:r>
      <w:r w:rsidRPr="00EA0AEB">
        <w:rPr>
          <w:rFonts w:ascii="Arial" w:hAnsi="Arial" w:cs="Arial"/>
          <w:sz w:val="24"/>
          <w:szCs w:val="24"/>
        </w:rPr>
        <w:t xml:space="preserve"> level of EMH of the firm is the weak form. The weak form of EMH states that the share price of the equity that are traded in the market provides every information about the shares, but it does not reveal the information about the recent alteration. The future prices of the share price do not get changes due to the volume, price and return from the investments. </w:t>
      </w:r>
      <w:r w:rsidR="00180EB8" w:rsidRPr="00EA0AEB">
        <w:rPr>
          <w:rFonts w:ascii="Arial" w:hAnsi="Arial" w:cs="Arial"/>
          <w:sz w:val="24"/>
          <w:szCs w:val="24"/>
        </w:rPr>
        <w:t xml:space="preserve">The EMH strategy also revealed that the past information cannot predict the future prices of the shares as it gets movement based on the current actions. </w:t>
      </w:r>
    </w:p>
    <w:p w14:paraId="33776B11" w14:textId="2A4108AD" w:rsidR="00180EB8" w:rsidRPr="00EA0AEB" w:rsidRDefault="00180EB8" w:rsidP="00EA0AEB">
      <w:pPr>
        <w:spacing w:line="480" w:lineRule="auto"/>
        <w:jc w:val="both"/>
        <w:rPr>
          <w:rFonts w:ascii="Arial" w:hAnsi="Arial" w:cs="Arial"/>
          <w:sz w:val="24"/>
          <w:szCs w:val="24"/>
        </w:rPr>
      </w:pPr>
      <w:r w:rsidRPr="00EA0AEB">
        <w:rPr>
          <w:rFonts w:ascii="Arial" w:hAnsi="Arial" w:cs="Arial"/>
          <w:sz w:val="24"/>
          <w:szCs w:val="24"/>
        </w:rPr>
        <w:t>The 2</w:t>
      </w:r>
      <w:r w:rsidRPr="00EA0AEB">
        <w:rPr>
          <w:rFonts w:ascii="Arial" w:hAnsi="Arial" w:cs="Arial"/>
          <w:sz w:val="24"/>
          <w:szCs w:val="24"/>
          <w:vertAlign w:val="superscript"/>
        </w:rPr>
        <w:t>nd</w:t>
      </w:r>
      <w:r w:rsidRPr="00EA0AEB">
        <w:rPr>
          <w:rFonts w:ascii="Arial" w:hAnsi="Arial" w:cs="Arial"/>
          <w:sz w:val="24"/>
          <w:szCs w:val="24"/>
        </w:rPr>
        <w:t xml:space="preserve"> level strategy is known as semi-strong strategy, which indicates that the implication of the technical strategy and fundamental strategy is not effective for identifying the future changes in the share price of the company</w:t>
      </w:r>
      <w:r w:rsidR="00FC33A2" w:rsidRPr="00EA0AEB">
        <w:rPr>
          <w:rFonts w:ascii="Arial" w:hAnsi="Arial" w:cs="Arial"/>
          <w:sz w:val="24"/>
          <w:szCs w:val="24"/>
        </w:rPr>
        <w:t xml:space="preserve"> (</w:t>
      </w:r>
      <w:r w:rsidR="00FC33A2" w:rsidRPr="00EA0AEB">
        <w:rPr>
          <w:rFonts w:ascii="Arial" w:hAnsi="Arial" w:cs="Arial"/>
          <w:sz w:val="24"/>
          <w:szCs w:val="24"/>
          <w:shd w:val="clear" w:color="auto" w:fill="FFFFFF"/>
        </w:rPr>
        <w:t xml:space="preserve">Sánchez-Granero </w:t>
      </w:r>
      <w:r w:rsidR="00FC33A2" w:rsidRPr="00EA0AEB">
        <w:rPr>
          <w:rFonts w:ascii="Arial" w:hAnsi="Arial" w:cs="Arial"/>
          <w:i/>
          <w:iCs/>
          <w:sz w:val="24"/>
          <w:szCs w:val="24"/>
          <w:shd w:val="clear" w:color="auto" w:fill="FFFFFF"/>
        </w:rPr>
        <w:t xml:space="preserve">et al., </w:t>
      </w:r>
      <w:r w:rsidR="00FC33A2" w:rsidRPr="00EA0AEB">
        <w:rPr>
          <w:rFonts w:ascii="Arial" w:hAnsi="Arial" w:cs="Arial"/>
          <w:sz w:val="24"/>
          <w:szCs w:val="24"/>
          <w:shd w:val="clear" w:color="auto" w:fill="FFFFFF"/>
        </w:rPr>
        <w:t>2020)</w:t>
      </w:r>
      <w:r w:rsidRPr="00EA0AEB">
        <w:rPr>
          <w:rFonts w:ascii="Arial" w:hAnsi="Arial" w:cs="Arial"/>
          <w:sz w:val="24"/>
          <w:szCs w:val="24"/>
        </w:rPr>
        <w:t xml:space="preserve">. The changes in the information regarding the share price depends on the newer development areas. </w:t>
      </w:r>
    </w:p>
    <w:p w14:paraId="484AD174" w14:textId="5819FEE9" w:rsidR="00180EB8" w:rsidRPr="00EA0AEB" w:rsidRDefault="008806AD" w:rsidP="00EA0AEB">
      <w:pPr>
        <w:spacing w:line="480" w:lineRule="auto"/>
        <w:jc w:val="both"/>
        <w:rPr>
          <w:rFonts w:ascii="Arial" w:hAnsi="Arial" w:cs="Arial"/>
          <w:sz w:val="24"/>
          <w:szCs w:val="24"/>
        </w:rPr>
      </w:pPr>
      <w:r w:rsidRPr="00EA0AEB">
        <w:rPr>
          <w:rFonts w:ascii="Arial" w:hAnsi="Arial" w:cs="Arial"/>
          <w:sz w:val="24"/>
          <w:szCs w:val="24"/>
        </w:rPr>
        <w:lastRenderedPageBreak/>
        <w:t>The 3</w:t>
      </w:r>
      <w:r w:rsidRPr="00EA0AEB">
        <w:rPr>
          <w:rFonts w:ascii="Arial" w:hAnsi="Arial" w:cs="Arial"/>
          <w:sz w:val="24"/>
          <w:szCs w:val="24"/>
          <w:vertAlign w:val="superscript"/>
        </w:rPr>
        <w:t>rd</w:t>
      </w:r>
      <w:r w:rsidRPr="00EA0AEB">
        <w:rPr>
          <w:rFonts w:ascii="Arial" w:hAnsi="Arial" w:cs="Arial"/>
          <w:sz w:val="24"/>
          <w:szCs w:val="24"/>
        </w:rPr>
        <w:t xml:space="preserve"> level of EMH is the strong form. The strong form of the firm reveals that the prices of the shares of the company reveals the internal and external information of the firm. The information that are available to the management of the firm can affect the share price of the company.  </w:t>
      </w:r>
    </w:p>
    <w:p w14:paraId="3EAB5CB0" w14:textId="77777777" w:rsidR="00880212" w:rsidRPr="00EA0AEB" w:rsidRDefault="008806AD" w:rsidP="00EA0AEB">
      <w:pPr>
        <w:spacing w:line="480" w:lineRule="auto"/>
        <w:jc w:val="both"/>
        <w:rPr>
          <w:rFonts w:ascii="Arial" w:hAnsi="Arial" w:cs="Arial"/>
          <w:sz w:val="24"/>
          <w:szCs w:val="24"/>
        </w:rPr>
      </w:pPr>
      <w:r w:rsidRPr="00EA0AEB">
        <w:rPr>
          <w:rFonts w:ascii="Arial" w:hAnsi="Arial" w:cs="Arial"/>
          <w:sz w:val="24"/>
          <w:szCs w:val="24"/>
        </w:rPr>
        <w:t xml:space="preserve">In the recent period, it was being noted that the long-term funds, which is of more than 5 years does not return higher than the market average. The share price of Tesco Plc. indicated that the return on investment of the company was not high in comparison to the market average return. This indicates that the share price of Tesco Plc. failed to outperform the market average share price of the company. It is important to note that the diversification in the investment can return higher profit to the investors. The investment in the risky shares with the </w:t>
      </w:r>
      <w:r w:rsidR="00B22E1F" w:rsidRPr="00EA0AEB">
        <w:rPr>
          <w:rFonts w:ascii="Arial" w:hAnsi="Arial" w:cs="Arial"/>
          <w:sz w:val="24"/>
          <w:szCs w:val="24"/>
        </w:rPr>
        <w:t xml:space="preserve">blue-chip stock can reduce the risk and improve the return of the investors. This indicates that the firm can gain higher return to the investors of the company. </w:t>
      </w:r>
    </w:p>
    <w:p w14:paraId="4B455A7F" w14:textId="77777777" w:rsidR="00CA560F" w:rsidRPr="00EA0AEB" w:rsidRDefault="00CA560F" w:rsidP="00EA0AEB">
      <w:pPr>
        <w:pStyle w:val="Heading1"/>
        <w:spacing w:line="480" w:lineRule="auto"/>
        <w:jc w:val="both"/>
        <w:rPr>
          <w:rFonts w:ascii="Arial" w:hAnsi="Arial" w:cs="Arial"/>
          <w:sz w:val="24"/>
          <w:szCs w:val="24"/>
        </w:rPr>
      </w:pPr>
      <w:bookmarkStart w:id="6" w:name="_Toc134128253"/>
      <w:r w:rsidRPr="00EA0AEB">
        <w:rPr>
          <w:rFonts w:ascii="Arial" w:hAnsi="Arial" w:cs="Arial"/>
          <w:sz w:val="24"/>
          <w:szCs w:val="24"/>
        </w:rPr>
        <w:t>Appraising Project:</w:t>
      </w:r>
      <w:bookmarkEnd w:id="6"/>
    </w:p>
    <w:p w14:paraId="70858E8E" w14:textId="4D8FAC3C" w:rsidR="00EB4B83" w:rsidRPr="00EA0AEB" w:rsidRDefault="00CA560F" w:rsidP="00EA0AEB">
      <w:pPr>
        <w:spacing w:line="480" w:lineRule="auto"/>
        <w:jc w:val="both"/>
        <w:rPr>
          <w:rFonts w:ascii="Arial" w:hAnsi="Arial" w:cs="Arial"/>
          <w:sz w:val="24"/>
          <w:szCs w:val="24"/>
        </w:rPr>
      </w:pPr>
      <w:r w:rsidRPr="00EA0AEB">
        <w:rPr>
          <w:rFonts w:ascii="Arial" w:hAnsi="Arial" w:cs="Arial"/>
          <w:sz w:val="24"/>
          <w:szCs w:val="24"/>
        </w:rPr>
        <w:t xml:space="preserve">The process of appraising project requires different types of techniques. Some of the techniques that are used by the management of the firm are net present value (NPV), internal rate of return (IRR), payback period (PBT) and accounting rate of return (ARR). The NPV method is one of the techniques that the firms around the world implements to gain the idea about the return that the firm can expect. It is necessary to note that NPV and IRR are the 2 appraising techniques that utilises the discounting factor in their process. The discounting factor are subject to change due to change in the external condition of the firm. The external factors like economic factor, political factor and environmental factor have direct effect on the progression of the business. These factors impact the inflation rate of the country, which has direct effect on the </w:t>
      </w:r>
      <w:r w:rsidRPr="00EA0AEB">
        <w:rPr>
          <w:rFonts w:ascii="Arial" w:hAnsi="Arial" w:cs="Arial"/>
          <w:sz w:val="24"/>
          <w:szCs w:val="24"/>
        </w:rPr>
        <w:lastRenderedPageBreak/>
        <w:t>discounting factor of the company</w:t>
      </w:r>
      <w:r w:rsidR="003B3F3C" w:rsidRPr="00EA0AEB">
        <w:rPr>
          <w:rFonts w:ascii="Arial" w:hAnsi="Arial" w:cs="Arial"/>
          <w:sz w:val="24"/>
          <w:szCs w:val="24"/>
        </w:rPr>
        <w:t xml:space="preserve"> (</w:t>
      </w:r>
      <w:r w:rsidR="003B3F3C" w:rsidRPr="00EA0AEB">
        <w:rPr>
          <w:rFonts w:ascii="Arial" w:hAnsi="Arial" w:cs="Arial"/>
          <w:sz w:val="24"/>
          <w:szCs w:val="24"/>
          <w:shd w:val="clear" w:color="auto" w:fill="FFFFFF"/>
        </w:rPr>
        <w:t>CAGLE, ÖZDAĞOĞLU and YILMAZ 2020)</w:t>
      </w:r>
      <w:r w:rsidRPr="00EA0AEB">
        <w:rPr>
          <w:rFonts w:ascii="Arial" w:hAnsi="Arial" w:cs="Arial"/>
          <w:sz w:val="24"/>
          <w:szCs w:val="24"/>
        </w:rPr>
        <w:t>. It is necessary to note that NPV appraising techniques have great dependency on the discounting factor. The NPV uses this discounting factor to identify future cash flow of the investment. This assist</w:t>
      </w:r>
      <w:r w:rsidR="00570C17" w:rsidRPr="00EA0AEB">
        <w:rPr>
          <w:rFonts w:ascii="Arial" w:hAnsi="Arial" w:cs="Arial"/>
          <w:sz w:val="24"/>
          <w:szCs w:val="24"/>
        </w:rPr>
        <w:t>s</w:t>
      </w:r>
      <w:r w:rsidRPr="00EA0AEB">
        <w:rPr>
          <w:rFonts w:ascii="Arial" w:hAnsi="Arial" w:cs="Arial"/>
          <w:sz w:val="24"/>
          <w:szCs w:val="24"/>
        </w:rPr>
        <w:t xml:space="preserve"> the firm to identify </w:t>
      </w:r>
      <w:r w:rsidR="00570C17" w:rsidRPr="00EA0AEB">
        <w:rPr>
          <w:rFonts w:ascii="Arial" w:hAnsi="Arial" w:cs="Arial"/>
          <w:sz w:val="24"/>
          <w:szCs w:val="24"/>
        </w:rPr>
        <w:t>the overall return that the firm can gain from the investments.</w:t>
      </w:r>
      <w:r w:rsidR="00EB4B83" w:rsidRPr="00EA0AEB">
        <w:rPr>
          <w:rFonts w:ascii="Arial" w:hAnsi="Arial" w:cs="Arial"/>
          <w:sz w:val="24"/>
          <w:szCs w:val="24"/>
        </w:rPr>
        <w:t xml:space="preserve"> The IRR is the appraising techniques that identifies the return that the business can gain from the investment in certain project. It is necessary to note that the return that identified from IRR are subject to change due to the change in the discounting factor of the company. </w:t>
      </w:r>
    </w:p>
    <w:p w14:paraId="1EF9765E" w14:textId="77777777" w:rsidR="000831C3" w:rsidRPr="00EA0AEB" w:rsidRDefault="00EB4B83" w:rsidP="00EA0AEB">
      <w:pPr>
        <w:spacing w:line="480" w:lineRule="auto"/>
        <w:jc w:val="both"/>
        <w:rPr>
          <w:rFonts w:ascii="Arial" w:hAnsi="Arial" w:cs="Arial"/>
          <w:sz w:val="24"/>
          <w:szCs w:val="24"/>
        </w:rPr>
      </w:pPr>
      <w:r w:rsidRPr="00EA0AEB">
        <w:rPr>
          <w:rFonts w:ascii="Arial" w:hAnsi="Arial" w:cs="Arial"/>
          <w:sz w:val="24"/>
          <w:szCs w:val="24"/>
        </w:rPr>
        <w:t xml:space="preserve">The implication of PBT and ARR does not comply the discounting factor as they do not consider the factor of time value of money. It is important to note that the cash flow of the firm is subject to decrease in the upcoming years. The PBT and ARR provides the time at which the investment can be gain back and the overall profitability that can be expected from the investments. </w:t>
      </w:r>
      <w:r w:rsidR="000831C3" w:rsidRPr="00EA0AEB">
        <w:rPr>
          <w:rFonts w:ascii="Arial" w:hAnsi="Arial" w:cs="Arial"/>
          <w:sz w:val="24"/>
          <w:szCs w:val="24"/>
        </w:rPr>
        <w:t xml:space="preserve">The financial investment relies on the fact that the profitability of the firm can be gained by the investors of the company. </w:t>
      </w:r>
    </w:p>
    <w:p w14:paraId="27134660" w14:textId="4E1017EE" w:rsidR="00570C17" w:rsidRPr="00EA0AEB" w:rsidRDefault="000831C3" w:rsidP="00EA0AEB">
      <w:pPr>
        <w:spacing w:line="480" w:lineRule="auto"/>
        <w:jc w:val="both"/>
        <w:rPr>
          <w:rFonts w:ascii="Arial" w:hAnsi="Arial" w:cs="Arial"/>
          <w:sz w:val="24"/>
          <w:szCs w:val="24"/>
        </w:rPr>
      </w:pPr>
      <w:r w:rsidRPr="00EA0AEB">
        <w:rPr>
          <w:rFonts w:ascii="Arial" w:hAnsi="Arial" w:cs="Arial"/>
          <w:sz w:val="24"/>
          <w:szCs w:val="24"/>
        </w:rPr>
        <w:t xml:space="preserve">In case of Tesco Plc., it was being noted that the firm utilises all the 4 appraising techniques before investment. The decisions are being taken after considering the positivity that the firm can gain from the investment in the projects or in the company. </w:t>
      </w:r>
      <w:r w:rsidR="00570C17" w:rsidRPr="00EA0AEB">
        <w:rPr>
          <w:rFonts w:ascii="Arial" w:hAnsi="Arial" w:cs="Arial"/>
          <w:sz w:val="24"/>
          <w:szCs w:val="24"/>
        </w:rPr>
        <w:t xml:space="preserve"> </w:t>
      </w:r>
    </w:p>
    <w:p w14:paraId="0955DEE0" w14:textId="5F1C8289" w:rsidR="008806AD" w:rsidRPr="00EA0AEB" w:rsidRDefault="008806AD" w:rsidP="00EA0AEB">
      <w:pPr>
        <w:spacing w:line="480" w:lineRule="auto"/>
        <w:jc w:val="both"/>
        <w:rPr>
          <w:rFonts w:ascii="Arial" w:hAnsi="Arial" w:cs="Arial"/>
          <w:sz w:val="24"/>
          <w:szCs w:val="24"/>
        </w:rPr>
      </w:pPr>
    </w:p>
    <w:p w14:paraId="2F11AC59" w14:textId="77777777" w:rsidR="00513530" w:rsidRPr="00EA0AEB" w:rsidRDefault="00513530" w:rsidP="00EA0AEB">
      <w:pPr>
        <w:spacing w:line="480" w:lineRule="auto"/>
        <w:jc w:val="both"/>
        <w:rPr>
          <w:rFonts w:ascii="Arial" w:hAnsi="Arial" w:cs="Arial"/>
          <w:sz w:val="24"/>
          <w:szCs w:val="24"/>
        </w:rPr>
      </w:pPr>
    </w:p>
    <w:p w14:paraId="2879895A" w14:textId="77777777" w:rsidR="00513530" w:rsidRPr="00EA0AEB" w:rsidRDefault="00513530" w:rsidP="00EA0AEB">
      <w:pPr>
        <w:spacing w:line="480" w:lineRule="auto"/>
        <w:jc w:val="both"/>
        <w:rPr>
          <w:rFonts w:ascii="Arial" w:hAnsi="Arial" w:cs="Arial"/>
          <w:sz w:val="24"/>
          <w:szCs w:val="24"/>
        </w:rPr>
      </w:pPr>
    </w:p>
    <w:p w14:paraId="46C00E15" w14:textId="441BBCF4" w:rsidR="00513530" w:rsidRPr="00EA0AEB" w:rsidRDefault="00513530" w:rsidP="00EA0AEB">
      <w:pPr>
        <w:pStyle w:val="NormalWeb"/>
        <w:shd w:val="clear" w:color="auto" w:fill="FFFFFF"/>
        <w:spacing w:line="480" w:lineRule="auto"/>
        <w:jc w:val="both"/>
        <w:rPr>
          <w:rFonts w:ascii="Arial" w:hAnsi="Arial" w:cs="Arial"/>
          <w:color w:val="57595D"/>
          <w:sz w:val="24"/>
        </w:rPr>
      </w:pPr>
    </w:p>
    <w:p w14:paraId="63A62954" w14:textId="07D22C6A" w:rsidR="006E748E" w:rsidRPr="00EA0AEB" w:rsidRDefault="006E748E" w:rsidP="00EA0AEB">
      <w:pPr>
        <w:spacing w:line="480" w:lineRule="auto"/>
        <w:jc w:val="both"/>
        <w:rPr>
          <w:rFonts w:ascii="Arial" w:hAnsi="Arial" w:cs="Arial"/>
          <w:sz w:val="24"/>
          <w:szCs w:val="24"/>
        </w:rPr>
      </w:pPr>
    </w:p>
    <w:p w14:paraId="754CE5B9" w14:textId="77777777" w:rsidR="00800570" w:rsidRPr="00EA0AEB" w:rsidRDefault="00800570" w:rsidP="00EA0AEB">
      <w:pPr>
        <w:pStyle w:val="Heading1"/>
        <w:spacing w:line="480" w:lineRule="auto"/>
        <w:jc w:val="both"/>
        <w:rPr>
          <w:rFonts w:ascii="Arial" w:hAnsi="Arial" w:cs="Arial"/>
          <w:sz w:val="24"/>
          <w:szCs w:val="24"/>
        </w:rPr>
      </w:pPr>
      <w:bookmarkStart w:id="7" w:name="_Toc134128254"/>
      <w:r w:rsidRPr="00EA0AEB">
        <w:rPr>
          <w:rFonts w:ascii="Arial" w:hAnsi="Arial" w:cs="Arial"/>
          <w:sz w:val="24"/>
          <w:szCs w:val="24"/>
        </w:rPr>
        <w:lastRenderedPageBreak/>
        <w:t>References:</w:t>
      </w:r>
      <w:bookmarkEnd w:id="7"/>
    </w:p>
    <w:p w14:paraId="2A67BBFE" w14:textId="77777777" w:rsidR="002E1BEB" w:rsidRPr="00EA0AEB" w:rsidRDefault="002E1BEB" w:rsidP="00EA0AEB">
      <w:pPr>
        <w:spacing w:line="480" w:lineRule="auto"/>
        <w:jc w:val="both"/>
        <w:rPr>
          <w:rFonts w:ascii="Arial" w:hAnsi="Arial" w:cs="Arial"/>
          <w:sz w:val="24"/>
          <w:szCs w:val="24"/>
        </w:rPr>
      </w:pPr>
      <w:r w:rsidRPr="00EA0AEB">
        <w:rPr>
          <w:rFonts w:ascii="Arial" w:hAnsi="Arial" w:cs="Arial"/>
          <w:sz w:val="24"/>
          <w:szCs w:val="24"/>
          <w:shd w:val="clear" w:color="auto" w:fill="FFFFFF"/>
        </w:rPr>
        <w:t>CAGLE, M.N., ÖZDAĞOĞLU, A. and YILMAZ, K., 2020. A SWARA-GRA Integrated Approach For Combating Information Overload: Investment Appraisal And Decisions (</w:t>
      </w:r>
      <w:proofErr w:type="spellStart"/>
      <w:r w:rsidRPr="00EA0AEB">
        <w:rPr>
          <w:rFonts w:ascii="Arial" w:hAnsi="Arial" w:cs="Arial"/>
          <w:sz w:val="24"/>
          <w:szCs w:val="24"/>
          <w:shd w:val="clear" w:color="auto" w:fill="FFFFFF"/>
        </w:rPr>
        <w:t>Nicel</w:t>
      </w:r>
      <w:proofErr w:type="spellEnd"/>
      <w:r w:rsidRPr="00EA0AEB">
        <w:rPr>
          <w:rFonts w:ascii="Arial" w:hAnsi="Arial" w:cs="Arial"/>
          <w:sz w:val="24"/>
          <w:szCs w:val="24"/>
          <w:shd w:val="clear" w:color="auto" w:fill="FFFFFF"/>
        </w:rPr>
        <w:t xml:space="preserve"> </w:t>
      </w:r>
      <w:proofErr w:type="spellStart"/>
      <w:r w:rsidRPr="00EA0AEB">
        <w:rPr>
          <w:rFonts w:ascii="Arial" w:hAnsi="Arial" w:cs="Arial"/>
          <w:sz w:val="24"/>
          <w:szCs w:val="24"/>
          <w:shd w:val="clear" w:color="auto" w:fill="FFFFFF"/>
        </w:rPr>
        <w:t>Araştırma</w:t>
      </w:r>
      <w:proofErr w:type="spellEnd"/>
      <w:r w:rsidRPr="00EA0AEB">
        <w:rPr>
          <w:rFonts w:ascii="Arial" w:hAnsi="Arial" w:cs="Arial"/>
          <w:sz w:val="24"/>
          <w:szCs w:val="24"/>
          <w:shd w:val="clear" w:color="auto" w:fill="FFFFFF"/>
        </w:rPr>
        <w:t>). </w:t>
      </w:r>
      <w:proofErr w:type="spellStart"/>
      <w:r w:rsidRPr="00EA0AEB">
        <w:rPr>
          <w:rFonts w:ascii="Arial" w:hAnsi="Arial" w:cs="Arial"/>
          <w:i/>
          <w:iCs/>
          <w:sz w:val="24"/>
          <w:szCs w:val="24"/>
          <w:shd w:val="clear" w:color="auto" w:fill="FFFFFF"/>
        </w:rPr>
        <w:t>Muhasebe</w:t>
      </w:r>
      <w:proofErr w:type="spellEnd"/>
      <w:r w:rsidRPr="00EA0AEB">
        <w:rPr>
          <w:rFonts w:ascii="Arial" w:hAnsi="Arial" w:cs="Arial"/>
          <w:i/>
          <w:iCs/>
          <w:sz w:val="24"/>
          <w:szCs w:val="24"/>
          <w:shd w:val="clear" w:color="auto" w:fill="FFFFFF"/>
        </w:rPr>
        <w:t xml:space="preserve"> </w:t>
      </w:r>
      <w:proofErr w:type="spellStart"/>
      <w:r w:rsidRPr="00EA0AEB">
        <w:rPr>
          <w:rFonts w:ascii="Arial" w:hAnsi="Arial" w:cs="Arial"/>
          <w:i/>
          <w:iCs/>
          <w:sz w:val="24"/>
          <w:szCs w:val="24"/>
          <w:shd w:val="clear" w:color="auto" w:fill="FFFFFF"/>
        </w:rPr>
        <w:t>ve</w:t>
      </w:r>
      <w:proofErr w:type="spellEnd"/>
      <w:r w:rsidRPr="00EA0AEB">
        <w:rPr>
          <w:rFonts w:ascii="Arial" w:hAnsi="Arial" w:cs="Arial"/>
          <w:i/>
          <w:iCs/>
          <w:sz w:val="24"/>
          <w:szCs w:val="24"/>
          <w:shd w:val="clear" w:color="auto" w:fill="FFFFFF"/>
        </w:rPr>
        <w:t xml:space="preserve"> </w:t>
      </w:r>
      <w:proofErr w:type="spellStart"/>
      <w:r w:rsidRPr="00EA0AEB">
        <w:rPr>
          <w:rFonts w:ascii="Arial" w:hAnsi="Arial" w:cs="Arial"/>
          <w:i/>
          <w:iCs/>
          <w:sz w:val="24"/>
          <w:szCs w:val="24"/>
          <w:shd w:val="clear" w:color="auto" w:fill="FFFFFF"/>
        </w:rPr>
        <w:t>Finansman</w:t>
      </w:r>
      <w:proofErr w:type="spellEnd"/>
      <w:r w:rsidRPr="00EA0AEB">
        <w:rPr>
          <w:rFonts w:ascii="Arial" w:hAnsi="Arial" w:cs="Arial"/>
          <w:i/>
          <w:iCs/>
          <w:sz w:val="24"/>
          <w:szCs w:val="24"/>
          <w:shd w:val="clear" w:color="auto" w:fill="FFFFFF"/>
        </w:rPr>
        <w:t xml:space="preserve"> </w:t>
      </w:r>
      <w:proofErr w:type="spellStart"/>
      <w:r w:rsidRPr="00EA0AEB">
        <w:rPr>
          <w:rFonts w:ascii="Arial" w:hAnsi="Arial" w:cs="Arial"/>
          <w:i/>
          <w:iCs/>
          <w:sz w:val="24"/>
          <w:szCs w:val="24"/>
          <w:shd w:val="clear" w:color="auto" w:fill="FFFFFF"/>
        </w:rPr>
        <w:t>Dergisi</w:t>
      </w:r>
      <w:proofErr w:type="spellEnd"/>
      <w:r w:rsidRPr="00EA0AEB">
        <w:rPr>
          <w:rFonts w:ascii="Arial" w:hAnsi="Arial" w:cs="Arial"/>
          <w:sz w:val="24"/>
          <w:szCs w:val="24"/>
          <w:shd w:val="clear" w:color="auto" w:fill="FFFFFF"/>
        </w:rPr>
        <w:t>, (87).</w:t>
      </w:r>
    </w:p>
    <w:p w14:paraId="5C8B486B" w14:textId="58CF7927" w:rsidR="002E1BEB" w:rsidRPr="00EA0AEB" w:rsidRDefault="002E1BEB" w:rsidP="00EA0AEB">
      <w:pPr>
        <w:spacing w:line="480" w:lineRule="auto"/>
        <w:jc w:val="both"/>
        <w:rPr>
          <w:rFonts w:ascii="Arial" w:hAnsi="Arial" w:cs="Arial"/>
          <w:sz w:val="24"/>
          <w:szCs w:val="24"/>
        </w:rPr>
      </w:pPr>
      <w:r w:rsidRPr="00EA0AEB">
        <w:rPr>
          <w:rFonts w:ascii="Arial" w:hAnsi="Arial" w:cs="Arial"/>
          <w:sz w:val="24"/>
          <w:szCs w:val="24"/>
          <w:shd w:val="clear" w:color="auto" w:fill="FFFFFF"/>
        </w:rPr>
        <w:t>KANAKRIYAH, R., 2020. Dividend policy and companies' financial performance. </w:t>
      </w:r>
      <w:r w:rsidRPr="00EA0AEB">
        <w:rPr>
          <w:rFonts w:ascii="Arial" w:hAnsi="Arial" w:cs="Arial"/>
          <w:i/>
          <w:iCs/>
          <w:sz w:val="24"/>
          <w:szCs w:val="24"/>
          <w:shd w:val="clear" w:color="auto" w:fill="FFFFFF"/>
        </w:rPr>
        <w:t>The Journal of Asian Finance, Economics and Business</w:t>
      </w:r>
      <w:r w:rsidRPr="00EA0AEB">
        <w:rPr>
          <w:rFonts w:ascii="Arial" w:hAnsi="Arial" w:cs="Arial"/>
          <w:sz w:val="24"/>
          <w:szCs w:val="24"/>
          <w:shd w:val="clear" w:color="auto" w:fill="FFFFFF"/>
        </w:rPr>
        <w:t>, </w:t>
      </w:r>
      <w:r w:rsidRPr="00EA0AEB">
        <w:rPr>
          <w:rFonts w:ascii="Arial" w:hAnsi="Arial" w:cs="Arial"/>
          <w:i/>
          <w:iCs/>
          <w:sz w:val="24"/>
          <w:szCs w:val="24"/>
          <w:shd w:val="clear" w:color="auto" w:fill="FFFFFF"/>
        </w:rPr>
        <w:t>7</w:t>
      </w:r>
      <w:r w:rsidRPr="00EA0AEB">
        <w:rPr>
          <w:rFonts w:ascii="Arial" w:hAnsi="Arial" w:cs="Arial"/>
          <w:sz w:val="24"/>
          <w:szCs w:val="24"/>
          <w:shd w:val="clear" w:color="auto" w:fill="FFFFFF"/>
        </w:rPr>
        <w:t>(10), pp.531-541.</w:t>
      </w:r>
    </w:p>
    <w:p w14:paraId="66660D08" w14:textId="77777777" w:rsidR="002E1BEB" w:rsidRPr="00EA0AEB" w:rsidRDefault="002E1BEB" w:rsidP="00EA0AEB">
      <w:pPr>
        <w:spacing w:line="480" w:lineRule="auto"/>
        <w:jc w:val="both"/>
        <w:rPr>
          <w:rFonts w:ascii="Arial" w:hAnsi="Arial" w:cs="Arial"/>
          <w:sz w:val="24"/>
          <w:szCs w:val="24"/>
          <w:shd w:val="clear" w:color="auto" w:fill="FFFFFF"/>
        </w:rPr>
      </w:pPr>
      <w:r w:rsidRPr="00EA0AEB">
        <w:rPr>
          <w:rFonts w:ascii="Arial" w:hAnsi="Arial" w:cs="Arial"/>
          <w:sz w:val="24"/>
          <w:szCs w:val="24"/>
          <w:shd w:val="clear" w:color="auto" w:fill="FFFFFF"/>
        </w:rPr>
        <w:t>Sánchez-</w:t>
      </w:r>
      <w:proofErr w:type="spellStart"/>
      <w:r w:rsidRPr="00EA0AEB">
        <w:rPr>
          <w:rFonts w:ascii="Arial" w:hAnsi="Arial" w:cs="Arial"/>
          <w:sz w:val="24"/>
          <w:szCs w:val="24"/>
          <w:shd w:val="clear" w:color="auto" w:fill="FFFFFF"/>
        </w:rPr>
        <w:t>Granero</w:t>
      </w:r>
      <w:proofErr w:type="spellEnd"/>
      <w:r w:rsidRPr="00EA0AEB">
        <w:rPr>
          <w:rFonts w:ascii="Arial" w:hAnsi="Arial" w:cs="Arial"/>
          <w:sz w:val="24"/>
          <w:szCs w:val="24"/>
          <w:shd w:val="clear" w:color="auto" w:fill="FFFFFF"/>
        </w:rPr>
        <w:t xml:space="preserve">, M.A., </w:t>
      </w:r>
      <w:proofErr w:type="spellStart"/>
      <w:r w:rsidRPr="00EA0AEB">
        <w:rPr>
          <w:rFonts w:ascii="Arial" w:hAnsi="Arial" w:cs="Arial"/>
          <w:sz w:val="24"/>
          <w:szCs w:val="24"/>
          <w:shd w:val="clear" w:color="auto" w:fill="FFFFFF"/>
        </w:rPr>
        <w:t>Balladares</w:t>
      </w:r>
      <w:proofErr w:type="spellEnd"/>
      <w:r w:rsidRPr="00EA0AEB">
        <w:rPr>
          <w:rFonts w:ascii="Arial" w:hAnsi="Arial" w:cs="Arial"/>
          <w:sz w:val="24"/>
          <w:szCs w:val="24"/>
          <w:shd w:val="clear" w:color="auto" w:fill="FFFFFF"/>
        </w:rPr>
        <w:t>, K.A., Ramos-</w:t>
      </w:r>
      <w:proofErr w:type="spellStart"/>
      <w:r w:rsidRPr="00EA0AEB">
        <w:rPr>
          <w:rFonts w:ascii="Arial" w:hAnsi="Arial" w:cs="Arial"/>
          <w:sz w:val="24"/>
          <w:szCs w:val="24"/>
          <w:shd w:val="clear" w:color="auto" w:fill="FFFFFF"/>
        </w:rPr>
        <w:t>Requena</w:t>
      </w:r>
      <w:proofErr w:type="spellEnd"/>
      <w:r w:rsidRPr="00EA0AEB">
        <w:rPr>
          <w:rFonts w:ascii="Arial" w:hAnsi="Arial" w:cs="Arial"/>
          <w:sz w:val="24"/>
          <w:szCs w:val="24"/>
          <w:shd w:val="clear" w:color="auto" w:fill="FFFFFF"/>
        </w:rPr>
        <w:t>, J.P. and Trinidad-Segovia, J.E., 2020. Testing the efficient market hypothesis in Latin American stock markets. </w:t>
      </w:r>
      <w:proofErr w:type="spellStart"/>
      <w:r w:rsidRPr="00EA0AEB">
        <w:rPr>
          <w:rFonts w:ascii="Arial" w:hAnsi="Arial" w:cs="Arial"/>
          <w:i/>
          <w:iCs/>
          <w:sz w:val="24"/>
          <w:szCs w:val="24"/>
          <w:shd w:val="clear" w:color="auto" w:fill="FFFFFF"/>
        </w:rPr>
        <w:t>Physica</w:t>
      </w:r>
      <w:proofErr w:type="spellEnd"/>
      <w:r w:rsidRPr="00EA0AEB">
        <w:rPr>
          <w:rFonts w:ascii="Arial" w:hAnsi="Arial" w:cs="Arial"/>
          <w:i/>
          <w:iCs/>
          <w:sz w:val="24"/>
          <w:szCs w:val="24"/>
          <w:shd w:val="clear" w:color="auto" w:fill="FFFFFF"/>
        </w:rPr>
        <w:t xml:space="preserve"> A: Statistical Mechanics and its Applications</w:t>
      </w:r>
      <w:r w:rsidRPr="00EA0AEB">
        <w:rPr>
          <w:rFonts w:ascii="Arial" w:hAnsi="Arial" w:cs="Arial"/>
          <w:sz w:val="24"/>
          <w:szCs w:val="24"/>
          <w:shd w:val="clear" w:color="auto" w:fill="FFFFFF"/>
        </w:rPr>
        <w:t>, </w:t>
      </w:r>
      <w:r w:rsidRPr="00EA0AEB">
        <w:rPr>
          <w:rFonts w:ascii="Arial" w:hAnsi="Arial" w:cs="Arial"/>
          <w:i/>
          <w:iCs/>
          <w:sz w:val="24"/>
          <w:szCs w:val="24"/>
          <w:shd w:val="clear" w:color="auto" w:fill="FFFFFF"/>
        </w:rPr>
        <w:t>540</w:t>
      </w:r>
      <w:r w:rsidRPr="00EA0AEB">
        <w:rPr>
          <w:rFonts w:ascii="Arial" w:hAnsi="Arial" w:cs="Arial"/>
          <w:sz w:val="24"/>
          <w:szCs w:val="24"/>
          <w:shd w:val="clear" w:color="auto" w:fill="FFFFFF"/>
        </w:rPr>
        <w:t>, p.123082.</w:t>
      </w:r>
    </w:p>
    <w:p w14:paraId="740ED5C7" w14:textId="77777777" w:rsidR="002E1BEB" w:rsidRPr="00EA0AEB" w:rsidRDefault="002E1BEB" w:rsidP="00EA0AEB">
      <w:pPr>
        <w:spacing w:line="480" w:lineRule="auto"/>
        <w:jc w:val="both"/>
        <w:rPr>
          <w:rFonts w:ascii="Arial" w:hAnsi="Arial" w:cs="Arial"/>
          <w:sz w:val="24"/>
          <w:szCs w:val="24"/>
          <w:shd w:val="clear" w:color="auto" w:fill="FFFFFF"/>
        </w:rPr>
      </w:pPr>
      <w:r w:rsidRPr="00EA0AEB">
        <w:rPr>
          <w:rFonts w:ascii="Arial" w:hAnsi="Arial" w:cs="Arial"/>
          <w:sz w:val="24"/>
          <w:szCs w:val="24"/>
          <w:shd w:val="clear" w:color="auto" w:fill="FFFFFF"/>
        </w:rPr>
        <w:t xml:space="preserve">Singh, J.E., </w:t>
      </w:r>
      <w:proofErr w:type="spellStart"/>
      <w:r w:rsidRPr="00EA0AEB">
        <w:rPr>
          <w:rFonts w:ascii="Arial" w:hAnsi="Arial" w:cs="Arial"/>
          <w:sz w:val="24"/>
          <w:szCs w:val="24"/>
          <w:shd w:val="clear" w:color="auto" w:fill="FFFFFF"/>
        </w:rPr>
        <w:t>Babshetti</w:t>
      </w:r>
      <w:proofErr w:type="spellEnd"/>
      <w:r w:rsidRPr="00EA0AEB">
        <w:rPr>
          <w:rFonts w:ascii="Arial" w:hAnsi="Arial" w:cs="Arial"/>
          <w:sz w:val="24"/>
          <w:szCs w:val="24"/>
          <w:shd w:val="clear" w:color="auto" w:fill="FFFFFF"/>
        </w:rPr>
        <w:t xml:space="preserve">, V. and </w:t>
      </w:r>
      <w:proofErr w:type="spellStart"/>
      <w:r w:rsidRPr="00EA0AEB">
        <w:rPr>
          <w:rFonts w:ascii="Arial" w:hAnsi="Arial" w:cs="Arial"/>
          <w:sz w:val="24"/>
          <w:szCs w:val="24"/>
          <w:shd w:val="clear" w:color="auto" w:fill="FFFFFF"/>
        </w:rPr>
        <w:t>Shivaprasad</w:t>
      </w:r>
      <w:proofErr w:type="spellEnd"/>
      <w:r w:rsidRPr="00EA0AEB">
        <w:rPr>
          <w:rFonts w:ascii="Arial" w:hAnsi="Arial" w:cs="Arial"/>
          <w:sz w:val="24"/>
          <w:szCs w:val="24"/>
          <w:shd w:val="clear" w:color="auto" w:fill="FFFFFF"/>
        </w:rPr>
        <w:t xml:space="preserve">, H.N., 2021. Efficient market hypothesis to </w:t>
      </w:r>
      <w:proofErr w:type="spellStart"/>
      <w:r w:rsidRPr="00EA0AEB">
        <w:rPr>
          <w:rFonts w:ascii="Arial" w:hAnsi="Arial" w:cs="Arial"/>
          <w:sz w:val="24"/>
          <w:szCs w:val="24"/>
          <w:shd w:val="clear" w:color="auto" w:fill="FFFFFF"/>
        </w:rPr>
        <w:t>behavioral</w:t>
      </w:r>
      <w:proofErr w:type="spellEnd"/>
      <w:r w:rsidRPr="00EA0AEB">
        <w:rPr>
          <w:rFonts w:ascii="Arial" w:hAnsi="Arial" w:cs="Arial"/>
          <w:sz w:val="24"/>
          <w:szCs w:val="24"/>
          <w:shd w:val="clear" w:color="auto" w:fill="FFFFFF"/>
        </w:rPr>
        <w:t xml:space="preserve"> finance: A review of rationality to irrationality. </w:t>
      </w:r>
      <w:r w:rsidRPr="00EA0AEB">
        <w:rPr>
          <w:rFonts w:ascii="Arial" w:hAnsi="Arial" w:cs="Arial"/>
          <w:i/>
          <w:iCs/>
          <w:sz w:val="24"/>
          <w:szCs w:val="24"/>
          <w:shd w:val="clear" w:color="auto" w:fill="FFFFFF"/>
        </w:rPr>
        <w:t>Materials Today: Proceedings</w:t>
      </w:r>
      <w:r w:rsidRPr="00EA0AEB">
        <w:rPr>
          <w:rFonts w:ascii="Arial" w:hAnsi="Arial" w:cs="Arial"/>
          <w:sz w:val="24"/>
          <w:szCs w:val="24"/>
          <w:shd w:val="clear" w:color="auto" w:fill="FFFFFF"/>
        </w:rPr>
        <w:t>.</w:t>
      </w:r>
    </w:p>
    <w:p w14:paraId="782C2661" w14:textId="77777777" w:rsidR="002E1BEB" w:rsidRPr="00EA0AEB" w:rsidRDefault="002E1BEB" w:rsidP="00EA0AEB">
      <w:pPr>
        <w:spacing w:line="480" w:lineRule="auto"/>
        <w:jc w:val="both"/>
        <w:rPr>
          <w:rFonts w:ascii="Arial" w:hAnsi="Arial" w:cs="Arial"/>
          <w:sz w:val="24"/>
          <w:szCs w:val="24"/>
          <w:shd w:val="clear" w:color="auto" w:fill="FFFFFF"/>
        </w:rPr>
      </w:pPr>
      <w:r w:rsidRPr="00EA0AEB">
        <w:rPr>
          <w:rFonts w:ascii="Arial" w:hAnsi="Arial" w:cs="Arial"/>
          <w:sz w:val="24"/>
          <w:szCs w:val="24"/>
          <w:shd w:val="clear" w:color="auto" w:fill="FFFFFF"/>
        </w:rPr>
        <w:t xml:space="preserve">Trinh, V.Q., </w:t>
      </w:r>
      <w:proofErr w:type="spellStart"/>
      <w:r w:rsidRPr="00EA0AEB">
        <w:rPr>
          <w:rFonts w:ascii="Arial" w:hAnsi="Arial" w:cs="Arial"/>
          <w:sz w:val="24"/>
          <w:szCs w:val="24"/>
          <w:shd w:val="clear" w:color="auto" w:fill="FFFFFF"/>
        </w:rPr>
        <w:t>Elnahass</w:t>
      </w:r>
      <w:proofErr w:type="spellEnd"/>
      <w:r w:rsidRPr="00EA0AEB">
        <w:rPr>
          <w:rFonts w:ascii="Arial" w:hAnsi="Arial" w:cs="Arial"/>
          <w:sz w:val="24"/>
          <w:szCs w:val="24"/>
          <w:shd w:val="clear" w:color="auto" w:fill="FFFFFF"/>
        </w:rPr>
        <w:t>, M. and Salama, A., 2021. Board busyness and new insights into alternative bank dividends models. </w:t>
      </w:r>
      <w:r w:rsidRPr="00EA0AEB">
        <w:rPr>
          <w:rFonts w:ascii="Arial" w:hAnsi="Arial" w:cs="Arial"/>
          <w:i/>
          <w:iCs/>
          <w:sz w:val="24"/>
          <w:szCs w:val="24"/>
          <w:shd w:val="clear" w:color="auto" w:fill="FFFFFF"/>
        </w:rPr>
        <w:t>Review of Quantitative Finance and Accounting</w:t>
      </w:r>
      <w:r w:rsidRPr="00EA0AEB">
        <w:rPr>
          <w:rFonts w:ascii="Arial" w:hAnsi="Arial" w:cs="Arial"/>
          <w:sz w:val="24"/>
          <w:szCs w:val="24"/>
          <w:shd w:val="clear" w:color="auto" w:fill="FFFFFF"/>
        </w:rPr>
        <w:t>, </w:t>
      </w:r>
      <w:r w:rsidRPr="00EA0AEB">
        <w:rPr>
          <w:rFonts w:ascii="Arial" w:hAnsi="Arial" w:cs="Arial"/>
          <w:i/>
          <w:iCs/>
          <w:sz w:val="24"/>
          <w:szCs w:val="24"/>
          <w:shd w:val="clear" w:color="auto" w:fill="FFFFFF"/>
        </w:rPr>
        <w:t>56</w:t>
      </w:r>
      <w:r w:rsidRPr="00EA0AEB">
        <w:rPr>
          <w:rFonts w:ascii="Arial" w:hAnsi="Arial" w:cs="Arial"/>
          <w:sz w:val="24"/>
          <w:szCs w:val="24"/>
          <w:shd w:val="clear" w:color="auto" w:fill="FFFFFF"/>
        </w:rPr>
        <w:t>, pp.1289-1328.</w:t>
      </w:r>
    </w:p>
    <w:p w14:paraId="14B45716" w14:textId="77777777" w:rsidR="00EB437C" w:rsidRPr="00EA0AEB" w:rsidRDefault="00EB437C" w:rsidP="00EA0AEB">
      <w:pPr>
        <w:spacing w:line="480" w:lineRule="auto"/>
        <w:jc w:val="both"/>
        <w:rPr>
          <w:rFonts w:ascii="Arial" w:hAnsi="Arial" w:cs="Arial"/>
          <w:sz w:val="24"/>
          <w:szCs w:val="24"/>
        </w:rPr>
      </w:pPr>
    </w:p>
    <w:sectPr w:rsidR="00EB437C" w:rsidRPr="00EA0AEB" w:rsidSect="00EA0AEB">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394DA3" w14:textId="77777777" w:rsidR="007378A4" w:rsidRDefault="007378A4" w:rsidP="00EA0AEB">
      <w:pPr>
        <w:spacing w:after="0" w:line="240" w:lineRule="auto"/>
      </w:pPr>
      <w:r>
        <w:separator/>
      </w:r>
    </w:p>
  </w:endnote>
  <w:endnote w:type="continuationSeparator" w:id="0">
    <w:p w14:paraId="0655FB1D" w14:textId="77777777" w:rsidR="007378A4" w:rsidRDefault="007378A4" w:rsidP="00EA0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SemiBold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2130776261"/>
      <w:docPartObj>
        <w:docPartGallery w:val="Page Numbers (Bottom of Page)"/>
        <w:docPartUnique/>
      </w:docPartObj>
    </w:sdtPr>
    <w:sdtEndPr>
      <w:rPr>
        <w:rStyle w:val="PageNumber"/>
      </w:rPr>
    </w:sdtEndPr>
    <w:sdtContent>
      <w:p w14:paraId="5654EDF4" w14:textId="1FC0BF81" w:rsidR="00EA0AEB" w:rsidRDefault="00EA0AEB" w:rsidP="00B97A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12A51C" w14:textId="77777777" w:rsidR="00EA0AEB" w:rsidRDefault="00EA0AEB" w:rsidP="00EA0AEB">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325869273"/>
      <w:docPartObj>
        <w:docPartGallery w:val="Page Numbers (Bottom of Page)"/>
        <w:docPartUnique/>
      </w:docPartObj>
    </w:sdtPr>
    <w:sdtEndPr>
      <w:rPr>
        <w:rStyle w:val="PageNumber"/>
      </w:rPr>
    </w:sdtEndPr>
    <w:sdtContent>
      <w:p w14:paraId="50108587" w14:textId="731173E5" w:rsidR="00EA0AEB" w:rsidRDefault="00EA0AEB" w:rsidP="00B97A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22533">
          <w:rPr>
            <w:rStyle w:val="PageNumber"/>
            <w:noProof/>
          </w:rPr>
          <w:t>1</w:t>
        </w:r>
        <w:r>
          <w:rPr>
            <w:rStyle w:val="PageNumber"/>
          </w:rPr>
          <w:fldChar w:fldCharType="end"/>
        </w:r>
      </w:p>
    </w:sdtContent>
  </w:sdt>
  <w:p w14:paraId="2D988AC5" w14:textId="77777777" w:rsidR="00EA0AEB" w:rsidRDefault="00EA0AEB" w:rsidP="00EA0AEB">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BFC686" w14:textId="77777777" w:rsidR="007378A4" w:rsidRDefault="007378A4" w:rsidP="00EA0AEB">
      <w:pPr>
        <w:spacing w:after="0" w:line="240" w:lineRule="auto"/>
      </w:pPr>
      <w:r>
        <w:separator/>
      </w:r>
    </w:p>
  </w:footnote>
  <w:footnote w:type="continuationSeparator" w:id="0">
    <w:p w14:paraId="467563A4" w14:textId="77777777" w:rsidR="007378A4" w:rsidRDefault="007378A4" w:rsidP="00EA0AE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B49021E"/>
    <w:multiLevelType w:val="multilevel"/>
    <w:tmpl w:val="BC688AC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37C"/>
    <w:rsid w:val="00072795"/>
    <w:rsid w:val="000831C3"/>
    <w:rsid w:val="00180EB8"/>
    <w:rsid w:val="001E559C"/>
    <w:rsid w:val="00222E4A"/>
    <w:rsid w:val="002E1BEB"/>
    <w:rsid w:val="002E229C"/>
    <w:rsid w:val="00397686"/>
    <w:rsid w:val="003B38D4"/>
    <w:rsid w:val="003B3F3C"/>
    <w:rsid w:val="00464D39"/>
    <w:rsid w:val="004C5CFE"/>
    <w:rsid w:val="00513530"/>
    <w:rsid w:val="00570C17"/>
    <w:rsid w:val="0058450D"/>
    <w:rsid w:val="00622533"/>
    <w:rsid w:val="006715CD"/>
    <w:rsid w:val="006834C6"/>
    <w:rsid w:val="006E748E"/>
    <w:rsid w:val="007378A4"/>
    <w:rsid w:val="00800570"/>
    <w:rsid w:val="00830770"/>
    <w:rsid w:val="00880212"/>
    <w:rsid w:val="008806AD"/>
    <w:rsid w:val="008963E8"/>
    <w:rsid w:val="00956846"/>
    <w:rsid w:val="00961ADA"/>
    <w:rsid w:val="009F0D71"/>
    <w:rsid w:val="00B22E1F"/>
    <w:rsid w:val="00B67A21"/>
    <w:rsid w:val="00CA560F"/>
    <w:rsid w:val="00D358EB"/>
    <w:rsid w:val="00E6294D"/>
    <w:rsid w:val="00E907BD"/>
    <w:rsid w:val="00EA0AEB"/>
    <w:rsid w:val="00EB437C"/>
    <w:rsid w:val="00EB4B83"/>
    <w:rsid w:val="00FC33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5C01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ajorEastAsia" w:hAnsiTheme="majorHAnsi" w:cstheme="majorBidi"/>
        <w:sz w:val="22"/>
        <w:szCs w:val="22"/>
        <w:lang w:val="en-IN" w:eastAsia="en-US" w:bidi="ar-SA"/>
      </w:rPr>
    </w:rPrDefault>
    <w:pPrDefault>
      <w:pPr>
        <w:spacing w:after="200" w:line="25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0AEB"/>
  </w:style>
  <w:style w:type="paragraph" w:styleId="Heading1">
    <w:name w:val="heading 1"/>
    <w:basedOn w:val="Normal"/>
    <w:next w:val="Normal"/>
    <w:link w:val="Heading1Char"/>
    <w:uiPriority w:val="9"/>
    <w:qFormat/>
    <w:rsid w:val="00EA0AEB"/>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unhideWhenUsed/>
    <w:qFormat/>
    <w:rsid w:val="00EA0AEB"/>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EA0AEB"/>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unhideWhenUsed/>
    <w:qFormat/>
    <w:rsid w:val="00EA0AEB"/>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unhideWhenUsed/>
    <w:qFormat/>
    <w:rsid w:val="00EA0AEB"/>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EA0AEB"/>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EA0AEB"/>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EA0AEB"/>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A0AEB"/>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AEB"/>
    <w:rPr>
      <w:caps/>
      <w:color w:val="833C0B" w:themeColor="accent2" w:themeShade="80"/>
      <w:spacing w:val="20"/>
      <w:sz w:val="28"/>
      <w:szCs w:val="28"/>
    </w:rPr>
  </w:style>
  <w:style w:type="character" w:customStyle="1" w:styleId="Heading2Char">
    <w:name w:val="Heading 2 Char"/>
    <w:basedOn w:val="DefaultParagraphFont"/>
    <w:link w:val="Heading2"/>
    <w:uiPriority w:val="9"/>
    <w:rsid w:val="00EA0AEB"/>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EA0AEB"/>
    <w:rPr>
      <w:caps/>
      <w:color w:val="823B0B" w:themeColor="accent2" w:themeShade="7F"/>
      <w:sz w:val="24"/>
      <w:szCs w:val="24"/>
    </w:rPr>
  </w:style>
  <w:style w:type="character" w:customStyle="1" w:styleId="Heading4Char">
    <w:name w:val="Heading 4 Char"/>
    <w:basedOn w:val="DefaultParagraphFont"/>
    <w:link w:val="Heading4"/>
    <w:uiPriority w:val="9"/>
    <w:rsid w:val="00EA0AEB"/>
    <w:rPr>
      <w:caps/>
      <w:color w:val="823B0B" w:themeColor="accent2" w:themeShade="7F"/>
      <w:spacing w:val="10"/>
    </w:rPr>
  </w:style>
  <w:style w:type="character" w:customStyle="1" w:styleId="Heading5Char">
    <w:name w:val="Heading 5 Char"/>
    <w:basedOn w:val="DefaultParagraphFont"/>
    <w:link w:val="Heading5"/>
    <w:uiPriority w:val="9"/>
    <w:rsid w:val="00EA0AEB"/>
    <w:rPr>
      <w:caps/>
      <w:color w:val="823B0B" w:themeColor="accent2" w:themeShade="7F"/>
      <w:spacing w:val="10"/>
    </w:rPr>
  </w:style>
  <w:style w:type="paragraph" w:customStyle="1" w:styleId="comp">
    <w:name w:val="comp"/>
    <w:basedOn w:val="Normal"/>
    <w:rsid w:val="006E748E"/>
    <w:pPr>
      <w:spacing w:before="100" w:beforeAutospacing="1" w:after="100" w:afterAutospacing="1" w:line="240" w:lineRule="auto"/>
    </w:pPr>
    <w:rPr>
      <w:rFonts w:ascii="Times New Roman" w:eastAsia="Times New Roman" w:hAnsi="Times New Roman" w:cs="Times New Roman"/>
      <w:szCs w:val="24"/>
      <w:lang w:eastAsia="en-IN"/>
    </w:rPr>
  </w:style>
  <w:style w:type="character" w:styleId="Hyperlink">
    <w:name w:val="Hyperlink"/>
    <w:basedOn w:val="DefaultParagraphFont"/>
    <w:uiPriority w:val="99"/>
    <w:unhideWhenUsed/>
    <w:rsid w:val="006E748E"/>
    <w:rPr>
      <w:color w:val="0000FF"/>
      <w:u w:val="single"/>
    </w:rPr>
  </w:style>
  <w:style w:type="character" w:customStyle="1" w:styleId="mntl-sc-block-subheadingtext">
    <w:name w:val="mntl-sc-block-subheading__text"/>
    <w:basedOn w:val="DefaultParagraphFont"/>
    <w:rsid w:val="006E748E"/>
  </w:style>
  <w:style w:type="paragraph" w:styleId="NormalWeb">
    <w:name w:val="Normal (Web)"/>
    <w:basedOn w:val="Normal"/>
    <w:uiPriority w:val="99"/>
    <w:semiHidden/>
    <w:unhideWhenUsed/>
    <w:rsid w:val="00513530"/>
    <w:pPr>
      <w:spacing w:before="100" w:beforeAutospacing="1" w:after="100" w:afterAutospacing="1" w:line="240" w:lineRule="auto"/>
    </w:pPr>
    <w:rPr>
      <w:rFonts w:ascii="Times New Roman" w:eastAsia="Times New Roman" w:hAnsi="Times New Roman" w:cs="Times New Roman"/>
      <w:szCs w:val="24"/>
      <w:lang w:eastAsia="en-IN"/>
    </w:rPr>
  </w:style>
  <w:style w:type="paragraph" w:styleId="TOCHeading">
    <w:name w:val="TOC Heading"/>
    <w:basedOn w:val="Heading1"/>
    <w:next w:val="Normal"/>
    <w:uiPriority w:val="39"/>
    <w:unhideWhenUsed/>
    <w:qFormat/>
    <w:rsid w:val="00EA0AEB"/>
    <w:pPr>
      <w:outlineLvl w:val="9"/>
    </w:pPr>
  </w:style>
  <w:style w:type="paragraph" w:styleId="TOC1">
    <w:name w:val="toc 1"/>
    <w:basedOn w:val="Normal"/>
    <w:next w:val="Normal"/>
    <w:autoRedefine/>
    <w:uiPriority w:val="39"/>
    <w:unhideWhenUsed/>
    <w:rsid w:val="003B38D4"/>
    <w:pPr>
      <w:spacing w:after="100"/>
    </w:pPr>
  </w:style>
  <w:style w:type="paragraph" w:styleId="TOC2">
    <w:name w:val="toc 2"/>
    <w:basedOn w:val="Normal"/>
    <w:next w:val="Normal"/>
    <w:autoRedefine/>
    <w:uiPriority w:val="39"/>
    <w:unhideWhenUsed/>
    <w:rsid w:val="003B38D4"/>
    <w:pPr>
      <w:spacing w:after="100"/>
      <w:ind w:left="240"/>
    </w:pPr>
  </w:style>
  <w:style w:type="character" w:customStyle="1" w:styleId="Heading6Char">
    <w:name w:val="Heading 6 Char"/>
    <w:basedOn w:val="DefaultParagraphFont"/>
    <w:link w:val="Heading6"/>
    <w:uiPriority w:val="9"/>
    <w:semiHidden/>
    <w:rsid w:val="00EA0AEB"/>
    <w:rPr>
      <w:caps/>
      <w:color w:val="C45911" w:themeColor="accent2" w:themeShade="BF"/>
      <w:spacing w:val="10"/>
    </w:rPr>
  </w:style>
  <w:style w:type="character" w:customStyle="1" w:styleId="Heading7Char">
    <w:name w:val="Heading 7 Char"/>
    <w:basedOn w:val="DefaultParagraphFont"/>
    <w:link w:val="Heading7"/>
    <w:uiPriority w:val="9"/>
    <w:semiHidden/>
    <w:rsid w:val="00EA0AEB"/>
    <w:rPr>
      <w:i/>
      <w:iCs/>
      <w:caps/>
      <w:color w:val="C45911" w:themeColor="accent2" w:themeShade="BF"/>
      <w:spacing w:val="10"/>
    </w:rPr>
  </w:style>
  <w:style w:type="character" w:customStyle="1" w:styleId="Heading8Char">
    <w:name w:val="Heading 8 Char"/>
    <w:basedOn w:val="DefaultParagraphFont"/>
    <w:link w:val="Heading8"/>
    <w:uiPriority w:val="9"/>
    <w:semiHidden/>
    <w:rsid w:val="00EA0AEB"/>
    <w:rPr>
      <w:caps/>
      <w:spacing w:val="10"/>
      <w:sz w:val="20"/>
      <w:szCs w:val="20"/>
    </w:rPr>
  </w:style>
  <w:style w:type="character" w:customStyle="1" w:styleId="Heading9Char">
    <w:name w:val="Heading 9 Char"/>
    <w:basedOn w:val="DefaultParagraphFont"/>
    <w:link w:val="Heading9"/>
    <w:uiPriority w:val="9"/>
    <w:semiHidden/>
    <w:rsid w:val="00EA0AEB"/>
    <w:rPr>
      <w:i/>
      <w:iCs/>
      <w:caps/>
      <w:spacing w:val="10"/>
      <w:sz w:val="20"/>
      <w:szCs w:val="20"/>
    </w:rPr>
  </w:style>
  <w:style w:type="paragraph" w:styleId="Caption">
    <w:name w:val="caption"/>
    <w:basedOn w:val="Normal"/>
    <w:next w:val="Normal"/>
    <w:uiPriority w:val="35"/>
    <w:semiHidden/>
    <w:unhideWhenUsed/>
    <w:qFormat/>
    <w:rsid w:val="00EA0AEB"/>
    <w:rPr>
      <w:caps/>
      <w:spacing w:val="10"/>
      <w:sz w:val="18"/>
      <w:szCs w:val="18"/>
    </w:rPr>
  </w:style>
  <w:style w:type="paragraph" w:styleId="Title">
    <w:name w:val="Title"/>
    <w:basedOn w:val="Normal"/>
    <w:next w:val="Normal"/>
    <w:link w:val="TitleChar"/>
    <w:uiPriority w:val="10"/>
    <w:qFormat/>
    <w:rsid w:val="00EA0AEB"/>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EA0AEB"/>
    <w:rPr>
      <w:caps/>
      <w:color w:val="833C0B" w:themeColor="accent2" w:themeShade="80"/>
      <w:spacing w:val="50"/>
      <w:sz w:val="44"/>
      <w:szCs w:val="44"/>
    </w:rPr>
  </w:style>
  <w:style w:type="paragraph" w:styleId="Subtitle">
    <w:name w:val="Subtitle"/>
    <w:basedOn w:val="Normal"/>
    <w:next w:val="Normal"/>
    <w:link w:val="SubtitleChar"/>
    <w:uiPriority w:val="11"/>
    <w:qFormat/>
    <w:rsid w:val="00EA0AEB"/>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A0AEB"/>
    <w:rPr>
      <w:caps/>
      <w:spacing w:val="20"/>
      <w:sz w:val="18"/>
      <w:szCs w:val="18"/>
    </w:rPr>
  </w:style>
  <w:style w:type="character" w:styleId="Strong">
    <w:name w:val="Strong"/>
    <w:uiPriority w:val="22"/>
    <w:qFormat/>
    <w:rsid w:val="00EA0AEB"/>
    <w:rPr>
      <w:b/>
      <w:bCs/>
      <w:color w:val="C45911" w:themeColor="accent2" w:themeShade="BF"/>
      <w:spacing w:val="5"/>
    </w:rPr>
  </w:style>
  <w:style w:type="character" w:styleId="Emphasis">
    <w:name w:val="Emphasis"/>
    <w:uiPriority w:val="20"/>
    <w:qFormat/>
    <w:rsid w:val="00EA0AEB"/>
    <w:rPr>
      <w:caps/>
      <w:spacing w:val="5"/>
      <w:sz w:val="20"/>
      <w:szCs w:val="20"/>
    </w:rPr>
  </w:style>
  <w:style w:type="paragraph" w:styleId="NoSpacing">
    <w:name w:val="No Spacing"/>
    <w:basedOn w:val="Normal"/>
    <w:link w:val="NoSpacingChar"/>
    <w:uiPriority w:val="1"/>
    <w:qFormat/>
    <w:rsid w:val="00EA0AEB"/>
    <w:pPr>
      <w:spacing w:after="0" w:line="240" w:lineRule="auto"/>
    </w:pPr>
  </w:style>
  <w:style w:type="character" w:customStyle="1" w:styleId="NoSpacingChar">
    <w:name w:val="No Spacing Char"/>
    <w:basedOn w:val="DefaultParagraphFont"/>
    <w:link w:val="NoSpacing"/>
    <w:uiPriority w:val="1"/>
    <w:rsid w:val="00EA0AEB"/>
  </w:style>
  <w:style w:type="paragraph" w:styleId="ListParagraph">
    <w:name w:val="List Paragraph"/>
    <w:basedOn w:val="Normal"/>
    <w:uiPriority w:val="34"/>
    <w:qFormat/>
    <w:rsid w:val="00EA0AEB"/>
    <w:pPr>
      <w:ind w:left="720"/>
      <w:contextualSpacing/>
    </w:pPr>
  </w:style>
  <w:style w:type="paragraph" w:styleId="Quote">
    <w:name w:val="Quote"/>
    <w:basedOn w:val="Normal"/>
    <w:next w:val="Normal"/>
    <w:link w:val="QuoteChar"/>
    <w:uiPriority w:val="29"/>
    <w:qFormat/>
    <w:rsid w:val="00EA0AEB"/>
    <w:rPr>
      <w:i/>
      <w:iCs/>
    </w:rPr>
  </w:style>
  <w:style w:type="character" w:customStyle="1" w:styleId="QuoteChar">
    <w:name w:val="Quote Char"/>
    <w:basedOn w:val="DefaultParagraphFont"/>
    <w:link w:val="Quote"/>
    <w:uiPriority w:val="29"/>
    <w:rsid w:val="00EA0AEB"/>
    <w:rPr>
      <w:i/>
      <w:iCs/>
    </w:rPr>
  </w:style>
  <w:style w:type="paragraph" w:styleId="IntenseQuote">
    <w:name w:val="Intense Quote"/>
    <w:basedOn w:val="Normal"/>
    <w:next w:val="Normal"/>
    <w:link w:val="IntenseQuoteChar"/>
    <w:uiPriority w:val="30"/>
    <w:qFormat/>
    <w:rsid w:val="00EA0AEB"/>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EA0AEB"/>
    <w:rPr>
      <w:caps/>
      <w:color w:val="823B0B" w:themeColor="accent2" w:themeShade="7F"/>
      <w:spacing w:val="5"/>
      <w:sz w:val="20"/>
      <w:szCs w:val="20"/>
    </w:rPr>
  </w:style>
  <w:style w:type="character" w:styleId="SubtleEmphasis">
    <w:name w:val="Subtle Emphasis"/>
    <w:uiPriority w:val="19"/>
    <w:qFormat/>
    <w:rsid w:val="00EA0AEB"/>
    <w:rPr>
      <w:i/>
      <w:iCs/>
    </w:rPr>
  </w:style>
  <w:style w:type="character" w:styleId="IntenseEmphasis">
    <w:name w:val="Intense Emphasis"/>
    <w:uiPriority w:val="21"/>
    <w:qFormat/>
    <w:rsid w:val="00EA0AEB"/>
    <w:rPr>
      <w:i/>
      <w:iCs/>
      <w:caps/>
      <w:spacing w:val="10"/>
      <w:sz w:val="20"/>
      <w:szCs w:val="20"/>
    </w:rPr>
  </w:style>
  <w:style w:type="character" w:styleId="SubtleReference">
    <w:name w:val="Subtle Reference"/>
    <w:basedOn w:val="DefaultParagraphFont"/>
    <w:uiPriority w:val="31"/>
    <w:qFormat/>
    <w:rsid w:val="00EA0AEB"/>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EA0AEB"/>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EA0AEB"/>
    <w:rPr>
      <w:caps/>
      <w:color w:val="823B0B" w:themeColor="accent2" w:themeShade="7F"/>
      <w:spacing w:val="5"/>
      <w:u w:color="823B0B" w:themeColor="accent2" w:themeShade="7F"/>
    </w:rPr>
  </w:style>
  <w:style w:type="paragraph" w:styleId="Footer">
    <w:name w:val="footer"/>
    <w:basedOn w:val="Normal"/>
    <w:link w:val="FooterChar"/>
    <w:uiPriority w:val="99"/>
    <w:unhideWhenUsed/>
    <w:rsid w:val="00EA0A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0AEB"/>
  </w:style>
  <w:style w:type="character" w:styleId="PageNumber">
    <w:name w:val="page number"/>
    <w:basedOn w:val="DefaultParagraphFont"/>
    <w:uiPriority w:val="99"/>
    <w:semiHidden/>
    <w:unhideWhenUsed/>
    <w:rsid w:val="00EA0A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3297661">
      <w:bodyDiv w:val="1"/>
      <w:marLeft w:val="0"/>
      <w:marRight w:val="0"/>
      <w:marTop w:val="0"/>
      <w:marBottom w:val="0"/>
      <w:divBdr>
        <w:top w:val="none" w:sz="0" w:space="0" w:color="auto"/>
        <w:left w:val="none" w:sz="0" w:space="0" w:color="auto"/>
        <w:bottom w:val="none" w:sz="0" w:space="0" w:color="auto"/>
        <w:right w:val="none" w:sz="0" w:space="0" w:color="auto"/>
      </w:divBdr>
    </w:div>
    <w:div w:id="1300769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9DC3D-7C3A-478B-BB5A-05BB19951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8</Pages>
  <Words>1530</Words>
  <Characters>8724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10</cp:revision>
  <dcterms:created xsi:type="dcterms:W3CDTF">2023-05-04T13:07:00Z</dcterms:created>
  <dcterms:modified xsi:type="dcterms:W3CDTF">2023-05-07T22:23:00Z</dcterms:modified>
</cp:coreProperties>
</file>