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60132" w14:textId="77777777" w:rsidR="004A1DA1" w:rsidRDefault="004A1DA1" w:rsidP="004A1DA1">
      <w:pPr>
        <w:pStyle w:val="Heading2"/>
        <w:spacing w:line="360" w:lineRule="auto"/>
        <w:jc w:val="center"/>
        <w:rPr>
          <w:rFonts w:ascii="Arial" w:hAnsi="Arial" w:cs="Arial"/>
          <w:sz w:val="22"/>
          <w:szCs w:val="22"/>
        </w:rPr>
      </w:pPr>
    </w:p>
    <w:p w14:paraId="58489D66" w14:textId="77777777" w:rsidR="004A1DA1" w:rsidRDefault="004A1DA1" w:rsidP="004A1DA1">
      <w:pPr>
        <w:pStyle w:val="Heading2"/>
        <w:spacing w:line="360" w:lineRule="auto"/>
        <w:jc w:val="center"/>
        <w:rPr>
          <w:rFonts w:ascii="Arial" w:hAnsi="Arial" w:cs="Arial"/>
          <w:sz w:val="22"/>
          <w:szCs w:val="22"/>
        </w:rPr>
      </w:pPr>
    </w:p>
    <w:p w14:paraId="74CB41C5" w14:textId="77777777" w:rsidR="004A1DA1" w:rsidRDefault="004A1DA1" w:rsidP="004A1DA1">
      <w:pPr>
        <w:pStyle w:val="Heading2"/>
        <w:spacing w:line="360" w:lineRule="auto"/>
        <w:jc w:val="center"/>
        <w:rPr>
          <w:rFonts w:ascii="Arial" w:hAnsi="Arial" w:cs="Arial"/>
          <w:sz w:val="22"/>
          <w:szCs w:val="22"/>
        </w:rPr>
      </w:pPr>
    </w:p>
    <w:p w14:paraId="34A71C1A" w14:textId="77777777" w:rsidR="004A1DA1" w:rsidRDefault="004A1DA1" w:rsidP="004A1DA1">
      <w:pPr>
        <w:pStyle w:val="Heading2"/>
        <w:spacing w:line="360" w:lineRule="auto"/>
        <w:jc w:val="center"/>
        <w:rPr>
          <w:rFonts w:ascii="Arial" w:hAnsi="Arial" w:cs="Arial"/>
          <w:sz w:val="22"/>
          <w:szCs w:val="22"/>
        </w:rPr>
      </w:pPr>
    </w:p>
    <w:p w14:paraId="09EDDCE7" w14:textId="77777777" w:rsidR="004A1DA1" w:rsidRDefault="004A1DA1" w:rsidP="004A1DA1">
      <w:pPr>
        <w:pStyle w:val="Heading2"/>
        <w:spacing w:line="360" w:lineRule="auto"/>
        <w:jc w:val="center"/>
        <w:rPr>
          <w:rFonts w:ascii="Arial" w:hAnsi="Arial" w:cs="Arial"/>
          <w:sz w:val="22"/>
          <w:szCs w:val="22"/>
        </w:rPr>
      </w:pPr>
    </w:p>
    <w:p w14:paraId="05403A07" w14:textId="77777777" w:rsidR="004A1DA1" w:rsidRDefault="004A1DA1" w:rsidP="004A1DA1">
      <w:pPr>
        <w:pStyle w:val="NormalWeb"/>
        <w:spacing w:beforeAutospacing="0" w:afterAutospacing="0" w:line="360" w:lineRule="auto"/>
        <w:jc w:val="center"/>
        <w:rPr>
          <w:rFonts w:ascii="Arial" w:hAnsi="Arial" w:cs="Arial"/>
          <w:sz w:val="22"/>
          <w:szCs w:val="22"/>
        </w:rPr>
      </w:pPr>
      <w:r>
        <w:rPr>
          <w:rStyle w:val="Strong"/>
          <w:rFonts w:ascii="Arial" w:hAnsi="Arial" w:cs="Arial"/>
          <w:sz w:val="22"/>
          <w:szCs w:val="22"/>
        </w:rPr>
        <w:t>Assignment Title:</w:t>
      </w:r>
      <w:r>
        <w:rPr>
          <w:rFonts w:ascii="Arial" w:hAnsi="Arial" w:cs="Arial"/>
          <w:sz w:val="22"/>
          <w:szCs w:val="22"/>
        </w:rPr>
        <w:t xml:space="preserve"> REPORT ON A HEALTH ISSUE</w:t>
      </w:r>
      <w:r>
        <w:rPr>
          <w:rFonts w:ascii="Arial" w:hAnsi="Arial" w:cs="Arial"/>
          <w:sz w:val="22"/>
          <w:szCs w:val="22"/>
        </w:rPr>
        <w:br/>
      </w:r>
      <w:r>
        <w:rPr>
          <w:rStyle w:val="Strong"/>
          <w:rFonts w:ascii="Arial" w:hAnsi="Arial" w:cs="Arial"/>
          <w:sz w:val="22"/>
          <w:szCs w:val="22"/>
        </w:rPr>
        <w:t>Student Name:</w:t>
      </w:r>
      <w:r>
        <w:rPr>
          <w:rFonts w:ascii="Arial" w:hAnsi="Arial" w:cs="Arial"/>
          <w:sz w:val="22"/>
          <w:szCs w:val="22"/>
        </w:rPr>
        <w:t xml:space="preserve">  AJIBOLA MOSES OWOOLAPO</w:t>
      </w:r>
      <w:r>
        <w:rPr>
          <w:rFonts w:ascii="Arial" w:hAnsi="Arial" w:cs="Arial"/>
          <w:sz w:val="22"/>
          <w:szCs w:val="22"/>
        </w:rPr>
        <w:br/>
      </w:r>
      <w:r>
        <w:rPr>
          <w:rStyle w:val="Strong"/>
          <w:rFonts w:ascii="Arial" w:hAnsi="Arial" w:cs="Arial"/>
          <w:sz w:val="22"/>
          <w:szCs w:val="22"/>
        </w:rPr>
        <w:t>Student Number:</w:t>
      </w:r>
      <w:r>
        <w:rPr>
          <w:rFonts w:ascii="Arial" w:hAnsi="Arial" w:cs="Arial"/>
          <w:sz w:val="22"/>
          <w:szCs w:val="22"/>
        </w:rPr>
        <w:t xml:space="preserve">  2515876 </w:t>
      </w:r>
      <w:r>
        <w:rPr>
          <w:rFonts w:ascii="Arial" w:hAnsi="Arial" w:cs="Arial"/>
          <w:sz w:val="22"/>
          <w:szCs w:val="22"/>
        </w:rPr>
        <w:br/>
      </w:r>
      <w:r>
        <w:rPr>
          <w:rStyle w:val="Strong"/>
          <w:rFonts w:ascii="Arial" w:hAnsi="Arial" w:cs="Arial"/>
          <w:sz w:val="22"/>
          <w:szCs w:val="22"/>
        </w:rPr>
        <w:t>Module Code and Title:</w:t>
      </w:r>
      <w:r>
        <w:rPr>
          <w:rFonts w:ascii="Arial" w:hAnsi="Arial" w:cs="Arial"/>
          <w:sz w:val="22"/>
          <w:szCs w:val="22"/>
        </w:rPr>
        <w:t xml:space="preserve"> LCHS 4008 INTRODUCTION TO PUBLIC HEALTH</w:t>
      </w:r>
      <w:r>
        <w:rPr>
          <w:rFonts w:ascii="Arial" w:hAnsi="Arial" w:cs="Arial"/>
          <w:sz w:val="22"/>
          <w:szCs w:val="22"/>
        </w:rPr>
        <w:br/>
      </w:r>
      <w:r>
        <w:rPr>
          <w:rStyle w:val="Strong"/>
          <w:rFonts w:ascii="Arial" w:hAnsi="Arial" w:cs="Arial"/>
          <w:sz w:val="22"/>
          <w:szCs w:val="22"/>
        </w:rPr>
        <w:t>Lecturer’s Name:</w:t>
      </w:r>
      <w:r>
        <w:rPr>
          <w:rFonts w:ascii="Arial" w:hAnsi="Arial" w:cs="Arial"/>
          <w:sz w:val="22"/>
          <w:szCs w:val="22"/>
        </w:rPr>
        <w:t xml:space="preserve">  JOLLY NWANKWO</w:t>
      </w:r>
      <w:r>
        <w:rPr>
          <w:rFonts w:ascii="Arial" w:hAnsi="Arial" w:cs="Arial"/>
          <w:sz w:val="22"/>
          <w:szCs w:val="22"/>
        </w:rPr>
        <w:br/>
      </w:r>
      <w:r>
        <w:rPr>
          <w:rStyle w:val="Strong"/>
          <w:rFonts w:ascii="Arial" w:hAnsi="Arial" w:cs="Arial"/>
          <w:sz w:val="22"/>
          <w:szCs w:val="22"/>
        </w:rPr>
        <w:t>Submission Date:</w:t>
      </w:r>
      <w:r>
        <w:rPr>
          <w:rFonts w:ascii="Arial" w:hAnsi="Arial" w:cs="Arial"/>
          <w:sz w:val="22"/>
          <w:szCs w:val="22"/>
        </w:rPr>
        <w:t xml:space="preserve">  21/04/2026</w:t>
      </w:r>
    </w:p>
    <w:p w14:paraId="0BFEC330" w14:textId="77777777" w:rsidR="004A1DA1" w:rsidRDefault="004A1DA1" w:rsidP="004A1DA1">
      <w:pPr>
        <w:pStyle w:val="NormalWeb"/>
        <w:spacing w:beforeAutospacing="0" w:afterAutospacing="0" w:line="360" w:lineRule="auto"/>
        <w:rPr>
          <w:rFonts w:ascii="Arial" w:hAnsi="Arial" w:cs="Arial"/>
          <w:sz w:val="22"/>
          <w:szCs w:val="22"/>
        </w:rPr>
      </w:pPr>
    </w:p>
    <w:p w14:paraId="4792B518" w14:textId="77777777" w:rsidR="004A1DA1" w:rsidRDefault="004A1DA1" w:rsidP="004A1DA1">
      <w:pPr>
        <w:pStyle w:val="NormalWeb"/>
        <w:spacing w:beforeAutospacing="0" w:afterAutospacing="0" w:line="360" w:lineRule="auto"/>
        <w:rPr>
          <w:rFonts w:ascii="Arial" w:hAnsi="Arial" w:cs="Arial"/>
          <w:sz w:val="22"/>
          <w:szCs w:val="22"/>
        </w:rPr>
      </w:pPr>
    </w:p>
    <w:p w14:paraId="623A3D72" w14:textId="77777777" w:rsidR="004A1DA1" w:rsidRDefault="004A1DA1" w:rsidP="004A1DA1">
      <w:pPr>
        <w:pStyle w:val="NormalWeb"/>
        <w:spacing w:beforeAutospacing="0" w:afterAutospacing="0" w:line="360" w:lineRule="auto"/>
        <w:rPr>
          <w:rFonts w:ascii="Arial" w:hAnsi="Arial" w:cs="Arial"/>
          <w:sz w:val="22"/>
          <w:szCs w:val="22"/>
        </w:rPr>
      </w:pPr>
    </w:p>
    <w:p w14:paraId="6F54358C" w14:textId="77777777" w:rsidR="004A1DA1" w:rsidRDefault="004A1DA1" w:rsidP="004A1DA1">
      <w:pPr>
        <w:pStyle w:val="NormalWeb"/>
        <w:spacing w:beforeAutospacing="0" w:afterAutospacing="0" w:line="360" w:lineRule="auto"/>
        <w:rPr>
          <w:rFonts w:ascii="Arial" w:hAnsi="Arial" w:cs="Arial"/>
          <w:sz w:val="22"/>
          <w:szCs w:val="22"/>
        </w:rPr>
      </w:pPr>
    </w:p>
    <w:p w14:paraId="0C9734B9" w14:textId="77777777" w:rsidR="004A1DA1" w:rsidRDefault="004A1DA1" w:rsidP="004A1DA1">
      <w:pPr>
        <w:pStyle w:val="NormalWeb"/>
        <w:spacing w:beforeAutospacing="0" w:afterAutospacing="0" w:line="360" w:lineRule="auto"/>
        <w:rPr>
          <w:rFonts w:ascii="Arial" w:hAnsi="Arial" w:cs="Arial"/>
          <w:sz w:val="22"/>
          <w:szCs w:val="22"/>
        </w:rPr>
      </w:pPr>
    </w:p>
    <w:p w14:paraId="1FCE503C" w14:textId="77777777" w:rsidR="004A1DA1" w:rsidRDefault="004A1DA1" w:rsidP="004A1DA1">
      <w:pPr>
        <w:pStyle w:val="NormalWeb"/>
        <w:spacing w:beforeAutospacing="0" w:afterAutospacing="0" w:line="360" w:lineRule="auto"/>
        <w:rPr>
          <w:rFonts w:ascii="Arial" w:hAnsi="Arial" w:cs="Arial"/>
          <w:sz w:val="22"/>
          <w:szCs w:val="22"/>
        </w:rPr>
      </w:pPr>
    </w:p>
    <w:p w14:paraId="48E8DC06" w14:textId="77777777" w:rsidR="004A1DA1" w:rsidRDefault="004A1DA1" w:rsidP="004A1DA1">
      <w:pPr>
        <w:pStyle w:val="NormalWeb"/>
        <w:spacing w:beforeAutospacing="0" w:afterAutospacing="0" w:line="360" w:lineRule="auto"/>
        <w:rPr>
          <w:rFonts w:ascii="Arial" w:hAnsi="Arial" w:cs="Arial"/>
          <w:sz w:val="22"/>
          <w:szCs w:val="22"/>
        </w:rPr>
      </w:pPr>
    </w:p>
    <w:p w14:paraId="284D9DEF" w14:textId="77777777" w:rsidR="004A1DA1" w:rsidRDefault="004A1DA1" w:rsidP="004A1DA1">
      <w:pPr>
        <w:pStyle w:val="NormalWeb"/>
        <w:spacing w:beforeAutospacing="0" w:afterAutospacing="0" w:line="360" w:lineRule="auto"/>
        <w:rPr>
          <w:rFonts w:ascii="Arial" w:hAnsi="Arial" w:cs="Arial"/>
          <w:sz w:val="22"/>
          <w:szCs w:val="22"/>
        </w:rPr>
      </w:pPr>
    </w:p>
    <w:p w14:paraId="44B0A5CD" w14:textId="77777777" w:rsidR="004A1DA1" w:rsidRDefault="004A1DA1" w:rsidP="004A1DA1">
      <w:pPr>
        <w:pStyle w:val="NormalWeb"/>
        <w:spacing w:beforeAutospacing="0" w:afterAutospacing="0" w:line="360" w:lineRule="auto"/>
        <w:rPr>
          <w:rFonts w:ascii="Arial" w:hAnsi="Arial" w:cs="Arial"/>
          <w:sz w:val="22"/>
          <w:szCs w:val="22"/>
        </w:rPr>
      </w:pPr>
    </w:p>
    <w:p w14:paraId="47D58A5B" w14:textId="77777777" w:rsidR="004A1DA1" w:rsidRDefault="004A1DA1" w:rsidP="004A1DA1">
      <w:pPr>
        <w:pStyle w:val="NormalWeb"/>
        <w:spacing w:beforeAutospacing="0" w:afterAutospacing="0" w:line="360" w:lineRule="auto"/>
        <w:rPr>
          <w:rFonts w:ascii="Arial" w:hAnsi="Arial" w:cs="Arial"/>
          <w:sz w:val="22"/>
          <w:szCs w:val="22"/>
        </w:rPr>
      </w:pPr>
    </w:p>
    <w:p w14:paraId="66299993" w14:textId="77777777" w:rsidR="004A1DA1" w:rsidRDefault="004A1DA1" w:rsidP="004A1DA1">
      <w:pPr>
        <w:pStyle w:val="Heading1"/>
        <w:spacing w:line="360" w:lineRule="auto"/>
        <w:jc w:val="both"/>
        <w:rPr>
          <w:rFonts w:ascii="Arial" w:hAnsi="Arial" w:cs="Arial"/>
          <w:sz w:val="22"/>
          <w:szCs w:val="22"/>
        </w:rPr>
      </w:pPr>
      <w:r>
        <w:rPr>
          <w:rFonts w:ascii="Arial" w:hAnsi="Arial" w:cs="Arial"/>
          <w:sz w:val="22"/>
          <w:szCs w:val="22"/>
        </w:rPr>
        <w:lastRenderedPageBreak/>
        <w:t>Stroke: measurement, control, community impact and support needs</w:t>
      </w:r>
    </w:p>
    <w:p w14:paraId="64F59868" w14:textId="77777777" w:rsidR="004A1DA1" w:rsidRDefault="004A1DA1" w:rsidP="004A1DA1">
      <w:pPr>
        <w:pStyle w:val="Heading2"/>
        <w:spacing w:line="360" w:lineRule="auto"/>
        <w:jc w:val="both"/>
        <w:rPr>
          <w:rFonts w:ascii="Arial" w:hAnsi="Arial" w:cs="Arial"/>
          <w:sz w:val="22"/>
          <w:szCs w:val="22"/>
        </w:rPr>
      </w:pPr>
      <w:r>
        <w:rPr>
          <w:rFonts w:ascii="Arial" w:hAnsi="Arial" w:cs="Arial"/>
          <w:sz w:val="22"/>
          <w:szCs w:val="22"/>
        </w:rPr>
        <w:t>Introduction</w:t>
      </w:r>
    </w:p>
    <w:p w14:paraId="3CE4BF39" w14:textId="77777777" w:rsidR="004A1DA1" w:rsidRDefault="004A1DA1" w:rsidP="004A1DA1">
      <w:pPr>
        <w:pStyle w:val="Heading2"/>
        <w:spacing w:line="360" w:lineRule="auto"/>
        <w:jc w:val="both"/>
        <w:rPr>
          <w:rFonts w:ascii="Arial" w:hAnsi="Arial" w:cs="Arial"/>
          <w:b/>
          <w:bCs/>
          <w:sz w:val="22"/>
          <w:szCs w:val="22"/>
        </w:rPr>
      </w:pPr>
      <w:r>
        <w:rPr>
          <w:rFonts w:ascii="Arial" w:hAnsi="Arial" w:cs="Arial"/>
          <w:sz w:val="22"/>
          <w:szCs w:val="22"/>
          <w:lang w:val="en-US"/>
        </w:rPr>
        <w:t xml:space="preserve"> A stroke results from </w:t>
      </w:r>
      <w:proofErr w:type="gramStart"/>
      <w:r>
        <w:rPr>
          <w:rFonts w:ascii="Arial" w:hAnsi="Arial" w:cs="Arial"/>
          <w:sz w:val="22"/>
          <w:szCs w:val="22"/>
          <w:lang w:val="en-US"/>
        </w:rPr>
        <w:t>an obstruction</w:t>
      </w:r>
      <w:proofErr w:type="gramEnd"/>
      <w:r>
        <w:rPr>
          <w:rFonts w:ascii="Arial" w:hAnsi="Arial" w:cs="Arial"/>
          <w:sz w:val="22"/>
          <w:szCs w:val="22"/>
          <w:lang w:val="en-US"/>
        </w:rPr>
        <w:t xml:space="preserve"> or bleeding that disrupts blood circulation to a brain area which leads to immediate neurological impairment. It functions as a medical emergency which develops into a chronic medical condition. The primary symptoms begin suddenly and show facial weakness as well as arm weakness and speech disturbance while patients may also experience visual loss and confusion and severe headache and dizziness and one-sided numbness. The FAST test serves as the main method through which the public recognizes stroke because quick responses determine treatment results. Stroke presents a significant challenge to public health. The World Health Organization reports that in 2021 there were 11.9 million new stroke cases globally and 93.8 million people living with stroke-related disease burden while in the UK around 100000 people have a stroke each year and about 1.4 million people are living as stroke survivors. The data shows that stroke functions as both an urgent medical condition and an extended disability which needs ongoing community assistance (WHO, 2025; NHS, 2024; Stroke Association, n.d.).</w:t>
      </w:r>
    </w:p>
    <w:p w14:paraId="2E88C7B3" w14:textId="77777777" w:rsidR="004A1DA1" w:rsidRDefault="004A1DA1" w:rsidP="004A1DA1">
      <w:pPr>
        <w:pStyle w:val="Heading2"/>
        <w:spacing w:line="360" w:lineRule="auto"/>
        <w:jc w:val="both"/>
        <w:rPr>
          <w:rFonts w:ascii="Arial" w:hAnsi="Arial" w:cs="Arial"/>
          <w:sz w:val="22"/>
          <w:szCs w:val="22"/>
        </w:rPr>
      </w:pPr>
      <w:r>
        <w:rPr>
          <w:rFonts w:ascii="Arial" w:hAnsi="Arial" w:cs="Arial"/>
          <w:sz w:val="22"/>
          <w:szCs w:val="22"/>
        </w:rPr>
        <w:t>Main Body</w:t>
      </w:r>
    </w:p>
    <w:p w14:paraId="5061D746"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 The process of measuring and monitoring stroke requires more than the basic validation of stroke occurrence. The clinicians need to conduct a swift event detection process followed by an assessment of stroke intensity and they need to monitor patient progress. </w:t>
      </w:r>
      <w:proofErr w:type="gramStart"/>
      <w:r>
        <w:rPr>
          <w:rFonts w:ascii="Arial" w:hAnsi="Arial" w:cs="Arial"/>
          <w:sz w:val="22"/>
          <w:szCs w:val="22"/>
        </w:rPr>
        <w:t>In order to</w:t>
      </w:r>
      <w:proofErr w:type="gramEnd"/>
      <w:r>
        <w:rPr>
          <w:rFonts w:ascii="Arial" w:hAnsi="Arial" w:cs="Arial"/>
          <w:sz w:val="22"/>
          <w:szCs w:val="22"/>
        </w:rPr>
        <w:t xml:space="preserve"> assess stroke incidence in a population researchers use epidemiological metrics which include measuring the incidence and prevalence rates together with tracking mortality and disability-adjusted life years (DALYs) rates. The current WHO data indicates an increasing global health burden together with a lifetime stroke risk which affects one out of four adults thus establishing stroke surveillance as a main priority for healthcare systems. The United Kingdom uses national surveillance systems which combine audit procedures with guideline-based monitoring methods to establish their monitoring framework instead of depending solely on hospital episode statistics. The more comprehensive method proves to be more effective because stroke impacts multiple areas including emergency medical services rehabilitation programs social support systems and the ability to engage in everyday activities which makes it impossible to determine its overall effect through a single death-based assessment (WHO 2025).</w:t>
      </w:r>
    </w:p>
    <w:p w14:paraId="548C6993"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 The first measurement method at clinical sites begins with rapid patient diagnosis. NICE recommends validated tools such as FAST in pre-hospital settings and ROSIER in emergency </w:t>
      </w:r>
      <w:r>
        <w:rPr>
          <w:rFonts w:ascii="Arial" w:hAnsi="Arial" w:cs="Arial"/>
          <w:sz w:val="22"/>
          <w:szCs w:val="22"/>
        </w:rPr>
        <w:lastRenderedPageBreak/>
        <w:t xml:space="preserve">departments to support early recognition of stroke, while immediate brain imaging with CT or MRI is required to distinguish </w:t>
      </w:r>
      <w:proofErr w:type="spellStart"/>
      <w:r>
        <w:rPr>
          <w:rFonts w:ascii="Arial" w:hAnsi="Arial" w:cs="Arial"/>
          <w:sz w:val="22"/>
          <w:szCs w:val="22"/>
        </w:rPr>
        <w:t>ischaemic</w:t>
      </w:r>
      <w:proofErr w:type="spellEnd"/>
      <w:r>
        <w:rPr>
          <w:rFonts w:ascii="Arial" w:hAnsi="Arial" w:cs="Arial"/>
          <w:sz w:val="22"/>
          <w:szCs w:val="22"/>
        </w:rPr>
        <w:t xml:space="preserve"> stroke from </w:t>
      </w:r>
      <w:proofErr w:type="spellStart"/>
      <w:r>
        <w:rPr>
          <w:rFonts w:ascii="Arial" w:hAnsi="Arial" w:cs="Arial"/>
          <w:sz w:val="22"/>
          <w:szCs w:val="22"/>
        </w:rPr>
        <w:t>haemorrhagic</w:t>
      </w:r>
      <w:proofErr w:type="spellEnd"/>
      <w:r>
        <w:rPr>
          <w:rFonts w:ascii="Arial" w:hAnsi="Arial" w:cs="Arial"/>
          <w:sz w:val="22"/>
          <w:szCs w:val="22"/>
        </w:rPr>
        <w:t xml:space="preserve"> stroke because treatment differs fundamentally between the two. Clinicians assess stroke progression through imaging examination together with blood glucose testing and blood pressure evaluation and swallowing safety assessment and neurological decline observation because stroke symptoms will continue to develop during the first hours after onset. This method operates with high speed because it enables doctors to make urgent treatment decisions which involve thrombolysis and thrombectomy and blood-pressure regulation. The treatment procedures are critical for brain tissue preservation, yet they fail to reveal the entire extent of functional and social impacts that will surface during the later stages of the recuperation period (NICE, 2019; WHO, 2025).</w:t>
      </w:r>
    </w:p>
    <w:p w14:paraId="29BB21BE"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 The second method involves utilizing structured stroke scales together with various outcome assessment tools. The National Institutes of Health Stroke Scale (NIHSS) establishes the standard for measuring stroke severity and neurological deficits during the early stages of stroke assessment while the modified Rankin Scale (</w:t>
      </w:r>
      <w:proofErr w:type="spellStart"/>
      <w:r>
        <w:rPr>
          <w:rFonts w:ascii="Arial" w:hAnsi="Arial" w:cs="Arial"/>
          <w:sz w:val="22"/>
          <w:szCs w:val="22"/>
        </w:rPr>
        <w:t>mRS</w:t>
      </w:r>
      <w:proofErr w:type="spellEnd"/>
      <w:r>
        <w:rPr>
          <w:rFonts w:ascii="Arial" w:hAnsi="Arial" w:cs="Arial"/>
          <w:sz w:val="22"/>
          <w:szCs w:val="22"/>
        </w:rPr>
        <w:t xml:space="preserve">) evaluates overall disability and the Barthel Index determines a person's capability to perform daily activities. Harrison et al. (2013) identify the NIHSS, </w:t>
      </w:r>
      <w:proofErr w:type="spellStart"/>
      <w:r>
        <w:rPr>
          <w:rFonts w:ascii="Arial" w:hAnsi="Arial" w:cs="Arial"/>
          <w:sz w:val="22"/>
          <w:szCs w:val="22"/>
        </w:rPr>
        <w:t>mRS</w:t>
      </w:r>
      <w:proofErr w:type="spellEnd"/>
      <w:r>
        <w:rPr>
          <w:rFonts w:ascii="Arial" w:hAnsi="Arial" w:cs="Arial"/>
          <w:sz w:val="22"/>
          <w:szCs w:val="22"/>
        </w:rPr>
        <w:t xml:space="preserve"> and Barthel Index as three of the commonest stroke assessments; Banks and Marotta (2007) describe the </w:t>
      </w:r>
      <w:proofErr w:type="spellStart"/>
      <w:r>
        <w:rPr>
          <w:rFonts w:ascii="Arial" w:hAnsi="Arial" w:cs="Arial"/>
          <w:sz w:val="22"/>
          <w:szCs w:val="22"/>
        </w:rPr>
        <w:t>mRS</w:t>
      </w:r>
      <w:proofErr w:type="spellEnd"/>
      <w:r>
        <w:rPr>
          <w:rFonts w:ascii="Arial" w:hAnsi="Arial" w:cs="Arial"/>
          <w:sz w:val="22"/>
          <w:szCs w:val="22"/>
        </w:rPr>
        <w:t xml:space="preserve"> as a widely used measure of functional recovery, and the Barthel Index remains valuable for assessing self-care and mobility. The essential requirement for effective monitoring demands that all three components need to be evaluated through impairment assessment and functional testing and patient-centered assessment of their requirements (Harrison et al., 2013; Banks and Marotta, 2007; </w:t>
      </w:r>
      <w:proofErr w:type="spellStart"/>
      <w:r>
        <w:rPr>
          <w:rFonts w:ascii="Arial" w:hAnsi="Arial" w:cs="Arial"/>
          <w:sz w:val="22"/>
          <w:szCs w:val="22"/>
        </w:rPr>
        <w:t>Kwah</w:t>
      </w:r>
      <w:proofErr w:type="spellEnd"/>
      <w:r>
        <w:rPr>
          <w:rFonts w:ascii="Arial" w:hAnsi="Arial" w:cs="Arial"/>
          <w:sz w:val="22"/>
          <w:szCs w:val="22"/>
        </w:rPr>
        <w:t xml:space="preserve"> and Diong, 2014).</w:t>
      </w:r>
    </w:p>
    <w:p w14:paraId="0B0A3ABC"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 The system-level monitoring method uses audit and quality improvement methods. The Sentinel Stroke National Audit </w:t>
      </w:r>
      <w:proofErr w:type="spellStart"/>
      <w:r>
        <w:rPr>
          <w:rFonts w:ascii="Arial" w:hAnsi="Arial" w:cs="Arial"/>
          <w:sz w:val="22"/>
          <w:szCs w:val="22"/>
        </w:rPr>
        <w:t>Programme</w:t>
      </w:r>
      <w:proofErr w:type="spellEnd"/>
      <w:r>
        <w:rPr>
          <w:rFonts w:ascii="Arial" w:hAnsi="Arial" w:cs="Arial"/>
          <w:sz w:val="22"/>
          <w:szCs w:val="22"/>
        </w:rPr>
        <w:t xml:space="preserve"> (SSNAP) assesses stroke treatment quality throughout England Wales and Northern Ireland by delivering testing results which assist medical professionals and health commissioners and the </w:t>
      </w:r>
      <w:proofErr w:type="gramStart"/>
      <w:r>
        <w:rPr>
          <w:rFonts w:ascii="Arial" w:hAnsi="Arial" w:cs="Arial"/>
          <w:sz w:val="22"/>
          <w:szCs w:val="22"/>
        </w:rPr>
        <w:t>general public</w:t>
      </w:r>
      <w:proofErr w:type="gramEnd"/>
      <w:r>
        <w:rPr>
          <w:rFonts w:ascii="Arial" w:hAnsi="Arial" w:cs="Arial"/>
          <w:sz w:val="22"/>
          <w:szCs w:val="22"/>
        </w:rPr>
        <w:t xml:space="preserve">. SSNAP serves a vital function because it tracks patient treatment after hospital admission and enables organizations to measure their results against established research-based benchmarks. The analysis shows that both personal health conditions and hospital treatment </w:t>
      </w:r>
      <w:proofErr w:type="gramStart"/>
      <w:r>
        <w:rPr>
          <w:rFonts w:ascii="Arial" w:hAnsi="Arial" w:cs="Arial"/>
          <w:sz w:val="22"/>
          <w:szCs w:val="22"/>
        </w:rPr>
        <w:t>standards together</w:t>
      </w:r>
      <w:proofErr w:type="gramEnd"/>
      <w:r>
        <w:rPr>
          <w:rFonts w:ascii="Arial" w:hAnsi="Arial" w:cs="Arial"/>
          <w:sz w:val="22"/>
          <w:szCs w:val="22"/>
        </w:rPr>
        <w:t xml:space="preserve"> influence patient results after a stroke. Stroke monitoring requires both assessments of individual patients and evaluations of healthcare services (SSNAP, n.d.).</w:t>
      </w:r>
    </w:p>
    <w:p w14:paraId="227C076E"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 A multi-stage approach is essential to achieve effective stroke control. Primary prevention works to prevent the initial occurrence of a stroke. WHO identifies ten major modifiable risk factors behind most of the global stroke burden, including high blood pressure, smoking, high LDL </w:t>
      </w:r>
      <w:r>
        <w:rPr>
          <w:rFonts w:ascii="Arial" w:hAnsi="Arial" w:cs="Arial"/>
          <w:sz w:val="22"/>
          <w:szCs w:val="22"/>
        </w:rPr>
        <w:lastRenderedPageBreak/>
        <w:t>cholesterol, unhealthy diet, physical inactivity, harmful alcohol use, diabetes and excess body weight. High blood pressure is the most important factor because it represents the main source of increased stroke risk. The effective control process requires people to stop smoking, adopt better eating habits, practice physical activity, cut back on alcohol consumption, and handle their hypertension and diabetes. The most effective control methods prevent health problems through upstream strategies that stop new patients from needing emergency treatment (WHO, 2025; NHS, 2024).</w:t>
      </w:r>
    </w:p>
    <w:p w14:paraId="0B35C53B"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 The acute phase of stroke treatment requires immediate access to specialized medical care. NICE guidance covers diagnosis and management in the first 48 hours, and WHO states that urgent CT or MRI should be performed as soon as possible. </w:t>
      </w:r>
      <w:proofErr w:type="spellStart"/>
      <w:r>
        <w:rPr>
          <w:rFonts w:ascii="Arial" w:hAnsi="Arial" w:cs="Arial"/>
          <w:sz w:val="22"/>
          <w:szCs w:val="22"/>
        </w:rPr>
        <w:t>Ischaemic</w:t>
      </w:r>
      <w:proofErr w:type="spellEnd"/>
      <w:r>
        <w:rPr>
          <w:rFonts w:ascii="Arial" w:hAnsi="Arial" w:cs="Arial"/>
          <w:sz w:val="22"/>
          <w:szCs w:val="22"/>
        </w:rPr>
        <w:t xml:space="preserve"> stroke patients who receive thrombolysis and endovascular thrombectomy treatment within the first hour show better disability outcomes, while </w:t>
      </w:r>
      <w:proofErr w:type="spellStart"/>
      <w:r>
        <w:rPr>
          <w:rFonts w:ascii="Arial" w:hAnsi="Arial" w:cs="Arial"/>
          <w:sz w:val="22"/>
          <w:szCs w:val="22"/>
        </w:rPr>
        <w:t>haemorrhagic</w:t>
      </w:r>
      <w:proofErr w:type="spellEnd"/>
      <w:r>
        <w:rPr>
          <w:rFonts w:ascii="Arial" w:hAnsi="Arial" w:cs="Arial"/>
          <w:sz w:val="22"/>
          <w:szCs w:val="22"/>
        </w:rPr>
        <w:t xml:space="preserve"> stroke patients require blood-pressure control and specialist monitoring and surgery when necessary. The term "control" refers to the process of stopping secondary brain injury while keeping the patient stable at an optimum point for maintaining their abilities. The extended time before treatment in stroke care establishes a new risk factor which makes FAST awareness campaigns crucial (WHO, 2025; NICE, 2019).</w:t>
      </w:r>
    </w:p>
    <w:p w14:paraId="28DC19BD"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 Third, long-term control establishes two objectives, which include controlling disease recurrence and limiting patient disability. The World Health Organization recommends doctors to prescribe antiplatelet medication or anticoagulants when needed and to use lipid-lowering treatment for patients with atherosclerotic risk who require evaluation of their carotid artery condition. The NICE together with national stroke guidelines </w:t>
      </w:r>
      <w:proofErr w:type="gramStart"/>
      <w:r>
        <w:rPr>
          <w:rFonts w:ascii="Arial" w:hAnsi="Arial" w:cs="Arial"/>
          <w:sz w:val="22"/>
          <w:szCs w:val="22"/>
        </w:rPr>
        <w:t>establish</w:t>
      </w:r>
      <w:proofErr w:type="gramEnd"/>
      <w:r>
        <w:rPr>
          <w:rFonts w:ascii="Arial" w:hAnsi="Arial" w:cs="Arial"/>
          <w:sz w:val="22"/>
          <w:szCs w:val="22"/>
        </w:rPr>
        <w:t xml:space="preserve"> rehabilitation as an essential treatment element that should not be regarded as an extra service. A service that delivers excellent emergency </w:t>
      </w:r>
      <w:proofErr w:type="gramStart"/>
      <w:r>
        <w:rPr>
          <w:rFonts w:ascii="Arial" w:hAnsi="Arial" w:cs="Arial"/>
          <w:sz w:val="22"/>
          <w:szCs w:val="22"/>
        </w:rPr>
        <w:t>treatment</w:t>
      </w:r>
      <w:proofErr w:type="gramEnd"/>
      <w:r>
        <w:rPr>
          <w:rFonts w:ascii="Arial" w:hAnsi="Arial" w:cs="Arial"/>
          <w:sz w:val="22"/>
          <w:szCs w:val="22"/>
        </w:rPr>
        <w:t xml:space="preserve"> but poor follow-up cannot be judged fully effective, because recurrence, depression, immobility and carer strain may </w:t>
      </w:r>
      <w:proofErr w:type="gramStart"/>
      <w:r>
        <w:rPr>
          <w:rFonts w:ascii="Arial" w:hAnsi="Arial" w:cs="Arial"/>
          <w:sz w:val="22"/>
          <w:szCs w:val="22"/>
        </w:rPr>
        <w:t>still remain</w:t>
      </w:r>
      <w:proofErr w:type="gramEnd"/>
      <w:r>
        <w:rPr>
          <w:rFonts w:ascii="Arial" w:hAnsi="Arial" w:cs="Arial"/>
          <w:sz w:val="22"/>
          <w:szCs w:val="22"/>
        </w:rPr>
        <w:t xml:space="preserve"> high in the community (WHO, 2025; NICE, 2023; </w:t>
      </w:r>
      <w:proofErr w:type="gramStart"/>
      <w:r>
        <w:rPr>
          <w:rFonts w:ascii="Arial" w:hAnsi="Arial" w:cs="Arial"/>
          <w:sz w:val="22"/>
          <w:szCs w:val="22"/>
        </w:rPr>
        <w:t>Intercollegiate Stroke</w:t>
      </w:r>
      <w:proofErr w:type="gramEnd"/>
      <w:r>
        <w:rPr>
          <w:rFonts w:ascii="Arial" w:hAnsi="Arial" w:cs="Arial"/>
          <w:sz w:val="22"/>
          <w:szCs w:val="22"/>
        </w:rPr>
        <w:t xml:space="preserve"> Working Party, 2023). </w:t>
      </w:r>
    </w:p>
    <w:p w14:paraId="1ED42F12"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 The effects of stroke on community members show extensive reach throughout society. The physical results of stroke on survivors include ongoing bodily weakness, difficulties with walking, and persistent discomfort together with muscle tightness and difficulties with swallowing and extreme tiredness. Stroke causes cognitive and emotional effects which result in memory impairment and judgment problems together with depression and anxiety disorders. The WHO lists two long-term effects of stroke, which include a person's inability to manage daily tasks and their loss of independence. The Stroke Association reports that about 33 percent of stroke survivors develop depression during their first year after the stroke. The repercussions of the </w:t>
      </w:r>
      <w:r>
        <w:rPr>
          <w:rFonts w:ascii="Arial" w:hAnsi="Arial" w:cs="Arial"/>
          <w:sz w:val="22"/>
          <w:szCs w:val="22"/>
        </w:rPr>
        <w:lastRenderedPageBreak/>
        <w:t xml:space="preserve">situation for most families go beyond the </w:t>
      </w:r>
      <w:proofErr w:type="gramStart"/>
      <w:r>
        <w:rPr>
          <w:rFonts w:ascii="Arial" w:hAnsi="Arial" w:cs="Arial"/>
          <w:sz w:val="22"/>
          <w:szCs w:val="22"/>
        </w:rPr>
        <w:t>survivor</w:t>
      </w:r>
      <w:proofErr w:type="gramEnd"/>
      <w:r>
        <w:rPr>
          <w:rFonts w:ascii="Arial" w:hAnsi="Arial" w:cs="Arial"/>
          <w:sz w:val="22"/>
          <w:szCs w:val="22"/>
        </w:rPr>
        <w:t xml:space="preserve"> since they also affect their spouses and children and informal caregivers who take on all three types of non-financial and financial burdens (WHO, 2025; Stroke Association, n.d.).</w:t>
      </w:r>
    </w:p>
    <w:p w14:paraId="4D1E7CFC"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 Community health experiences significant impact from work and economic participation effects. Stroke causes employment interruption because it produces mild physical disability which leads to work disabilities from fatigue and slowed cognition and aphasia and decreased confidence. NIHR evidence shows that global return-to-work rates after one year stay below 50% while vocational rehabilitation remains absent from standard NHS stroke treatment. The system design operates with a common flaw because health organizations supervise patient discharge and survival outcomes with more precision than they track patient recovery to community life. Social care needs require more than what current services offer because people need to recover through regaining their autonomy and social relationships and fulfilling their social responsibilities (NIHR, 2025). </w:t>
      </w:r>
    </w:p>
    <w:p w14:paraId="25ADB946"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The affected people need health and social care services which must work together to provide support in their local community. NICE’s stroke rehabilitation guideline states that people should be assessed for common post-stroke problems and receive therapy in both hospital and community settings. WHO defines rehabilitation as an essential part of recovery which combines physiotherapy with occupational therapy and speech and language therapy and neuropsychological support as fundamental components. Multidisciplinary collaboration serves as the foundation for excellent care standards because professionals need to work together instead of using separate referral systems. Community stroke care needs proactive planning which establishes specific objectives for assessing requirements that will evolve throughout the treatment process (NICE, 2023; WHO, 2025). </w:t>
      </w:r>
    </w:p>
    <w:p w14:paraId="14A97139"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 The Integrated Community Stroke Service (ICSS) model implemented by NHS England in England offers effective support through its comprehensive system. The ICSS provides a complete service which operates seven days every week and includes both early supported discharge and rehabilitation services based on individual needs, disability management, six-month assessment, and partnership with social care agencies and nonprofit organizations. The national service model states that eligible patients should receive early supported discharge assessment and treatment within 24 hours, while those not eligible should be assessed within 72 hours of discharge and begin treatment no later than seven days after assessment. The ICSS model provides a strong framework because it allows patients to continue their treatment from </w:t>
      </w:r>
      <w:r>
        <w:rPr>
          <w:rFonts w:ascii="Arial" w:hAnsi="Arial" w:cs="Arial"/>
          <w:sz w:val="22"/>
          <w:szCs w:val="22"/>
        </w:rPr>
        <w:lastRenderedPageBreak/>
        <w:t>intensive therapy to community rehabilitation without losing access to services because their hospital treatment has finished (NHS England, 2022; NHS England, 2026).</w:t>
      </w:r>
    </w:p>
    <w:p w14:paraId="4369536D" w14:textId="77777777" w:rsidR="004A1DA1" w:rsidRDefault="004A1DA1" w:rsidP="004A1DA1">
      <w:pPr>
        <w:pStyle w:val="Heading2"/>
        <w:spacing w:line="360" w:lineRule="auto"/>
        <w:jc w:val="both"/>
        <w:rPr>
          <w:rFonts w:ascii="Arial" w:hAnsi="Arial" w:cs="Arial"/>
          <w:sz w:val="22"/>
          <w:szCs w:val="22"/>
        </w:rPr>
      </w:pPr>
      <w:r>
        <w:rPr>
          <w:rFonts w:ascii="Arial" w:hAnsi="Arial" w:cs="Arial"/>
          <w:sz w:val="22"/>
          <w:szCs w:val="22"/>
          <w:lang w:val="en-US"/>
        </w:rPr>
        <w:t xml:space="preserve"> The combination of social care and voluntary-sector support needs to exist together with therapy services. </w:t>
      </w:r>
      <w:proofErr w:type="gramStart"/>
      <w:r>
        <w:rPr>
          <w:rFonts w:ascii="Arial" w:hAnsi="Arial" w:cs="Arial"/>
          <w:sz w:val="22"/>
          <w:szCs w:val="22"/>
          <w:lang w:val="en-US"/>
        </w:rPr>
        <w:t>The NICE</w:t>
      </w:r>
      <w:proofErr w:type="gramEnd"/>
      <w:r>
        <w:rPr>
          <w:rFonts w:ascii="Arial" w:hAnsi="Arial" w:cs="Arial"/>
          <w:sz w:val="22"/>
          <w:szCs w:val="22"/>
          <w:lang w:val="en-US"/>
        </w:rPr>
        <w:t xml:space="preserve"> advises using easy-to-understand information together with patient participation in goal-setting activities. The NHS England establishes partnerships with social care and voluntary organizations to deliver extended support services to patients. Stroke survivors require both emotional support and vocational rehabilitation services which become necessary when depression and anxiety and aphasia and return-to-work challenges continue. A complete community response approach effectively solves stroke because it recognizes the condition as both a medical issue and a disruption that affects personal identity and social relationships and community activities. Health and social care systems need to work together at this point because medical treatment and recovery process both fail to restore a complete life (NICE, 2023; NHS England, 2026; Stroke Association, n.d.; NIHR, 2025).</w:t>
      </w:r>
    </w:p>
    <w:p w14:paraId="3AB24D85" w14:textId="77777777" w:rsidR="004A1DA1" w:rsidRDefault="004A1DA1" w:rsidP="004A1DA1">
      <w:pPr>
        <w:pStyle w:val="Heading2"/>
        <w:spacing w:line="360" w:lineRule="auto"/>
        <w:jc w:val="both"/>
        <w:rPr>
          <w:rFonts w:ascii="Arial" w:hAnsi="Arial" w:cs="Arial"/>
          <w:sz w:val="22"/>
          <w:szCs w:val="22"/>
        </w:rPr>
      </w:pPr>
      <w:r>
        <w:rPr>
          <w:rFonts w:ascii="Arial" w:hAnsi="Arial" w:cs="Arial"/>
          <w:sz w:val="22"/>
          <w:szCs w:val="22"/>
        </w:rPr>
        <w:t>Conclusion</w:t>
      </w:r>
    </w:p>
    <w:p w14:paraId="6554C7BF" w14:textId="77777777" w:rsidR="004A1DA1" w:rsidRDefault="004A1DA1" w:rsidP="004A1DA1">
      <w:pPr>
        <w:pStyle w:val="Heading2"/>
        <w:spacing w:line="360" w:lineRule="auto"/>
        <w:jc w:val="both"/>
        <w:rPr>
          <w:rFonts w:ascii="Arial" w:hAnsi="Arial" w:cs="Arial"/>
          <w:b/>
          <w:bCs/>
          <w:sz w:val="22"/>
          <w:szCs w:val="22"/>
        </w:rPr>
      </w:pPr>
      <w:r>
        <w:rPr>
          <w:rFonts w:ascii="Arial" w:hAnsi="Arial" w:cs="Arial"/>
          <w:sz w:val="22"/>
          <w:szCs w:val="22"/>
          <w:lang w:val="en-US"/>
        </w:rPr>
        <w:t xml:space="preserve"> Stroke serves as a significant health threat to both the world and the UK because it causes immediate medical emergencies and results in permanent disability and requires ongoing community support. The condition affects millions of people worldwide because it causes brief interruptions in cerebral blood flow that lead to facial weakness and arm weakness and speech difficulties. The process of measurement and monitoring requires multiple levels of operation because epidemiological surveillance shows disease impact and clinical assessment tools including FAST and imaging and stroke scales measure patient condition and development and SSNAP audit systems measure the success of hospitals in delivering standard medical treatment. Stroke management requires multiple levels of intervention which include preventing risk factors and providing emergency medical care and offering continuous secondary prevention and rehabilitation services. High-quality stroke treatment extends beyond basic survival rates because it measures the success of services in helping patients achieve independence while decreasing their chances of future strokes and their ability to engage in meaningful activities within their communities (WHO, 2025; NICE, 2023; SSNAP, n.d.; NHS England, 2022).</w:t>
      </w:r>
    </w:p>
    <w:p w14:paraId="007FE1D4" w14:textId="77777777" w:rsidR="004A1DA1" w:rsidRDefault="004A1DA1" w:rsidP="004A1DA1">
      <w:pPr>
        <w:pStyle w:val="Heading2"/>
        <w:spacing w:line="360" w:lineRule="auto"/>
        <w:jc w:val="both"/>
        <w:rPr>
          <w:rFonts w:ascii="Arial" w:hAnsi="Arial" w:cs="Arial"/>
          <w:sz w:val="22"/>
          <w:szCs w:val="22"/>
        </w:rPr>
      </w:pPr>
      <w:r>
        <w:rPr>
          <w:rFonts w:ascii="Arial" w:hAnsi="Arial" w:cs="Arial"/>
          <w:sz w:val="22"/>
          <w:szCs w:val="22"/>
        </w:rPr>
        <w:t>Reference List</w:t>
      </w:r>
    </w:p>
    <w:p w14:paraId="450723A9"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Banks, J.L. and Marotta, C.A. (2007) ‘Outcomes validity and reliability of the modified Rankin Scale: implications for stroke clinical trials’, </w:t>
      </w:r>
      <w:r>
        <w:rPr>
          <w:rStyle w:val="Emphasis"/>
          <w:rFonts w:ascii="Arial" w:hAnsi="Arial" w:cs="Arial"/>
          <w:sz w:val="22"/>
          <w:szCs w:val="22"/>
        </w:rPr>
        <w:t>Stroke</w:t>
      </w:r>
      <w:r>
        <w:rPr>
          <w:rFonts w:ascii="Arial" w:hAnsi="Arial" w:cs="Arial"/>
          <w:sz w:val="22"/>
          <w:szCs w:val="22"/>
        </w:rPr>
        <w:t>, 38(3).</w:t>
      </w:r>
    </w:p>
    <w:p w14:paraId="3DEFD33A"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lastRenderedPageBreak/>
        <w:t xml:space="preserve">Harrison, J.K., McArthur, K.S. and Quinn, T.J. (2013) ‘Assessment scales in stroke: </w:t>
      </w:r>
      <w:proofErr w:type="spellStart"/>
      <w:r>
        <w:rPr>
          <w:rFonts w:ascii="Arial" w:hAnsi="Arial" w:cs="Arial"/>
          <w:sz w:val="22"/>
          <w:szCs w:val="22"/>
        </w:rPr>
        <w:t>clinimetric</w:t>
      </w:r>
      <w:proofErr w:type="spellEnd"/>
      <w:r>
        <w:rPr>
          <w:rFonts w:ascii="Arial" w:hAnsi="Arial" w:cs="Arial"/>
          <w:sz w:val="22"/>
          <w:szCs w:val="22"/>
        </w:rPr>
        <w:t xml:space="preserve"> and clinical considerations’, </w:t>
      </w:r>
      <w:r>
        <w:rPr>
          <w:rStyle w:val="Emphasis"/>
          <w:rFonts w:ascii="Arial" w:hAnsi="Arial" w:cs="Arial"/>
          <w:sz w:val="22"/>
          <w:szCs w:val="22"/>
        </w:rPr>
        <w:t>Clinical Interventions in Aging</w:t>
      </w:r>
      <w:r>
        <w:rPr>
          <w:rFonts w:ascii="Arial" w:hAnsi="Arial" w:cs="Arial"/>
          <w:sz w:val="22"/>
          <w:szCs w:val="22"/>
        </w:rPr>
        <w:t>, 8, pp. 201–211.</w:t>
      </w:r>
    </w:p>
    <w:p w14:paraId="34872C4A"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Intercollegiate Stroke Working Party (2023) </w:t>
      </w:r>
      <w:r>
        <w:rPr>
          <w:rStyle w:val="Emphasis"/>
          <w:rFonts w:ascii="Arial" w:hAnsi="Arial" w:cs="Arial"/>
          <w:sz w:val="22"/>
          <w:szCs w:val="22"/>
        </w:rPr>
        <w:t>National Clinical Guideline for Stroke for the UK and Ireland</w:t>
      </w:r>
      <w:r>
        <w:rPr>
          <w:rFonts w:ascii="Arial" w:hAnsi="Arial" w:cs="Arial"/>
          <w:sz w:val="22"/>
          <w:szCs w:val="22"/>
        </w:rPr>
        <w:t xml:space="preserve">. London: </w:t>
      </w:r>
      <w:proofErr w:type="gramStart"/>
      <w:r>
        <w:rPr>
          <w:rFonts w:ascii="Arial" w:hAnsi="Arial" w:cs="Arial"/>
          <w:sz w:val="22"/>
          <w:szCs w:val="22"/>
        </w:rPr>
        <w:t>Intercollegiate Stroke</w:t>
      </w:r>
      <w:proofErr w:type="gramEnd"/>
      <w:r>
        <w:rPr>
          <w:rFonts w:ascii="Arial" w:hAnsi="Arial" w:cs="Arial"/>
          <w:sz w:val="22"/>
          <w:szCs w:val="22"/>
        </w:rPr>
        <w:t xml:space="preserve"> Working Party.</w:t>
      </w:r>
    </w:p>
    <w:p w14:paraId="40BAF304" w14:textId="77777777" w:rsidR="004A1DA1" w:rsidRDefault="004A1DA1" w:rsidP="004A1DA1">
      <w:pPr>
        <w:pStyle w:val="NormalWeb"/>
        <w:spacing w:beforeAutospacing="0" w:afterAutospacing="0" w:line="360" w:lineRule="auto"/>
        <w:jc w:val="both"/>
        <w:rPr>
          <w:rFonts w:ascii="Arial" w:hAnsi="Arial" w:cs="Arial"/>
          <w:sz w:val="22"/>
          <w:szCs w:val="22"/>
        </w:rPr>
      </w:pPr>
      <w:proofErr w:type="spellStart"/>
      <w:r>
        <w:rPr>
          <w:rFonts w:ascii="Arial" w:hAnsi="Arial" w:cs="Arial"/>
          <w:sz w:val="22"/>
          <w:szCs w:val="22"/>
        </w:rPr>
        <w:t>Kwah</w:t>
      </w:r>
      <w:proofErr w:type="spellEnd"/>
      <w:r>
        <w:rPr>
          <w:rFonts w:ascii="Arial" w:hAnsi="Arial" w:cs="Arial"/>
          <w:sz w:val="22"/>
          <w:szCs w:val="22"/>
        </w:rPr>
        <w:t>, L.K. and Diong, J. (</w:t>
      </w:r>
      <w:proofErr w:type="gramStart"/>
      <w:r>
        <w:rPr>
          <w:rFonts w:ascii="Arial" w:hAnsi="Arial" w:cs="Arial"/>
          <w:sz w:val="22"/>
          <w:szCs w:val="22"/>
        </w:rPr>
        <w:t>2014) ‘</w:t>
      </w:r>
      <w:proofErr w:type="gramEnd"/>
      <w:r>
        <w:rPr>
          <w:rFonts w:ascii="Arial" w:hAnsi="Arial" w:cs="Arial"/>
          <w:sz w:val="22"/>
          <w:szCs w:val="22"/>
        </w:rPr>
        <w:t xml:space="preserve">National Institutes of Health Stroke Scale (NIHSS)’, </w:t>
      </w:r>
      <w:r>
        <w:rPr>
          <w:rStyle w:val="Emphasis"/>
          <w:rFonts w:ascii="Arial" w:hAnsi="Arial" w:cs="Arial"/>
          <w:sz w:val="22"/>
          <w:szCs w:val="22"/>
        </w:rPr>
        <w:t>Journal of Physiotherapy</w:t>
      </w:r>
      <w:r>
        <w:rPr>
          <w:rFonts w:ascii="Arial" w:hAnsi="Arial" w:cs="Arial"/>
          <w:sz w:val="22"/>
          <w:szCs w:val="22"/>
        </w:rPr>
        <w:t>, 60(1), p. 61.</w:t>
      </w:r>
    </w:p>
    <w:p w14:paraId="5F09BC04"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Lyden, P. (</w:t>
      </w:r>
      <w:proofErr w:type="gramStart"/>
      <w:r>
        <w:rPr>
          <w:rFonts w:ascii="Arial" w:hAnsi="Arial" w:cs="Arial"/>
          <w:sz w:val="22"/>
          <w:szCs w:val="22"/>
        </w:rPr>
        <w:t>2017) ‘</w:t>
      </w:r>
      <w:proofErr w:type="gramEnd"/>
      <w:r>
        <w:rPr>
          <w:rFonts w:ascii="Arial" w:hAnsi="Arial" w:cs="Arial"/>
          <w:sz w:val="22"/>
          <w:szCs w:val="22"/>
        </w:rPr>
        <w:t xml:space="preserve">Using the National Institutes of Health Stroke Scale’, </w:t>
      </w:r>
      <w:r>
        <w:rPr>
          <w:rStyle w:val="Emphasis"/>
          <w:rFonts w:ascii="Arial" w:hAnsi="Arial" w:cs="Arial"/>
          <w:sz w:val="22"/>
          <w:szCs w:val="22"/>
        </w:rPr>
        <w:t>Stroke</w:t>
      </w:r>
      <w:r>
        <w:rPr>
          <w:rFonts w:ascii="Arial" w:hAnsi="Arial" w:cs="Arial"/>
          <w:sz w:val="22"/>
          <w:szCs w:val="22"/>
        </w:rPr>
        <w:t>, 48(2).</w:t>
      </w:r>
    </w:p>
    <w:p w14:paraId="137EBDF2"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NHS (2024) </w:t>
      </w:r>
      <w:r>
        <w:rPr>
          <w:rStyle w:val="Emphasis"/>
          <w:rFonts w:ascii="Arial" w:hAnsi="Arial" w:cs="Arial"/>
          <w:sz w:val="22"/>
          <w:szCs w:val="22"/>
        </w:rPr>
        <w:t xml:space="preserve">Symptoms of </w:t>
      </w:r>
      <w:proofErr w:type="gramStart"/>
      <w:r>
        <w:rPr>
          <w:rStyle w:val="Emphasis"/>
          <w:rFonts w:ascii="Arial" w:hAnsi="Arial" w:cs="Arial"/>
          <w:sz w:val="22"/>
          <w:szCs w:val="22"/>
        </w:rPr>
        <w:t>a stroke</w:t>
      </w:r>
      <w:proofErr w:type="gramEnd"/>
      <w:r>
        <w:rPr>
          <w:rFonts w:ascii="Arial" w:hAnsi="Arial" w:cs="Arial"/>
          <w:sz w:val="22"/>
          <w:szCs w:val="22"/>
        </w:rPr>
        <w:t>. London: National Health Service.</w:t>
      </w:r>
    </w:p>
    <w:p w14:paraId="0049B440"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NHS England (2022) </w:t>
      </w:r>
      <w:r>
        <w:rPr>
          <w:rStyle w:val="Emphasis"/>
          <w:rFonts w:ascii="Arial" w:hAnsi="Arial" w:cs="Arial"/>
          <w:sz w:val="22"/>
          <w:szCs w:val="22"/>
        </w:rPr>
        <w:t>National service model for an integrated community stroke service</w:t>
      </w:r>
      <w:r>
        <w:rPr>
          <w:rFonts w:ascii="Arial" w:hAnsi="Arial" w:cs="Arial"/>
          <w:sz w:val="22"/>
          <w:szCs w:val="22"/>
        </w:rPr>
        <w:t>. London: NHS England.</w:t>
      </w:r>
    </w:p>
    <w:p w14:paraId="2694ABBB"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NHS England (2026) </w:t>
      </w:r>
      <w:r>
        <w:rPr>
          <w:rStyle w:val="Emphasis"/>
          <w:rFonts w:ascii="Arial" w:hAnsi="Arial" w:cs="Arial"/>
          <w:sz w:val="22"/>
          <w:szCs w:val="22"/>
        </w:rPr>
        <w:t>NHS England’s work on stroke</w:t>
      </w:r>
      <w:r>
        <w:rPr>
          <w:rFonts w:ascii="Arial" w:hAnsi="Arial" w:cs="Arial"/>
          <w:sz w:val="22"/>
          <w:szCs w:val="22"/>
        </w:rPr>
        <w:t>. London: NHS England.</w:t>
      </w:r>
    </w:p>
    <w:p w14:paraId="308CEC6B"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NICE (2019) </w:t>
      </w:r>
      <w:r>
        <w:rPr>
          <w:rStyle w:val="Emphasis"/>
          <w:rFonts w:ascii="Arial" w:hAnsi="Arial" w:cs="Arial"/>
          <w:sz w:val="22"/>
          <w:szCs w:val="22"/>
        </w:rPr>
        <w:t xml:space="preserve">Stroke and transient </w:t>
      </w:r>
      <w:proofErr w:type="spellStart"/>
      <w:r>
        <w:rPr>
          <w:rStyle w:val="Emphasis"/>
          <w:rFonts w:ascii="Arial" w:hAnsi="Arial" w:cs="Arial"/>
          <w:sz w:val="22"/>
          <w:szCs w:val="22"/>
        </w:rPr>
        <w:t>ischaemic</w:t>
      </w:r>
      <w:proofErr w:type="spellEnd"/>
      <w:r>
        <w:rPr>
          <w:rStyle w:val="Emphasis"/>
          <w:rFonts w:ascii="Arial" w:hAnsi="Arial" w:cs="Arial"/>
          <w:sz w:val="22"/>
          <w:szCs w:val="22"/>
        </w:rPr>
        <w:t xml:space="preserve"> attack in over 16s: diagnosis and initial management (NG128)</w:t>
      </w:r>
      <w:r>
        <w:rPr>
          <w:rFonts w:ascii="Arial" w:hAnsi="Arial" w:cs="Arial"/>
          <w:sz w:val="22"/>
          <w:szCs w:val="22"/>
        </w:rPr>
        <w:t>. London: National Institute for Health and Care Excellence.</w:t>
      </w:r>
    </w:p>
    <w:p w14:paraId="295691AD"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NICE (2023) </w:t>
      </w:r>
      <w:r>
        <w:rPr>
          <w:rStyle w:val="Emphasis"/>
          <w:rFonts w:ascii="Arial" w:hAnsi="Arial" w:cs="Arial"/>
          <w:sz w:val="22"/>
          <w:szCs w:val="22"/>
        </w:rPr>
        <w:t>Stroke rehabilitation in adults (NG236)</w:t>
      </w:r>
      <w:r>
        <w:rPr>
          <w:rFonts w:ascii="Arial" w:hAnsi="Arial" w:cs="Arial"/>
          <w:sz w:val="22"/>
          <w:szCs w:val="22"/>
        </w:rPr>
        <w:t>. London: National Institute for Health and Care Excellence.</w:t>
      </w:r>
    </w:p>
    <w:p w14:paraId="791F544A"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NIHR (</w:t>
      </w:r>
      <w:proofErr w:type="gramStart"/>
      <w:r>
        <w:rPr>
          <w:rFonts w:ascii="Arial" w:hAnsi="Arial" w:cs="Arial"/>
          <w:sz w:val="22"/>
          <w:szCs w:val="22"/>
        </w:rPr>
        <w:t>2025) ‘</w:t>
      </w:r>
      <w:proofErr w:type="gramEnd"/>
      <w:r>
        <w:rPr>
          <w:rFonts w:ascii="Arial" w:hAnsi="Arial" w:cs="Arial"/>
          <w:sz w:val="22"/>
          <w:szCs w:val="22"/>
        </w:rPr>
        <w:t xml:space="preserve">Experiences of support to return to work after stroke: longitudinal case studies from RETAKE trial’, </w:t>
      </w:r>
      <w:r>
        <w:rPr>
          <w:rStyle w:val="Emphasis"/>
          <w:rFonts w:ascii="Arial" w:hAnsi="Arial" w:cs="Arial"/>
          <w:sz w:val="22"/>
          <w:szCs w:val="22"/>
        </w:rPr>
        <w:t>Health Technology Assessment</w:t>
      </w:r>
      <w:r>
        <w:rPr>
          <w:rFonts w:ascii="Arial" w:hAnsi="Arial" w:cs="Arial"/>
          <w:sz w:val="22"/>
          <w:szCs w:val="22"/>
        </w:rPr>
        <w:t>.</w:t>
      </w:r>
    </w:p>
    <w:p w14:paraId="41F18ECC"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SSNAP (n.d.) </w:t>
      </w:r>
      <w:r>
        <w:rPr>
          <w:rStyle w:val="Emphasis"/>
          <w:rFonts w:ascii="Arial" w:hAnsi="Arial" w:cs="Arial"/>
          <w:sz w:val="22"/>
          <w:szCs w:val="22"/>
        </w:rPr>
        <w:t xml:space="preserve">Sentinel Stroke National Audit </w:t>
      </w:r>
      <w:proofErr w:type="spellStart"/>
      <w:r>
        <w:rPr>
          <w:rStyle w:val="Emphasis"/>
          <w:rFonts w:ascii="Arial" w:hAnsi="Arial" w:cs="Arial"/>
          <w:sz w:val="22"/>
          <w:szCs w:val="22"/>
        </w:rPr>
        <w:t>Programme</w:t>
      </w:r>
      <w:proofErr w:type="spellEnd"/>
      <w:r>
        <w:rPr>
          <w:rFonts w:ascii="Arial" w:hAnsi="Arial" w:cs="Arial"/>
          <w:sz w:val="22"/>
          <w:szCs w:val="22"/>
        </w:rPr>
        <w:t>. London: SSNAP. Available at: https://www.strokeaudit.org/</w:t>
      </w:r>
    </w:p>
    <w:p w14:paraId="6B0001F2"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Stroke Association (n.d.) </w:t>
      </w:r>
      <w:r>
        <w:rPr>
          <w:rStyle w:val="Emphasis"/>
          <w:rFonts w:ascii="Arial" w:hAnsi="Arial" w:cs="Arial"/>
          <w:sz w:val="22"/>
          <w:szCs w:val="22"/>
        </w:rPr>
        <w:t>Emotional changes</w:t>
      </w:r>
      <w:r>
        <w:rPr>
          <w:rFonts w:ascii="Arial" w:hAnsi="Arial" w:cs="Arial"/>
          <w:sz w:val="22"/>
          <w:szCs w:val="22"/>
        </w:rPr>
        <w:t>. London: Stroke Association. Available at: https://www.stroke.org.uk/resources/emotional-changes-after-stroke</w:t>
      </w:r>
    </w:p>
    <w:p w14:paraId="7A5798F2"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Stroke Association (n.d.) </w:t>
      </w:r>
      <w:r>
        <w:rPr>
          <w:rStyle w:val="Emphasis"/>
          <w:rFonts w:ascii="Arial" w:hAnsi="Arial" w:cs="Arial"/>
          <w:sz w:val="22"/>
          <w:szCs w:val="22"/>
        </w:rPr>
        <w:t>Stroke statistics</w:t>
      </w:r>
      <w:r>
        <w:rPr>
          <w:rFonts w:ascii="Arial" w:hAnsi="Arial" w:cs="Arial"/>
          <w:sz w:val="22"/>
          <w:szCs w:val="22"/>
        </w:rPr>
        <w:t>. London: Stroke Association. Available at: https://www.stroke.org.uk/stroke/statistics</w:t>
      </w:r>
    </w:p>
    <w:p w14:paraId="0D937BD2" w14:textId="77777777" w:rsidR="004A1DA1" w:rsidRDefault="004A1DA1" w:rsidP="004A1DA1">
      <w:pPr>
        <w:pStyle w:val="NormalWeb"/>
        <w:spacing w:beforeAutospacing="0" w:afterAutospacing="0" w:line="360" w:lineRule="auto"/>
        <w:jc w:val="both"/>
        <w:rPr>
          <w:rFonts w:ascii="Arial" w:hAnsi="Arial" w:cs="Arial"/>
          <w:sz w:val="22"/>
          <w:szCs w:val="22"/>
        </w:rPr>
      </w:pPr>
      <w:r>
        <w:rPr>
          <w:rFonts w:ascii="Arial" w:hAnsi="Arial" w:cs="Arial"/>
          <w:sz w:val="22"/>
          <w:szCs w:val="22"/>
        </w:rPr>
        <w:t xml:space="preserve">WHO (2025) </w:t>
      </w:r>
      <w:r>
        <w:rPr>
          <w:rStyle w:val="Emphasis"/>
          <w:rFonts w:ascii="Arial" w:hAnsi="Arial" w:cs="Arial"/>
          <w:sz w:val="22"/>
          <w:szCs w:val="22"/>
        </w:rPr>
        <w:t>Stroke</w:t>
      </w:r>
      <w:r>
        <w:rPr>
          <w:rFonts w:ascii="Arial" w:hAnsi="Arial" w:cs="Arial"/>
          <w:sz w:val="22"/>
          <w:szCs w:val="22"/>
        </w:rPr>
        <w:t>. Geneva: World Health Organization. Available at:  https://www.who.int/news-room/fact-sheets/detail/stroke</w:t>
      </w:r>
    </w:p>
    <w:p w14:paraId="6E01DD29" w14:textId="77777777" w:rsidR="004A1DA1" w:rsidRDefault="004A1DA1" w:rsidP="004A1DA1">
      <w:pPr>
        <w:spacing w:line="360" w:lineRule="auto"/>
        <w:jc w:val="both"/>
        <w:rPr>
          <w:rFonts w:ascii="Arial" w:hAnsi="Arial" w:cs="Arial"/>
        </w:rPr>
      </w:pPr>
    </w:p>
    <w:p w14:paraId="2292B8B8" w14:textId="77777777" w:rsidR="00247F32" w:rsidRDefault="00247F32"/>
    <w:sectPr w:rsidR="00247F32" w:rsidSect="004A1DA1">
      <w:footerReference w:type="default" r:id="rId4"/>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B67A8" w14:textId="77777777" w:rsidR="00075D77" w:rsidRDefault="00075D77">
    <w:pPr>
      <w:pStyle w:val="Footer"/>
    </w:pPr>
    <w:r>
      <w:rPr>
        <w:noProof/>
      </w:rPr>
      <mc:AlternateContent>
        <mc:Choice Requires="wps">
          <w:drawing>
            <wp:anchor distT="0" distB="0" distL="114300" distR="114300" simplePos="0" relativeHeight="251659264" behindDoc="0" locked="0" layoutInCell="1" allowOverlap="1" wp14:anchorId="1A5469DF" wp14:editId="336E5911">
              <wp:simplePos x="0" y="0"/>
              <wp:positionH relativeFrom="margin">
                <wp:align>center</wp:align>
              </wp:positionH>
              <wp:positionV relativeFrom="paragraph">
                <wp:posOffset>0</wp:posOffset>
              </wp:positionV>
              <wp:extent cx="1828800" cy="18288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270" cy="2711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8E5EBC" w14:textId="77777777" w:rsidR="00075D77" w:rsidRDefault="00075D77">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rtlCol="0" anchor="t">
                      <a:spAutoFit/>
                    </wps:bodyPr>
                  </wps:wsp>
                </a:graphicData>
              </a:graphic>
            </wp:anchor>
          </w:drawing>
        </mc:Choice>
        <mc:Fallback>
          <w:pict>
            <v:shapetype w14:anchorId="1A5469DF"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" filled="f" stroked="f" strokeweight=".5pt">
              <v:textbox style="mso-fit-shape-to-text:t" inset="0,0,0,0">
                <w:txbxContent>
                  <w:p w14:paraId="588E5EBC" w14:textId="77777777" w:rsidR="00075D77" w:rsidRDefault="00075D77">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339"/>
    <w:rsid w:val="00247F32"/>
    <w:rsid w:val="002B45D9"/>
    <w:rsid w:val="004A1DA1"/>
    <w:rsid w:val="006A317E"/>
    <w:rsid w:val="007107D2"/>
    <w:rsid w:val="008732AC"/>
    <w:rsid w:val="008C6A8A"/>
    <w:rsid w:val="00C43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B6396"/>
  <w15:chartTrackingRefBased/>
  <w15:docId w15:val="{C3149EEC-DDA9-458D-86B8-E6D4D40AC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DA1"/>
    <w:rPr>
      <w:kern w:val="0"/>
      <w:lang w:val="en-US"/>
    </w:rPr>
  </w:style>
  <w:style w:type="paragraph" w:styleId="Heading1">
    <w:name w:val="heading 1"/>
    <w:basedOn w:val="Normal"/>
    <w:next w:val="Normal"/>
    <w:link w:val="Heading1Char"/>
    <w:uiPriority w:val="9"/>
    <w:qFormat/>
    <w:rsid w:val="00C43339"/>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GB"/>
    </w:rPr>
  </w:style>
  <w:style w:type="paragraph" w:styleId="Heading2">
    <w:name w:val="heading 2"/>
    <w:basedOn w:val="Normal"/>
    <w:next w:val="Normal"/>
    <w:link w:val="Heading2Char"/>
    <w:uiPriority w:val="9"/>
    <w:unhideWhenUsed/>
    <w:qFormat/>
    <w:rsid w:val="00C43339"/>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GB"/>
    </w:rPr>
  </w:style>
  <w:style w:type="paragraph" w:styleId="Heading3">
    <w:name w:val="heading 3"/>
    <w:basedOn w:val="Normal"/>
    <w:next w:val="Normal"/>
    <w:link w:val="Heading3Char"/>
    <w:uiPriority w:val="9"/>
    <w:semiHidden/>
    <w:unhideWhenUsed/>
    <w:qFormat/>
    <w:rsid w:val="00C43339"/>
    <w:pPr>
      <w:keepNext/>
      <w:keepLines/>
      <w:spacing w:before="160" w:after="80"/>
      <w:outlineLvl w:val="2"/>
    </w:pPr>
    <w:rPr>
      <w:rFonts w:eastAsiaTheme="majorEastAsia" w:cstheme="majorBidi"/>
      <w:color w:val="0F4761" w:themeColor="accent1" w:themeShade="BF"/>
      <w:kern w:val="2"/>
      <w:sz w:val="28"/>
      <w:szCs w:val="28"/>
      <w:lang w:val="en-GB"/>
    </w:rPr>
  </w:style>
  <w:style w:type="paragraph" w:styleId="Heading4">
    <w:name w:val="heading 4"/>
    <w:basedOn w:val="Normal"/>
    <w:next w:val="Normal"/>
    <w:link w:val="Heading4Char"/>
    <w:uiPriority w:val="9"/>
    <w:semiHidden/>
    <w:unhideWhenUsed/>
    <w:qFormat/>
    <w:rsid w:val="00C43339"/>
    <w:pPr>
      <w:keepNext/>
      <w:keepLines/>
      <w:spacing w:before="80" w:after="40"/>
      <w:outlineLvl w:val="3"/>
    </w:pPr>
    <w:rPr>
      <w:rFonts w:eastAsiaTheme="majorEastAsia" w:cstheme="majorBidi"/>
      <w:i/>
      <w:iCs/>
      <w:color w:val="0F4761" w:themeColor="accent1" w:themeShade="BF"/>
      <w:kern w:val="2"/>
      <w:lang w:val="en-GB"/>
    </w:rPr>
  </w:style>
  <w:style w:type="paragraph" w:styleId="Heading5">
    <w:name w:val="heading 5"/>
    <w:basedOn w:val="Normal"/>
    <w:next w:val="Normal"/>
    <w:link w:val="Heading5Char"/>
    <w:uiPriority w:val="9"/>
    <w:semiHidden/>
    <w:unhideWhenUsed/>
    <w:qFormat/>
    <w:rsid w:val="00C43339"/>
    <w:pPr>
      <w:keepNext/>
      <w:keepLines/>
      <w:spacing w:before="80" w:after="40"/>
      <w:outlineLvl w:val="4"/>
    </w:pPr>
    <w:rPr>
      <w:rFonts w:eastAsiaTheme="majorEastAsia" w:cstheme="majorBidi"/>
      <w:color w:val="0F4761" w:themeColor="accent1" w:themeShade="BF"/>
      <w:kern w:val="2"/>
      <w:lang w:val="en-GB"/>
    </w:rPr>
  </w:style>
  <w:style w:type="paragraph" w:styleId="Heading6">
    <w:name w:val="heading 6"/>
    <w:basedOn w:val="Normal"/>
    <w:next w:val="Normal"/>
    <w:link w:val="Heading6Char"/>
    <w:uiPriority w:val="9"/>
    <w:semiHidden/>
    <w:unhideWhenUsed/>
    <w:qFormat/>
    <w:rsid w:val="00C43339"/>
    <w:pPr>
      <w:keepNext/>
      <w:keepLines/>
      <w:spacing w:before="40" w:after="0"/>
      <w:outlineLvl w:val="5"/>
    </w:pPr>
    <w:rPr>
      <w:rFonts w:eastAsiaTheme="majorEastAsia" w:cstheme="majorBidi"/>
      <w:i/>
      <w:iCs/>
      <w:color w:val="595959" w:themeColor="text1" w:themeTint="A6"/>
      <w:kern w:val="2"/>
      <w:lang w:val="en-GB"/>
    </w:rPr>
  </w:style>
  <w:style w:type="paragraph" w:styleId="Heading7">
    <w:name w:val="heading 7"/>
    <w:basedOn w:val="Normal"/>
    <w:next w:val="Normal"/>
    <w:link w:val="Heading7Char"/>
    <w:uiPriority w:val="9"/>
    <w:semiHidden/>
    <w:unhideWhenUsed/>
    <w:qFormat/>
    <w:rsid w:val="00C43339"/>
    <w:pPr>
      <w:keepNext/>
      <w:keepLines/>
      <w:spacing w:before="40" w:after="0"/>
      <w:outlineLvl w:val="6"/>
    </w:pPr>
    <w:rPr>
      <w:rFonts w:eastAsiaTheme="majorEastAsia" w:cstheme="majorBidi"/>
      <w:color w:val="595959" w:themeColor="text1" w:themeTint="A6"/>
      <w:kern w:val="2"/>
      <w:lang w:val="en-GB"/>
    </w:rPr>
  </w:style>
  <w:style w:type="paragraph" w:styleId="Heading8">
    <w:name w:val="heading 8"/>
    <w:basedOn w:val="Normal"/>
    <w:next w:val="Normal"/>
    <w:link w:val="Heading8Char"/>
    <w:uiPriority w:val="9"/>
    <w:semiHidden/>
    <w:unhideWhenUsed/>
    <w:qFormat/>
    <w:rsid w:val="00C43339"/>
    <w:pPr>
      <w:keepNext/>
      <w:keepLines/>
      <w:spacing w:after="0"/>
      <w:outlineLvl w:val="7"/>
    </w:pPr>
    <w:rPr>
      <w:rFonts w:eastAsiaTheme="majorEastAsia" w:cstheme="majorBidi"/>
      <w:i/>
      <w:iCs/>
      <w:color w:val="272727" w:themeColor="text1" w:themeTint="D8"/>
      <w:kern w:val="2"/>
      <w:lang w:val="en-GB"/>
    </w:rPr>
  </w:style>
  <w:style w:type="paragraph" w:styleId="Heading9">
    <w:name w:val="heading 9"/>
    <w:basedOn w:val="Normal"/>
    <w:next w:val="Normal"/>
    <w:link w:val="Heading9Char"/>
    <w:uiPriority w:val="9"/>
    <w:semiHidden/>
    <w:unhideWhenUsed/>
    <w:qFormat/>
    <w:rsid w:val="00C43339"/>
    <w:pPr>
      <w:keepNext/>
      <w:keepLines/>
      <w:spacing w:after="0"/>
      <w:outlineLvl w:val="8"/>
    </w:pPr>
    <w:rPr>
      <w:rFonts w:eastAsiaTheme="majorEastAsia" w:cstheme="majorBidi"/>
      <w:color w:val="272727" w:themeColor="text1" w:themeTint="D8"/>
      <w:kern w:val="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3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33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33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33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33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33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33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33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3339"/>
    <w:rPr>
      <w:rFonts w:eastAsiaTheme="majorEastAsia" w:cstheme="majorBidi"/>
      <w:color w:val="272727" w:themeColor="text1" w:themeTint="D8"/>
    </w:rPr>
  </w:style>
  <w:style w:type="paragraph" w:styleId="Title">
    <w:name w:val="Title"/>
    <w:basedOn w:val="Normal"/>
    <w:next w:val="Normal"/>
    <w:link w:val="TitleChar"/>
    <w:uiPriority w:val="10"/>
    <w:qFormat/>
    <w:rsid w:val="00C43339"/>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C433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3339"/>
    <w:pPr>
      <w:numPr>
        <w:ilvl w:val="1"/>
      </w:numPr>
    </w:pPr>
    <w:rPr>
      <w:rFonts w:eastAsiaTheme="majorEastAsia" w:cstheme="majorBidi"/>
      <w:color w:val="595959" w:themeColor="text1" w:themeTint="A6"/>
      <w:spacing w:val="15"/>
      <w:kern w:val="2"/>
      <w:sz w:val="28"/>
      <w:szCs w:val="28"/>
      <w:lang w:val="en-GB"/>
    </w:rPr>
  </w:style>
  <w:style w:type="character" w:customStyle="1" w:styleId="SubtitleChar">
    <w:name w:val="Subtitle Char"/>
    <w:basedOn w:val="DefaultParagraphFont"/>
    <w:link w:val="Subtitle"/>
    <w:uiPriority w:val="11"/>
    <w:rsid w:val="00C43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3339"/>
    <w:pPr>
      <w:spacing w:before="160"/>
      <w:jc w:val="center"/>
    </w:pPr>
    <w:rPr>
      <w:i/>
      <w:iCs/>
      <w:color w:val="404040" w:themeColor="text1" w:themeTint="BF"/>
      <w:kern w:val="2"/>
      <w:lang w:val="en-GB"/>
    </w:rPr>
  </w:style>
  <w:style w:type="character" w:customStyle="1" w:styleId="QuoteChar">
    <w:name w:val="Quote Char"/>
    <w:basedOn w:val="DefaultParagraphFont"/>
    <w:link w:val="Quote"/>
    <w:uiPriority w:val="29"/>
    <w:rsid w:val="00C43339"/>
    <w:rPr>
      <w:i/>
      <w:iCs/>
      <w:color w:val="404040" w:themeColor="text1" w:themeTint="BF"/>
    </w:rPr>
  </w:style>
  <w:style w:type="paragraph" w:styleId="ListParagraph">
    <w:name w:val="List Paragraph"/>
    <w:basedOn w:val="Normal"/>
    <w:uiPriority w:val="34"/>
    <w:qFormat/>
    <w:rsid w:val="00C43339"/>
    <w:pPr>
      <w:ind w:left="720"/>
      <w:contextualSpacing/>
    </w:pPr>
    <w:rPr>
      <w:kern w:val="2"/>
      <w:lang w:val="en-GB"/>
    </w:rPr>
  </w:style>
  <w:style w:type="character" w:styleId="IntenseEmphasis">
    <w:name w:val="Intense Emphasis"/>
    <w:basedOn w:val="DefaultParagraphFont"/>
    <w:uiPriority w:val="21"/>
    <w:qFormat/>
    <w:rsid w:val="00C43339"/>
    <w:rPr>
      <w:i/>
      <w:iCs/>
      <w:color w:val="0F4761" w:themeColor="accent1" w:themeShade="BF"/>
    </w:rPr>
  </w:style>
  <w:style w:type="paragraph" w:styleId="IntenseQuote">
    <w:name w:val="Intense Quote"/>
    <w:basedOn w:val="Normal"/>
    <w:next w:val="Normal"/>
    <w:link w:val="IntenseQuoteChar"/>
    <w:uiPriority w:val="30"/>
    <w:qFormat/>
    <w:rsid w:val="00C433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lang w:val="en-GB"/>
    </w:rPr>
  </w:style>
  <w:style w:type="character" w:customStyle="1" w:styleId="IntenseQuoteChar">
    <w:name w:val="Intense Quote Char"/>
    <w:basedOn w:val="DefaultParagraphFont"/>
    <w:link w:val="IntenseQuote"/>
    <w:uiPriority w:val="30"/>
    <w:rsid w:val="00C43339"/>
    <w:rPr>
      <w:i/>
      <w:iCs/>
      <w:color w:val="0F4761" w:themeColor="accent1" w:themeShade="BF"/>
    </w:rPr>
  </w:style>
  <w:style w:type="character" w:styleId="IntenseReference">
    <w:name w:val="Intense Reference"/>
    <w:basedOn w:val="DefaultParagraphFont"/>
    <w:uiPriority w:val="32"/>
    <w:qFormat/>
    <w:rsid w:val="00C43339"/>
    <w:rPr>
      <w:b/>
      <w:bCs/>
      <w:smallCaps/>
      <w:color w:val="0F4761" w:themeColor="accent1" w:themeShade="BF"/>
      <w:spacing w:val="5"/>
    </w:rPr>
  </w:style>
  <w:style w:type="character" w:styleId="Emphasis">
    <w:name w:val="Emphasis"/>
    <w:basedOn w:val="DefaultParagraphFont"/>
    <w:uiPriority w:val="20"/>
    <w:qFormat/>
    <w:rsid w:val="004A1DA1"/>
    <w:rPr>
      <w:i/>
      <w:iCs/>
    </w:rPr>
  </w:style>
  <w:style w:type="paragraph" w:styleId="Footer">
    <w:name w:val="footer"/>
    <w:basedOn w:val="Normal"/>
    <w:link w:val="FooterChar"/>
    <w:uiPriority w:val="99"/>
    <w:semiHidden/>
    <w:unhideWhenUsed/>
    <w:rsid w:val="004A1DA1"/>
    <w:pPr>
      <w:tabs>
        <w:tab w:val="center" w:pos="4153"/>
        <w:tab w:val="right" w:pos="8306"/>
      </w:tabs>
    </w:pPr>
    <w:rPr>
      <w:sz w:val="18"/>
      <w:szCs w:val="18"/>
    </w:rPr>
  </w:style>
  <w:style w:type="character" w:customStyle="1" w:styleId="FooterChar">
    <w:name w:val="Footer Char"/>
    <w:basedOn w:val="DefaultParagraphFont"/>
    <w:link w:val="Footer"/>
    <w:uiPriority w:val="99"/>
    <w:semiHidden/>
    <w:rsid w:val="004A1DA1"/>
    <w:rPr>
      <w:kern w:val="0"/>
      <w:sz w:val="18"/>
      <w:szCs w:val="18"/>
      <w:lang w:val="en-US"/>
    </w:rPr>
  </w:style>
  <w:style w:type="paragraph" w:styleId="NormalWeb">
    <w:name w:val="Normal (Web)"/>
    <w:basedOn w:val="Normal"/>
    <w:uiPriority w:val="99"/>
    <w:semiHidden/>
    <w:unhideWhenUsed/>
    <w:qFormat/>
    <w:rsid w:val="004A1D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A1D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2389</Words>
  <Characters>13619</Characters>
  <Application>Microsoft Office Word</Application>
  <DocSecurity>0</DocSecurity>
  <Lines>113</Lines>
  <Paragraphs>31</Paragraphs>
  <ScaleCrop>false</ScaleCrop>
  <Company/>
  <LinksUpToDate>false</LinksUpToDate>
  <CharactersWithSpaces>15977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Ajibola Owoolapo</dc:creator>
  <cp:keywords/>
  <dc:description/>
  <cp:lastModifiedBy>Ajibola Owoolapo</cp:lastModifiedBy>
  <cp:revision>2</cp:revision>
  <dcterms:created xsi:type="dcterms:W3CDTF">2026-04-20T20:32:00Z</dcterms:created>
  <dcterms:modified xsi:type="dcterms:W3CDTF">2026-04-20T20:35:00Z</dcterms:modified>
</cp:coreProperties>
</file>