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BC3E0" w14:textId="2BCB2851" w:rsidR="00E44F7F" w:rsidRPr="00D43771" w:rsidRDefault="00D43771" w:rsidP="00E44F7F">
      <w:pPr>
        <w:spacing w:line="360" w:lineRule="auto"/>
        <w:rPr>
          <w:rFonts w:ascii="Arial" w:hAnsi="Arial" w:cs="Arial"/>
          <w:b/>
          <w:bCs/>
          <w:sz w:val="56"/>
          <w:szCs w:val="56"/>
        </w:rPr>
      </w:pPr>
      <w:r>
        <w:rPr>
          <w:noProof/>
        </w:rPr>
        <w:drawing>
          <wp:inline distT="0" distB="0" distL="0" distR="0" wp14:anchorId="74F809BA" wp14:editId="0621EDE4">
            <wp:extent cx="982980" cy="822960"/>
            <wp:effectExtent l="0" t="0" r="7620" b="0"/>
            <wp:docPr id="6" name="Picture 5" descr="Discover University of Wales Trinity Saint David">
              <a:extLst xmlns:a="http://schemas.openxmlformats.org/drawingml/2006/main">
                <a:ext uri="{FF2B5EF4-FFF2-40B4-BE49-F238E27FC236}">
                  <a16:creationId xmlns:a16="http://schemas.microsoft.com/office/drawing/2014/main" id="{0BAB1564-CFF4-A8FA-312D-9B25AE73D2C1}"/>
                </a:ext>
              </a:extLst>
            </wp:docPr>
            <wp:cNvGraphicFramePr/>
            <a:graphic xmlns:a="http://schemas.openxmlformats.org/drawingml/2006/main">
              <a:graphicData uri="http://schemas.openxmlformats.org/drawingml/2006/picture">
                <pic:pic xmlns:pic="http://schemas.openxmlformats.org/drawingml/2006/picture">
                  <pic:nvPicPr>
                    <pic:cNvPr id="6" name="Picture 5" descr="Discover University of Wales Trinity Saint David">
                      <a:extLst>
                        <a:ext uri="{FF2B5EF4-FFF2-40B4-BE49-F238E27FC236}">
                          <a16:creationId xmlns:a16="http://schemas.microsoft.com/office/drawing/2014/main" id="{0BAB1564-CFF4-A8FA-312D-9B25AE73D2C1}"/>
                        </a:ext>
                      </a:extLst>
                    </pic:cNvPr>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983564" cy="823449"/>
                    </a:xfrm>
                    <a:prstGeom prst="rect">
                      <a:avLst/>
                    </a:prstGeom>
                    <a:noFill/>
                    <a:ln>
                      <a:noFill/>
                    </a:ln>
                  </pic:spPr>
                </pic:pic>
              </a:graphicData>
            </a:graphic>
          </wp:inline>
        </w:drawing>
      </w:r>
      <w:r>
        <w:rPr>
          <w:rFonts w:ascii="Arial" w:hAnsi="Arial" w:cs="Arial"/>
        </w:rPr>
        <w:t xml:space="preserve">                 </w:t>
      </w:r>
      <w:r w:rsidRPr="00D43771">
        <w:rPr>
          <w:rFonts w:ascii="Arial" w:hAnsi="Arial" w:cs="Arial"/>
          <w:b/>
          <w:bCs/>
          <w:sz w:val="72"/>
          <w:szCs w:val="72"/>
        </w:rPr>
        <w:t>C</w:t>
      </w:r>
      <w:r w:rsidRPr="00D43771">
        <w:rPr>
          <w:rFonts w:ascii="Arial" w:hAnsi="Arial" w:cs="Arial"/>
          <w:b/>
          <w:bCs/>
          <w:sz w:val="56"/>
          <w:szCs w:val="56"/>
        </w:rPr>
        <w:t>omponent 2</w:t>
      </w:r>
    </w:p>
    <w:p w14:paraId="20617698" w14:textId="6433542D" w:rsidR="00E44F7F" w:rsidRDefault="00D43771" w:rsidP="00E44F7F">
      <w:pPr>
        <w:spacing w:line="360" w:lineRule="auto"/>
        <w:rPr>
          <w:rFonts w:ascii="Arial" w:hAnsi="Arial" w:cs="Arial"/>
          <w:b/>
          <w:bCs/>
          <w:sz w:val="40"/>
          <w:szCs w:val="40"/>
        </w:rPr>
      </w:pPr>
      <w:r w:rsidRPr="00D43771">
        <w:rPr>
          <w:rFonts w:ascii="Arial" w:hAnsi="Arial" w:cs="Arial"/>
          <w:b/>
          <w:bCs/>
          <w:sz w:val="40"/>
          <w:szCs w:val="40"/>
        </w:rPr>
        <w:t>H</w:t>
      </w:r>
      <w:r w:rsidR="00E44F7F" w:rsidRPr="00D43771">
        <w:rPr>
          <w:rFonts w:ascii="Arial" w:hAnsi="Arial" w:cs="Arial"/>
          <w:b/>
          <w:bCs/>
          <w:sz w:val="40"/>
          <w:szCs w:val="40"/>
        </w:rPr>
        <w:t>ealth disparities in working-age adults in the London Borough of Barking and Dagenham</w:t>
      </w:r>
    </w:p>
    <w:p w14:paraId="5442582C" w14:textId="77777777" w:rsidR="00D43771" w:rsidRPr="00D43771" w:rsidRDefault="00D43771" w:rsidP="00E44F7F">
      <w:pPr>
        <w:spacing w:line="360" w:lineRule="auto"/>
        <w:rPr>
          <w:rFonts w:ascii="Arial" w:hAnsi="Arial" w:cs="Arial"/>
          <w:b/>
          <w:bCs/>
          <w:sz w:val="40"/>
          <w:szCs w:val="40"/>
        </w:rPr>
      </w:pPr>
    </w:p>
    <w:p w14:paraId="45DC1780" w14:textId="2D29C697" w:rsidR="00D43771" w:rsidRPr="00D43771" w:rsidRDefault="00D43771" w:rsidP="00D43771">
      <w:pPr>
        <w:tabs>
          <w:tab w:val="left" w:pos="6540"/>
        </w:tabs>
        <w:spacing w:line="360" w:lineRule="auto"/>
        <w:rPr>
          <w:sz w:val="36"/>
          <w:szCs w:val="16"/>
        </w:rPr>
      </w:pPr>
      <w:r>
        <w:rPr>
          <w:rFonts w:ascii="Arial" w:eastAsia="Calibri" w:hAnsi="Arial"/>
          <w:b/>
          <w:bCs/>
          <w:color w:val="000000" w:themeColor="text1"/>
          <w:kern w:val="24"/>
          <w:sz w:val="36"/>
          <w:szCs w:val="36"/>
        </w:rPr>
        <w:t xml:space="preserve">   </w:t>
      </w:r>
      <w:r w:rsidRPr="00D43771">
        <w:rPr>
          <w:rFonts w:ascii="Arial" w:eastAsia="Calibri" w:hAnsi="Arial"/>
          <w:b/>
          <w:bCs/>
          <w:color w:val="000000" w:themeColor="text1"/>
          <w:kern w:val="24"/>
          <w:sz w:val="36"/>
          <w:szCs w:val="36"/>
        </w:rPr>
        <w:t>Student name</w:t>
      </w:r>
      <w:r w:rsidRPr="00D43771">
        <w:rPr>
          <w:rFonts w:ascii="Arial" w:eastAsia="Calibri" w:hAnsi="Arial"/>
          <w:color w:val="000000" w:themeColor="text1"/>
          <w:kern w:val="24"/>
          <w:sz w:val="36"/>
          <w:szCs w:val="36"/>
        </w:rPr>
        <w:t xml:space="preserve">: </w:t>
      </w:r>
      <w:r w:rsidRPr="00D43771">
        <w:rPr>
          <w:rFonts w:ascii="Arial" w:eastAsia="Calibri" w:hAnsi="Arial"/>
          <w:b/>
          <w:bCs/>
          <w:color w:val="000000" w:themeColor="text1"/>
          <w:kern w:val="24"/>
          <w:sz w:val="36"/>
          <w:szCs w:val="36"/>
        </w:rPr>
        <w:t xml:space="preserve">Harriet </w:t>
      </w:r>
      <w:proofErr w:type="spellStart"/>
      <w:r w:rsidRPr="00D43771">
        <w:rPr>
          <w:rFonts w:ascii="Arial" w:eastAsia="Calibri" w:hAnsi="Arial"/>
          <w:b/>
          <w:bCs/>
          <w:color w:val="000000" w:themeColor="text1"/>
          <w:kern w:val="24"/>
          <w:sz w:val="36"/>
          <w:szCs w:val="36"/>
        </w:rPr>
        <w:t>Erhere</w:t>
      </w:r>
      <w:proofErr w:type="spellEnd"/>
      <w:r w:rsidRPr="00D43771">
        <w:rPr>
          <w:rFonts w:ascii="Arial" w:eastAsia="Calibri" w:hAnsi="Arial"/>
          <w:b/>
          <w:bCs/>
          <w:color w:val="000000" w:themeColor="text1"/>
          <w:kern w:val="24"/>
          <w:sz w:val="36"/>
          <w:szCs w:val="36"/>
        </w:rPr>
        <w:t xml:space="preserve"> Akpojotor</w:t>
      </w:r>
    </w:p>
    <w:p w14:paraId="277E5A80" w14:textId="6567B5B6" w:rsidR="00D43771" w:rsidRPr="00D43771" w:rsidRDefault="00D43771" w:rsidP="00D43771">
      <w:pPr>
        <w:tabs>
          <w:tab w:val="left" w:pos="6540"/>
        </w:tabs>
        <w:spacing w:line="360" w:lineRule="auto"/>
        <w:rPr>
          <w:sz w:val="36"/>
          <w:szCs w:val="14"/>
        </w:rPr>
      </w:pPr>
      <w:r w:rsidRPr="00D43771">
        <w:rPr>
          <w:rFonts w:ascii="Arial" w:eastAsia="Calibri" w:hAnsi="Arial"/>
          <w:b/>
          <w:bCs/>
          <w:color w:val="000000" w:themeColor="text1"/>
          <w:kern w:val="24"/>
          <w:sz w:val="36"/>
          <w:szCs w:val="36"/>
        </w:rPr>
        <w:t xml:space="preserve">  </w:t>
      </w:r>
      <w:r>
        <w:rPr>
          <w:rFonts w:ascii="Arial" w:eastAsia="Calibri" w:hAnsi="Arial"/>
          <w:b/>
          <w:bCs/>
          <w:color w:val="000000" w:themeColor="text1"/>
          <w:kern w:val="24"/>
          <w:sz w:val="36"/>
          <w:szCs w:val="36"/>
        </w:rPr>
        <w:t xml:space="preserve"> </w:t>
      </w:r>
      <w:r w:rsidRPr="00D43771">
        <w:rPr>
          <w:rFonts w:ascii="Arial" w:eastAsia="Calibri" w:hAnsi="Arial"/>
          <w:b/>
          <w:bCs/>
          <w:color w:val="000000" w:themeColor="text1"/>
          <w:kern w:val="24"/>
          <w:sz w:val="36"/>
          <w:szCs w:val="36"/>
        </w:rPr>
        <w:t>Student ID</w:t>
      </w:r>
      <w:r w:rsidRPr="00D43771">
        <w:rPr>
          <w:rFonts w:ascii="Arial" w:eastAsia="Calibri" w:hAnsi="Arial"/>
          <w:color w:val="000000" w:themeColor="text1"/>
          <w:kern w:val="24"/>
          <w:sz w:val="36"/>
          <w:szCs w:val="36"/>
        </w:rPr>
        <w:t xml:space="preserve">: </w:t>
      </w:r>
      <w:r w:rsidRPr="00D43771">
        <w:rPr>
          <w:rFonts w:ascii="Arial" w:eastAsia="Calibri" w:hAnsi="Arial"/>
          <w:b/>
          <w:bCs/>
          <w:color w:val="000000" w:themeColor="text1"/>
          <w:kern w:val="24"/>
          <w:sz w:val="36"/>
          <w:szCs w:val="36"/>
        </w:rPr>
        <w:t>2020979</w:t>
      </w:r>
    </w:p>
    <w:p w14:paraId="3562A18A" w14:textId="77777777" w:rsidR="00D43771" w:rsidRPr="00D43771" w:rsidRDefault="00D43771" w:rsidP="00D43771">
      <w:pPr>
        <w:tabs>
          <w:tab w:val="left" w:pos="6540"/>
        </w:tabs>
        <w:spacing w:line="360" w:lineRule="auto"/>
        <w:ind w:left="360"/>
        <w:rPr>
          <w:sz w:val="36"/>
          <w:szCs w:val="14"/>
        </w:rPr>
      </w:pPr>
      <w:r w:rsidRPr="00D43771">
        <w:rPr>
          <w:rFonts w:ascii="Arial" w:eastAsia="Calibri" w:hAnsi="Arial"/>
          <w:b/>
          <w:bCs/>
          <w:color w:val="000000" w:themeColor="text1"/>
          <w:kern w:val="24"/>
          <w:sz w:val="36"/>
          <w:szCs w:val="36"/>
        </w:rPr>
        <w:t>Module name</w:t>
      </w:r>
      <w:r w:rsidRPr="00D43771">
        <w:rPr>
          <w:rFonts w:ascii="Arial" w:eastAsia="Calibri" w:hAnsi="Arial"/>
          <w:color w:val="000000" w:themeColor="text1"/>
          <w:kern w:val="24"/>
          <w:sz w:val="36"/>
          <w:szCs w:val="36"/>
        </w:rPr>
        <w:t xml:space="preserve">: </w:t>
      </w:r>
      <w:r w:rsidRPr="00D43771">
        <w:rPr>
          <w:rFonts w:ascii="Arial" w:eastAsia="Calibri" w:hAnsi="Arial"/>
          <w:b/>
          <w:bCs/>
          <w:color w:val="373A3C"/>
          <w:kern w:val="24"/>
          <w:sz w:val="36"/>
          <w:szCs w:val="36"/>
        </w:rPr>
        <w:t>Community Care and Development</w:t>
      </w:r>
    </w:p>
    <w:p w14:paraId="23DBF816" w14:textId="092C80A4" w:rsidR="00D43771" w:rsidRPr="00D43771" w:rsidRDefault="00D43771" w:rsidP="00D43771">
      <w:pPr>
        <w:tabs>
          <w:tab w:val="left" w:pos="6540"/>
        </w:tabs>
        <w:spacing w:line="360" w:lineRule="auto"/>
        <w:rPr>
          <w:sz w:val="36"/>
          <w:szCs w:val="16"/>
        </w:rPr>
      </w:pPr>
      <w:r>
        <w:rPr>
          <w:rFonts w:ascii="Arial" w:eastAsia="Calibri" w:hAnsi="Arial"/>
          <w:b/>
          <w:bCs/>
          <w:color w:val="000000" w:themeColor="text1"/>
          <w:kern w:val="24"/>
          <w:sz w:val="36"/>
          <w:szCs w:val="36"/>
        </w:rPr>
        <w:t xml:space="preserve">    </w:t>
      </w:r>
      <w:r w:rsidRPr="00D43771">
        <w:rPr>
          <w:rFonts w:ascii="Arial" w:eastAsia="Calibri" w:hAnsi="Arial"/>
          <w:b/>
          <w:bCs/>
          <w:color w:val="000000" w:themeColor="text1"/>
          <w:kern w:val="24"/>
          <w:sz w:val="36"/>
          <w:szCs w:val="36"/>
        </w:rPr>
        <w:t>Module code</w:t>
      </w:r>
      <w:r w:rsidRPr="00D43771">
        <w:rPr>
          <w:rFonts w:ascii="Arial" w:eastAsia="Calibri" w:hAnsi="Arial"/>
          <w:color w:val="000000" w:themeColor="text1"/>
          <w:kern w:val="24"/>
          <w:sz w:val="36"/>
          <w:szCs w:val="36"/>
        </w:rPr>
        <w:t xml:space="preserve">: </w:t>
      </w:r>
      <w:r w:rsidRPr="00D43771">
        <w:rPr>
          <w:rFonts w:ascii="Arial" w:eastAsia="Calibri" w:hAnsi="Arial"/>
          <w:b/>
          <w:bCs/>
          <w:color w:val="373A3C"/>
          <w:kern w:val="24"/>
          <w:sz w:val="36"/>
          <w:szCs w:val="36"/>
        </w:rPr>
        <w:t>BMHP6022</w:t>
      </w:r>
    </w:p>
    <w:p w14:paraId="48C92C5F" w14:textId="5FEB6AA9" w:rsidR="00D43771" w:rsidRPr="00D43771" w:rsidRDefault="00D43771" w:rsidP="00D43771">
      <w:pPr>
        <w:tabs>
          <w:tab w:val="left" w:pos="6540"/>
        </w:tabs>
        <w:spacing w:line="360" w:lineRule="auto"/>
        <w:rPr>
          <w:sz w:val="36"/>
          <w:szCs w:val="16"/>
        </w:rPr>
      </w:pPr>
      <w:r>
        <w:rPr>
          <w:rFonts w:ascii="Arial" w:eastAsia="Calibri" w:hAnsi="Arial"/>
          <w:b/>
          <w:bCs/>
          <w:color w:val="000000" w:themeColor="text1"/>
          <w:kern w:val="24"/>
          <w:sz w:val="36"/>
          <w:szCs w:val="36"/>
        </w:rPr>
        <w:t xml:space="preserve">     </w:t>
      </w:r>
      <w:r w:rsidRPr="00D43771">
        <w:rPr>
          <w:rFonts w:ascii="Arial" w:eastAsia="Calibri" w:hAnsi="Arial"/>
          <w:b/>
          <w:bCs/>
          <w:color w:val="000000" w:themeColor="text1"/>
          <w:kern w:val="24"/>
          <w:sz w:val="36"/>
          <w:szCs w:val="36"/>
        </w:rPr>
        <w:t>Lecturer name</w:t>
      </w:r>
      <w:r w:rsidRPr="00D43771">
        <w:rPr>
          <w:rFonts w:ascii="Arial" w:eastAsia="Calibri" w:hAnsi="Arial"/>
          <w:color w:val="000000" w:themeColor="text1"/>
          <w:kern w:val="24"/>
          <w:sz w:val="36"/>
          <w:szCs w:val="36"/>
        </w:rPr>
        <w:t xml:space="preserve">: </w:t>
      </w:r>
      <w:r w:rsidRPr="00D43771">
        <w:rPr>
          <w:rFonts w:ascii="Arial" w:eastAsia="Calibri" w:hAnsi="Arial"/>
          <w:b/>
          <w:bCs/>
          <w:color w:val="373A3C"/>
          <w:kern w:val="24"/>
          <w:sz w:val="36"/>
          <w:szCs w:val="36"/>
        </w:rPr>
        <w:t>Jolly Nwankwo</w:t>
      </w:r>
    </w:p>
    <w:p w14:paraId="21AD79A9" w14:textId="77777777" w:rsidR="00D43771" w:rsidRPr="00D43771" w:rsidRDefault="00D43771" w:rsidP="00E44F7F">
      <w:pPr>
        <w:spacing w:line="360" w:lineRule="auto"/>
        <w:rPr>
          <w:rFonts w:ascii="Arial" w:hAnsi="Arial" w:cs="Arial"/>
          <w:sz w:val="40"/>
          <w:szCs w:val="40"/>
        </w:rPr>
      </w:pPr>
    </w:p>
    <w:p w14:paraId="5B0024A5" w14:textId="5F4B6D6C" w:rsidR="00BB2124" w:rsidRPr="009B5376" w:rsidRDefault="00E44F7F" w:rsidP="00D43771">
      <w:pPr>
        <w:tabs>
          <w:tab w:val="left" w:pos="6540"/>
        </w:tabs>
        <w:spacing w:line="360" w:lineRule="auto"/>
        <w:rPr>
          <w:rFonts w:ascii="Arial" w:hAnsi="Arial" w:cs="Arial"/>
        </w:rPr>
      </w:pPr>
      <w:r w:rsidRPr="00D43771">
        <w:rPr>
          <w:rFonts w:ascii="Arial" w:hAnsi="Arial" w:cs="Arial"/>
        </w:rPr>
        <w:br w:type="page"/>
      </w:r>
      <w:r w:rsidR="00C160B1" w:rsidRPr="009B5376">
        <w:rPr>
          <w:rFonts w:ascii="Arial" w:hAnsi="Arial" w:cs="Arial"/>
        </w:rPr>
        <w:lastRenderedPageBreak/>
        <w:t xml:space="preserve">According to Smith, </w:t>
      </w:r>
      <w:proofErr w:type="gramStart"/>
      <w:r w:rsidR="00C160B1" w:rsidRPr="009B5376">
        <w:rPr>
          <w:rFonts w:ascii="Arial" w:hAnsi="Arial" w:cs="Arial"/>
        </w:rPr>
        <w:t>Bambra</w:t>
      </w:r>
      <w:proofErr w:type="gramEnd"/>
      <w:r w:rsidR="00C160B1" w:rsidRPr="009B5376">
        <w:rPr>
          <w:rFonts w:ascii="Arial" w:hAnsi="Arial" w:cs="Arial"/>
        </w:rPr>
        <w:t xml:space="preserve"> and Hill (2015), health disparities encompass unjust, preventable, and structured differences in health outcomes among distinct demographic groups. Variations in health trends between the white population and diverse ethnic minorities in the UK mirror the intricate interplay of </w:t>
      </w:r>
      <w:r w:rsidR="002A2430" w:rsidRPr="009B5376">
        <w:rPr>
          <w:rFonts w:ascii="Arial" w:hAnsi="Arial" w:cs="Arial"/>
        </w:rPr>
        <w:t>socioeconomic</w:t>
      </w:r>
      <w:r w:rsidR="00C160B1" w:rsidRPr="009B5376">
        <w:rPr>
          <w:rFonts w:ascii="Arial" w:hAnsi="Arial" w:cs="Arial"/>
        </w:rPr>
        <w:t xml:space="preserve">, demographic, cultural, behavioural, and other inherent attributes within these groups (Smith, </w:t>
      </w:r>
      <w:proofErr w:type="gramStart"/>
      <w:r w:rsidR="00C160B1" w:rsidRPr="009B5376">
        <w:rPr>
          <w:rFonts w:ascii="Arial" w:hAnsi="Arial" w:cs="Arial"/>
        </w:rPr>
        <w:t>Bambra</w:t>
      </w:r>
      <w:proofErr w:type="gramEnd"/>
      <w:r w:rsidR="00C160B1" w:rsidRPr="009B5376">
        <w:rPr>
          <w:rFonts w:ascii="Arial" w:hAnsi="Arial" w:cs="Arial"/>
        </w:rPr>
        <w:t xml:space="preserve"> and Hill 2015). Smith, </w:t>
      </w:r>
      <w:proofErr w:type="gramStart"/>
      <w:r w:rsidR="00C160B1" w:rsidRPr="009B5376">
        <w:rPr>
          <w:rFonts w:ascii="Arial" w:hAnsi="Arial" w:cs="Arial"/>
        </w:rPr>
        <w:t>Bambra</w:t>
      </w:r>
      <w:proofErr w:type="gramEnd"/>
      <w:r w:rsidR="00C160B1" w:rsidRPr="009B5376">
        <w:rPr>
          <w:rFonts w:ascii="Arial" w:hAnsi="Arial" w:cs="Arial"/>
        </w:rPr>
        <w:t xml:space="preserve"> and Hill (2015) posit that a comprehensive comprehension of health inequalities involves examining social determinants of health, denoting the conditions encircling individuals' birth, upbringing, daily existence, employment, and access to resources. Numerous factors within the London Borough of </w:t>
      </w:r>
      <w:r w:rsidR="001908BF" w:rsidRPr="009B5376">
        <w:rPr>
          <w:rFonts w:ascii="Arial" w:hAnsi="Arial" w:cs="Arial"/>
        </w:rPr>
        <w:t>Barking and Dagenham</w:t>
      </w:r>
      <w:r w:rsidR="00C160B1" w:rsidRPr="009B5376">
        <w:rPr>
          <w:rFonts w:ascii="Arial" w:hAnsi="Arial" w:cs="Arial"/>
        </w:rPr>
        <w:t xml:space="preserve"> contribute to health inequality among residents of working age.</w:t>
      </w:r>
    </w:p>
    <w:p w14:paraId="4AB98310" w14:textId="2DC3B6D6" w:rsidR="001908BF" w:rsidRPr="009B5376" w:rsidRDefault="001A3C58" w:rsidP="00E44F7F">
      <w:pPr>
        <w:spacing w:line="360" w:lineRule="auto"/>
        <w:rPr>
          <w:rFonts w:ascii="Arial" w:hAnsi="Arial" w:cs="Arial"/>
        </w:rPr>
      </w:pPr>
      <w:r w:rsidRPr="009B5376">
        <w:rPr>
          <w:rFonts w:ascii="Arial" w:hAnsi="Arial" w:cs="Arial"/>
        </w:rPr>
        <w:t>Thomson et al. (2021) assert that i</w:t>
      </w:r>
      <w:r w:rsidR="001908BF" w:rsidRPr="009B5376">
        <w:rPr>
          <w:rFonts w:ascii="Arial" w:hAnsi="Arial" w:cs="Arial"/>
        </w:rPr>
        <w:t>ndividuals with disabilities, women, and members of black minority ethnic communities often face a disproportionate impact from challenges related to the cost of living and barriers to securing fair employment within conducive working environments. As of 2021, the employment rate gap between minority ethnic groups and the white population is reported to be 9% (Office for National Statistics 2022). These disparities contribute to diminished physical and mental well-being, stemming from a lower quality of life, social exclusion, and an elevated risk of morbidity linked to unemployment.</w:t>
      </w:r>
    </w:p>
    <w:p w14:paraId="091A8B4C" w14:textId="3F3D66C3" w:rsidR="00816652" w:rsidRPr="009B5376" w:rsidRDefault="001A3C58" w:rsidP="00E44F7F">
      <w:pPr>
        <w:spacing w:line="360" w:lineRule="auto"/>
        <w:rPr>
          <w:rFonts w:ascii="Arial" w:hAnsi="Arial" w:cs="Arial"/>
        </w:rPr>
      </w:pPr>
      <w:r w:rsidRPr="009B5376">
        <w:rPr>
          <w:rFonts w:ascii="Arial" w:hAnsi="Arial" w:cs="Arial"/>
        </w:rPr>
        <w:t>Thomson et al. (2021) further demonstrate that d</w:t>
      </w:r>
      <w:r w:rsidR="008D1668" w:rsidRPr="009B5376">
        <w:rPr>
          <w:rFonts w:ascii="Arial" w:hAnsi="Arial" w:cs="Arial"/>
        </w:rPr>
        <w:t>isparities in lifestyle choices play a role in health inequalities among the working-age population, notably influencing the prevalence of long-term conditions. Factors such as excessive alcohol consumption, smoking, inadequate exercise, and unhealthy dietary habits contribute significantly to both the length and quality of individuals' lives. Notably, among adults, variations in behavioural risk factors exist, with those in manual and routine occupations exhibiting higher rates of smoking compared to their counterparts in professional and managerial positions (Director of Public Health 202</w:t>
      </w:r>
      <w:r w:rsidRPr="009B5376">
        <w:rPr>
          <w:rFonts w:ascii="Arial" w:hAnsi="Arial" w:cs="Arial"/>
        </w:rPr>
        <w:t>1</w:t>
      </w:r>
      <w:r w:rsidR="008D1668" w:rsidRPr="009B5376">
        <w:rPr>
          <w:rFonts w:ascii="Arial" w:hAnsi="Arial" w:cs="Arial"/>
        </w:rPr>
        <w:t>).</w:t>
      </w:r>
    </w:p>
    <w:p w14:paraId="6640CE6B" w14:textId="1E43A48E" w:rsidR="00816652" w:rsidRPr="009B5376" w:rsidRDefault="008D1668" w:rsidP="00E44F7F">
      <w:pPr>
        <w:spacing w:line="360" w:lineRule="auto"/>
        <w:rPr>
          <w:rFonts w:ascii="Arial" w:hAnsi="Arial" w:cs="Arial"/>
        </w:rPr>
      </w:pPr>
      <w:r w:rsidRPr="009B5376">
        <w:rPr>
          <w:rFonts w:ascii="Arial" w:hAnsi="Arial" w:cs="Arial"/>
        </w:rPr>
        <w:t xml:space="preserve">Individuals considered vulnerable in society face an increased likelihood of experiencing compromised mental health, as highlighted by </w:t>
      </w:r>
      <w:r w:rsidR="00983ADA" w:rsidRPr="009B5376">
        <w:rPr>
          <w:rFonts w:ascii="Arial" w:hAnsi="Arial" w:cs="Arial"/>
        </w:rPr>
        <w:t>Thomson et al. (2021)</w:t>
      </w:r>
      <w:r w:rsidRPr="009B5376">
        <w:rPr>
          <w:rFonts w:ascii="Arial" w:hAnsi="Arial" w:cs="Arial"/>
        </w:rPr>
        <w:t xml:space="preserve">. Specifically, individuals identifying as LGBTI+ encounter a higher incidence of mental health issues, self-harm, and suicidal behaviour in comparison to their heterosexual counterparts </w:t>
      </w:r>
      <w:r w:rsidR="00983ADA" w:rsidRPr="009B5376">
        <w:rPr>
          <w:rFonts w:ascii="Arial" w:hAnsi="Arial" w:cs="Arial"/>
        </w:rPr>
        <w:t>(Public Health England 2015)</w:t>
      </w:r>
      <w:r w:rsidRPr="009B5376">
        <w:rPr>
          <w:rFonts w:ascii="Arial" w:hAnsi="Arial" w:cs="Arial"/>
        </w:rPr>
        <w:t>. While their sexual orientation itself is not the root cause of these challenges, the potential factors of rejection, isolation, and discrimination that they may encounter can contribute to the development of these mental health issues. Furthermore, there exists a correlation between mental health challenges and substance misuse, with the latter potentially causing or intensifying symptoms and further deteriorating mental well-being</w:t>
      </w:r>
      <w:r w:rsidR="00983ADA" w:rsidRPr="009B5376">
        <w:rPr>
          <w:rFonts w:ascii="Arial" w:hAnsi="Arial" w:cs="Arial"/>
        </w:rPr>
        <w:t xml:space="preserve"> (Richert, Anderberg and Dahlberg 2020)</w:t>
      </w:r>
      <w:r w:rsidRPr="009B5376">
        <w:rPr>
          <w:rFonts w:ascii="Arial" w:hAnsi="Arial" w:cs="Arial"/>
        </w:rPr>
        <w:t>.</w:t>
      </w:r>
    </w:p>
    <w:p w14:paraId="36A4DFFE" w14:textId="5B251918" w:rsidR="008D1668" w:rsidRPr="009B5376" w:rsidRDefault="008D1668" w:rsidP="00E44F7F">
      <w:pPr>
        <w:spacing w:line="360" w:lineRule="auto"/>
        <w:rPr>
          <w:rFonts w:ascii="Arial" w:hAnsi="Arial" w:cs="Arial"/>
        </w:rPr>
      </w:pPr>
      <w:r w:rsidRPr="009B5376">
        <w:rPr>
          <w:rFonts w:ascii="Arial" w:hAnsi="Arial" w:cs="Arial"/>
        </w:rPr>
        <w:lastRenderedPageBreak/>
        <w:t xml:space="preserve">To tackle health disparities in </w:t>
      </w:r>
      <w:r w:rsidR="00983ADA" w:rsidRPr="009B5376">
        <w:rPr>
          <w:rFonts w:ascii="Arial" w:hAnsi="Arial" w:cs="Arial"/>
        </w:rPr>
        <w:t>Barking and Dagenham</w:t>
      </w:r>
      <w:r w:rsidRPr="009B5376">
        <w:rPr>
          <w:rFonts w:ascii="Arial" w:hAnsi="Arial" w:cs="Arial"/>
        </w:rPr>
        <w:t xml:space="preserve">, targeted interventions should </w:t>
      </w:r>
      <w:r w:rsidR="002A2430" w:rsidRPr="009B5376">
        <w:rPr>
          <w:rFonts w:ascii="Arial" w:hAnsi="Arial" w:cs="Arial"/>
        </w:rPr>
        <w:t>prioritise</w:t>
      </w:r>
      <w:r w:rsidRPr="009B5376">
        <w:rPr>
          <w:rFonts w:ascii="Arial" w:hAnsi="Arial" w:cs="Arial"/>
        </w:rPr>
        <w:t xml:space="preserve"> societal groups facing heightened risks. </w:t>
      </w:r>
      <w:r w:rsidR="00983ADA" w:rsidRPr="009B5376">
        <w:rPr>
          <w:rFonts w:ascii="Arial" w:hAnsi="Arial" w:cs="Arial"/>
        </w:rPr>
        <w:t>According to Cash-Gibson, Martinez-Herrera and Benach (2023), t</w:t>
      </w:r>
      <w:r w:rsidRPr="009B5376">
        <w:rPr>
          <w:rFonts w:ascii="Arial" w:hAnsi="Arial" w:cs="Arial"/>
        </w:rPr>
        <w:t xml:space="preserve">hese measures may involve early detection of long-term conditions, skill retraining to enhance employability, and ensuring access to comprehensive healthcare that addresses both physical and mental well-being. Physical activity encompasses various forms such as walking, cycling, wheeling, sports, and active recreation. Regular exercise is recognized for its role in preventing non-communicable diseases like stroke, diabetes, and heart disease, while also contributing to maintaining a healthy weight and enhancing mental health (Director of Public Health 2022). </w:t>
      </w:r>
    </w:p>
    <w:p w14:paraId="4360112B" w14:textId="08F8A246" w:rsidR="00816652" w:rsidRPr="009B5376" w:rsidRDefault="00816652" w:rsidP="00E44F7F">
      <w:pPr>
        <w:spacing w:line="360" w:lineRule="auto"/>
        <w:rPr>
          <w:rFonts w:ascii="Arial" w:hAnsi="Arial" w:cs="Arial"/>
        </w:rPr>
      </w:pPr>
      <w:r w:rsidRPr="009B5376">
        <w:rPr>
          <w:rFonts w:ascii="Arial" w:hAnsi="Arial" w:cs="Arial"/>
        </w:rPr>
        <w:t xml:space="preserve">Tobacco consumption claims approximately 8.7 million lives annually, with 1.3 million of these being non-smokers exposed to second-hand smoke (World Health Organization, 2023). The </w:t>
      </w:r>
      <w:r w:rsidR="008F312A" w:rsidRPr="009B5376">
        <w:rPr>
          <w:rFonts w:ascii="Arial" w:hAnsi="Arial" w:cs="Arial"/>
        </w:rPr>
        <w:t>London Borough of Barking and Dagenham Council (2023)</w:t>
      </w:r>
      <w:r w:rsidRPr="009B5376">
        <w:rPr>
          <w:rFonts w:ascii="Arial" w:hAnsi="Arial" w:cs="Arial"/>
        </w:rPr>
        <w:t xml:space="preserve"> indicates that </w:t>
      </w:r>
      <w:r w:rsidR="008F312A" w:rsidRPr="009B5376">
        <w:rPr>
          <w:rFonts w:ascii="Arial" w:hAnsi="Arial" w:cs="Arial"/>
        </w:rPr>
        <w:t>the prevalence of smoking in this region is the fifth highest across London</w:t>
      </w:r>
      <w:r w:rsidRPr="009B5376">
        <w:rPr>
          <w:rFonts w:ascii="Arial" w:hAnsi="Arial" w:cs="Arial"/>
        </w:rPr>
        <w:t xml:space="preserve">. Within the 18-64 age group, the prevalence of smokers in manual and routine occupations stands at 7.8%. Another legal substance, alcohol, poses health risks when consumed excessively over an extended period. In </w:t>
      </w:r>
      <w:r w:rsidR="008F312A" w:rsidRPr="009B5376">
        <w:rPr>
          <w:rFonts w:ascii="Arial" w:hAnsi="Arial" w:cs="Arial"/>
        </w:rPr>
        <w:t>Barking and Dagenham</w:t>
      </w:r>
      <w:r w:rsidRPr="009B5376">
        <w:rPr>
          <w:rFonts w:ascii="Arial" w:hAnsi="Arial" w:cs="Arial"/>
        </w:rPr>
        <w:t xml:space="preserve">, </w:t>
      </w:r>
      <w:r w:rsidR="002C67C6" w:rsidRPr="009B5376">
        <w:rPr>
          <w:rFonts w:ascii="Arial" w:hAnsi="Arial" w:cs="Arial"/>
        </w:rPr>
        <w:t>21</w:t>
      </w:r>
      <w:r w:rsidRPr="009B5376">
        <w:rPr>
          <w:rFonts w:ascii="Arial" w:hAnsi="Arial" w:cs="Arial"/>
        </w:rPr>
        <w:t>% of adults surpass the recommended weekly alcohol intake of 14 units, and this raises concerns about potential future health challenges</w:t>
      </w:r>
      <w:r w:rsidR="002C67C6" w:rsidRPr="009B5376">
        <w:rPr>
          <w:rFonts w:ascii="Arial" w:hAnsi="Arial" w:cs="Arial"/>
        </w:rPr>
        <w:t xml:space="preserve"> (Public Health England 2020)</w:t>
      </w:r>
      <w:r w:rsidRPr="009B5376">
        <w:rPr>
          <w:rFonts w:ascii="Arial" w:hAnsi="Arial" w:cs="Arial"/>
        </w:rPr>
        <w:t xml:space="preserve">. These behavioural risk factors are likely contributors to the </w:t>
      </w:r>
      <w:r w:rsidR="002C67C6" w:rsidRPr="009B5376">
        <w:rPr>
          <w:rFonts w:ascii="Arial" w:hAnsi="Arial" w:cs="Arial"/>
        </w:rPr>
        <w:t>large</w:t>
      </w:r>
      <w:r w:rsidRPr="009B5376">
        <w:rPr>
          <w:rFonts w:ascii="Arial" w:hAnsi="Arial" w:cs="Arial"/>
        </w:rPr>
        <w:t xml:space="preserve"> proportion of residents grappling with two or more long-term conditions, a figure anticipated to surge in the coming years.</w:t>
      </w:r>
    </w:p>
    <w:p w14:paraId="577F6979" w14:textId="5DF0F01E" w:rsidR="00816652" w:rsidRPr="009B5376" w:rsidRDefault="00816652" w:rsidP="00E44F7F">
      <w:pPr>
        <w:spacing w:line="360" w:lineRule="auto"/>
        <w:rPr>
          <w:rFonts w:ascii="Arial" w:hAnsi="Arial" w:cs="Arial"/>
        </w:rPr>
      </w:pPr>
      <w:r w:rsidRPr="009B5376">
        <w:rPr>
          <w:rFonts w:ascii="Arial" w:hAnsi="Arial" w:cs="Arial"/>
        </w:rPr>
        <w:t xml:space="preserve">A striking disparity exists in suicide rates between genders, both nationally and within </w:t>
      </w:r>
      <w:r w:rsidR="002C67C6" w:rsidRPr="009B5376">
        <w:rPr>
          <w:rFonts w:ascii="Arial" w:hAnsi="Arial" w:cs="Arial"/>
        </w:rPr>
        <w:t>Barking and Dagenham</w:t>
      </w:r>
      <w:r w:rsidRPr="009B5376">
        <w:rPr>
          <w:rFonts w:ascii="Arial" w:hAnsi="Arial" w:cs="Arial"/>
        </w:rPr>
        <w:t xml:space="preserve">. Middle-aged men face the highest suicide risk, with the suicide rate among females in the London Borough of </w:t>
      </w:r>
      <w:r w:rsidR="002C67C6" w:rsidRPr="009B5376">
        <w:rPr>
          <w:rFonts w:ascii="Arial" w:hAnsi="Arial" w:cs="Arial"/>
        </w:rPr>
        <w:t>Barking and Dagenham</w:t>
      </w:r>
      <w:r w:rsidRPr="009B5376">
        <w:rPr>
          <w:rFonts w:ascii="Arial" w:hAnsi="Arial" w:cs="Arial"/>
        </w:rPr>
        <w:t xml:space="preserve"> reported at 2.9 per 100,000 individuals and for males, it stands at 10.0 per 100,000 </w:t>
      </w:r>
      <w:r w:rsidR="002C67C6" w:rsidRPr="009B5376">
        <w:rPr>
          <w:rFonts w:ascii="Arial" w:hAnsi="Arial" w:cs="Arial"/>
        </w:rPr>
        <w:t>(Public Health England 2015)</w:t>
      </w:r>
      <w:r w:rsidRPr="009B5376">
        <w:rPr>
          <w:rFonts w:ascii="Arial" w:hAnsi="Arial" w:cs="Arial"/>
        </w:rPr>
        <w:t>. Although the current evidence doesn't strongly support a change in these rates due to the COVID-19 pandemic, concerns arise regarding the pandemic's impact on economic drivers behind suicide</w:t>
      </w:r>
      <w:r w:rsidR="002C67C6" w:rsidRPr="009B5376">
        <w:rPr>
          <w:rFonts w:ascii="Arial" w:hAnsi="Arial" w:cs="Arial"/>
        </w:rPr>
        <w:t xml:space="preserve"> (Director of Public Health 2021)</w:t>
      </w:r>
      <w:r w:rsidRPr="009B5376">
        <w:rPr>
          <w:rFonts w:ascii="Arial" w:hAnsi="Arial" w:cs="Arial"/>
        </w:rPr>
        <w:t>. Economic hardships, such as income loss or unemployment, are recognized factors linked to suicidal behaviours, raising apprehensions about the long-term financial consequences of the pandemic (Director of Public Health 202</w:t>
      </w:r>
      <w:r w:rsidR="002C67C6" w:rsidRPr="009B5376">
        <w:rPr>
          <w:rFonts w:ascii="Arial" w:hAnsi="Arial" w:cs="Arial"/>
        </w:rPr>
        <w:t>1</w:t>
      </w:r>
      <w:r w:rsidRPr="009B5376">
        <w:rPr>
          <w:rFonts w:ascii="Arial" w:hAnsi="Arial" w:cs="Arial"/>
        </w:rPr>
        <w:t>).</w:t>
      </w:r>
    </w:p>
    <w:p w14:paraId="16A1B15C" w14:textId="0B1888A4" w:rsidR="00816652" w:rsidRPr="009B5376" w:rsidRDefault="00816652" w:rsidP="00E44F7F">
      <w:pPr>
        <w:spacing w:line="360" w:lineRule="auto"/>
        <w:rPr>
          <w:rFonts w:ascii="Arial" w:hAnsi="Arial" w:cs="Arial"/>
        </w:rPr>
      </w:pPr>
      <w:r w:rsidRPr="009B5376">
        <w:rPr>
          <w:rFonts w:ascii="Arial" w:hAnsi="Arial" w:cs="Arial"/>
        </w:rPr>
        <w:t xml:space="preserve">In the financial year 2021/22, </w:t>
      </w:r>
      <w:r w:rsidR="002C67C6" w:rsidRPr="009B5376">
        <w:rPr>
          <w:rFonts w:ascii="Arial" w:hAnsi="Arial" w:cs="Arial"/>
        </w:rPr>
        <w:t>Barking and Dagenham</w:t>
      </w:r>
      <w:r w:rsidRPr="009B5376">
        <w:rPr>
          <w:rFonts w:ascii="Arial" w:hAnsi="Arial" w:cs="Arial"/>
        </w:rPr>
        <w:t xml:space="preserve"> experienced an unemployment rate of 6.4%, surpassing the national average, where 13,300 individuals were unemployed, compared to London's rate of 5.4% (Office for National Statistics </w:t>
      </w:r>
      <w:r w:rsidR="002C67C6" w:rsidRPr="009B5376">
        <w:rPr>
          <w:rFonts w:ascii="Arial" w:hAnsi="Arial" w:cs="Arial"/>
        </w:rPr>
        <w:t>2022</w:t>
      </w:r>
      <w:r w:rsidRPr="009B5376">
        <w:rPr>
          <w:rFonts w:ascii="Arial" w:hAnsi="Arial" w:cs="Arial"/>
        </w:rPr>
        <w:t xml:space="preserve">). Challenges persist for the employed population, as there remains an ethnicity, gender, and disability pay gap. In 2019, London saw a 16.6% disability pay gap, and in 2016, </w:t>
      </w:r>
      <w:r w:rsidR="002C67C6" w:rsidRPr="009B5376">
        <w:rPr>
          <w:rFonts w:ascii="Arial" w:hAnsi="Arial" w:cs="Arial"/>
        </w:rPr>
        <w:t>Barking and Dagenham</w:t>
      </w:r>
      <w:r w:rsidRPr="009B5376">
        <w:rPr>
          <w:rFonts w:ascii="Arial" w:hAnsi="Arial" w:cs="Arial"/>
        </w:rPr>
        <w:t xml:space="preserve"> </w:t>
      </w:r>
      <w:r w:rsidRPr="009B5376">
        <w:rPr>
          <w:rFonts w:ascii="Arial" w:hAnsi="Arial" w:cs="Arial"/>
        </w:rPr>
        <w:lastRenderedPageBreak/>
        <w:t>exhibited a higher percentage of benefits claimants compared to both England and London (Director of Public Health 202</w:t>
      </w:r>
      <w:r w:rsidR="002C67C6" w:rsidRPr="009B5376">
        <w:rPr>
          <w:rFonts w:ascii="Arial" w:hAnsi="Arial" w:cs="Arial"/>
        </w:rPr>
        <w:t>1</w:t>
      </w:r>
      <w:r w:rsidRPr="009B5376">
        <w:rPr>
          <w:rFonts w:ascii="Arial" w:hAnsi="Arial" w:cs="Arial"/>
        </w:rPr>
        <w:t>).</w:t>
      </w:r>
    </w:p>
    <w:p w14:paraId="541DC301" w14:textId="3087068B" w:rsidR="00816652" w:rsidRPr="009B5376" w:rsidRDefault="00816652" w:rsidP="00E44F7F">
      <w:pPr>
        <w:spacing w:line="360" w:lineRule="auto"/>
        <w:rPr>
          <w:rFonts w:ascii="Arial" w:hAnsi="Arial" w:cs="Arial"/>
        </w:rPr>
      </w:pPr>
      <w:r w:rsidRPr="009B5376">
        <w:rPr>
          <w:rFonts w:ascii="Arial" w:hAnsi="Arial" w:cs="Arial"/>
        </w:rPr>
        <w:t xml:space="preserve">Addressing health inequalities in the London borough of </w:t>
      </w:r>
      <w:r w:rsidR="002C67C6" w:rsidRPr="009B5376">
        <w:rPr>
          <w:rFonts w:ascii="Arial" w:hAnsi="Arial" w:cs="Arial"/>
        </w:rPr>
        <w:t>Barking and Dagenham</w:t>
      </w:r>
      <w:r w:rsidRPr="009B5376">
        <w:rPr>
          <w:rFonts w:ascii="Arial" w:hAnsi="Arial" w:cs="Arial"/>
        </w:rPr>
        <w:t xml:space="preserve"> can be achieved through a community-based approach. This collaborative method involves working with community members to develop and implement targeted solutions for social and health issues </w:t>
      </w:r>
      <w:r w:rsidR="002C67C6" w:rsidRPr="009B5376">
        <w:rPr>
          <w:rFonts w:ascii="Arial" w:hAnsi="Arial" w:cs="Arial"/>
        </w:rPr>
        <w:t>(Suarez</w:t>
      </w:r>
      <w:r w:rsidR="002C67C6" w:rsidRPr="009B5376">
        <w:rPr>
          <w:rFonts w:ascii="Cambria Math" w:hAnsi="Cambria Math" w:cs="Cambria Math"/>
        </w:rPr>
        <w:t>‐</w:t>
      </w:r>
      <w:r w:rsidR="002C67C6" w:rsidRPr="009B5376">
        <w:rPr>
          <w:rFonts w:ascii="Arial" w:hAnsi="Arial" w:cs="Arial"/>
        </w:rPr>
        <w:t>Balcazar, Francisco and Rubén Chávez 2020)</w:t>
      </w:r>
      <w:r w:rsidRPr="009B5376">
        <w:rPr>
          <w:rFonts w:ascii="Arial" w:hAnsi="Arial" w:cs="Arial"/>
        </w:rPr>
        <w:t>. An effective community-based approach requires an understanding of societal aspects such as gender roles, community dynamics, political context, the receiving population, and protection concerns, risks, and priorities</w:t>
      </w:r>
      <w:r w:rsidR="002C67C6" w:rsidRPr="009B5376">
        <w:rPr>
          <w:rFonts w:ascii="Arial" w:hAnsi="Arial" w:cs="Arial"/>
        </w:rPr>
        <w:t xml:space="preserve"> (Suarez</w:t>
      </w:r>
      <w:r w:rsidR="002C67C6" w:rsidRPr="009B5376">
        <w:rPr>
          <w:rFonts w:ascii="Cambria Math" w:hAnsi="Cambria Math" w:cs="Cambria Math"/>
        </w:rPr>
        <w:t>‐</w:t>
      </w:r>
      <w:r w:rsidR="002C67C6" w:rsidRPr="009B5376">
        <w:rPr>
          <w:rFonts w:ascii="Arial" w:hAnsi="Arial" w:cs="Arial"/>
        </w:rPr>
        <w:t>Balcazar, Francisco and Rubén Chávez 2020)</w:t>
      </w:r>
      <w:r w:rsidRPr="009B5376">
        <w:rPr>
          <w:rFonts w:ascii="Arial" w:hAnsi="Arial" w:cs="Arial"/>
        </w:rPr>
        <w:t>. Additionally, facilitators must comprehend their role, recognize resource limitations, and consider the long-term effects of their intervention within the community. This approach holds promise for mitigating health disparities and fostering community well-being.</w:t>
      </w:r>
    </w:p>
    <w:p w14:paraId="058F5223" w14:textId="70078502" w:rsidR="0078330E" w:rsidRPr="009B5376" w:rsidRDefault="002C67C6" w:rsidP="00E44F7F">
      <w:pPr>
        <w:spacing w:line="360" w:lineRule="auto"/>
        <w:rPr>
          <w:rFonts w:ascii="Arial" w:hAnsi="Arial" w:cs="Arial"/>
        </w:rPr>
      </w:pPr>
      <w:r w:rsidRPr="009B5376">
        <w:rPr>
          <w:rFonts w:ascii="Arial" w:hAnsi="Arial" w:cs="Arial"/>
        </w:rPr>
        <w:t xml:space="preserve">Nickel and von </w:t>
      </w:r>
      <w:proofErr w:type="spellStart"/>
      <w:r w:rsidRPr="009B5376">
        <w:rPr>
          <w:rFonts w:ascii="Arial" w:hAnsi="Arial" w:cs="Arial"/>
        </w:rPr>
        <w:t>dem</w:t>
      </w:r>
      <w:proofErr w:type="spellEnd"/>
      <w:r w:rsidRPr="009B5376">
        <w:rPr>
          <w:rFonts w:ascii="Arial" w:hAnsi="Arial" w:cs="Arial"/>
        </w:rPr>
        <w:t xml:space="preserve"> </w:t>
      </w:r>
      <w:proofErr w:type="spellStart"/>
      <w:r w:rsidRPr="009B5376">
        <w:rPr>
          <w:rFonts w:ascii="Arial" w:hAnsi="Arial" w:cs="Arial"/>
        </w:rPr>
        <w:t>Knesebeck</w:t>
      </w:r>
      <w:proofErr w:type="spellEnd"/>
      <w:r w:rsidRPr="009B5376">
        <w:rPr>
          <w:rFonts w:ascii="Arial" w:hAnsi="Arial" w:cs="Arial"/>
        </w:rPr>
        <w:t xml:space="preserve"> (2020) further suggest that t</w:t>
      </w:r>
      <w:r w:rsidR="0078330E" w:rsidRPr="009B5376">
        <w:rPr>
          <w:rFonts w:ascii="Arial" w:hAnsi="Arial" w:cs="Arial"/>
        </w:rPr>
        <w:t xml:space="preserve">his approach serves to proactively prevent social issues or directly manage those that arise, eliminating the reliance on external actors to shoulder these responsibilities. It aids working-age residents in </w:t>
      </w:r>
      <w:r w:rsidR="000140DA" w:rsidRPr="009B5376">
        <w:rPr>
          <w:rFonts w:ascii="Arial" w:hAnsi="Arial" w:cs="Arial"/>
        </w:rPr>
        <w:t>Barking and Dagenham</w:t>
      </w:r>
      <w:r w:rsidR="0078330E" w:rsidRPr="009B5376">
        <w:rPr>
          <w:rFonts w:ascii="Arial" w:hAnsi="Arial" w:cs="Arial"/>
        </w:rPr>
        <w:t>, particularly those in vulnerable urban and rural communities, in rebuilding support structures and cultivating remedial cultural patterns. Moreover, the community-based approach addresses the sense of helplessness felt by vulnerable groups concerning health inequalities by bolstering their self-esteem and dignity</w:t>
      </w:r>
      <w:r w:rsidR="000140DA" w:rsidRPr="009B5376">
        <w:rPr>
          <w:rFonts w:ascii="Arial" w:hAnsi="Arial" w:cs="Arial"/>
        </w:rPr>
        <w:t xml:space="preserve"> (Nickel and von </w:t>
      </w:r>
      <w:proofErr w:type="spellStart"/>
      <w:r w:rsidR="000140DA" w:rsidRPr="009B5376">
        <w:rPr>
          <w:rFonts w:ascii="Arial" w:hAnsi="Arial" w:cs="Arial"/>
        </w:rPr>
        <w:t>dem</w:t>
      </w:r>
      <w:proofErr w:type="spellEnd"/>
      <w:r w:rsidR="000140DA" w:rsidRPr="009B5376">
        <w:rPr>
          <w:rFonts w:ascii="Arial" w:hAnsi="Arial" w:cs="Arial"/>
        </w:rPr>
        <w:t xml:space="preserve"> </w:t>
      </w:r>
      <w:proofErr w:type="spellStart"/>
      <w:r w:rsidR="000140DA" w:rsidRPr="009B5376">
        <w:rPr>
          <w:rFonts w:ascii="Arial" w:hAnsi="Arial" w:cs="Arial"/>
        </w:rPr>
        <w:t>Knesebeck</w:t>
      </w:r>
      <w:proofErr w:type="spellEnd"/>
      <w:r w:rsidR="000140DA" w:rsidRPr="009B5376">
        <w:rPr>
          <w:rFonts w:ascii="Arial" w:hAnsi="Arial" w:cs="Arial"/>
        </w:rPr>
        <w:t xml:space="preserve"> 2020)</w:t>
      </w:r>
      <w:r w:rsidR="0078330E" w:rsidRPr="009B5376">
        <w:rPr>
          <w:rFonts w:ascii="Arial" w:hAnsi="Arial" w:cs="Arial"/>
        </w:rPr>
        <w:t>. It empowers all involved parties to collaboratively work with adult residents, enabling them to exercise their health and social care rights.</w:t>
      </w:r>
    </w:p>
    <w:p w14:paraId="004AE956" w14:textId="7E9FA7F5" w:rsidR="000140DA" w:rsidRPr="009B5376" w:rsidRDefault="0078330E" w:rsidP="00E44F7F">
      <w:pPr>
        <w:spacing w:line="360" w:lineRule="auto"/>
        <w:rPr>
          <w:rFonts w:ascii="Arial" w:hAnsi="Arial" w:cs="Arial"/>
        </w:rPr>
      </w:pPr>
      <w:r w:rsidRPr="009B5376">
        <w:rPr>
          <w:rFonts w:ascii="Arial" w:hAnsi="Arial" w:cs="Arial"/>
        </w:rPr>
        <w:t xml:space="preserve">For the multitude of working-age individuals in </w:t>
      </w:r>
      <w:r w:rsidR="000140DA" w:rsidRPr="009B5376">
        <w:rPr>
          <w:rFonts w:ascii="Arial" w:hAnsi="Arial" w:cs="Arial"/>
        </w:rPr>
        <w:t>Barking and Dagenham</w:t>
      </w:r>
      <w:r w:rsidRPr="009B5376">
        <w:rPr>
          <w:rFonts w:ascii="Arial" w:hAnsi="Arial" w:cs="Arial"/>
        </w:rPr>
        <w:t>, hospitals and clinics remain their primary sources of healthcare (Director of Public Health 202</w:t>
      </w:r>
      <w:r w:rsidR="000140DA" w:rsidRPr="009B5376">
        <w:rPr>
          <w:rFonts w:ascii="Arial" w:hAnsi="Arial" w:cs="Arial"/>
        </w:rPr>
        <w:t>1</w:t>
      </w:r>
      <w:r w:rsidRPr="009B5376">
        <w:rPr>
          <w:rFonts w:ascii="Arial" w:hAnsi="Arial" w:cs="Arial"/>
        </w:rPr>
        <w:t xml:space="preserve">). As institutional transformations unfold, certain groups may be at risk of losing access to healthcare opportunities and essential resources for maintaining and enhancing their health. What is essential is an integrated and comprehensive strategy aligning with the </w:t>
      </w:r>
      <w:r w:rsidR="000140DA" w:rsidRPr="009B5376">
        <w:rPr>
          <w:rFonts w:ascii="Arial" w:hAnsi="Arial" w:cs="Arial"/>
        </w:rPr>
        <w:t>Joint</w:t>
      </w:r>
      <w:r w:rsidRPr="009B5376">
        <w:rPr>
          <w:rFonts w:ascii="Arial" w:hAnsi="Arial" w:cs="Arial"/>
        </w:rPr>
        <w:t xml:space="preserve"> Health and Wellbeing Strategy, aiming to </w:t>
      </w:r>
      <w:r w:rsidR="002A2430" w:rsidRPr="009B5376">
        <w:rPr>
          <w:rFonts w:ascii="Arial" w:hAnsi="Arial" w:cs="Arial"/>
        </w:rPr>
        <w:t>optimise</w:t>
      </w:r>
      <w:r w:rsidRPr="009B5376">
        <w:rPr>
          <w:rFonts w:ascii="Arial" w:hAnsi="Arial" w:cs="Arial"/>
        </w:rPr>
        <w:t xml:space="preserve"> healthcare delivery and enhance the financial stability of vulnerable individuals in </w:t>
      </w:r>
      <w:r w:rsidR="000140DA" w:rsidRPr="009B5376">
        <w:rPr>
          <w:rFonts w:ascii="Arial" w:hAnsi="Arial" w:cs="Arial"/>
        </w:rPr>
        <w:t>Barking and Dagenham (Director of Public Health 2023)</w:t>
      </w:r>
      <w:r w:rsidRPr="009B5376">
        <w:rPr>
          <w:rFonts w:ascii="Arial" w:hAnsi="Arial" w:cs="Arial"/>
        </w:rPr>
        <w:t>. This holistic approach will empower working-age residents to make choices based on their individual needs, preferences, and support structures.</w:t>
      </w:r>
    </w:p>
    <w:p w14:paraId="38B82A66" w14:textId="06CD3F8B" w:rsidR="0078330E" w:rsidRPr="009B5376" w:rsidRDefault="0078330E" w:rsidP="00E44F7F">
      <w:pPr>
        <w:spacing w:line="360" w:lineRule="auto"/>
        <w:rPr>
          <w:rFonts w:ascii="Arial" w:hAnsi="Arial" w:cs="Arial"/>
        </w:rPr>
      </w:pPr>
      <w:r w:rsidRPr="009B5376">
        <w:rPr>
          <w:rFonts w:ascii="Arial" w:hAnsi="Arial" w:cs="Arial"/>
        </w:rPr>
        <w:t xml:space="preserve">A comprehensive community health clinic strategy is imperative to address the social determinants of health and bridge the health inequality gap among vulnerable working-age individuals. Even in situations where quality healthcare services are available, social determinants of health may hinder individuals from reaching their health objectives </w:t>
      </w:r>
      <w:r w:rsidR="000140DA" w:rsidRPr="009B5376">
        <w:rPr>
          <w:rFonts w:ascii="Arial" w:hAnsi="Arial" w:cs="Arial"/>
        </w:rPr>
        <w:t>(Director of Public Health 2023)</w:t>
      </w:r>
      <w:r w:rsidRPr="009B5376">
        <w:rPr>
          <w:rFonts w:ascii="Arial" w:hAnsi="Arial" w:cs="Arial"/>
        </w:rPr>
        <w:t xml:space="preserve">. These determinants encompass economic stability, education, </w:t>
      </w:r>
      <w:r w:rsidRPr="009B5376">
        <w:rPr>
          <w:rFonts w:ascii="Arial" w:hAnsi="Arial" w:cs="Arial"/>
        </w:rPr>
        <w:lastRenderedPageBreak/>
        <w:t>neighbourhood and built environment, biology, health behaviour, health care access, and the broader social and community context.</w:t>
      </w:r>
    </w:p>
    <w:p w14:paraId="0C3F61AD" w14:textId="7B627BE9" w:rsidR="0078330E" w:rsidRPr="009B5376" w:rsidRDefault="0078330E" w:rsidP="00E44F7F">
      <w:pPr>
        <w:spacing w:line="360" w:lineRule="auto"/>
        <w:rPr>
          <w:rFonts w:ascii="Arial" w:hAnsi="Arial" w:cs="Arial"/>
        </w:rPr>
      </w:pPr>
      <w:r w:rsidRPr="009B5376">
        <w:rPr>
          <w:rFonts w:ascii="Arial" w:hAnsi="Arial" w:cs="Arial"/>
        </w:rPr>
        <w:t xml:space="preserve">One recommended approach to address the underlying social conditions involves systematically screening patients for health-related social needs. Engaging in discussions about the impact of these challenges on well-being during medical service access can be pivotal </w:t>
      </w:r>
      <w:r w:rsidR="000140DA" w:rsidRPr="009B5376">
        <w:rPr>
          <w:rFonts w:ascii="Arial" w:hAnsi="Arial" w:cs="Arial"/>
        </w:rPr>
        <w:t>(Cash-Gibson, Martinez-Herrera and Benach 2023)</w:t>
      </w:r>
      <w:r w:rsidRPr="009B5376">
        <w:rPr>
          <w:rFonts w:ascii="Arial" w:hAnsi="Arial" w:cs="Arial"/>
        </w:rPr>
        <w:t xml:space="preserve">. Vulnerable working-age populations are likely to benefit from initiatives like the free NHS health check program in </w:t>
      </w:r>
      <w:r w:rsidR="001A7665" w:rsidRPr="009B5376">
        <w:rPr>
          <w:rFonts w:ascii="Arial" w:hAnsi="Arial" w:cs="Arial"/>
        </w:rPr>
        <w:t>Barking and Dagenham</w:t>
      </w:r>
      <w:r w:rsidRPr="009B5376">
        <w:rPr>
          <w:rFonts w:ascii="Arial" w:hAnsi="Arial" w:cs="Arial"/>
        </w:rPr>
        <w:t>. This program targets individuals aged 40 to 74, identifying conditions such as diabetes, kidney disease, specific types of dementia, and stroke</w:t>
      </w:r>
      <w:r w:rsidR="001A7665" w:rsidRPr="009B5376">
        <w:rPr>
          <w:rFonts w:ascii="Arial" w:hAnsi="Arial" w:cs="Arial"/>
        </w:rPr>
        <w:t xml:space="preserve"> (Director of Public Health 2023)</w:t>
      </w:r>
      <w:r w:rsidRPr="009B5376">
        <w:rPr>
          <w:rFonts w:ascii="Arial" w:hAnsi="Arial" w:cs="Arial"/>
        </w:rPr>
        <w:t>.</w:t>
      </w:r>
    </w:p>
    <w:p w14:paraId="7692DC6C" w14:textId="03DBA699" w:rsidR="0078330E" w:rsidRPr="009B5376" w:rsidRDefault="0078330E" w:rsidP="00E44F7F">
      <w:pPr>
        <w:spacing w:line="360" w:lineRule="auto"/>
        <w:rPr>
          <w:rFonts w:ascii="Arial" w:hAnsi="Arial" w:cs="Arial"/>
        </w:rPr>
      </w:pPr>
      <w:r w:rsidRPr="009B5376">
        <w:rPr>
          <w:rFonts w:ascii="Arial" w:hAnsi="Arial" w:cs="Arial"/>
        </w:rPr>
        <w:t xml:space="preserve">Furthermore, community health clinics should establish partnerships with stakeholders, including service users, providers, and the broader community, to align local services closely with patient needs. Mental health improvement, for instance, is not exclusive to one or two vulnerable working-age groups. Collaborating with organizations like the Mental Health First Aid (MHFA) training program in </w:t>
      </w:r>
      <w:r w:rsidR="00C01C0F" w:rsidRPr="009B5376">
        <w:rPr>
          <w:rFonts w:ascii="Arial" w:hAnsi="Arial" w:cs="Arial"/>
        </w:rPr>
        <w:t>Barking and Dagenham</w:t>
      </w:r>
      <w:r w:rsidRPr="009B5376">
        <w:rPr>
          <w:rFonts w:ascii="Arial" w:hAnsi="Arial" w:cs="Arial"/>
        </w:rPr>
        <w:t xml:space="preserve">, community health clinics can orient all activities around the relevant actors </w:t>
      </w:r>
      <w:r w:rsidR="00C01C0F" w:rsidRPr="009B5376">
        <w:rPr>
          <w:rFonts w:ascii="Arial" w:hAnsi="Arial" w:cs="Arial"/>
        </w:rPr>
        <w:t>(London Borough of Barking and Dagenham 2015)</w:t>
      </w:r>
      <w:r w:rsidRPr="009B5376">
        <w:rPr>
          <w:rFonts w:ascii="Arial" w:hAnsi="Arial" w:cs="Arial"/>
        </w:rPr>
        <w:t xml:space="preserve">. Having MHFA instructors from within the </w:t>
      </w:r>
      <w:r w:rsidR="00C01C0F" w:rsidRPr="009B5376">
        <w:rPr>
          <w:rFonts w:ascii="Arial" w:hAnsi="Arial" w:cs="Arial"/>
        </w:rPr>
        <w:t>Barking and Dagenham</w:t>
      </w:r>
      <w:r w:rsidRPr="009B5376">
        <w:rPr>
          <w:rFonts w:ascii="Arial" w:hAnsi="Arial" w:cs="Arial"/>
        </w:rPr>
        <w:t xml:space="preserve"> </w:t>
      </w:r>
      <w:r w:rsidR="002A2430" w:rsidRPr="009B5376">
        <w:rPr>
          <w:rFonts w:ascii="Arial" w:hAnsi="Arial" w:cs="Arial"/>
        </w:rPr>
        <w:t>communities</w:t>
      </w:r>
      <w:r w:rsidRPr="009B5376">
        <w:rPr>
          <w:rFonts w:ascii="Arial" w:hAnsi="Arial" w:cs="Arial"/>
        </w:rPr>
        <w:t xml:space="preserve"> in these clinics can break down barriers between institutions and residents. These instructors, being neighbours, relatives, colleagues, and friends, foster a sense of community and understanding for individuals facing mental health challenges.</w:t>
      </w:r>
    </w:p>
    <w:p w14:paraId="736C962E" w14:textId="41188FCF" w:rsidR="0078330E" w:rsidRPr="009B5376" w:rsidRDefault="00C01C0F" w:rsidP="00E44F7F">
      <w:pPr>
        <w:spacing w:line="360" w:lineRule="auto"/>
        <w:rPr>
          <w:rFonts w:ascii="Arial" w:hAnsi="Arial" w:cs="Arial"/>
        </w:rPr>
      </w:pPr>
      <w:r w:rsidRPr="009B5376">
        <w:rPr>
          <w:rFonts w:ascii="Arial" w:hAnsi="Arial" w:cs="Arial"/>
        </w:rPr>
        <w:t>Suarez</w:t>
      </w:r>
      <w:r w:rsidRPr="009B5376">
        <w:rPr>
          <w:rFonts w:ascii="Cambria Math" w:hAnsi="Cambria Math" w:cs="Cambria Math"/>
        </w:rPr>
        <w:t>‐</w:t>
      </w:r>
      <w:r w:rsidRPr="009B5376">
        <w:rPr>
          <w:rFonts w:ascii="Arial" w:hAnsi="Arial" w:cs="Arial"/>
        </w:rPr>
        <w:t>Balcazar, Francisco and Rubén Chávez (2020) assert that e</w:t>
      </w:r>
      <w:r w:rsidR="0078330E" w:rsidRPr="009B5376">
        <w:rPr>
          <w:rFonts w:ascii="Arial" w:hAnsi="Arial" w:cs="Arial"/>
        </w:rPr>
        <w:t xml:space="preserve">ffective communication serves as a potent means to confront the escalating challenge of health inequalities through the </w:t>
      </w:r>
      <w:r w:rsidR="002A2430" w:rsidRPr="009B5376">
        <w:rPr>
          <w:rFonts w:ascii="Arial" w:hAnsi="Arial" w:cs="Arial"/>
        </w:rPr>
        <w:t>utilisation</w:t>
      </w:r>
      <w:r w:rsidR="0078330E" w:rsidRPr="009B5376">
        <w:rPr>
          <w:rFonts w:ascii="Arial" w:hAnsi="Arial" w:cs="Arial"/>
        </w:rPr>
        <w:t xml:space="preserve"> of community health clinic services. Beyond merely informing and educating, proficient communication has the power to empower individuals and reshape attitudes and behaviours, thereby narrowing the health inequality gap (Nickel and von </w:t>
      </w:r>
      <w:proofErr w:type="spellStart"/>
      <w:r w:rsidR="0078330E" w:rsidRPr="009B5376">
        <w:rPr>
          <w:rFonts w:ascii="Arial" w:hAnsi="Arial" w:cs="Arial"/>
        </w:rPr>
        <w:t>dem</w:t>
      </w:r>
      <w:proofErr w:type="spellEnd"/>
      <w:r w:rsidR="0078330E" w:rsidRPr="009B5376">
        <w:rPr>
          <w:rFonts w:ascii="Arial" w:hAnsi="Arial" w:cs="Arial"/>
        </w:rPr>
        <w:t xml:space="preserve"> </w:t>
      </w:r>
      <w:proofErr w:type="spellStart"/>
      <w:r w:rsidR="0078330E" w:rsidRPr="009B5376">
        <w:rPr>
          <w:rFonts w:ascii="Arial" w:hAnsi="Arial" w:cs="Arial"/>
        </w:rPr>
        <w:t>Knesebeck</w:t>
      </w:r>
      <w:proofErr w:type="spellEnd"/>
      <w:r w:rsidR="0078330E" w:rsidRPr="009B5376">
        <w:rPr>
          <w:rFonts w:ascii="Arial" w:hAnsi="Arial" w:cs="Arial"/>
        </w:rPr>
        <w:t xml:space="preserve"> 20</w:t>
      </w:r>
      <w:r w:rsidRPr="009B5376">
        <w:rPr>
          <w:rFonts w:ascii="Arial" w:hAnsi="Arial" w:cs="Arial"/>
        </w:rPr>
        <w:t>20</w:t>
      </w:r>
      <w:r w:rsidR="0078330E" w:rsidRPr="009B5376">
        <w:rPr>
          <w:rFonts w:ascii="Arial" w:hAnsi="Arial" w:cs="Arial"/>
        </w:rPr>
        <w:t xml:space="preserve">). Health communication should be grounded in theory and data, measurable, planned, people-centred, and collaborative, with a targeted approach </w:t>
      </w:r>
      <w:r w:rsidRPr="009B5376">
        <w:rPr>
          <w:rFonts w:ascii="Arial" w:hAnsi="Arial" w:cs="Arial"/>
        </w:rPr>
        <w:t>(Suarez</w:t>
      </w:r>
      <w:r w:rsidRPr="009B5376">
        <w:rPr>
          <w:rFonts w:ascii="Cambria Math" w:hAnsi="Cambria Math" w:cs="Cambria Math"/>
        </w:rPr>
        <w:t>‐</w:t>
      </w:r>
      <w:r w:rsidRPr="009B5376">
        <w:rPr>
          <w:rFonts w:ascii="Arial" w:hAnsi="Arial" w:cs="Arial"/>
        </w:rPr>
        <w:t>Balcazar, Francisco and Rubén Chávez 2020)</w:t>
      </w:r>
      <w:r w:rsidR="0078330E" w:rsidRPr="009B5376">
        <w:rPr>
          <w:rFonts w:ascii="Arial" w:hAnsi="Arial" w:cs="Arial"/>
        </w:rPr>
        <w:t>. This strategic communication framework not only disseminates information but also fosters empowerment, fostering positive shifts in perspectives and behaviours that contribute to the reduction of health disparities.</w:t>
      </w:r>
    </w:p>
    <w:p w14:paraId="1813AAFA" w14:textId="784FD73F" w:rsidR="00D868BD" w:rsidRPr="009B5376" w:rsidRDefault="00D868BD" w:rsidP="00E44F7F">
      <w:pPr>
        <w:spacing w:line="360" w:lineRule="auto"/>
        <w:rPr>
          <w:rFonts w:ascii="Arial" w:hAnsi="Arial" w:cs="Arial"/>
        </w:rPr>
      </w:pPr>
      <w:r w:rsidRPr="009B5376">
        <w:rPr>
          <w:rFonts w:ascii="Arial" w:hAnsi="Arial" w:cs="Arial"/>
        </w:rPr>
        <w:t xml:space="preserve">Implementing effective media strategies is crucial for communicating health messages within the London Borough of Barking and Dagenham community. The official radio station can serve as a platform for stakeholders to engage in informative discussions and promote awareness of community health clinic programs. Television programs and advertisement breaks offer opportunities for the local council and the NHS to disseminate information about </w:t>
      </w:r>
      <w:r w:rsidRPr="009B5376">
        <w:rPr>
          <w:rFonts w:ascii="Arial" w:hAnsi="Arial" w:cs="Arial"/>
        </w:rPr>
        <w:lastRenderedPageBreak/>
        <w:t>initiatives addressing health inequalities. Print media, including flyers and brochures, can target specific neighbourhoods within the borough, while newspapers remain effective for reaching older working-age populations (</w:t>
      </w:r>
      <w:proofErr w:type="spellStart"/>
      <w:r w:rsidRPr="009B5376">
        <w:rPr>
          <w:rFonts w:ascii="Arial" w:hAnsi="Arial" w:cs="Arial"/>
        </w:rPr>
        <w:t>Malikhao</w:t>
      </w:r>
      <w:proofErr w:type="spellEnd"/>
      <w:r w:rsidRPr="009B5376">
        <w:rPr>
          <w:rFonts w:ascii="Arial" w:hAnsi="Arial" w:cs="Arial"/>
        </w:rPr>
        <w:t xml:space="preserve"> 2020). Leveraging social media platforms such as Instagram, Facebook, and Twitter, given the UK's 84.4% social media penetration rate as per Statista (2023), allows community health clinics in Barking and Dagenham to reach a broad audience and raise awareness of their initiatives and strategies.</w:t>
      </w:r>
    </w:p>
    <w:p w14:paraId="459301CD" w14:textId="00778387" w:rsidR="00D868BD" w:rsidRPr="009B5376" w:rsidRDefault="00D868BD" w:rsidP="00E44F7F">
      <w:pPr>
        <w:spacing w:line="360" w:lineRule="auto"/>
        <w:rPr>
          <w:rFonts w:ascii="Arial" w:hAnsi="Arial" w:cs="Arial"/>
        </w:rPr>
      </w:pPr>
      <w:r w:rsidRPr="009B5376">
        <w:rPr>
          <w:rFonts w:ascii="Arial" w:hAnsi="Arial" w:cs="Arial"/>
        </w:rPr>
        <w:t>Reducing the health inequalities gap in the London Borough of Barking and Dagenham requires participatory approaches, involving collaboration between governmental and non-governmental organizations to optimize health resources and empower the local community. However, several challenges hinder social participation in ensuring fair and equal access to healthcare services for every adult in the region.</w:t>
      </w:r>
    </w:p>
    <w:p w14:paraId="33B8EC2A" w14:textId="6651DA34" w:rsidR="00D868BD" w:rsidRPr="009B5376" w:rsidRDefault="00D868BD" w:rsidP="00E44F7F">
      <w:pPr>
        <w:spacing w:line="360" w:lineRule="auto"/>
        <w:rPr>
          <w:rFonts w:ascii="Arial" w:hAnsi="Arial" w:cs="Arial"/>
        </w:rPr>
      </w:pPr>
      <w:r w:rsidRPr="009B5376">
        <w:rPr>
          <w:rFonts w:ascii="Arial" w:hAnsi="Arial" w:cs="Arial"/>
        </w:rPr>
        <w:t xml:space="preserve">A prevailing issue is the general distrust among community members in participatory programs, stemming from past instances of community health workers not fulfilling their obligations and government agency staff misusing initiatives. This erosion of trust poses a significant obstacle to effective community engagement (Gholipour et al. 2023). Additionally, low public awareness, a lack of justification, and </w:t>
      </w:r>
      <w:r w:rsidR="002A2430" w:rsidRPr="009B5376">
        <w:rPr>
          <w:rFonts w:ascii="Arial" w:hAnsi="Arial" w:cs="Arial"/>
        </w:rPr>
        <w:t xml:space="preserve">a </w:t>
      </w:r>
      <w:r w:rsidRPr="009B5376">
        <w:rPr>
          <w:rFonts w:ascii="Arial" w:hAnsi="Arial" w:cs="Arial"/>
        </w:rPr>
        <w:t>misunderstanding of the importance of health programs contribute to limited community participation, with personal commitments often taking precedence over societal interests. Cultural barriers, especially the reluctance of males to actively engage in such programs, further impede participation.</w:t>
      </w:r>
    </w:p>
    <w:p w14:paraId="5848E72A" w14:textId="6D2CED35" w:rsidR="00D868BD" w:rsidRPr="009B5376" w:rsidRDefault="00D868BD" w:rsidP="00E44F7F">
      <w:pPr>
        <w:spacing w:line="360" w:lineRule="auto"/>
        <w:rPr>
          <w:rFonts w:ascii="Arial" w:hAnsi="Arial" w:cs="Arial"/>
        </w:rPr>
      </w:pPr>
      <w:r w:rsidRPr="009B5376">
        <w:rPr>
          <w:rFonts w:ascii="Arial" w:hAnsi="Arial" w:cs="Arial"/>
        </w:rPr>
        <w:t xml:space="preserve">Cumbersome bureaucratic structures in implementing government-sponsored programs prolong the process and demoralize </w:t>
      </w:r>
      <w:r w:rsidR="002A2430" w:rsidRPr="009B5376">
        <w:rPr>
          <w:rFonts w:ascii="Arial" w:hAnsi="Arial" w:cs="Arial"/>
        </w:rPr>
        <w:t xml:space="preserve">the </w:t>
      </w:r>
      <w:r w:rsidRPr="009B5376">
        <w:rPr>
          <w:rFonts w:ascii="Arial" w:hAnsi="Arial" w:cs="Arial"/>
        </w:rPr>
        <w:t xml:space="preserve">stakeholders involved </w:t>
      </w:r>
      <w:r w:rsidR="000032B5" w:rsidRPr="009B5376">
        <w:rPr>
          <w:rFonts w:ascii="Arial" w:hAnsi="Arial" w:cs="Arial"/>
        </w:rPr>
        <w:t>(Director of Public Health 2021)</w:t>
      </w:r>
      <w:r w:rsidRPr="009B5376">
        <w:rPr>
          <w:rFonts w:ascii="Arial" w:hAnsi="Arial" w:cs="Arial"/>
        </w:rPr>
        <w:t xml:space="preserve">. Inadequate financial resources and understaffing within the community health scene create obstacles to the successful rollout of programs, as initiatives often come to a standstill due to a lack of agreed-upon budgets. Addressing these challenges is imperative for fostering effective community participation and achieving meaningful improvements in health equality within </w:t>
      </w:r>
      <w:r w:rsidR="000032B5" w:rsidRPr="009B5376">
        <w:rPr>
          <w:rFonts w:ascii="Arial" w:hAnsi="Arial" w:cs="Arial"/>
        </w:rPr>
        <w:t>Barking and Dagenham</w:t>
      </w:r>
      <w:r w:rsidRPr="009B5376">
        <w:rPr>
          <w:rFonts w:ascii="Arial" w:hAnsi="Arial" w:cs="Arial"/>
        </w:rPr>
        <w:t>.</w:t>
      </w:r>
    </w:p>
    <w:p w14:paraId="6024FB99" w14:textId="77777777" w:rsidR="00E44F7F" w:rsidRPr="009B5376" w:rsidRDefault="00E44F7F">
      <w:pPr>
        <w:rPr>
          <w:rFonts w:ascii="Arial" w:hAnsi="Arial" w:cs="Arial"/>
        </w:rPr>
      </w:pPr>
      <w:r w:rsidRPr="009B5376">
        <w:rPr>
          <w:rFonts w:ascii="Arial" w:hAnsi="Arial" w:cs="Arial"/>
        </w:rPr>
        <w:br w:type="page"/>
      </w:r>
    </w:p>
    <w:p w14:paraId="003C9024" w14:textId="606A1142" w:rsidR="000032B5" w:rsidRPr="009B5376" w:rsidRDefault="000032B5" w:rsidP="00E44F7F">
      <w:pPr>
        <w:spacing w:line="360" w:lineRule="auto"/>
        <w:jc w:val="center"/>
        <w:rPr>
          <w:rFonts w:ascii="Arial" w:hAnsi="Arial" w:cs="Arial"/>
        </w:rPr>
      </w:pPr>
      <w:r w:rsidRPr="009B5376">
        <w:rPr>
          <w:rFonts w:ascii="Arial" w:hAnsi="Arial" w:cs="Arial"/>
        </w:rPr>
        <w:lastRenderedPageBreak/>
        <w:t>References</w:t>
      </w:r>
    </w:p>
    <w:p w14:paraId="45A3BF77" w14:textId="77777777" w:rsidR="000032B5" w:rsidRPr="009B5376" w:rsidRDefault="000032B5" w:rsidP="00E44F7F">
      <w:pPr>
        <w:spacing w:line="360" w:lineRule="auto"/>
        <w:rPr>
          <w:rFonts w:ascii="Arial" w:hAnsi="Arial" w:cs="Arial"/>
        </w:rPr>
      </w:pPr>
      <w:r w:rsidRPr="009B5376">
        <w:rPr>
          <w:rFonts w:ascii="Arial" w:hAnsi="Arial" w:cs="Arial"/>
        </w:rPr>
        <w:t>Cash-Gibson, L., Martinez-Herrera, E. and Benach, J., (2023). Why and how has the United Kingdom become a high producer of health inequalities research over the past 50 years? A realist explanatory case study. </w:t>
      </w:r>
      <w:r w:rsidRPr="009B5376">
        <w:rPr>
          <w:rFonts w:ascii="Arial" w:hAnsi="Arial" w:cs="Arial"/>
          <w:i/>
          <w:iCs/>
        </w:rPr>
        <w:t>Health Research Policy and Systems</w:t>
      </w:r>
      <w:r w:rsidRPr="009B5376">
        <w:rPr>
          <w:rFonts w:ascii="Arial" w:hAnsi="Arial" w:cs="Arial"/>
        </w:rPr>
        <w:t> [online]. </w:t>
      </w:r>
      <w:r w:rsidRPr="009B5376">
        <w:rPr>
          <w:rFonts w:ascii="Arial" w:hAnsi="Arial" w:cs="Arial"/>
          <w:b/>
          <w:bCs/>
        </w:rPr>
        <w:t>21</w:t>
      </w:r>
      <w:r w:rsidRPr="009B5376">
        <w:rPr>
          <w:rFonts w:ascii="Arial" w:hAnsi="Arial" w:cs="Arial"/>
        </w:rPr>
        <w:t>(1). [Viewed 23 November 2023]. Available from: doi: 10.1186/s12961-023-00968-w</w:t>
      </w:r>
    </w:p>
    <w:p w14:paraId="35F5057C" w14:textId="3F9A4C0C" w:rsidR="000032B5" w:rsidRPr="009B5376" w:rsidRDefault="000032B5" w:rsidP="00E44F7F">
      <w:pPr>
        <w:spacing w:line="360" w:lineRule="auto"/>
        <w:rPr>
          <w:rFonts w:ascii="Arial" w:hAnsi="Arial" w:cs="Arial"/>
        </w:rPr>
      </w:pPr>
      <w:r w:rsidRPr="009B5376">
        <w:rPr>
          <w:rFonts w:ascii="Arial" w:hAnsi="Arial" w:cs="Arial"/>
        </w:rPr>
        <w:t>Director of Public Health, (2021). </w:t>
      </w:r>
      <w:r w:rsidRPr="009B5376">
        <w:rPr>
          <w:rFonts w:ascii="Arial" w:hAnsi="Arial" w:cs="Arial"/>
          <w:i/>
          <w:iCs/>
        </w:rPr>
        <w:t xml:space="preserve">Equality challenges in barking and </w:t>
      </w:r>
      <w:r w:rsidR="002A2430" w:rsidRPr="009B5376">
        <w:rPr>
          <w:rFonts w:ascii="Arial" w:hAnsi="Arial" w:cs="Arial"/>
          <w:i/>
          <w:iCs/>
        </w:rPr>
        <w:t>Dagenham</w:t>
      </w:r>
      <w:r w:rsidRPr="009B5376">
        <w:rPr>
          <w:rFonts w:ascii="Arial" w:hAnsi="Arial" w:cs="Arial"/>
        </w:rPr>
        <w:t> [online]. London: Director of Public Health. [Viewed 22 November 2023]. Available from: </w:t>
      </w:r>
      <w:hyperlink r:id="rId9" w:tgtFrame="_blank" w:history="1">
        <w:r w:rsidRPr="009B5376">
          <w:rPr>
            <w:rStyle w:val="Hyperlink"/>
            <w:rFonts w:ascii="Arial" w:hAnsi="Arial" w:cs="Arial"/>
          </w:rPr>
          <w:t>https://www.lbbd.gov.uk/sites/default/files/2022-09/LBBD%20Equality%20Challenges%20in%20Barking%20and%20Dagenham%20Report%202021%20summary.pdf</w:t>
        </w:r>
      </w:hyperlink>
    </w:p>
    <w:p w14:paraId="13E023F1" w14:textId="77777777" w:rsidR="000032B5" w:rsidRPr="009B5376" w:rsidRDefault="000032B5" w:rsidP="00E44F7F">
      <w:pPr>
        <w:spacing w:line="360" w:lineRule="auto"/>
        <w:rPr>
          <w:rFonts w:ascii="Arial" w:hAnsi="Arial" w:cs="Arial"/>
        </w:rPr>
      </w:pPr>
      <w:r w:rsidRPr="009B5376">
        <w:rPr>
          <w:rFonts w:ascii="Arial" w:hAnsi="Arial" w:cs="Arial"/>
        </w:rPr>
        <w:t>Director of Public Health, (2023). </w:t>
      </w:r>
      <w:r w:rsidRPr="009B5376">
        <w:rPr>
          <w:rFonts w:ascii="Arial" w:hAnsi="Arial" w:cs="Arial"/>
          <w:i/>
          <w:iCs/>
        </w:rPr>
        <w:t>Joint health and wellbeing strategy 2023 to 2028</w:t>
      </w:r>
      <w:r w:rsidRPr="009B5376">
        <w:rPr>
          <w:rFonts w:ascii="Arial" w:hAnsi="Arial" w:cs="Arial"/>
        </w:rPr>
        <w:t> [online]. London: London Borough of Barking and Dagenham Council. [Viewed 22 November 2023]. Available from: </w:t>
      </w:r>
      <w:hyperlink r:id="rId10" w:tgtFrame="_blank" w:history="1">
        <w:r w:rsidRPr="009B5376">
          <w:rPr>
            <w:rStyle w:val="Hyperlink"/>
            <w:rFonts w:ascii="Arial" w:hAnsi="Arial" w:cs="Arial"/>
          </w:rPr>
          <w:t>https://www.lbbd.gov.uk/sites/default/files/2023-06/LBBD%20JHWS%202023-28.pdf</w:t>
        </w:r>
      </w:hyperlink>
    </w:p>
    <w:p w14:paraId="18CF8961" w14:textId="77777777" w:rsidR="000032B5" w:rsidRPr="009B5376" w:rsidRDefault="000032B5" w:rsidP="00E44F7F">
      <w:pPr>
        <w:spacing w:line="360" w:lineRule="auto"/>
        <w:rPr>
          <w:rFonts w:ascii="Arial" w:hAnsi="Arial" w:cs="Arial"/>
        </w:rPr>
      </w:pPr>
      <w:r w:rsidRPr="009B5376">
        <w:rPr>
          <w:rFonts w:ascii="Arial" w:hAnsi="Arial" w:cs="Arial"/>
        </w:rPr>
        <w:t xml:space="preserve">Gholipour, K., Shokri, A., Yarahmadi, A. A., Tabrizi, J. S., </w:t>
      </w:r>
      <w:proofErr w:type="spellStart"/>
      <w:r w:rsidRPr="009B5376">
        <w:rPr>
          <w:rFonts w:ascii="Arial" w:hAnsi="Arial" w:cs="Arial"/>
        </w:rPr>
        <w:t>Iezadi</w:t>
      </w:r>
      <w:proofErr w:type="spellEnd"/>
      <w:r w:rsidRPr="009B5376">
        <w:rPr>
          <w:rFonts w:ascii="Arial" w:hAnsi="Arial" w:cs="Arial"/>
        </w:rPr>
        <w:t xml:space="preserve">, S., </w:t>
      </w:r>
      <w:proofErr w:type="spellStart"/>
      <w:r w:rsidRPr="009B5376">
        <w:rPr>
          <w:rFonts w:ascii="Arial" w:hAnsi="Arial" w:cs="Arial"/>
        </w:rPr>
        <w:t>Naghibi</w:t>
      </w:r>
      <w:proofErr w:type="spellEnd"/>
      <w:r w:rsidRPr="009B5376">
        <w:rPr>
          <w:rFonts w:ascii="Arial" w:hAnsi="Arial" w:cs="Arial"/>
        </w:rPr>
        <w:t xml:space="preserve">, D. and </w:t>
      </w:r>
      <w:proofErr w:type="spellStart"/>
      <w:r w:rsidRPr="009B5376">
        <w:rPr>
          <w:rFonts w:ascii="Arial" w:hAnsi="Arial" w:cs="Arial"/>
        </w:rPr>
        <w:t>Bidarpoor</w:t>
      </w:r>
      <w:proofErr w:type="spellEnd"/>
      <w:r w:rsidRPr="009B5376">
        <w:rPr>
          <w:rFonts w:ascii="Arial" w:hAnsi="Arial" w:cs="Arial"/>
        </w:rPr>
        <w:t>, F., (2023). Barriers to community participation in primary health care of district health: a qualitative study. </w:t>
      </w:r>
      <w:r w:rsidRPr="009B5376">
        <w:rPr>
          <w:rFonts w:ascii="Arial" w:hAnsi="Arial" w:cs="Arial"/>
          <w:i/>
          <w:iCs/>
        </w:rPr>
        <w:t>BMC Primary Care</w:t>
      </w:r>
      <w:r w:rsidRPr="009B5376">
        <w:rPr>
          <w:rFonts w:ascii="Arial" w:hAnsi="Arial" w:cs="Arial"/>
        </w:rPr>
        <w:t> [online]. </w:t>
      </w:r>
      <w:r w:rsidRPr="009B5376">
        <w:rPr>
          <w:rFonts w:ascii="Arial" w:hAnsi="Arial" w:cs="Arial"/>
          <w:b/>
          <w:bCs/>
        </w:rPr>
        <w:t>24</w:t>
      </w:r>
      <w:r w:rsidRPr="009B5376">
        <w:rPr>
          <w:rFonts w:ascii="Arial" w:hAnsi="Arial" w:cs="Arial"/>
        </w:rPr>
        <w:t>(1). [Viewed 23 November 2023]. Available from: doi: 10.1186/s12875-023-02062-0</w:t>
      </w:r>
    </w:p>
    <w:p w14:paraId="6CD603E2" w14:textId="77777777" w:rsidR="000032B5" w:rsidRPr="009B5376" w:rsidRDefault="000032B5" w:rsidP="00E44F7F">
      <w:pPr>
        <w:spacing w:line="360" w:lineRule="auto"/>
        <w:rPr>
          <w:rFonts w:ascii="Arial" w:hAnsi="Arial" w:cs="Arial"/>
        </w:rPr>
      </w:pPr>
      <w:r w:rsidRPr="009B5376">
        <w:rPr>
          <w:rFonts w:ascii="Arial" w:hAnsi="Arial" w:cs="Arial"/>
        </w:rPr>
        <w:t>London Borough of Barking and Dagenham, (2015). </w:t>
      </w:r>
      <w:r w:rsidRPr="009B5376">
        <w:rPr>
          <w:rFonts w:ascii="Arial" w:hAnsi="Arial" w:cs="Arial"/>
          <w:i/>
          <w:iCs/>
        </w:rPr>
        <w:t>Mental health</w:t>
      </w:r>
      <w:r w:rsidRPr="009B5376">
        <w:rPr>
          <w:rFonts w:ascii="Arial" w:hAnsi="Arial" w:cs="Arial"/>
        </w:rPr>
        <w:t> [online]. London: London Borough of Barking and Dagenham Council. [Viewed 22 November 2023]. Available from: </w:t>
      </w:r>
      <w:hyperlink r:id="rId11" w:tgtFrame="_blank" w:history="1">
        <w:r w:rsidRPr="009B5376">
          <w:rPr>
            <w:rStyle w:val="Hyperlink"/>
            <w:rFonts w:ascii="Arial" w:hAnsi="Arial" w:cs="Arial"/>
          </w:rPr>
          <w:t>https://modgov.lbbd.gov.uk/Internet/documents/s84480/Appendix%204%20-%20Mental%20Health.pdf</w:t>
        </w:r>
      </w:hyperlink>
    </w:p>
    <w:p w14:paraId="695FF766" w14:textId="77777777" w:rsidR="000032B5" w:rsidRPr="009B5376" w:rsidRDefault="000032B5" w:rsidP="00E44F7F">
      <w:pPr>
        <w:spacing w:line="360" w:lineRule="auto"/>
        <w:rPr>
          <w:rFonts w:ascii="Arial" w:hAnsi="Arial" w:cs="Arial"/>
        </w:rPr>
      </w:pPr>
      <w:r w:rsidRPr="009B5376">
        <w:rPr>
          <w:rFonts w:ascii="Arial" w:hAnsi="Arial" w:cs="Arial"/>
        </w:rPr>
        <w:t>London Borough of Barking and Dagenham, (2023). Tobacco harm reduction strategy [online]. </w:t>
      </w:r>
      <w:r w:rsidRPr="009B5376">
        <w:rPr>
          <w:rFonts w:ascii="Arial" w:hAnsi="Arial" w:cs="Arial"/>
          <w:i/>
          <w:iCs/>
        </w:rPr>
        <w:t>Welcome to Barking and Dagenham</w:t>
      </w:r>
      <w:r w:rsidRPr="009B5376">
        <w:rPr>
          <w:rFonts w:ascii="Arial" w:hAnsi="Arial" w:cs="Arial"/>
        </w:rPr>
        <w:t>. [Viewed 23 November 2023]. Available from: </w:t>
      </w:r>
      <w:hyperlink r:id="rId12" w:tgtFrame="_blank" w:history="1">
        <w:r w:rsidRPr="009B5376">
          <w:rPr>
            <w:rStyle w:val="Hyperlink"/>
            <w:rFonts w:ascii="Arial" w:hAnsi="Arial" w:cs="Arial"/>
          </w:rPr>
          <w:t>https://www.lbbd.gov.uk/council-and-democracy/plans-and-priorities/strategies-policies-and-plans/tobacco-harm-reduction</w:t>
        </w:r>
      </w:hyperlink>
    </w:p>
    <w:p w14:paraId="21A2FF77" w14:textId="77777777" w:rsidR="000032B5" w:rsidRPr="009B5376" w:rsidRDefault="000032B5" w:rsidP="00E44F7F">
      <w:pPr>
        <w:spacing w:line="360" w:lineRule="auto"/>
        <w:rPr>
          <w:rFonts w:ascii="Arial" w:hAnsi="Arial" w:cs="Arial"/>
        </w:rPr>
      </w:pPr>
      <w:proofErr w:type="spellStart"/>
      <w:r w:rsidRPr="009B5376">
        <w:rPr>
          <w:rFonts w:ascii="Arial" w:hAnsi="Arial" w:cs="Arial"/>
        </w:rPr>
        <w:t>Malikhao</w:t>
      </w:r>
      <w:proofErr w:type="spellEnd"/>
      <w:r w:rsidRPr="009B5376">
        <w:rPr>
          <w:rFonts w:ascii="Arial" w:hAnsi="Arial" w:cs="Arial"/>
        </w:rPr>
        <w:t>, P., (2020). Health communication: approaches, strategies, and ways to sustainability on health or health for all. In: </w:t>
      </w:r>
      <w:r w:rsidRPr="009B5376">
        <w:rPr>
          <w:rFonts w:ascii="Arial" w:hAnsi="Arial" w:cs="Arial"/>
          <w:i/>
          <w:iCs/>
        </w:rPr>
        <w:t>Handbook of communication for development and social change</w:t>
      </w:r>
      <w:r w:rsidRPr="009B5376">
        <w:rPr>
          <w:rFonts w:ascii="Arial" w:hAnsi="Arial" w:cs="Arial"/>
        </w:rPr>
        <w:t> [online]. Singapore: Springer Singapore. pp. 1015–1037. [Viewed 23 November 2023]. Available from: doi: 10.1007/978-981-15-2014-3_137</w:t>
      </w:r>
    </w:p>
    <w:p w14:paraId="052F31EE" w14:textId="77777777" w:rsidR="000032B5" w:rsidRPr="009B5376" w:rsidRDefault="000032B5" w:rsidP="00E44F7F">
      <w:pPr>
        <w:spacing w:line="360" w:lineRule="auto"/>
        <w:rPr>
          <w:rFonts w:ascii="Arial" w:hAnsi="Arial" w:cs="Arial"/>
        </w:rPr>
      </w:pPr>
      <w:r w:rsidRPr="009B5376">
        <w:rPr>
          <w:rFonts w:ascii="Arial" w:hAnsi="Arial" w:cs="Arial"/>
        </w:rPr>
        <w:t xml:space="preserve">Nickel, S. and von </w:t>
      </w:r>
      <w:proofErr w:type="spellStart"/>
      <w:r w:rsidRPr="009B5376">
        <w:rPr>
          <w:rFonts w:ascii="Arial" w:hAnsi="Arial" w:cs="Arial"/>
        </w:rPr>
        <w:t>dem</w:t>
      </w:r>
      <w:proofErr w:type="spellEnd"/>
      <w:r w:rsidRPr="009B5376">
        <w:rPr>
          <w:rFonts w:ascii="Arial" w:hAnsi="Arial" w:cs="Arial"/>
        </w:rPr>
        <w:t xml:space="preserve"> </w:t>
      </w:r>
      <w:proofErr w:type="spellStart"/>
      <w:r w:rsidRPr="009B5376">
        <w:rPr>
          <w:rFonts w:ascii="Arial" w:hAnsi="Arial" w:cs="Arial"/>
        </w:rPr>
        <w:t>Knesebeck</w:t>
      </w:r>
      <w:proofErr w:type="spellEnd"/>
      <w:r w:rsidRPr="009B5376">
        <w:rPr>
          <w:rFonts w:ascii="Arial" w:hAnsi="Arial" w:cs="Arial"/>
        </w:rPr>
        <w:t>, O., (2020). Do multiple community-based interventions on health promotion tackle health inequalities? </w:t>
      </w:r>
      <w:r w:rsidRPr="009B5376">
        <w:rPr>
          <w:rFonts w:ascii="Arial" w:hAnsi="Arial" w:cs="Arial"/>
          <w:i/>
          <w:iCs/>
        </w:rPr>
        <w:t xml:space="preserve">International Journal for Equity in </w:t>
      </w:r>
      <w:r w:rsidRPr="009B5376">
        <w:rPr>
          <w:rFonts w:ascii="Arial" w:hAnsi="Arial" w:cs="Arial"/>
          <w:i/>
          <w:iCs/>
        </w:rPr>
        <w:lastRenderedPageBreak/>
        <w:t>Health</w:t>
      </w:r>
      <w:r w:rsidRPr="009B5376">
        <w:rPr>
          <w:rFonts w:ascii="Arial" w:hAnsi="Arial" w:cs="Arial"/>
        </w:rPr>
        <w:t> [online]. </w:t>
      </w:r>
      <w:r w:rsidRPr="009B5376">
        <w:rPr>
          <w:rFonts w:ascii="Arial" w:hAnsi="Arial" w:cs="Arial"/>
          <w:b/>
          <w:bCs/>
        </w:rPr>
        <w:t>19</w:t>
      </w:r>
      <w:r w:rsidRPr="009B5376">
        <w:rPr>
          <w:rFonts w:ascii="Arial" w:hAnsi="Arial" w:cs="Arial"/>
        </w:rPr>
        <w:t>(1). [Viewed 23 November 2023]. Available from: doi: 10.1186/s12939-020-01271-8</w:t>
      </w:r>
    </w:p>
    <w:p w14:paraId="7E9B25B0" w14:textId="77777777" w:rsidR="000032B5" w:rsidRPr="009B5376" w:rsidRDefault="000032B5" w:rsidP="00E44F7F">
      <w:pPr>
        <w:spacing w:line="360" w:lineRule="auto"/>
        <w:rPr>
          <w:rFonts w:ascii="Arial" w:hAnsi="Arial" w:cs="Arial"/>
        </w:rPr>
      </w:pPr>
      <w:r w:rsidRPr="009B5376">
        <w:rPr>
          <w:rFonts w:ascii="Arial" w:hAnsi="Arial" w:cs="Arial"/>
        </w:rPr>
        <w:t>Office for National Statistics, (2022). Employment [online]. </w:t>
      </w:r>
      <w:r w:rsidRPr="009B5376">
        <w:rPr>
          <w:rFonts w:ascii="Arial" w:hAnsi="Arial" w:cs="Arial"/>
          <w:i/>
          <w:iCs/>
        </w:rPr>
        <w:t>GOV.UK</w:t>
      </w:r>
      <w:r w:rsidRPr="009B5376">
        <w:rPr>
          <w:rFonts w:ascii="Arial" w:hAnsi="Arial" w:cs="Arial"/>
        </w:rPr>
        <w:t>. [Viewed 23 November 2023]. Available from: </w:t>
      </w:r>
      <w:hyperlink r:id="rId13" w:anchor="data-sources" w:tgtFrame="_blank" w:history="1">
        <w:r w:rsidRPr="009B5376">
          <w:rPr>
            <w:rStyle w:val="Hyperlink"/>
            <w:rFonts w:ascii="Arial" w:hAnsi="Arial" w:cs="Arial"/>
          </w:rPr>
          <w:t>https://www.ethnicity-facts-figures.service.gov.uk/work-pay-and-benefits/employment/employment/latest#data-sources</w:t>
        </w:r>
      </w:hyperlink>
    </w:p>
    <w:p w14:paraId="2101D3EA" w14:textId="77777777" w:rsidR="000032B5" w:rsidRPr="009B5376" w:rsidRDefault="000032B5" w:rsidP="00E44F7F">
      <w:pPr>
        <w:spacing w:line="360" w:lineRule="auto"/>
        <w:rPr>
          <w:rFonts w:ascii="Arial" w:hAnsi="Arial" w:cs="Arial"/>
        </w:rPr>
      </w:pPr>
      <w:r w:rsidRPr="009B5376">
        <w:rPr>
          <w:rFonts w:ascii="Arial" w:hAnsi="Arial" w:cs="Arial"/>
        </w:rPr>
        <w:t>Public Health England, (2015). </w:t>
      </w:r>
      <w:r w:rsidRPr="009B5376">
        <w:rPr>
          <w:rFonts w:ascii="Arial" w:hAnsi="Arial" w:cs="Arial"/>
          <w:i/>
          <w:iCs/>
        </w:rPr>
        <w:t>Health inequalities in London</w:t>
      </w:r>
      <w:r w:rsidRPr="009B5376">
        <w:rPr>
          <w:rFonts w:ascii="Arial" w:hAnsi="Arial" w:cs="Arial"/>
        </w:rPr>
        <w:t> [online]. London: Gov.uk. [Viewed 22 November 2023]. Available from: </w:t>
      </w:r>
      <w:hyperlink r:id="rId14" w:tgtFrame="_blank" w:history="1">
        <w:r w:rsidRPr="009B5376">
          <w:rPr>
            <w:rStyle w:val="Hyperlink"/>
            <w:rFonts w:ascii="Arial" w:hAnsi="Arial" w:cs="Arial"/>
          </w:rPr>
          <w:t>https://assets.publishing.service.gov.uk/media/5a80ea5eed915d74e62312b1/Health_inequalities_in_London_Oct_15.pdf</w:t>
        </w:r>
      </w:hyperlink>
    </w:p>
    <w:p w14:paraId="5E2B7EF7" w14:textId="23B21DCA" w:rsidR="000032B5" w:rsidRPr="009B5376" w:rsidRDefault="000032B5" w:rsidP="00E44F7F">
      <w:pPr>
        <w:spacing w:line="360" w:lineRule="auto"/>
        <w:rPr>
          <w:rFonts w:ascii="Arial" w:hAnsi="Arial" w:cs="Arial"/>
        </w:rPr>
      </w:pPr>
      <w:r w:rsidRPr="009B5376">
        <w:rPr>
          <w:rFonts w:ascii="Arial" w:hAnsi="Arial" w:cs="Arial"/>
        </w:rPr>
        <w:t xml:space="preserve">Public Health England, (2020). Parents with problem alcohol and drug use: data for </w:t>
      </w:r>
      <w:r w:rsidR="002A2430" w:rsidRPr="009B5376">
        <w:rPr>
          <w:rFonts w:ascii="Arial" w:hAnsi="Arial" w:cs="Arial"/>
        </w:rPr>
        <w:t>England</w:t>
      </w:r>
      <w:r w:rsidRPr="009B5376">
        <w:rPr>
          <w:rFonts w:ascii="Arial" w:hAnsi="Arial" w:cs="Arial"/>
        </w:rPr>
        <w:t xml:space="preserve"> and barking and </w:t>
      </w:r>
      <w:r w:rsidR="002A2430" w:rsidRPr="009B5376">
        <w:rPr>
          <w:rFonts w:ascii="Arial" w:hAnsi="Arial" w:cs="Arial"/>
        </w:rPr>
        <w:t>Dagenham</w:t>
      </w:r>
      <w:r w:rsidRPr="009B5376">
        <w:rPr>
          <w:rFonts w:ascii="Arial" w:hAnsi="Arial" w:cs="Arial"/>
        </w:rPr>
        <w:t>, 2019 to 2020 [online]. </w:t>
      </w:r>
      <w:r w:rsidRPr="009B5376">
        <w:rPr>
          <w:rFonts w:ascii="Arial" w:hAnsi="Arial" w:cs="Arial"/>
          <w:i/>
          <w:iCs/>
        </w:rPr>
        <w:t>NDTMS - Home</w:t>
      </w:r>
      <w:r w:rsidRPr="009B5376">
        <w:rPr>
          <w:rFonts w:ascii="Arial" w:hAnsi="Arial" w:cs="Arial"/>
        </w:rPr>
        <w:t>. [Viewed 23 November 2023]. Available from: </w:t>
      </w:r>
      <w:hyperlink r:id="rId15" w:tgtFrame="_blank" w:history="1">
        <w:r w:rsidRPr="009B5376">
          <w:rPr>
            <w:rStyle w:val="Hyperlink"/>
            <w:rFonts w:ascii="Arial" w:hAnsi="Arial" w:cs="Arial"/>
          </w:rPr>
          <w:t>https://www.ndtms.net/resources/public/Parental%20substance%20misuse/London/LN_Barking%20and%20Dagenham_2019-20_Parental_substance_misuse_data_pack.html</w:t>
        </w:r>
      </w:hyperlink>
    </w:p>
    <w:p w14:paraId="45B2A418" w14:textId="77777777" w:rsidR="000032B5" w:rsidRPr="009B5376" w:rsidRDefault="000032B5" w:rsidP="00E44F7F">
      <w:pPr>
        <w:spacing w:line="360" w:lineRule="auto"/>
        <w:rPr>
          <w:rFonts w:ascii="Arial" w:hAnsi="Arial" w:cs="Arial"/>
        </w:rPr>
      </w:pPr>
      <w:r w:rsidRPr="009B5376">
        <w:rPr>
          <w:rFonts w:ascii="Arial" w:hAnsi="Arial" w:cs="Arial"/>
        </w:rPr>
        <w:t>Richert, T., Anderberg, M. and Dahlberg, M., (2020). Mental health problems among young people in substance abuse treatment in Sweden. </w:t>
      </w:r>
      <w:r w:rsidRPr="009B5376">
        <w:rPr>
          <w:rFonts w:ascii="Arial" w:hAnsi="Arial" w:cs="Arial"/>
          <w:i/>
          <w:iCs/>
        </w:rPr>
        <w:t>Substance Abuse Treatment, Prevention, and Policy</w:t>
      </w:r>
      <w:r w:rsidRPr="009B5376">
        <w:rPr>
          <w:rFonts w:ascii="Arial" w:hAnsi="Arial" w:cs="Arial"/>
        </w:rPr>
        <w:t> [online]. </w:t>
      </w:r>
      <w:r w:rsidRPr="009B5376">
        <w:rPr>
          <w:rFonts w:ascii="Arial" w:hAnsi="Arial" w:cs="Arial"/>
          <w:b/>
          <w:bCs/>
        </w:rPr>
        <w:t>15</w:t>
      </w:r>
      <w:r w:rsidRPr="009B5376">
        <w:rPr>
          <w:rFonts w:ascii="Arial" w:hAnsi="Arial" w:cs="Arial"/>
        </w:rPr>
        <w:t>(1). [Viewed 23 November 2023]. Available from: doi: 10.1186/s13011-020-00282-6</w:t>
      </w:r>
    </w:p>
    <w:p w14:paraId="714E08CE" w14:textId="77777777" w:rsidR="000032B5" w:rsidRPr="009B5376" w:rsidRDefault="000032B5" w:rsidP="00E44F7F">
      <w:pPr>
        <w:spacing w:line="360" w:lineRule="auto"/>
        <w:rPr>
          <w:rFonts w:ascii="Arial" w:hAnsi="Arial" w:cs="Arial"/>
        </w:rPr>
      </w:pPr>
      <w:r w:rsidRPr="009B5376">
        <w:rPr>
          <w:rFonts w:ascii="Arial" w:hAnsi="Arial" w:cs="Arial"/>
        </w:rPr>
        <w:t>Smith, K., Bambra, C. and Hill, S., (2015). Background and introduction: UK experiences of health inequalities. In: </w:t>
      </w:r>
      <w:r w:rsidRPr="009B5376">
        <w:rPr>
          <w:rFonts w:ascii="Arial" w:hAnsi="Arial" w:cs="Arial"/>
          <w:i/>
          <w:iCs/>
        </w:rPr>
        <w:t>Health inequalities</w:t>
      </w:r>
      <w:r w:rsidRPr="009B5376">
        <w:rPr>
          <w:rFonts w:ascii="Arial" w:hAnsi="Arial" w:cs="Arial"/>
        </w:rPr>
        <w:t xml:space="preserve"> [online]. Oxford University Press. pp. 1–21. [Viewed 23 November 2023]. Available from: </w:t>
      </w:r>
      <w:proofErr w:type="spellStart"/>
      <w:r w:rsidRPr="009B5376">
        <w:rPr>
          <w:rFonts w:ascii="Arial" w:hAnsi="Arial" w:cs="Arial"/>
        </w:rPr>
        <w:t>doi</w:t>
      </w:r>
      <w:proofErr w:type="spellEnd"/>
      <w:r w:rsidRPr="009B5376">
        <w:rPr>
          <w:rFonts w:ascii="Arial" w:hAnsi="Arial" w:cs="Arial"/>
        </w:rPr>
        <w:t>: 10.1093/</w:t>
      </w:r>
      <w:proofErr w:type="spellStart"/>
      <w:proofErr w:type="gramStart"/>
      <w:r w:rsidRPr="009B5376">
        <w:rPr>
          <w:rFonts w:ascii="Arial" w:hAnsi="Arial" w:cs="Arial"/>
        </w:rPr>
        <w:t>acprof:oso</w:t>
      </w:r>
      <w:proofErr w:type="spellEnd"/>
      <w:proofErr w:type="gramEnd"/>
      <w:r w:rsidRPr="009B5376">
        <w:rPr>
          <w:rFonts w:ascii="Arial" w:hAnsi="Arial" w:cs="Arial"/>
        </w:rPr>
        <w:t>/9780198703358.003.0001</w:t>
      </w:r>
    </w:p>
    <w:p w14:paraId="59B4A9BD" w14:textId="77777777" w:rsidR="000032B5" w:rsidRPr="009B5376" w:rsidRDefault="000032B5" w:rsidP="00E44F7F">
      <w:pPr>
        <w:spacing w:line="360" w:lineRule="auto"/>
        <w:rPr>
          <w:rFonts w:ascii="Arial" w:hAnsi="Arial" w:cs="Arial"/>
        </w:rPr>
      </w:pPr>
      <w:r w:rsidRPr="009B5376">
        <w:rPr>
          <w:rFonts w:ascii="Arial" w:hAnsi="Arial" w:cs="Arial"/>
        </w:rPr>
        <w:t>Statista, (2023). Social media penetration UK 2023 [online]. </w:t>
      </w:r>
      <w:r w:rsidRPr="009B5376">
        <w:rPr>
          <w:rFonts w:ascii="Arial" w:hAnsi="Arial" w:cs="Arial"/>
          <w:i/>
          <w:iCs/>
        </w:rPr>
        <w:t>Statista</w:t>
      </w:r>
      <w:r w:rsidRPr="009B5376">
        <w:rPr>
          <w:rFonts w:ascii="Arial" w:hAnsi="Arial" w:cs="Arial"/>
        </w:rPr>
        <w:t>. [Viewed 23 November 2023]. Available from: </w:t>
      </w:r>
      <w:hyperlink r:id="rId16" w:anchor=":~:text=The%20United%20Kingdom%20(UK)%20was,the%20population%20of%20the%20UK." w:tgtFrame="_blank" w:history="1">
        <w:r w:rsidRPr="009B5376">
          <w:rPr>
            <w:rStyle w:val="Hyperlink"/>
            <w:rFonts w:ascii="Arial" w:hAnsi="Arial" w:cs="Arial"/>
          </w:rPr>
          <w:t>https://www.statista.com/statistics/507405/uk-active-social-media-and-mobile-social-media-users/#:~:text=The%20United%20Kingdom%20(UK)%20was,the%20population%20of%20the%20UK.</w:t>
        </w:r>
      </w:hyperlink>
    </w:p>
    <w:p w14:paraId="02E0AEE0" w14:textId="77777777" w:rsidR="000032B5" w:rsidRPr="009B5376" w:rsidRDefault="000032B5" w:rsidP="00E44F7F">
      <w:pPr>
        <w:spacing w:line="360" w:lineRule="auto"/>
        <w:rPr>
          <w:rFonts w:ascii="Arial" w:hAnsi="Arial" w:cs="Arial"/>
        </w:rPr>
      </w:pPr>
      <w:r w:rsidRPr="009B5376">
        <w:rPr>
          <w:rFonts w:ascii="Arial" w:hAnsi="Arial" w:cs="Arial"/>
        </w:rPr>
        <w:t>Suarez</w:t>
      </w:r>
      <w:r w:rsidRPr="009B5376">
        <w:rPr>
          <w:rFonts w:ascii="Cambria Math" w:hAnsi="Cambria Math" w:cs="Cambria Math"/>
        </w:rPr>
        <w:t>‐</w:t>
      </w:r>
      <w:r w:rsidRPr="009B5376">
        <w:rPr>
          <w:rFonts w:ascii="Arial" w:hAnsi="Arial" w:cs="Arial"/>
        </w:rPr>
        <w:t>Balcazar, Y., Francisco, V. T. and Rubén Chávez, N., (2020). Applying community</w:t>
      </w:r>
      <w:r w:rsidRPr="009B5376">
        <w:rPr>
          <w:rFonts w:ascii="Cambria Math" w:hAnsi="Cambria Math" w:cs="Cambria Math"/>
        </w:rPr>
        <w:t>‐</w:t>
      </w:r>
      <w:r w:rsidRPr="009B5376">
        <w:rPr>
          <w:rFonts w:ascii="Arial" w:hAnsi="Arial" w:cs="Arial"/>
        </w:rPr>
        <w:t>based participatory approaches to addressing health disparities and promoting health equity. </w:t>
      </w:r>
      <w:r w:rsidRPr="009B5376">
        <w:rPr>
          <w:rFonts w:ascii="Arial" w:hAnsi="Arial" w:cs="Arial"/>
          <w:i/>
          <w:iCs/>
        </w:rPr>
        <w:t>American Journal of Community Psychology</w:t>
      </w:r>
      <w:r w:rsidRPr="009B5376">
        <w:rPr>
          <w:rFonts w:ascii="Arial" w:hAnsi="Arial" w:cs="Arial"/>
        </w:rPr>
        <w:t> [online]. </w:t>
      </w:r>
      <w:r w:rsidRPr="009B5376">
        <w:rPr>
          <w:rFonts w:ascii="Arial" w:hAnsi="Arial" w:cs="Arial"/>
          <w:b/>
          <w:bCs/>
        </w:rPr>
        <w:t>66</w:t>
      </w:r>
      <w:r w:rsidRPr="009B5376">
        <w:rPr>
          <w:rFonts w:ascii="Arial" w:hAnsi="Arial" w:cs="Arial"/>
        </w:rPr>
        <w:t>(3-4), 217–221. [Viewed 23 November 2023]. Available from: doi: 10.1002/ajcp.12487</w:t>
      </w:r>
    </w:p>
    <w:p w14:paraId="00A17A7B" w14:textId="77777777" w:rsidR="000032B5" w:rsidRPr="009B5376" w:rsidRDefault="000032B5" w:rsidP="00E44F7F">
      <w:pPr>
        <w:spacing w:line="360" w:lineRule="auto"/>
        <w:rPr>
          <w:rFonts w:ascii="Arial" w:hAnsi="Arial" w:cs="Arial"/>
        </w:rPr>
      </w:pPr>
      <w:r w:rsidRPr="009B5376">
        <w:rPr>
          <w:rFonts w:ascii="Arial" w:hAnsi="Arial" w:cs="Arial"/>
        </w:rPr>
        <w:t xml:space="preserve">Thomson, L. J., Gordon-Nesbitt, R., Elsden, E. and Chatterjee, H. J., (2021). The role of cultural, community and natural assets in addressing societal and structural health </w:t>
      </w:r>
      <w:r w:rsidRPr="009B5376">
        <w:rPr>
          <w:rFonts w:ascii="Arial" w:hAnsi="Arial" w:cs="Arial"/>
        </w:rPr>
        <w:lastRenderedPageBreak/>
        <w:t>inequalities in the UK: future research priorities. </w:t>
      </w:r>
      <w:r w:rsidRPr="009B5376">
        <w:rPr>
          <w:rFonts w:ascii="Arial" w:hAnsi="Arial" w:cs="Arial"/>
          <w:i/>
          <w:iCs/>
        </w:rPr>
        <w:t>International Journal for Equity in Health</w:t>
      </w:r>
      <w:r w:rsidRPr="009B5376">
        <w:rPr>
          <w:rFonts w:ascii="Arial" w:hAnsi="Arial" w:cs="Arial"/>
        </w:rPr>
        <w:t> [online]. </w:t>
      </w:r>
      <w:r w:rsidRPr="009B5376">
        <w:rPr>
          <w:rFonts w:ascii="Arial" w:hAnsi="Arial" w:cs="Arial"/>
          <w:b/>
          <w:bCs/>
        </w:rPr>
        <w:t>20</w:t>
      </w:r>
      <w:r w:rsidRPr="009B5376">
        <w:rPr>
          <w:rFonts w:ascii="Arial" w:hAnsi="Arial" w:cs="Arial"/>
        </w:rPr>
        <w:t>(1). [Viewed 23 November 2023]. Available from: doi: 10.1186/s12939-021-01590-4</w:t>
      </w:r>
    </w:p>
    <w:p w14:paraId="4DE46F84" w14:textId="77777777" w:rsidR="000032B5" w:rsidRPr="009B5376" w:rsidRDefault="000032B5" w:rsidP="00E44F7F">
      <w:pPr>
        <w:spacing w:line="360" w:lineRule="auto"/>
        <w:rPr>
          <w:rFonts w:ascii="Arial" w:hAnsi="Arial" w:cs="Arial"/>
        </w:rPr>
      </w:pPr>
      <w:r w:rsidRPr="009B5376">
        <w:rPr>
          <w:rFonts w:ascii="Arial" w:hAnsi="Arial" w:cs="Arial"/>
        </w:rPr>
        <w:t>Tobacco [online], (2023). </w:t>
      </w:r>
      <w:r w:rsidRPr="009B5376">
        <w:rPr>
          <w:rFonts w:ascii="Arial" w:hAnsi="Arial" w:cs="Arial"/>
          <w:i/>
          <w:iCs/>
        </w:rPr>
        <w:t>World Health Organization (WHO)</w:t>
      </w:r>
      <w:r w:rsidRPr="009B5376">
        <w:rPr>
          <w:rFonts w:ascii="Arial" w:hAnsi="Arial" w:cs="Arial"/>
        </w:rPr>
        <w:t>. [Viewed 23 November 2023]. Available from: </w:t>
      </w:r>
      <w:hyperlink r:id="rId17" w:tgtFrame="_blank" w:history="1">
        <w:r w:rsidRPr="009B5376">
          <w:rPr>
            <w:rStyle w:val="Hyperlink"/>
            <w:rFonts w:ascii="Arial" w:hAnsi="Arial" w:cs="Arial"/>
          </w:rPr>
          <w:t>https://www.who.int/news-room/fact-sheets/detail/tobacco</w:t>
        </w:r>
      </w:hyperlink>
    </w:p>
    <w:p w14:paraId="14A2D581" w14:textId="77777777" w:rsidR="000032B5" w:rsidRPr="009B5376" w:rsidRDefault="000032B5" w:rsidP="00E44F7F">
      <w:pPr>
        <w:spacing w:line="360" w:lineRule="auto"/>
        <w:rPr>
          <w:rFonts w:ascii="Arial" w:hAnsi="Arial" w:cs="Arial"/>
        </w:rPr>
      </w:pPr>
    </w:p>
    <w:p w14:paraId="33446901" w14:textId="77777777" w:rsidR="00816652" w:rsidRPr="009B5376" w:rsidRDefault="00816652" w:rsidP="00E44F7F">
      <w:pPr>
        <w:spacing w:line="360" w:lineRule="auto"/>
        <w:rPr>
          <w:rFonts w:ascii="Arial" w:hAnsi="Arial" w:cs="Arial"/>
        </w:rPr>
      </w:pPr>
    </w:p>
    <w:p w14:paraId="740C29A6" w14:textId="77777777" w:rsidR="00816652" w:rsidRPr="009B5376" w:rsidRDefault="00816652" w:rsidP="00E44F7F">
      <w:pPr>
        <w:spacing w:line="360" w:lineRule="auto"/>
        <w:rPr>
          <w:rFonts w:ascii="Arial" w:hAnsi="Arial" w:cs="Arial"/>
        </w:rPr>
      </w:pPr>
    </w:p>
    <w:sectPr w:rsidR="00816652" w:rsidRPr="009B5376" w:rsidSect="00DD2F70">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E7AE3" w14:textId="77777777" w:rsidR="00B62906" w:rsidRDefault="00B62906" w:rsidP="0061204E">
      <w:pPr>
        <w:spacing w:after="0" w:line="240" w:lineRule="auto"/>
      </w:pPr>
      <w:r>
        <w:separator/>
      </w:r>
    </w:p>
  </w:endnote>
  <w:endnote w:type="continuationSeparator" w:id="0">
    <w:p w14:paraId="41BD27DD" w14:textId="77777777" w:rsidR="00B62906" w:rsidRDefault="00B62906" w:rsidP="00612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BCECA" w14:textId="77777777" w:rsidR="00B62906" w:rsidRDefault="00B62906" w:rsidP="0061204E">
      <w:pPr>
        <w:spacing w:after="0" w:line="240" w:lineRule="auto"/>
      </w:pPr>
      <w:r>
        <w:separator/>
      </w:r>
    </w:p>
  </w:footnote>
  <w:footnote w:type="continuationSeparator" w:id="0">
    <w:p w14:paraId="20C886F4" w14:textId="77777777" w:rsidR="00B62906" w:rsidRDefault="00B62906" w:rsidP="006120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75501"/>
      <w:docPartObj>
        <w:docPartGallery w:val="Page Numbers (Top of Page)"/>
        <w:docPartUnique/>
      </w:docPartObj>
    </w:sdtPr>
    <w:sdtEndPr>
      <w:rPr>
        <w:noProof/>
      </w:rPr>
    </w:sdtEndPr>
    <w:sdtContent>
      <w:p w14:paraId="1AA3A31C" w14:textId="49CB15F5" w:rsidR="0061204E" w:rsidRDefault="0061204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6AFFF2" w14:textId="77777777" w:rsidR="0061204E" w:rsidRDefault="006120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CF56C6"/>
    <w:multiLevelType w:val="hybridMultilevel"/>
    <w:tmpl w:val="7668FF92"/>
    <w:lvl w:ilvl="0" w:tplc="41DE453C">
      <w:start w:val="1"/>
      <w:numFmt w:val="bullet"/>
      <w:lvlText w:val="•"/>
      <w:lvlJc w:val="left"/>
      <w:pPr>
        <w:tabs>
          <w:tab w:val="num" w:pos="720"/>
        </w:tabs>
        <w:ind w:left="720" w:hanging="360"/>
      </w:pPr>
      <w:rPr>
        <w:rFonts w:ascii="Arial" w:hAnsi="Arial" w:hint="default"/>
      </w:rPr>
    </w:lvl>
    <w:lvl w:ilvl="1" w:tplc="A4A26E1E" w:tentative="1">
      <w:start w:val="1"/>
      <w:numFmt w:val="bullet"/>
      <w:lvlText w:val="•"/>
      <w:lvlJc w:val="left"/>
      <w:pPr>
        <w:tabs>
          <w:tab w:val="num" w:pos="1440"/>
        </w:tabs>
        <w:ind w:left="1440" w:hanging="360"/>
      </w:pPr>
      <w:rPr>
        <w:rFonts w:ascii="Arial" w:hAnsi="Arial" w:hint="default"/>
      </w:rPr>
    </w:lvl>
    <w:lvl w:ilvl="2" w:tplc="0E6205E8" w:tentative="1">
      <w:start w:val="1"/>
      <w:numFmt w:val="bullet"/>
      <w:lvlText w:val="•"/>
      <w:lvlJc w:val="left"/>
      <w:pPr>
        <w:tabs>
          <w:tab w:val="num" w:pos="2160"/>
        </w:tabs>
        <w:ind w:left="2160" w:hanging="360"/>
      </w:pPr>
      <w:rPr>
        <w:rFonts w:ascii="Arial" w:hAnsi="Arial" w:hint="default"/>
      </w:rPr>
    </w:lvl>
    <w:lvl w:ilvl="3" w:tplc="0E44C652" w:tentative="1">
      <w:start w:val="1"/>
      <w:numFmt w:val="bullet"/>
      <w:lvlText w:val="•"/>
      <w:lvlJc w:val="left"/>
      <w:pPr>
        <w:tabs>
          <w:tab w:val="num" w:pos="2880"/>
        </w:tabs>
        <w:ind w:left="2880" w:hanging="360"/>
      </w:pPr>
      <w:rPr>
        <w:rFonts w:ascii="Arial" w:hAnsi="Arial" w:hint="default"/>
      </w:rPr>
    </w:lvl>
    <w:lvl w:ilvl="4" w:tplc="D48A5D6C" w:tentative="1">
      <w:start w:val="1"/>
      <w:numFmt w:val="bullet"/>
      <w:lvlText w:val="•"/>
      <w:lvlJc w:val="left"/>
      <w:pPr>
        <w:tabs>
          <w:tab w:val="num" w:pos="3600"/>
        </w:tabs>
        <w:ind w:left="3600" w:hanging="360"/>
      </w:pPr>
      <w:rPr>
        <w:rFonts w:ascii="Arial" w:hAnsi="Arial" w:hint="default"/>
      </w:rPr>
    </w:lvl>
    <w:lvl w:ilvl="5" w:tplc="69008092" w:tentative="1">
      <w:start w:val="1"/>
      <w:numFmt w:val="bullet"/>
      <w:lvlText w:val="•"/>
      <w:lvlJc w:val="left"/>
      <w:pPr>
        <w:tabs>
          <w:tab w:val="num" w:pos="4320"/>
        </w:tabs>
        <w:ind w:left="4320" w:hanging="360"/>
      </w:pPr>
      <w:rPr>
        <w:rFonts w:ascii="Arial" w:hAnsi="Arial" w:hint="default"/>
      </w:rPr>
    </w:lvl>
    <w:lvl w:ilvl="6" w:tplc="BF1C4EDA" w:tentative="1">
      <w:start w:val="1"/>
      <w:numFmt w:val="bullet"/>
      <w:lvlText w:val="•"/>
      <w:lvlJc w:val="left"/>
      <w:pPr>
        <w:tabs>
          <w:tab w:val="num" w:pos="5040"/>
        </w:tabs>
        <w:ind w:left="5040" w:hanging="360"/>
      </w:pPr>
      <w:rPr>
        <w:rFonts w:ascii="Arial" w:hAnsi="Arial" w:hint="default"/>
      </w:rPr>
    </w:lvl>
    <w:lvl w:ilvl="7" w:tplc="5AA626B8" w:tentative="1">
      <w:start w:val="1"/>
      <w:numFmt w:val="bullet"/>
      <w:lvlText w:val="•"/>
      <w:lvlJc w:val="left"/>
      <w:pPr>
        <w:tabs>
          <w:tab w:val="num" w:pos="5760"/>
        </w:tabs>
        <w:ind w:left="5760" w:hanging="360"/>
      </w:pPr>
      <w:rPr>
        <w:rFonts w:ascii="Arial" w:hAnsi="Arial" w:hint="default"/>
      </w:rPr>
    </w:lvl>
    <w:lvl w:ilvl="8" w:tplc="EC46FD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CAA2169"/>
    <w:multiLevelType w:val="hybridMultilevel"/>
    <w:tmpl w:val="CB96CDB4"/>
    <w:lvl w:ilvl="0" w:tplc="094C0C66">
      <w:start w:val="1"/>
      <w:numFmt w:val="bullet"/>
      <w:lvlText w:val="•"/>
      <w:lvlJc w:val="left"/>
      <w:pPr>
        <w:tabs>
          <w:tab w:val="num" w:pos="720"/>
        </w:tabs>
        <w:ind w:left="720" w:hanging="360"/>
      </w:pPr>
      <w:rPr>
        <w:rFonts w:ascii="Arial" w:hAnsi="Arial" w:hint="default"/>
      </w:rPr>
    </w:lvl>
    <w:lvl w:ilvl="1" w:tplc="205CD41A" w:tentative="1">
      <w:start w:val="1"/>
      <w:numFmt w:val="bullet"/>
      <w:lvlText w:val="•"/>
      <w:lvlJc w:val="left"/>
      <w:pPr>
        <w:tabs>
          <w:tab w:val="num" w:pos="1440"/>
        </w:tabs>
        <w:ind w:left="1440" w:hanging="360"/>
      </w:pPr>
      <w:rPr>
        <w:rFonts w:ascii="Arial" w:hAnsi="Arial" w:hint="default"/>
      </w:rPr>
    </w:lvl>
    <w:lvl w:ilvl="2" w:tplc="8DE64154" w:tentative="1">
      <w:start w:val="1"/>
      <w:numFmt w:val="bullet"/>
      <w:lvlText w:val="•"/>
      <w:lvlJc w:val="left"/>
      <w:pPr>
        <w:tabs>
          <w:tab w:val="num" w:pos="2160"/>
        </w:tabs>
        <w:ind w:left="2160" w:hanging="360"/>
      </w:pPr>
      <w:rPr>
        <w:rFonts w:ascii="Arial" w:hAnsi="Arial" w:hint="default"/>
      </w:rPr>
    </w:lvl>
    <w:lvl w:ilvl="3" w:tplc="9112C1A4" w:tentative="1">
      <w:start w:val="1"/>
      <w:numFmt w:val="bullet"/>
      <w:lvlText w:val="•"/>
      <w:lvlJc w:val="left"/>
      <w:pPr>
        <w:tabs>
          <w:tab w:val="num" w:pos="2880"/>
        </w:tabs>
        <w:ind w:left="2880" w:hanging="360"/>
      </w:pPr>
      <w:rPr>
        <w:rFonts w:ascii="Arial" w:hAnsi="Arial" w:hint="default"/>
      </w:rPr>
    </w:lvl>
    <w:lvl w:ilvl="4" w:tplc="6AC0E45A" w:tentative="1">
      <w:start w:val="1"/>
      <w:numFmt w:val="bullet"/>
      <w:lvlText w:val="•"/>
      <w:lvlJc w:val="left"/>
      <w:pPr>
        <w:tabs>
          <w:tab w:val="num" w:pos="3600"/>
        </w:tabs>
        <w:ind w:left="3600" w:hanging="360"/>
      </w:pPr>
      <w:rPr>
        <w:rFonts w:ascii="Arial" w:hAnsi="Arial" w:hint="default"/>
      </w:rPr>
    </w:lvl>
    <w:lvl w:ilvl="5" w:tplc="F86CDD16" w:tentative="1">
      <w:start w:val="1"/>
      <w:numFmt w:val="bullet"/>
      <w:lvlText w:val="•"/>
      <w:lvlJc w:val="left"/>
      <w:pPr>
        <w:tabs>
          <w:tab w:val="num" w:pos="4320"/>
        </w:tabs>
        <w:ind w:left="4320" w:hanging="360"/>
      </w:pPr>
      <w:rPr>
        <w:rFonts w:ascii="Arial" w:hAnsi="Arial" w:hint="default"/>
      </w:rPr>
    </w:lvl>
    <w:lvl w:ilvl="6" w:tplc="3AF2A2E6" w:tentative="1">
      <w:start w:val="1"/>
      <w:numFmt w:val="bullet"/>
      <w:lvlText w:val="•"/>
      <w:lvlJc w:val="left"/>
      <w:pPr>
        <w:tabs>
          <w:tab w:val="num" w:pos="5040"/>
        </w:tabs>
        <w:ind w:left="5040" w:hanging="360"/>
      </w:pPr>
      <w:rPr>
        <w:rFonts w:ascii="Arial" w:hAnsi="Arial" w:hint="default"/>
      </w:rPr>
    </w:lvl>
    <w:lvl w:ilvl="7" w:tplc="FC84007C" w:tentative="1">
      <w:start w:val="1"/>
      <w:numFmt w:val="bullet"/>
      <w:lvlText w:val="•"/>
      <w:lvlJc w:val="left"/>
      <w:pPr>
        <w:tabs>
          <w:tab w:val="num" w:pos="5760"/>
        </w:tabs>
        <w:ind w:left="5760" w:hanging="360"/>
      </w:pPr>
      <w:rPr>
        <w:rFonts w:ascii="Arial" w:hAnsi="Arial" w:hint="default"/>
      </w:rPr>
    </w:lvl>
    <w:lvl w:ilvl="8" w:tplc="D58E662A" w:tentative="1">
      <w:start w:val="1"/>
      <w:numFmt w:val="bullet"/>
      <w:lvlText w:val="•"/>
      <w:lvlJc w:val="left"/>
      <w:pPr>
        <w:tabs>
          <w:tab w:val="num" w:pos="6480"/>
        </w:tabs>
        <w:ind w:left="6480" w:hanging="360"/>
      </w:pPr>
      <w:rPr>
        <w:rFonts w:ascii="Arial" w:hAnsi="Arial" w:hint="default"/>
      </w:rPr>
    </w:lvl>
  </w:abstractNum>
  <w:num w:numId="1" w16cid:durableId="160975834">
    <w:abstractNumId w:val="0"/>
  </w:num>
  <w:num w:numId="2" w16cid:durableId="17105725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C1C"/>
    <w:rsid w:val="000032B5"/>
    <w:rsid w:val="000140DA"/>
    <w:rsid w:val="001908BF"/>
    <w:rsid w:val="001A3C58"/>
    <w:rsid w:val="001A7665"/>
    <w:rsid w:val="002A2430"/>
    <w:rsid w:val="002C67C6"/>
    <w:rsid w:val="0061204E"/>
    <w:rsid w:val="0078330E"/>
    <w:rsid w:val="00816652"/>
    <w:rsid w:val="008D1668"/>
    <w:rsid w:val="008D2558"/>
    <w:rsid w:val="008F312A"/>
    <w:rsid w:val="00983ADA"/>
    <w:rsid w:val="009B5376"/>
    <w:rsid w:val="00A246D3"/>
    <w:rsid w:val="00B62906"/>
    <w:rsid w:val="00BB2124"/>
    <w:rsid w:val="00C01C0F"/>
    <w:rsid w:val="00C160B1"/>
    <w:rsid w:val="00D43771"/>
    <w:rsid w:val="00D65C1C"/>
    <w:rsid w:val="00D868BD"/>
    <w:rsid w:val="00DD2F70"/>
    <w:rsid w:val="00E44F7F"/>
    <w:rsid w:val="00EC73FC"/>
    <w:rsid w:val="00F76B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30F6E1"/>
  <w15:chartTrackingRefBased/>
  <w15:docId w15:val="{D601BA78-6AC5-4B61-B99F-F258CD015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32B5"/>
    <w:rPr>
      <w:color w:val="0563C1" w:themeColor="hyperlink"/>
      <w:u w:val="single"/>
    </w:rPr>
  </w:style>
  <w:style w:type="character" w:styleId="UnresolvedMention">
    <w:name w:val="Unresolved Mention"/>
    <w:basedOn w:val="DefaultParagraphFont"/>
    <w:uiPriority w:val="99"/>
    <w:semiHidden/>
    <w:unhideWhenUsed/>
    <w:rsid w:val="000032B5"/>
    <w:rPr>
      <w:color w:val="605E5C"/>
      <w:shd w:val="clear" w:color="auto" w:fill="E1DFDD"/>
    </w:rPr>
  </w:style>
  <w:style w:type="paragraph" w:styleId="Header">
    <w:name w:val="header"/>
    <w:basedOn w:val="Normal"/>
    <w:link w:val="HeaderChar"/>
    <w:uiPriority w:val="99"/>
    <w:unhideWhenUsed/>
    <w:rsid w:val="006120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04E"/>
  </w:style>
  <w:style w:type="paragraph" w:styleId="Footer">
    <w:name w:val="footer"/>
    <w:basedOn w:val="Normal"/>
    <w:link w:val="FooterChar"/>
    <w:uiPriority w:val="99"/>
    <w:unhideWhenUsed/>
    <w:rsid w:val="006120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04E"/>
  </w:style>
  <w:style w:type="paragraph" w:styleId="ListParagraph">
    <w:name w:val="List Paragraph"/>
    <w:basedOn w:val="Normal"/>
    <w:uiPriority w:val="34"/>
    <w:qFormat/>
    <w:rsid w:val="00D43771"/>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94742">
      <w:bodyDiv w:val="1"/>
      <w:marLeft w:val="0"/>
      <w:marRight w:val="0"/>
      <w:marTop w:val="0"/>
      <w:marBottom w:val="0"/>
      <w:divBdr>
        <w:top w:val="none" w:sz="0" w:space="0" w:color="auto"/>
        <w:left w:val="none" w:sz="0" w:space="0" w:color="auto"/>
        <w:bottom w:val="none" w:sz="0" w:space="0" w:color="auto"/>
        <w:right w:val="none" w:sz="0" w:space="0" w:color="auto"/>
      </w:divBdr>
    </w:div>
    <w:div w:id="333647021">
      <w:bodyDiv w:val="1"/>
      <w:marLeft w:val="0"/>
      <w:marRight w:val="0"/>
      <w:marTop w:val="0"/>
      <w:marBottom w:val="0"/>
      <w:divBdr>
        <w:top w:val="none" w:sz="0" w:space="0" w:color="auto"/>
        <w:left w:val="none" w:sz="0" w:space="0" w:color="auto"/>
        <w:bottom w:val="none" w:sz="0" w:space="0" w:color="auto"/>
        <w:right w:val="none" w:sz="0" w:space="0" w:color="auto"/>
      </w:divBdr>
    </w:div>
    <w:div w:id="672073682">
      <w:bodyDiv w:val="1"/>
      <w:marLeft w:val="0"/>
      <w:marRight w:val="0"/>
      <w:marTop w:val="0"/>
      <w:marBottom w:val="0"/>
      <w:divBdr>
        <w:top w:val="none" w:sz="0" w:space="0" w:color="auto"/>
        <w:left w:val="none" w:sz="0" w:space="0" w:color="auto"/>
        <w:bottom w:val="none" w:sz="0" w:space="0" w:color="auto"/>
        <w:right w:val="none" w:sz="0" w:space="0" w:color="auto"/>
      </w:divBdr>
    </w:div>
    <w:div w:id="907229442">
      <w:bodyDiv w:val="1"/>
      <w:marLeft w:val="0"/>
      <w:marRight w:val="0"/>
      <w:marTop w:val="0"/>
      <w:marBottom w:val="0"/>
      <w:divBdr>
        <w:top w:val="none" w:sz="0" w:space="0" w:color="auto"/>
        <w:left w:val="none" w:sz="0" w:space="0" w:color="auto"/>
        <w:bottom w:val="none" w:sz="0" w:space="0" w:color="auto"/>
        <w:right w:val="none" w:sz="0" w:space="0" w:color="auto"/>
      </w:divBdr>
    </w:div>
    <w:div w:id="937447005">
      <w:bodyDiv w:val="1"/>
      <w:marLeft w:val="0"/>
      <w:marRight w:val="0"/>
      <w:marTop w:val="0"/>
      <w:marBottom w:val="0"/>
      <w:divBdr>
        <w:top w:val="none" w:sz="0" w:space="0" w:color="auto"/>
        <w:left w:val="none" w:sz="0" w:space="0" w:color="auto"/>
        <w:bottom w:val="none" w:sz="0" w:space="0" w:color="auto"/>
        <w:right w:val="none" w:sz="0" w:space="0" w:color="auto"/>
      </w:divBdr>
    </w:div>
    <w:div w:id="1140149608">
      <w:bodyDiv w:val="1"/>
      <w:marLeft w:val="0"/>
      <w:marRight w:val="0"/>
      <w:marTop w:val="0"/>
      <w:marBottom w:val="0"/>
      <w:divBdr>
        <w:top w:val="none" w:sz="0" w:space="0" w:color="auto"/>
        <w:left w:val="none" w:sz="0" w:space="0" w:color="auto"/>
        <w:bottom w:val="none" w:sz="0" w:space="0" w:color="auto"/>
        <w:right w:val="none" w:sz="0" w:space="0" w:color="auto"/>
      </w:divBdr>
      <w:divsChild>
        <w:div w:id="1391877467">
          <w:marLeft w:val="547"/>
          <w:marRight w:val="0"/>
          <w:marTop w:val="120"/>
          <w:marBottom w:val="160"/>
          <w:divBdr>
            <w:top w:val="none" w:sz="0" w:space="0" w:color="auto"/>
            <w:left w:val="none" w:sz="0" w:space="0" w:color="auto"/>
            <w:bottom w:val="none" w:sz="0" w:space="0" w:color="auto"/>
            <w:right w:val="none" w:sz="0" w:space="0" w:color="auto"/>
          </w:divBdr>
        </w:div>
        <w:div w:id="1849976206">
          <w:marLeft w:val="547"/>
          <w:marRight w:val="0"/>
          <w:marTop w:val="120"/>
          <w:marBottom w:val="160"/>
          <w:divBdr>
            <w:top w:val="none" w:sz="0" w:space="0" w:color="auto"/>
            <w:left w:val="none" w:sz="0" w:space="0" w:color="auto"/>
            <w:bottom w:val="none" w:sz="0" w:space="0" w:color="auto"/>
            <w:right w:val="none" w:sz="0" w:space="0" w:color="auto"/>
          </w:divBdr>
        </w:div>
        <w:div w:id="1536846819">
          <w:marLeft w:val="547"/>
          <w:marRight w:val="0"/>
          <w:marTop w:val="120"/>
          <w:marBottom w:val="160"/>
          <w:divBdr>
            <w:top w:val="none" w:sz="0" w:space="0" w:color="auto"/>
            <w:left w:val="none" w:sz="0" w:space="0" w:color="auto"/>
            <w:bottom w:val="none" w:sz="0" w:space="0" w:color="auto"/>
            <w:right w:val="none" w:sz="0" w:space="0" w:color="auto"/>
          </w:divBdr>
        </w:div>
        <w:div w:id="1014725599">
          <w:marLeft w:val="547"/>
          <w:marRight w:val="0"/>
          <w:marTop w:val="120"/>
          <w:marBottom w:val="160"/>
          <w:divBdr>
            <w:top w:val="none" w:sz="0" w:space="0" w:color="auto"/>
            <w:left w:val="none" w:sz="0" w:space="0" w:color="auto"/>
            <w:bottom w:val="none" w:sz="0" w:space="0" w:color="auto"/>
            <w:right w:val="none" w:sz="0" w:space="0" w:color="auto"/>
          </w:divBdr>
        </w:div>
        <w:div w:id="1322857127">
          <w:marLeft w:val="547"/>
          <w:marRight w:val="0"/>
          <w:marTop w:val="120"/>
          <w:marBottom w:val="160"/>
          <w:divBdr>
            <w:top w:val="none" w:sz="0" w:space="0" w:color="auto"/>
            <w:left w:val="none" w:sz="0" w:space="0" w:color="auto"/>
            <w:bottom w:val="none" w:sz="0" w:space="0" w:color="auto"/>
            <w:right w:val="none" w:sz="0" w:space="0" w:color="auto"/>
          </w:divBdr>
        </w:div>
      </w:divsChild>
    </w:div>
    <w:div w:id="1369918431">
      <w:bodyDiv w:val="1"/>
      <w:marLeft w:val="0"/>
      <w:marRight w:val="0"/>
      <w:marTop w:val="0"/>
      <w:marBottom w:val="0"/>
      <w:divBdr>
        <w:top w:val="none" w:sz="0" w:space="0" w:color="auto"/>
        <w:left w:val="none" w:sz="0" w:space="0" w:color="auto"/>
        <w:bottom w:val="none" w:sz="0" w:space="0" w:color="auto"/>
        <w:right w:val="none" w:sz="0" w:space="0" w:color="auto"/>
      </w:divBdr>
    </w:div>
    <w:div w:id="1483622124">
      <w:bodyDiv w:val="1"/>
      <w:marLeft w:val="0"/>
      <w:marRight w:val="0"/>
      <w:marTop w:val="0"/>
      <w:marBottom w:val="0"/>
      <w:divBdr>
        <w:top w:val="none" w:sz="0" w:space="0" w:color="auto"/>
        <w:left w:val="none" w:sz="0" w:space="0" w:color="auto"/>
        <w:bottom w:val="none" w:sz="0" w:space="0" w:color="auto"/>
        <w:right w:val="none" w:sz="0" w:space="0" w:color="auto"/>
      </w:divBdr>
    </w:div>
    <w:div w:id="1501771515">
      <w:bodyDiv w:val="1"/>
      <w:marLeft w:val="0"/>
      <w:marRight w:val="0"/>
      <w:marTop w:val="0"/>
      <w:marBottom w:val="0"/>
      <w:divBdr>
        <w:top w:val="none" w:sz="0" w:space="0" w:color="auto"/>
        <w:left w:val="none" w:sz="0" w:space="0" w:color="auto"/>
        <w:bottom w:val="none" w:sz="0" w:space="0" w:color="auto"/>
        <w:right w:val="none" w:sz="0" w:space="0" w:color="auto"/>
      </w:divBdr>
    </w:div>
    <w:div w:id="1538081463">
      <w:bodyDiv w:val="1"/>
      <w:marLeft w:val="0"/>
      <w:marRight w:val="0"/>
      <w:marTop w:val="0"/>
      <w:marBottom w:val="0"/>
      <w:divBdr>
        <w:top w:val="none" w:sz="0" w:space="0" w:color="auto"/>
        <w:left w:val="none" w:sz="0" w:space="0" w:color="auto"/>
        <w:bottom w:val="none" w:sz="0" w:space="0" w:color="auto"/>
        <w:right w:val="none" w:sz="0" w:space="0" w:color="auto"/>
      </w:divBdr>
    </w:div>
    <w:div w:id="1617564504">
      <w:bodyDiv w:val="1"/>
      <w:marLeft w:val="0"/>
      <w:marRight w:val="0"/>
      <w:marTop w:val="0"/>
      <w:marBottom w:val="0"/>
      <w:divBdr>
        <w:top w:val="none" w:sz="0" w:space="0" w:color="auto"/>
        <w:left w:val="none" w:sz="0" w:space="0" w:color="auto"/>
        <w:bottom w:val="none" w:sz="0" w:space="0" w:color="auto"/>
        <w:right w:val="none" w:sz="0" w:space="0" w:color="auto"/>
      </w:divBdr>
      <w:divsChild>
        <w:div w:id="1025788977">
          <w:marLeft w:val="547"/>
          <w:marRight w:val="0"/>
          <w:marTop w:val="120"/>
          <w:marBottom w:val="160"/>
          <w:divBdr>
            <w:top w:val="none" w:sz="0" w:space="0" w:color="auto"/>
            <w:left w:val="none" w:sz="0" w:space="0" w:color="auto"/>
            <w:bottom w:val="none" w:sz="0" w:space="0" w:color="auto"/>
            <w:right w:val="none" w:sz="0" w:space="0" w:color="auto"/>
          </w:divBdr>
        </w:div>
        <w:div w:id="1421171274">
          <w:marLeft w:val="547"/>
          <w:marRight w:val="0"/>
          <w:marTop w:val="120"/>
          <w:marBottom w:val="160"/>
          <w:divBdr>
            <w:top w:val="none" w:sz="0" w:space="0" w:color="auto"/>
            <w:left w:val="none" w:sz="0" w:space="0" w:color="auto"/>
            <w:bottom w:val="none" w:sz="0" w:space="0" w:color="auto"/>
            <w:right w:val="none" w:sz="0" w:space="0" w:color="auto"/>
          </w:divBdr>
        </w:div>
        <w:div w:id="123237972">
          <w:marLeft w:val="547"/>
          <w:marRight w:val="0"/>
          <w:marTop w:val="120"/>
          <w:marBottom w:val="160"/>
          <w:divBdr>
            <w:top w:val="none" w:sz="0" w:space="0" w:color="auto"/>
            <w:left w:val="none" w:sz="0" w:space="0" w:color="auto"/>
            <w:bottom w:val="none" w:sz="0" w:space="0" w:color="auto"/>
            <w:right w:val="none" w:sz="0" w:space="0" w:color="auto"/>
          </w:divBdr>
        </w:div>
        <w:div w:id="609120128">
          <w:marLeft w:val="547"/>
          <w:marRight w:val="0"/>
          <w:marTop w:val="120"/>
          <w:marBottom w:val="160"/>
          <w:divBdr>
            <w:top w:val="none" w:sz="0" w:space="0" w:color="auto"/>
            <w:left w:val="none" w:sz="0" w:space="0" w:color="auto"/>
            <w:bottom w:val="none" w:sz="0" w:space="0" w:color="auto"/>
            <w:right w:val="none" w:sz="0" w:space="0" w:color="auto"/>
          </w:divBdr>
        </w:div>
        <w:div w:id="1805536621">
          <w:marLeft w:val="547"/>
          <w:marRight w:val="0"/>
          <w:marTop w:val="120"/>
          <w:marBottom w:val="160"/>
          <w:divBdr>
            <w:top w:val="none" w:sz="0" w:space="0" w:color="auto"/>
            <w:left w:val="none" w:sz="0" w:space="0" w:color="auto"/>
            <w:bottom w:val="none" w:sz="0" w:space="0" w:color="auto"/>
            <w:right w:val="none" w:sz="0" w:space="0" w:color="auto"/>
          </w:divBdr>
        </w:div>
      </w:divsChild>
    </w:div>
    <w:div w:id="1738475827">
      <w:bodyDiv w:val="1"/>
      <w:marLeft w:val="0"/>
      <w:marRight w:val="0"/>
      <w:marTop w:val="0"/>
      <w:marBottom w:val="0"/>
      <w:divBdr>
        <w:top w:val="none" w:sz="0" w:space="0" w:color="auto"/>
        <w:left w:val="none" w:sz="0" w:space="0" w:color="auto"/>
        <w:bottom w:val="none" w:sz="0" w:space="0" w:color="auto"/>
        <w:right w:val="none" w:sz="0" w:space="0" w:color="auto"/>
      </w:divBdr>
    </w:div>
    <w:div w:id="1778140001">
      <w:bodyDiv w:val="1"/>
      <w:marLeft w:val="0"/>
      <w:marRight w:val="0"/>
      <w:marTop w:val="0"/>
      <w:marBottom w:val="0"/>
      <w:divBdr>
        <w:top w:val="none" w:sz="0" w:space="0" w:color="auto"/>
        <w:left w:val="none" w:sz="0" w:space="0" w:color="auto"/>
        <w:bottom w:val="none" w:sz="0" w:space="0" w:color="auto"/>
        <w:right w:val="none" w:sz="0" w:space="0" w:color="auto"/>
      </w:divBdr>
    </w:div>
    <w:div w:id="2039235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thnicity-facts-figures.service.gov.uk/work-pay-and-benefits/employment/employment/latest"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bbd.gov.uk/council-and-democracy/plans-and-priorities/strategies-policies-and-plans/tobacco-harm-reduction" TargetMode="External"/><Relationship Id="rId17" Type="http://schemas.openxmlformats.org/officeDocument/2006/relationships/hyperlink" Target="https://www.who.int/news-room/fact-sheets/detail/tobacco" TargetMode="External"/><Relationship Id="rId2" Type="http://schemas.openxmlformats.org/officeDocument/2006/relationships/styles" Target="styles.xml"/><Relationship Id="rId16" Type="http://schemas.openxmlformats.org/officeDocument/2006/relationships/hyperlink" Target="https://www.statista.com/statistics/507405/uk-active-social-media-and-mobile-social-media-user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dgov.lbbd.gov.uk/Internet/documents/s84480/Appendix%204%20-%20Mental%20Health.pdf" TargetMode="External"/><Relationship Id="rId5" Type="http://schemas.openxmlformats.org/officeDocument/2006/relationships/footnotes" Target="footnotes.xml"/><Relationship Id="rId15" Type="http://schemas.openxmlformats.org/officeDocument/2006/relationships/hyperlink" Target="https://www.ndtms.net/resources/public/Parental%20substance%20misuse/London/LN_Barking%20and%20Dagenham_2019-20_Parental_substance_misuse_data_pack.html" TargetMode="External"/><Relationship Id="rId10" Type="http://schemas.openxmlformats.org/officeDocument/2006/relationships/hyperlink" Target="https://www.lbbd.gov.uk/sites/default/files/2023-06/LBBD%20JHWS%202023-28.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bbd.gov.uk/sites/default/files/2022-09/LBBD%20Equality%20Challenges%20in%20Barking%20and%20Dagenham%20Report%202021%20summary.pdf" TargetMode="External"/><Relationship Id="rId14" Type="http://schemas.openxmlformats.org/officeDocument/2006/relationships/hyperlink" Target="https://assets.publishing.service.gov.uk/media/5a80ea5eed915d74e62312b1/Health_inequalities_in_London_Oct_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2461</Words>
  <Characters>18010</Characters>
  <Application>Microsoft Office Word</Application>
  <DocSecurity>0</DocSecurity>
  <Lines>150</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Thiongo</dc:creator>
  <cp:keywords/>
  <dc:description/>
  <cp:lastModifiedBy>Harriet Akpojotor</cp:lastModifiedBy>
  <cp:revision>2</cp:revision>
  <dcterms:created xsi:type="dcterms:W3CDTF">2023-12-11T15:48:00Z</dcterms:created>
  <dcterms:modified xsi:type="dcterms:W3CDTF">2023-12-11T15:48:00Z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1ba9ee7e1f94af5cebf028bd39497537aa3aecb516367b8ea3855307a3bf3cd4</vt:lpwstr>
  </property>
</Properties>
</file>