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2"/>
        <w:keepNext w:val="0"/>
        <w:keepLines w:val="0"/>
        <w:widowControl/>
        <w:suppressLineNumbers w:val="0"/>
        <w:pBdr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</w:pBdr>
        <w:shd w:val="clear" w:fill="FFFFFF"/>
        <w:spacing w:before="0" w:beforeAutospacing="0" w:after="0" w:afterAutospacing="0"/>
        <w:ind w:left="0" w:right="0" w:firstLine="0"/>
        <w:rPr>
          <w:rFonts w:ascii="sans-serif" w:hAnsi="sans-serif" w:eastAsia="sans-serif" w:cs="sans-serif"/>
          <w:b/>
          <w:bCs/>
          <w:i w:val="0"/>
          <w:iCs w:val="0"/>
          <w:caps w:val="0"/>
          <w:color w:val="0F0F0F"/>
          <w:spacing w:val="0"/>
          <w:sz w:val="52"/>
          <w:szCs w:val="52"/>
        </w:rPr>
      </w:pPr>
      <w:r>
        <w:rPr>
          <w:rFonts w:hint="default" w:ascii="sans-serif" w:hAnsi="sans-serif" w:eastAsia="sans-serif" w:cs="sans-serif"/>
          <w:b/>
          <w:bCs/>
          <w:i w:val="0"/>
          <w:iCs w:val="0"/>
          <w:caps w:val="0"/>
          <w:color w:val="0F0F0F"/>
          <w:spacing w:val="0"/>
          <w:sz w:val="52"/>
          <w:szCs w:val="52"/>
          <w:bdr w:val="none" w:color="auto" w:sz="0" w:space="0"/>
          <w:shd w:val="clear" w:fill="FFFFFF"/>
        </w:rPr>
        <w:t>presentation.</w:t>
      </w:r>
    </w:p>
    <w:p>
      <w:pPr>
        <w:rPr>
          <w:rFonts w:hint="default" w:ascii="Times New Roman" w:hAnsi="Times New Roman" w:cs="Times New Roman"/>
          <w:sz w:val="36"/>
          <w:szCs w:val="36"/>
        </w:rPr>
      </w:pPr>
      <w:r>
        <w:rPr>
          <w:rFonts w:hint="eastAsia" w:ascii="Times New Roman" w:hAnsi="Times New Roman" w:cs="Times New Roman"/>
          <w:sz w:val="36"/>
          <w:szCs w:val="36"/>
          <w:lang w:eastAsia="zh-CN"/>
        </w:rPr>
        <w:t>：</w:t>
      </w:r>
      <w:r>
        <w:rPr>
          <w:rFonts w:hint="default" w:ascii="Times New Roman" w:hAnsi="Times New Roman" w:cs="Times New Roman"/>
          <w:sz w:val="36"/>
          <w:szCs w:val="36"/>
        </w:rPr>
        <w:fldChar w:fldCharType="begin"/>
      </w:r>
      <w:r>
        <w:rPr>
          <w:rFonts w:hint="default" w:ascii="Times New Roman" w:hAnsi="Times New Roman" w:cs="Times New Roman"/>
          <w:sz w:val="36"/>
          <w:szCs w:val="36"/>
        </w:rPr>
        <w:instrText xml:space="preserve"> HYPERLINK "https://www.youtube.com/watch?v=zZHSri7l64o" </w:instrText>
      </w:r>
      <w:r>
        <w:rPr>
          <w:rFonts w:hint="default" w:ascii="Times New Roman" w:hAnsi="Times New Roman" w:cs="Times New Roman"/>
          <w:sz w:val="36"/>
          <w:szCs w:val="36"/>
        </w:rPr>
        <w:fldChar w:fldCharType="separate"/>
      </w:r>
      <w:r>
        <w:rPr>
          <w:rStyle w:val="5"/>
          <w:rFonts w:hint="default" w:ascii="Times New Roman" w:hAnsi="Times New Roman" w:cs="Times New Roman"/>
          <w:sz w:val="36"/>
          <w:szCs w:val="36"/>
        </w:rPr>
        <w:t>https://www.youtube.com/watch?v=zZHSri7l64o</w:t>
      </w:r>
      <w:r>
        <w:rPr>
          <w:rFonts w:hint="default" w:ascii="Times New Roman" w:hAnsi="Times New Roman" w:cs="Times New Roman"/>
          <w:sz w:val="36"/>
          <w:szCs w:val="36"/>
        </w:rPr>
        <w:fldChar w:fldCharType="end"/>
      </w:r>
    </w:p>
    <w:p>
      <w:pPr>
        <w:rPr>
          <w:rFonts w:hint="default" w:ascii="Times New Roman" w:hAnsi="Times New Roman" w:cs="Times New Roman"/>
          <w:sz w:val="36"/>
          <w:szCs w:val="36"/>
        </w:rPr>
      </w:pPr>
    </w:p>
    <w:p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>
      <w:pPr>
        <w:spacing w:line="480" w:lineRule="auto"/>
        <w:ind w:left="720" w:hanging="720"/>
        <w:rPr>
          <w:rFonts w:hint="default" w:ascii="Times New Roman" w:hAnsi="Times New Roman" w:eastAsia="Times New Roman" w:cs="Times New Roman"/>
          <w:i/>
          <w:iCs/>
          <w:color w:val="201F1E"/>
          <w:sz w:val="24"/>
          <w:szCs w:val="24"/>
          <w:lang w:eastAsia="en-GB"/>
        </w:rPr>
      </w:pPr>
      <w:r>
        <w:rPr>
          <w:rFonts w:hint="default"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Ferraro, J. (2007). </w:t>
      </w:r>
      <w:r>
        <w:rPr>
          <w:rFonts w:hint="default"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strategic project leader: Mastering service-based project leadership. Auerbach Publications.</w:t>
      </w:r>
    </w:p>
    <w:p>
      <w:pPr>
        <w:spacing w:line="480" w:lineRule="auto"/>
        <w:ind w:left="720" w:hanging="720"/>
        <w:rPr>
          <w:rFonts w:hint="default" w:ascii="Times New Roman" w:hAnsi="Times New Roman" w:eastAsia="Times New Roman" w:cs="Times New Roman"/>
          <w:i/>
          <w:iCs/>
          <w:color w:val="201F1E"/>
          <w:sz w:val="24"/>
          <w:szCs w:val="24"/>
          <w:lang w:eastAsia="en-GB"/>
        </w:rPr>
      </w:pPr>
      <w:r>
        <w:rPr>
          <w:rFonts w:hint="default" w:ascii="Times New Roman" w:hAnsi="Times New Roman" w:eastAsia="Times New Roman" w:cs="Times New Roman"/>
          <w:i/>
          <w:iCs/>
          <w:color w:val="201F1E"/>
          <w:sz w:val="24"/>
          <w:szCs w:val="24"/>
          <w:lang w:eastAsia="en-GB"/>
        </w:rPr>
        <w:t>Grey, C. (2013). A very short, fairly interesting and reasonably cheap book about studying organizations. London, Sage.</w:t>
      </w:r>
    </w:p>
    <w:p>
      <w:pPr>
        <w:spacing w:line="480" w:lineRule="auto"/>
        <w:ind w:left="720" w:hanging="720"/>
        <w:rPr>
          <w:rFonts w:hint="default" w:ascii="Times New Roman" w:hAnsi="Times New Roman" w:eastAsia="Times New Roman" w:cs="Times New Roman"/>
          <w:i/>
          <w:iCs/>
          <w:color w:val="201F1E"/>
          <w:sz w:val="24"/>
          <w:szCs w:val="24"/>
          <w:lang w:eastAsia="en-GB"/>
        </w:rPr>
      </w:pPr>
      <w:r>
        <w:rPr>
          <w:rFonts w:hint="default"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Harris, A., &amp; Chapman, C. (2004). Democratic leadership for school improvement in challenging contexts. </w:t>
      </w:r>
      <w:r>
        <w:rPr>
          <w:rFonts w:hint="default"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Democratic Learning: The challenge to school effectiveness, </w:t>
      </w:r>
      <w:r>
        <w:rPr>
          <w:rFonts w:hint="default"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6(9), 164-178.</w:t>
      </w:r>
    </w:p>
    <w:p>
      <w:pPr>
        <w:spacing w:line="480" w:lineRule="auto"/>
        <w:ind w:left="720" w:hanging="720"/>
        <w:rPr>
          <w:rFonts w:hint="default" w:ascii="Times New Roman" w:hAnsi="Times New Roman" w:eastAsia="Times New Roman" w:cs="Times New Roman"/>
          <w:i/>
          <w:iCs/>
          <w:color w:val="201F1E"/>
          <w:sz w:val="24"/>
          <w:szCs w:val="24"/>
          <w:lang w:eastAsia="en-GB"/>
        </w:rPr>
      </w:pPr>
      <w:r>
        <w:rPr>
          <w:rFonts w:hint="default"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Hermundsdottir, F., &amp; Aspelund, A. (2021). Sustainability innovations and firm competitiveness: A review. </w:t>
      </w:r>
      <w:r>
        <w:rPr>
          <w:rFonts w:hint="default"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Cleaner Production, </w:t>
      </w:r>
      <w:r>
        <w:rPr>
          <w:rFonts w:hint="default"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280, 124715.</w:t>
      </w:r>
    </w:p>
    <w:p>
      <w:pPr>
        <w:spacing w:line="480" w:lineRule="auto"/>
        <w:ind w:left="720" w:hanging="720"/>
        <w:rPr>
          <w:rFonts w:hint="default" w:ascii="Times New Roman" w:hAnsi="Times New Roman" w:eastAsia="Times New Roman" w:cs="Times New Roman"/>
          <w:i/>
          <w:iCs/>
          <w:color w:val="201F1E"/>
          <w:sz w:val="24"/>
          <w:szCs w:val="24"/>
          <w:lang w:eastAsia="en-GB"/>
        </w:rPr>
      </w:pPr>
      <w:r>
        <w:rPr>
          <w:rFonts w:hint="default"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Hollender, J., &amp; Breen, B. (2010). </w:t>
      </w:r>
      <w:r>
        <w:rPr>
          <w:rFonts w:hint="default"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responsibility revolution: How the next generation of businesses will win. John Wiley &amp; Sons.</w:t>
      </w:r>
    </w:p>
    <w:p>
      <w:pPr>
        <w:ind w:left="720" w:hanging="720"/>
        <w:rPr>
          <w:rFonts w:hint="default" w:ascii="Times New Roman" w:hAnsi="Times New Roman" w:cs="Times New Roman"/>
          <w:i/>
          <w:iCs/>
          <w:sz w:val="24"/>
          <w:szCs w:val="24"/>
        </w:rPr>
      </w:pPr>
      <w:r>
        <w:rPr>
          <w:rFonts w:hint="default" w:ascii="Times New Roman" w:hAnsi="Times New Roman" w:cs="Times New Roman"/>
          <w:i/>
          <w:iCs/>
          <w:sz w:val="24"/>
          <w:szCs w:val="24"/>
        </w:rPr>
        <w:t>Nance, M. (2014). Cultural sensitivity training: An ethical consideration for business. Journal of Business Ethics, 122(3), 449-460.</w:t>
      </w:r>
    </w:p>
    <w:p>
      <w:pPr>
        <w:ind w:left="720" w:hanging="720"/>
        <w:rPr>
          <w:rFonts w:hint="default" w:ascii="Times New Roman" w:hAnsi="Times New Roman" w:cs="Times New Roman"/>
          <w:i/>
          <w:iCs/>
          <w:sz w:val="24"/>
          <w:szCs w:val="24"/>
        </w:rPr>
      </w:pPr>
      <w:r>
        <w:rPr>
          <w:rFonts w:hint="default" w:ascii="Times New Roman" w:hAnsi="Times New Roman" w:cs="Times New Roman"/>
          <w:i/>
          <w:iCs/>
          <w:sz w:val="24"/>
          <w:szCs w:val="24"/>
          <w:lang w:val="de-DE"/>
        </w:rPr>
        <w:t xml:space="preserve">Porter, M. E., &amp; Kramer, M. R. (2006). </w:t>
      </w:r>
      <w:r>
        <w:rPr>
          <w:rFonts w:hint="default" w:ascii="Times New Roman" w:hAnsi="Times New Roman" w:cs="Times New Roman"/>
          <w:i/>
          <w:iCs/>
          <w:sz w:val="24"/>
          <w:szCs w:val="24"/>
        </w:rPr>
        <w:t>Strategy and society: The link between competitive advantage and corporate social responsibility. Harvard Business Review, 84(12), 78-92.</w:t>
      </w:r>
    </w:p>
    <w:p>
      <w:pPr>
        <w:ind w:left="720" w:hanging="720"/>
        <w:rPr>
          <w:rFonts w:hint="default" w:ascii="Times New Roman" w:hAnsi="Times New Roman" w:cs="Times New Roman"/>
          <w:i/>
          <w:iCs/>
          <w:sz w:val="24"/>
          <w:szCs w:val="24"/>
        </w:rPr>
      </w:pPr>
      <w:r>
        <w:rPr>
          <w:rFonts w:hint="default" w:ascii="Times New Roman" w:hAnsi="Times New Roman" w:cs="Times New Roman"/>
          <w:i/>
          <w:iCs/>
          <w:sz w:val="24"/>
          <w:szCs w:val="24"/>
        </w:rPr>
        <w:t>Shenkar, O. (2001). Cultural distance revisited: Towards a more rigorous conceptualization and measurement of cultural differences. Journal of International Business Studies, 32(3), 519-536.</w:t>
      </w:r>
    </w:p>
    <w:p>
      <w:pPr>
        <w:ind w:left="720" w:hanging="720"/>
        <w:rPr>
          <w:rFonts w:hint="default" w:ascii="Times New Roman" w:hAnsi="Times New Roman" w:cs="Times New Roman"/>
          <w:i/>
          <w:iCs/>
          <w:sz w:val="24"/>
          <w:szCs w:val="24"/>
        </w:rPr>
      </w:pPr>
      <w:r>
        <w:rPr>
          <w:rFonts w:hint="default" w:ascii="Times New Roman" w:hAnsi="Times New Roman" w:cs="Times New Roman"/>
          <w:i/>
          <w:iCs/>
          <w:sz w:val="24"/>
          <w:szCs w:val="24"/>
        </w:rPr>
        <w:t>Sternberg, E., &amp; Kishore, R. (2018). Doing business in India: A cultural perspective. Routledge.</w:t>
      </w:r>
    </w:p>
    <w:p>
      <w:pPr>
        <w:ind w:left="720" w:hanging="720"/>
        <w:rPr>
          <w:rFonts w:hint="default" w:ascii="Times New Roman" w:hAnsi="Times New Roman" w:cs="Times New Roman"/>
          <w:i/>
          <w:iCs/>
          <w:sz w:val="24"/>
          <w:szCs w:val="24"/>
        </w:rPr>
      </w:pPr>
      <w:r>
        <w:rPr>
          <w:rFonts w:hint="default" w:ascii="Times New Roman" w:hAnsi="Times New Roman" w:cs="Times New Roman"/>
          <w:i/>
          <w:iCs/>
          <w:sz w:val="24"/>
          <w:szCs w:val="24"/>
        </w:rPr>
        <w:t>United Nations Global Compact. (2018). Culture and sustainability: An overview. Retrieved from https://www.unglobalcompact.org/library/culture-and-sustainability</w:t>
      </w:r>
    </w:p>
    <w:p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Dobson, P., &amp; Starkey, K. (2005). Business ethics: A European perspective. Oxford University Press.</w:t>
      </w:r>
    </w:p>
    <w:p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Friedman, M. (1970). The social responsibility of business is to increase its profits. The New York Times Magazine.</w:t>
      </w:r>
    </w:p>
    <w:p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Gao, G., &amp; Trompenaars, F. (2012). Culture and corporate social responsibility: A study of multinationals in China. Journal of Business Ethics, 107(4), 407-419.</w:t>
      </w:r>
    </w:p>
    <w:p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Hofstede, G. (2010). Dimensionalizing cultures: The Hofstede model in context. Online Readings in Psychology and Culture, 2(1).</w:t>
      </w:r>
    </w:p>
    <w:p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International Association of Gaming Regulators. (2016). The role of gaming regulators. Retrieved from http://www.iagr.org/the-role-of-gaming-regulators/</w:t>
      </w:r>
    </w:p>
    <w:p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Kosunen, J., Kaivo-oja, J., &amp; Huttunen, K. (2012). Corporate sustainability reporting in Finland and the UK: A comparative study of contextual and content-related factors. Journal of Cleaner Production, 21, 29-38.</w:t>
      </w:r>
    </w:p>
    <w:p>
      <w:pPr>
        <w:rPr>
          <w:rFonts w:hint="default" w:ascii="Times New Roman" w:hAnsi="Times New Roman" w:cs="Times New Roman"/>
          <w:i/>
          <w:iCs/>
          <w:sz w:val="24"/>
          <w:szCs w:val="24"/>
        </w:rPr>
      </w:pPr>
      <w:bookmarkStart w:id="0" w:name="_GoBack"/>
      <w:bookmarkEnd w:id="0"/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  <w:font w:name="sans-serif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6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Zjg3OTcyNTliN2RmOWU3MWJmYzA4OGQyMmU5NWY2OGUifQ=="/>
  </w:docVars>
  <w:rsids>
    <w:rsidRoot w:val="70E468AB"/>
    <w:rsid w:val="70E468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1"/>
    <w:basedOn w:val="1"/>
    <w:next w:val="1"/>
    <w:qFormat/>
    <w:uiPriority w:val="0"/>
    <w:pPr>
      <w:spacing w:before="0" w:beforeAutospacing="1" w:after="0" w:afterAutospacing="1"/>
      <w:jc w:val="left"/>
    </w:pPr>
    <w:rPr>
      <w:rFonts w:hint="eastAsia" w:ascii="宋体" w:hAnsi="宋体" w:eastAsia="宋体" w:cs="宋体"/>
      <w:b/>
      <w:bCs/>
      <w:kern w:val="44"/>
      <w:sz w:val="48"/>
      <w:szCs w:val="48"/>
      <w:lang w:val="en-US" w:eastAsia="zh-CN" w:bidi="ar"/>
    </w:rPr>
  </w:style>
  <w:style w:type="character" w:default="1" w:styleId="4">
    <w:name w:val="Default Paragraph Font"/>
    <w:semiHidden/>
    <w:qFormat/>
    <w:uiPriority w:val="0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5">
    <w:name w:val="Hyperlink"/>
    <w:basedOn w:val="4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189</Words>
  <Characters>1341</Characters>
  <Lines>0</Lines>
  <Paragraphs>0</Paragraphs>
  <TotalTime>1</TotalTime>
  <ScaleCrop>false</ScaleCrop>
  <LinksUpToDate>false</LinksUpToDate>
  <CharactersWithSpaces>1516</CharactersWithSpaces>
  <Application>WPS Office_11.1.0.13703_F1E327BC-269C-435d-A152-05C5408002CA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2023-01-15T16:14:00Z</dcterms:created>
  <dc:creator>Jimmy</dc:creator>
  <cp:lastModifiedBy>Jimmy</cp:lastModifiedBy>
  <dcterms:modified xsi:type="dcterms:W3CDTF">2023-01-15T16:18:35Z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2052-11.1.0.13703</vt:lpwstr>
  </property>
  <property fmtid="{D5CDD505-2E9C-101B-9397-08002B2CF9AE}" pid="3" name="ICV">
    <vt:lpwstr>F512B734E7DB4AB9A2C2704C9D54A759</vt:lpwstr>
  </property>
</Properties>
</file>