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57D5" w:rsidRPr="00CF57D5" w:rsidRDefault="00CF57D5" w:rsidP="00CF57D5">
      <w:pPr>
        <w:spacing w:after="0"/>
        <w:jc w:val="center"/>
        <w:rPr>
          <w:sz w:val="24"/>
          <w:szCs w:val="24"/>
          <w:u w:val="single"/>
        </w:rPr>
      </w:pPr>
      <w:r w:rsidRPr="00CF57D5">
        <w:rPr>
          <w:sz w:val="24"/>
          <w:szCs w:val="24"/>
          <w:u w:val="single"/>
        </w:rPr>
        <w:t xml:space="preserve">The law in relation to non-fatal Offences </w:t>
      </w:r>
      <w:proofErr w:type="gramStart"/>
      <w:r w:rsidRPr="00CF57D5">
        <w:rPr>
          <w:sz w:val="24"/>
          <w:szCs w:val="24"/>
          <w:u w:val="single"/>
        </w:rPr>
        <w:t>Against</w:t>
      </w:r>
      <w:proofErr w:type="gramEnd"/>
      <w:r w:rsidRPr="00CF57D5">
        <w:rPr>
          <w:sz w:val="24"/>
          <w:szCs w:val="24"/>
          <w:u w:val="single"/>
        </w:rPr>
        <w:t xml:space="preserve"> the Person Act 1861 is no longer fit or purpose and is in need of a reform</w:t>
      </w:r>
      <w:bookmarkStart w:id="0" w:name="_GoBack"/>
      <w:bookmarkEnd w:id="0"/>
      <w:r w:rsidR="00955D25">
        <w:rPr>
          <w:sz w:val="24"/>
          <w:szCs w:val="24"/>
          <w:u w:val="single"/>
        </w:rPr>
        <w:t>.</w:t>
      </w:r>
    </w:p>
    <w:p w:rsidR="00CF57D5" w:rsidRDefault="00CF57D5" w:rsidP="00FD6B86">
      <w:pPr>
        <w:spacing w:after="0"/>
        <w:jc w:val="both"/>
        <w:rPr>
          <w:sz w:val="24"/>
          <w:szCs w:val="24"/>
        </w:rPr>
      </w:pPr>
    </w:p>
    <w:p w:rsidR="00C81032" w:rsidRPr="000C3143" w:rsidRDefault="00C746F6" w:rsidP="00FD6B86">
      <w:pPr>
        <w:spacing w:after="0"/>
        <w:jc w:val="both"/>
        <w:rPr>
          <w:sz w:val="24"/>
          <w:szCs w:val="24"/>
        </w:rPr>
      </w:pPr>
      <w:r w:rsidRPr="000C3143">
        <w:rPr>
          <w:sz w:val="24"/>
          <w:szCs w:val="24"/>
        </w:rPr>
        <w:t>The</w:t>
      </w:r>
      <w:r w:rsidR="00C81032">
        <w:rPr>
          <w:sz w:val="24"/>
          <w:szCs w:val="24"/>
        </w:rPr>
        <w:t xml:space="preserve"> Offences </w:t>
      </w:r>
      <w:proofErr w:type="gramStart"/>
      <w:r w:rsidR="00C81032">
        <w:rPr>
          <w:sz w:val="24"/>
          <w:szCs w:val="24"/>
        </w:rPr>
        <w:t>Against</w:t>
      </w:r>
      <w:proofErr w:type="gramEnd"/>
      <w:r w:rsidR="00C81032">
        <w:rPr>
          <w:sz w:val="24"/>
          <w:szCs w:val="24"/>
        </w:rPr>
        <w:t xml:space="preserve"> the P</w:t>
      </w:r>
      <w:r w:rsidR="00544CE5" w:rsidRPr="000C3143">
        <w:rPr>
          <w:sz w:val="24"/>
          <w:szCs w:val="24"/>
        </w:rPr>
        <w:t xml:space="preserve">erson </w:t>
      </w:r>
      <w:r w:rsidRPr="000C3143">
        <w:rPr>
          <w:sz w:val="24"/>
          <w:szCs w:val="24"/>
        </w:rPr>
        <w:t>A</w:t>
      </w:r>
      <w:r w:rsidR="00544CE5" w:rsidRPr="000C3143">
        <w:rPr>
          <w:sz w:val="24"/>
          <w:szCs w:val="24"/>
        </w:rPr>
        <w:t>ct 1861 is wide</w:t>
      </w:r>
      <w:r w:rsidR="004577F1">
        <w:rPr>
          <w:sz w:val="24"/>
          <w:szCs w:val="24"/>
        </w:rPr>
        <w:t>ly recognised as being outdated,</w:t>
      </w:r>
      <w:r w:rsidR="00544CE5" w:rsidRPr="000C3143">
        <w:rPr>
          <w:sz w:val="24"/>
          <w:szCs w:val="24"/>
        </w:rPr>
        <w:t xml:space="preserve"> </w:t>
      </w:r>
      <w:r w:rsidR="004577F1">
        <w:rPr>
          <w:sz w:val="24"/>
          <w:szCs w:val="24"/>
        </w:rPr>
        <w:t>a</w:t>
      </w:r>
      <w:r w:rsidR="000C3143" w:rsidRPr="000C3143">
        <w:rPr>
          <w:sz w:val="24"/>
          <w:szCs w:val="24"/>
        </w:rPr>
        <w:t xml:space="preserve">ccording to the Law Commission (2015) ‘there are over 26,000 </w:t>
      </w:r>
      <w:r w:rsidR="000C3143">
        <w:rPr>
          <w:sz w:val="24"/>
          <w:szCs w:val="24"/>
        </w:rPr>
        <w:t>pr</w:t>
      </w:r>
      <w:r w:rsidR="00C44332">
        <w:rPr>
          <w:sz w:val="24"/>
          <w:szCs w:val="24"/>
        </w:rPr>
        <w:t>osecutors each year, under the Offences A</w:t>
      </w:r>
      <w:r w:rsidR="000C3143">
        <w:rPr>
          <w:sz w:val="24"/>
          <w:szCs w:val="24"/>
        </w:rPr>
        <w:t xml:space="preserve">gainst the </w:t>
      </w:r>
      <w:r w:rsidR="00C44332">
        <w:rPr>
          <w:sz w:val="24"/>
          <w:szCs w:val="24"/>
        </w:rPr>
        <w:t>P</w:t>
      </w:r>
      <w:r w:rsidR="000C3143">
        <w:rPr>
          <w:sz w:val="24"/>
          <w:szCs w:val="24"/>
        </w:rPr>
        <w:t xml:space="preserve">erson </w:t>
      </w:r>
      <w:r w:rsidR="00C44332">
        <w:rPr>
          <w:sz w:val="24"/>
          <w:szCs w:val="24"/>
        </w:rPr>
        <w:t>A</w:t>
      </w:r>
      <w:r w:rsidR="000C3143">
        <w:rPr>
          <w:sz w:val="24"/>
          <w:szCs w:val="24"/>
        </w:rPr>
        <w:t xml:space="preserve">ct 1861’. </w:t>
      </w:r>
      <w:r w:rsidR="00E2563F">
        <w:rPr>
          <w:sz w:val="24"/>
          <w:szCs w:val="24"/>
        </w:rPr>
        <w:t>The</w:t>
      </w:r>
      <w:r w:rsidR="00E2563F" w:rsidRPr="005832F2">
        <w:rPr>
          <w:sz w:val="24"/>
          <w:szCs w:val="24"/>
        </w:rPr>
        <w:t xml:space="preserve"> Law Commission </w:t>
      </w:r>
      <w:r w:rsidR="00E2563F">
        <w:rPr>
          <w:sz w:val="24"/>
          <w:szCs w:val="24"/>
        </w:rPr>
        <w:t xml:space="preserve">studied the current law and broke down the problems </w:t>
      </w:r>
      <w:r w:rsidR="00C44332">
        <w:rPr>
          <w:sz w:val="24"/>
          <w:szCs w:val="24"/>
        </w:rPr>
        <w:t>that arose</w:t>
      </w:r>
      <w:r w:rsidR="00B64EAB">
        <w:rPr>
          <w:sz w:val="24"/>
          <w:szCs w:val="24"/>
        </w:rPr>
        <w:t>, and have</w:t>
      </w:r>
      <w:r w:rsidR="00E2563F">
        <w:rPr>
          <w:sz w:val="24"/>
          <w:szCs w:val="24"/>
        </w:rPr>
        <w:t xml:space="preserve"> recommended </w:t>
      </w:r>
      <w:r w:rsidR="00B64EAB">
        <w:rPr>
          <w:sz w:val="24"/>
          <w:szCs w:val="24"/>
        </w:rPr>
        <w:t>options for future reform.</w:t>
      </w:r>
      <w:r w:rsidR="00E2563F">
        <w:rPr>
          <w:sz w:val="24"/>
          <w:szCs w:val="24"/>
        </w:rPr>
        <w:t xml:space="preserve"> </w:t>
      </w:r>
      <w:r w:rsidR="00B64EAB">
        <w:rPr>
          <w:sz w:val="24"/>
          <w:szCs w:val="24"/>
        </w:rPr>
        <w:t xml:space="preserve"> Section 47, s18, and s20 in the 1861 Act </w:t>
      </w:r>
      <w:r w:rsidR="00157EC0">
        <w:rPr>
          <w:sz w:val="24"/>
          <w:szCs w:val="24"/>
        </w:rPr>
        <w:t xml:space="preserve">have </w:t>
      </w:r>
      <w:r w:rsidR="00B64EAB">
        <w:rPr>
          <w:sz w:val="24"/>
          <w:szCs w:val="24"/>
        </w:rPr>
        <w:t xml:space="preserve">dramatically </w:t>
      </w:r>
      <w:r w:rsidR="00157EC0">
        <w:rPr>
          <w:sz w:val="24"/>
          <w:szCs w:val="24"/>
        </w:rPr>
        <w:t xml:space="preserve">influenced the need for a reform concentrating </w:t>
      </w:r>
      <w:r w:rsidR="00B64EAB">
        <w:rPr>
          <w:sz w:val="24"/>
          <w:szCs w:val="24"/>
        </w:rPr>
        <w:t xml:space="preserve">on </w:t>
      </w:r>
      <w:r w:rsidR="00157EC0">
        <w:rPr>
          <w:sz w:val="24"/>
          <w:szCs w:val="24"/>
        </w:rPr>
        <w:t>the sentencing and the terminology used</w:t>
      </w:r>
      <w:r w:rsidR="00B64EAB">
        <w:rPr>
          <w:sz w:val="24"/>
          <w:szCs w:val="24"/>
        </w:rPr>
        <w:t xml:space="preserve"> including ‘grievous’. </w:t>
      </w:r>
      <w:r w:rsidR="00157EC0">
        <w:rPr>
          <w:sz w:val="24"/>
          <w:szCs w:val="24"/>
        </w:rPr>
        <w:t xml:space="preserve">In </w:t>
      </w:r>
      <w:r w:rsidR="000C3143">
        <w:rPr>
          <w:sz w:val="24"/>
          <w:szCs w:val="24"/>
        </w:rPr>
        <w:t>November 2015</w:t>
      </w:r>
      <w:r w:rsidR="000C3143" w:rsidRPr="000C3143">
        <w:rPr>
          <w:sz w:val="24"/>
          <w:szCs w:val="24"/>
        </w:rPr>
        <w:t xml:space="preserve">, the </w:t>
      </w:r>
      <w:r w:rsidR="00E2563F" w:rsidRPr="000C3143">
        <w:rPr>
          <w:sz w:val="24"/>
          <w:szCs w:val="24"/>
        </w:rPr>
        <w:t>Commission published</w:t>
      </w:r>
      <w:r w:rsidR="00C81032">
        <w:rPr>
          <w:sz w:val="24"/>
          <w:szCs w:val="24"/>
        </w:rPr>
        <w:t xml:space="preserve"> the Scoping </w:t>
      </w:r>
      <w:r w:rsidR="00C81032" w:rsidRPr="000C3143">
        <w:rPr>
          <w:sz w:val="24"/>
          <w:szCs w:val="24"/>
        </w:rPr>
        <w:t>Consultation</w:t>
      </w:r>
      <w:r w:rsidR="00B64EAB">
        <w:rPr>
          <w:sz w:val="24"/>
          <w:szCs w:val="24"/>
        </w:rPr>
        <w:t xml:space="preserve"> Paper </w:t>
      </w:r>
      <w:r w:rsidR="00727D27">
        <w:rPr>
          <w:sz w:val="24"/>
          <w:szCs w:val="24"/>
        </w:rPr>
        <w:t xml:space="preserve">which was requested by the Ministry of Justice </w:t>
      </w:r>
      <w:r w:rsidR="00B64EAB">
        <w:rPr>
          <w:sz w:val="24"/>
          <w:szCs w:val="24"/>
        </w:rPr>
        <w:t>to reform</w:t>
      </w:r>
      <w:r w:rsidR="00C81032">
        <w:rPr>
          <w:sz w:val="24"/>
          <w:szCs w:val="24"/>
        </w:rPr>
        <w:t xml:space="preserve"> the Offences </w:t>
      </w:r>
      <w:proofErr w:type="gramStart"/>
      <w:r w:rsidR="00C81032">
        <w:rPr>
          <w:sz w:val="24"/>
          <w:szCs w:val="24"/>
        </w:rPr>
        <w:t>Against</w:t>
      </w:r>
      <w:proofErr w:type="gramEnd"/>
      <w:r w:rsidR="00C81032">
        <w:rPr>
          <w:sz w:val="24"/>
          <w:szCs w:val="24"/>
        </w:rPr>
        <w:t xml:space="preserve"> the Person Act 1861, which contains their final recommendations to the government</w:t>
      </w:r>
      <w:r w:rsidR="00727D27">
        <w:rPr>
          <w:sz w:val="24"/>
          <w:szCs w:val="24"/>
        </w:rPr>
        <w:t xml:space="preserve"> (Jackson and Storey, 2015)</w:t>
      </w:r>
      <w:r w:rsidR="00C81032">
        <w:rPr>
          <w:sz w:val="24"/>
          <w:szCs w:val="24"/>
        </w:rPr>
        <w:t xml:space="preserve">.  The Scoping </w:t>
      </w:r>
      <w:r w:rsidR="00C81032" w:rsidRPr="000C3143">
        <w:rPr>
          <w:sz w:val="24"/>
          <w:szCs w:val="24"/>
        </w:rPr>
        <w:t>Consultation</w:t>
      </w:r>
      <w:r w:rsidR="00C81032">
        <w:rPr>
          <w:sz w:val="24"/>
          <w:szCs w:val="24"/>
        </w:rPr>
        <w:t xml:space="preserve"> Paper with the Draft Bill entitled ‘Violence: Reforming the Offence </w:t>
      </w:r>
      <w:proofErr w:type="gramStart"/>
      <w:r w:rsidR="00C81032">
        <w:rPr>
          <w:sz w:val="24"/>
          <w:szCs w:val="24"/>
        </w:rPr>
        <w:t>Against</w:t>
      </w:r>
      <w:proofErr w:type="gramEnd"/>
      <w:r w:rsidR="00C81032">
        <w:rPr>
          <w:sz w:val="24"/>
          <w:szCs w:val="24"/>
        </w:rPr>
        <w:t xml:space="preserve"> the Person Act 1861</w:t>
      </w:r>
      <w:r w:rsidR="005E2F63">
        <w:rPr>
          <w:sz w:val="24"/>
          <w:szCs w:val="24"/>
        </w:rPr>
        <w:t>’</w:t>
      </w:r>
      <w:r w:rsidR="00C81032">
        <w:rPr>
          <w:sz w:val="24"/>
          <w:szCs w:val="24"/>
        </w:rPr>
        <w:t>, was devised to analyse the current legal landscape and exp</w:t>
      </w:r>
      <w:r w:rsidR="004577F1">
        <w:rPr>
          <w:sz w:val="24"/>
          <w:szCs w:val="24"/>
        </w:rPr>
        <w:t xml:space="preserve">lore whether a reform was </w:t>
      </w:r>
      <w:r w:rsidR="00CF57D5">
        <w:rPr>
          <w:sz w:val="24"/>
          <w:szCs w:val="24"/>
        </w:rPr>
        <w:t>necessary</w:t>
      </w:r>
      <w:r w:rsidR="00C81032">
        <w:rPr>
          <w:sz w:val="24"/>
          <w:szCs w:val="24"/>
        </w:rPr>
        <w:t xml:space="preserve">. </w:t>
      </w:r>
      <w:r w:rsidR="00B64EAB">
        <w:rPr>
          <w:sz w:val="24"/>
          <w:szCs w:val="24"/>
        </w:rPr>
        <w:t>The diverse</w:t>
      </w:r>
      <w:r w:rsidR="00C81032">
        <w:rPr>
          <w:sz w:val="24"/>
          <w:szCs w:val="24"/>
        </w:rPr>
        <w:t xml:space="preserve"> opinions </w:t>
      </w:r>
      <w:r w:rsidR="00E2563F">
        <w:rPr>
          <w:sz w:val="24"/>
          <w:szCs w:val="24"/>
        </w:rPr>
        <w:t xml:space="preserve">that </w:t>
      </w:r>
      <w:r w:rsidR="00D71532">
        <w:rPr>
          <w:sz w:val="24"/>
          <w:szCs w:val="24"/>
        </w:rPr>
        <w:t xml:space="preserve">exist regarding the </w:t>
      </w:r>
      <w:r w:rsidR="00C81032">
        <w:rPr>
          <w:sz w:val="24"/>
          <w:szCs w:val="24"/>
        </w:rPr>
        <w:t>reform of the Offences Against the Person Act 1861</w:t>
      </w:r>
      <w:r w:rsidR="00E2563F">
        <w:rPr>
          <w:sz w:val="24"/>
          <w:szCs w:val="24"/>
        </w:rPr>
        <w:t xml:space="preserve">, are articulated in The Bar Council and the case of Ireland and Burstow (1998, cited by Child and Ormerod 2017 pg 231). </w:t>
      </w:r>
      <w:r w:rsidR="00C81032" w:rsidRPr="005832F2">
        <w:rPr>
          <w:sz w:val="24"/>
          <w:szCs w:val="24"/>
        </w:rPr>
        <w:t xml:space="preserve">The Lord  Chief Justice of England and Wales, the Rt Hon the Lord Thomas of Cwngiedd </w:t>
      </w:r>
      <w:r w:rsidR="00C44332">
        <w:rPr>
          <w:sz w:val="24"/>
          <w:szCs w:val="24"/>
        </w:rPr>
        <w:t>expresses</w:t>
      </w:r>
      <w:r w:rsidR="00F24F94" w:rsidRPr="005832F2">
        <w:rPr>
          <w:sz w:val="24"/>
          <w:szCs w:val="24"/>
        </w:rPr>
        <w:t xml:space="preserve"> that ‘the legislation is out of date and in some areas obsolete; new ways of offending are not adequately captured’(Law Commission, 2015). </w:t>
      </w:r>
    </w:p>
    <w:p w:rsidR="005926A3" w:rsidRDefault="00544CE5" w:rsidP="00FD6B86">
      <w:pPr>
        <w:spacing w:after="0"/>
        <w:jc w:val="both"/>
        <w:rPr>
          <w:sz w:val="24"/>
          <w:szCs w:val="24"/>
        </w:rPr>
      </w:pPr>
      <w:r w:rsidRPr="005832F2">
        <w:rPr>
          <w:sz w:val="24"/>
          <w:szCs w:val="24"/>
        </w:rPr>
        <w:t xml:space="preserve">The terminology used is </w:t>
      </w:r>
      <w:r w:rsidR="00115654" w:rsidRPr="005832F2">
        <w:rPr>
          <w:sz w:val="24"/>
          <w:szCs w:val="24"/>
        </w:rPr>
        <w:t>obscure for</w:t>
      </w:r>
      <w:r w:rsidR="00C42D58" w:rsidRPr="005832F2">
        <w:rPr>
          <w:sz w:val="24"/>
          <w:szCs w:val="24"/>
        </w:rPr>
        <w:t xml:space="preserve"> </w:t>
      </w:r>
      <w:r w:rsidR="00345D02" w:rsidRPr="005832F2">
        <w:rPr>
          <w:sz w:val="24"/>
          <w:szCs w:val="24"/>
        </w:rPr>
        <w:t>example;</w:t>
      </w:r>
      <w:r w:rsidRPr="005832F2">
        <w:rPr>
          <w:sz w:val="24"/>
          <w:szCs w:val="24"/>
        </w:rPr>
        <w:t xml:space="preserve"> </w:t>
      </w:r>
      <w:r w:rsidR="005E2F63">
        <w:rPr>
          <w:sz w:val="24"/>
          <w:szCs w:val="24"/>
        </w:rPr>
        <w:t>‘penal servitude’ as</w:t>
      </w:r>
      <w:r w:rsidR="00996313" w:rsidRPr="005832F2">
        <w:rPr>
          <w:sz w:val="24"/>
          <w:szCs w:val="24"/>
        </w:rPr>
        <w:t xml:space="preserve"> seen</w:t>
      </w:r>
      <w:r w:rsidR="00B76BCD" w:rsidRPr="005832F2">
        <w:rPr>
          <w:sz w:val="24"/>
          <w:szCs w:val="24"/>
        </w:rPr>
        <w:t xml:space="preserve"> in</w:t>
      </w:r>
      <w:r w:rsidR="00781948">
        <w:rPr>
          <w:sz w:val="24"/>
          <w:szCs w:val="24"/>
        </w:rPr>
        <w:t xml:space="preserve"> section 47 </w:t>
      </w:r>
      <w:r w:rsidR="004577F1">
        <w:rPr>
          <w:sz w:val="24"/>
          <w:szCs w:val="24"/>
        </w:rPr>
        <w:t xml:space="preserve">of the Offences </w:t>
      </w:r>
      <w:proofErr w:type="gramStart"/>
      <w:r w:rsidR="004577F1">
        <w:rPr>
          <w:sz w:val="24"/>
          <w:szCs w:val="24"/>
        </w:rPr>
        <w:t>Against</w:t>
      </w:r>
      <w:proofErr w:type="gramEnd"/>
      <w:r w:rsidR="004577F1">
        <w:rPr>
          <w:sz w:val="24"/>
          <w:szCs w:val="24"/>
        </w:rPr>
        <w:t xml:space="preserve"> the Person Act 1861, which original mean</w:t>
      </w:r>
      <w:r w:rsidR="005E2F63">
        <w:rPr>
          <w:sz w:val="24"/>
          <w:szCs w:val="24"/>
        </w:rPr>
        <w:t>t</w:t>
      </w:r>
      <w:r w:rsidR="004577F1">
        <w:rPr>
          <w:sz w:val="24"/>
          <w:szCs w:val="24"/>
        </w:rPr>
        <w:t xml:space="preserve"> a</w:t>
      </w:r>
      <w:r w:rsidR="00C42D58" w:rsidRPr="005832F2">
        <w:rPr>
          <w:sz w:val="24"/>
          <w:szCs w:val="24"/>
        </w:rPr>
        <w:t xml:space="preserve"> sente</w:t>
      </w:r>
      <w:r w:rsidR="004577F1">
        <w:rPr>
          <w:sz w:val="24"/>
          <w:szCs w:val="24"/>
        </w:rPr>
        <w:t>nce involving hard labour, however, it</w:t>
      </w:r>
      <w:r w:rsidR="00781948">
        <w:rPr>
          <w:sz w:val="24"/>
          <w:szCs w:val="24"/>
        </w:rPr>
        <w:t xml:space="preserve"> is</w:t>
      </w:r>
      <w:r w:rsidR="00C42D58" w:rsidRPr="005832F2">
        <w:rPr>
          <w:sz w:val="24"/>
          <w:szCs w:val="24"/>
        </w:rPr>
        <w:t xml:space="preserve"> now</w:t>
      </w:r>
      <w:r w:rsidR="008E5A95" w:rsidRPr="005832F2">
        <w:rPr>
          <w:sz w:val="24"/>
          <w:szCs w:val="24"/>
        </w:rPr>
        <w:t xml:space="preserve"> </w:t>
      </w:r>
      <w:r w:rsidR="00F7486F" w:rsidRPr="005832F2">
        <w:rPr>
          <w:sz w:val="24"/>
          <w:szCs w:val="24"/>
        </w:rPr>
        <w:t xml:space="preserve">deemed </w:t>
      </w:r>
      <w:r w:rsidR="008E5A95" w:rsidRPr="005832F2">
        <w:rPr>
          <w:sz w:val="24"/>
          <w:szCs w:val="24"/>
        </w:rPr>
        <w:t xml:space="preserve">to mean imprisonment. </w:t>
      </w:r>
      <w:r w:rsidR="00115654" w:rsidRPr="005832F2">
        <w:rPr>
          <w:sz w:val="24"/>
          <w:szCs w:val="24"/>
        </w:rPr>
        <w:t xml:space="preserve">Another reference to a concept that no longer exists is ‘felony’, </w:t>
      </w:r>
      <w:r w:rsidR="00F7486F" w:rsidRPr="005832F2">
        <w:rPr>
          <w:sz w:val="24"/>
          <w:szCs w:val="24"/>
        </w:rPr>
        <w:t>which</w:t>
      </w:r>
      <w:r w:rsidR="00115654" w:rsidRPr="005832F2">
        <w:rPr>
          <w:sz w:val="24"/>
          <w:szCs w:val="24"/>
        </w:rPr>
        <w:t xml:space="preserve"> mean</w:t>
      </w:r>
      <w:r w:rsidR="00F7486F" w:rsidRPr="005832F2">
        <w:rPr>
          <w:sz w:val="24"/>
          <w:szCs w:val="24"/>
        </w:rPr>
        <w:t>s</w:t>
      </w:r>
      <w:r w:rsidR="00115654" w:rsidRPr="005832F2">
        <w:rPr>
          <w:sz w:val="24"/>
          <w:szCs w:val="24"/>
        </w:rPr>
        <w:t xml:space="preserve"> more serious than</w:t>
      </w:r>
      <w:r w:rsidR="00115654" w:rsidRPr="005832F2">
        <w:rPr>
          <w:rFonts w:cstheme="minorHAnsi"/>
          <w:sz w:val="24"/>
          <w:szCs w:val="24"/>
        </w:rPr>
        <w:t xml:space="preserve"> </w:t>
      </w:r>
      <w:r w:rsidR="00996313" w:rsidRPr="005832F2">
        <w:rPr>
          <w:rFonts w:cstheme="minorHAnsi"/>
          <w:sz w:val="24"/>
          <w:szCs w:val="24"/>
          <w:shd w:val="clear" w:color="auto" w:fill="FFFFFF"/>
        </w:rPr>
        <w:t>a misdemeanour</w:t>
      </w:r>
      <w:r w:rsidR="00115654" w:rsidRPr="005832F2">
        <w:rPr>
          <w:rFonts w:cstheme="minorHAnsi"/>
          <w:sz w:val="24"/>
          <w:szCs w:val="24"/>
          <w:shd w:val="clear" w:color="auto" w:fill="FFFFFF"/>
        </w:rPr>
        <w:t xml:space="preserve">. </w:t>
      </w:r>
      <w:r w:rsidR="009514DA" w:rsidRPr="005832F2">
        <w:rPr>
          <w:sz w:val="24"/>
          <w:szCs w:val="24"/>
        </w:rPr>
        <w:t>T</w:t>
      </w:r>
      <w:r w:rsidR="00AE25CC" w:rsidRPr="005832F2">
        <w:rPr>
          <w:sz w:val="24"/>
          <w:szCs w:val="24"/>
        </w:rPr>
        <w:t>he case law DPP v Smith (1961</w:t>
      </w:r>
      <w:r w:rsidR="009538F3" w:rsidRPr="005832F2">
        <w:rPr>
          <w:sz w:val="24"/>
          <w:szCs w:val="24"/>
        </w:rPr>
        <w:t>, cited by Child and Ormerod, 2017, pp 231</w:t>
      </w:r>
      <w:r w:rsidR="00AE25CC" w:rsidRPr="005832F2">
        <w:rPr>
          <w:sz w:val="24"/>
          <w:szCs w:val="24"/>
        </w:rPr>
        <w:t>)</w:t>
      </w:r>
      <w:r w:rsidR="00D23E43" w:rsidRPr="005832F2">
        <w:rPr>
          <w:sz w:val="24"/>
          <w:szCs w:val="24"/>
        </w:rPr>
        <w:t xml:space="preserve"> </w:t>
      </w:r>
      <w:r w:rsidR="009514DA" w:rsidRPr="005832F2">
        <w:rPr>
          <w:sz w:val="24"/>
          <w:szCs w:val="24"/>
        </w:rPr>
        <w:t xml:space="preserve">has modernised the out-dated word ‘grievous’ describing it as </w:t>
      </w:r>
      <w:r w:rsidR="00996313" w:rsidRPr="005832F2">
        <w:rPr>
          <w:sz w:val="24"/>
          <w:szCs w:val="24"/>
        </w:rPr>
        <w:t>a serious injury</w:t>
      </w:r>
      <w:r w:rsidR="009514DA" w:rsidRPr="005832F2">
        <w:rPr>
          <w:sz w:val="24"/>
          <w:szCs w:val="24"/>
        </w:rPr>
        <w:t xml:space="preserve">. </w:t>
      </w:r>
      <w:r w:rsidR="00DE7D83">
        <w:rPr>
          <w:sz w:val="24"/>
          <w:szCs w:val="24"/>
        </w:rPr>
        <w:t xml:space="preserve">It has been said </w:t>
      </w:r>
      <w:r w:rsidR="004577F1">
        <w:rPr>
          <w:sz w:val="24"/>
          <w:szCs w:val="24"/>
        </w:rPr>
        <w:t xml:space="preserve">that </w:t>
      </w:r>
      <w:r w:rsidR="00DE7D83">
        <w:rPr>
          <w:sz w:val="24"/>
          <w:szCs w:val="24"/>
        </w:rPr>
        <w:t>the</w:t>
      </w:r>
      <w:r w:rsidR="00D23E43" w:rsidRPr="005832F2">
        <w:rPr>
          <w:sz w:val="24"/>
          <w:szCs w:val="24"/>
        </w:rPr>
        <w:t xml:space="preserve"> archaic terminology </w:t>
      </w:r>
      <w:r w:rsidR="00DE7D83">
        <w:rPr>
          <w:sz w:val="24"/>
          <w:szCs w:val="24"/>
        </w:rPr>
        <w:t>found within the 1861 Act can make</w:t>
      </w:r>
      <w:r w:rsidR="00D23E43" w:rsidRPr="005832F2">
        <w:rPr>
          <w:sz w:val="24"/>
          <w:szCs w:val="24"/>
        </w:rPr>
        <w:t xml:space="preserve"> it hard for defendants </w:t>
      </w:r>
      <w:r w:rsidR="00781948">
        <w:rPr>
          <w:sz w:val="24"/>
          <w:szCs w:val="24"/>
        </w:rPr>
        <w:t xml:space="preserve">to </w:t>
      </w:r>
      <w:r w:rsidR="00996313" w:rsidRPr="005832F2">
        <w:rPr>
          <w:sz w:val="24"/>
          <w:szCs w:val="24"/>
        </w:rPr>
        <w:t>understand</w:t>
      </w:r>
      <w:r w:rsidR="000D45BD" w:rsidRPr="005832F2">
        <w:rPr>
          <w:sz w:val="24"/>
          <w:szCs w:val="24"/>
        </w:rPr>
        <w:t xml:space="preserve">, for </w:t>
      </w:r>
      <w:r w:rsidR="00781948" w:rsidRPr="005832F2">
        <w:rPr>
          <w:sz w:val="24"/>
          <w:szCs w:val="24"/>
        </w:rPr>
        <w:t>instance</w:t>
      </w:r>
      <w:r w:rsidR="00996313" w:rsidRPr="005832F2">
        <w:rPr>
          <w:sz w:val="24"/>
          <w:szCs w:val="24"/>
        </w:rPr>
        <w:t>, common</w:t>
      </w:r>
      <w:r w:rsidR="00A220AC" w:rsidRPr="005832F2">
        <w:rPr>
          <w:sz w:val="24"/>
          <w:szCs w:val="24"/>
        </w:rPr>
        <w:t xml:space="preserve"> law offences such </w:t>
      </w:r>
      <w:r w:rsidR="00060AB5" w:rsidRPr="005832F2">
        <w:rPr>
          <w:sz w:val="24"/>
          <w:szCs w:val="24"/>
        </w:rPr>
        <w:t xml:space="preserve">as assault and </w:t>
      </w:r>
      <w:r w:rsidR="00734493" w:rsidRPr="005832F2">
        <w:rPr>
          <w:sz w:val="24"/>
          <w:szCs w:val="24"/>
        </w:rPr>
        <w:t>battery</w:t>
      </w:r>
      <w:r w:rsidR="00060AB5" w:rsidRPr="005832F2">
        <w:rPr>
          <w:sz w:val="24"/>
          <w:szCs w:val="24"/>
        </w:rPr>
        <w:t xml:space="preserve"> </w:t>
      </w:r>
      <w:r w:rsidR="00734493" w:rsidRPr="005832F2">
        <w:rPr>
          <w:sz w:val="24"/>
          <w:szCs w:val="24"/>
        </w:rPr>
        <w:t xml:space="preserve">are not defined in the statue Offences </w:t>
      </w:r>
      <w:r w:rsidR="006554FD" w:rsidRPr="005832F2">
        <w:rPr>
          <w:sz w:val="24"/>
          <w:szCs w:val="24"/>
        </w:rPr>
        <w:t>Against</w:t>
      </w:r>
      <w:r w:rsidR="00C746F6" w:rsidRPr="005832F2">
        <w:rPr>
          <w:sz w:val="24"/>
          <w:szCs w:val="24"/>
        </w:rPr>
        <w:t xml:space="preserve"> the Person Act </w:t>
      </w:r>
      <w:r w:rsidR="00734493" w:rsidRPr="005832F2">
        <w:rPr>
          <w:sz w:val="24"/>
          <w:szCs w:val="24"/>
        </w:rPr>
        <w:t xml:space="preserve">1861. </w:t>
      </w:r>
      <w:r w:rsidR="000533F8" w:rsidRPr="005832F2">
        <w:rPr>
          <w:sz w:val="24"/>
          <w:szCs w:val="24"/>
        </w:rPr>
        <w:t>The offences a</w:t>
      </w:r>
      <w:r w:rsidR="004A2BB2" w:rsidRPr="005832F2">
        <w:rPr>
          <w:sz w:val="24"/>
          <w:szCs w:val="24"/>
        </w:rPr>
        <w:t>re to</w:t>
      </w:r>
      <w:r w:rsidR="000533F8" w:rsidRPr="005832F2">
        <w:rPr>
          <w:sz w:val="24"/>
          <w:szCs w:val="24"/>
        </w:rPr>
        <w:t xml:space="preserve">o </w:t>
      </w:r>
      <w:r w:rsidR="00CF5162" w:rsidRPr="005832F2">
        <w:rPr>
          <w:sz w:val="24"/>
          <w:szCs w:val="24"/>
        </w:rPr>
        <w:t>narrowly defined about the same subject, where fewer words would suffice.</w:t>
      </w:r>
      <w:r w:rsidR="000D45BD" w:rsidRPr="005832F2">
        <w:rPr>
          <w:sz w:val="24"/>
          <w:szCs w:val="24"/>
        </w:rPr>
        <w:t xml:space="preserve"> Child and </w:t>
      </w:r>
      <w:proofErr w:type="spellStart"/>
      <w:r w:rsidR="000D45BD" w:rsidRPr="005832F2">
        <w:rPr>
          <w:sz w:val="24"/>
          <w:szCs w:val="24"/>
        </w:rPr>
        <w:t>Ormerod</w:t>
      </w:r>
      <w:proofErr w:type="spellEnd"/>
      <w:r w:rsidR="000D45BD" w:rsidRPr="005832F2">
        <w:rPr>
          <w:sz w:val="24"/>
          <w:szCs w:val="24"/>
        </w:rPr>
        <w:t xml:space="preserve"> (2017</w:t>
      </w:r>
      <w:r w:rsidR="005E2F63">
        <w:rPr>
          <w:sz w:val="24"/>
          <w:szCs w:val="24"/>
        </w:rPr>
        <w:t>,</w:t>
      </w:r>
      <w:r w:rsidR="000D45BD" w:rsidRPr="005832F2">
        <w:rPr>
          <w:sz w:val="24"/>
          <w:szCs w:val="24"/>
        </w:rPr>
        <w:t xml:space="preserve"> pp 217)</w:t>
      </w:r>
      <w:r w:rsidR="00CB7EC3" w:rsidRPr="005832F2">
        <w:rPr>
          <w:sz w:val="24"/>
          <w:szCs w:val="24"/>
        </w:rPr>
        <w:t xml:space="preserve"> </w:t>
      </w:r>
      <w:r w:rsidR="000D45BD" w:rsidRPr="005832F2">
        <w:rPr>
          <w:sz w:val="24"/>
          <w:szCs w:val="24"/>
        </w:rPr>
        <w:t>has described</w:t>
      </w:r>
      <w:r w:rsidR="00996313" w:rsidRPr="005832F2">
        <w:rPr>
          <w:sz w:val="24"/>
          <w:szCs w:val="24"/>
        </w:rPr>
        <w:t xml:space="preserve"> assault</w:t>
      </w:r>
      <w:r w:rsidR="004A2BB2" w:rsidRPr="005832F2">
        <w:rPr>
          <w:sz w:val="24"/>
          <w:szCs w:val="24"/>
        </w:rPr>
        <w:t xml:space="preserve"> as ‘the defendant commits an assault where the</w:t>
      </w:r>
      <w:r w:rsidR="000D45BD" w:rsidRPr="005832F2">
        <w:rPr>
          <w:sz w:val="24"/>
          <w:szCs w:val="24"/>
        </w:rPr>
        <w:t>y</w:t>
      </w:r>
      <w:r w:rsidR="004A2BB2" w:rsidRPr="005832F2">
        <w:rPr>
          <w:sz w:val="24"/>
          <w:szCs w:val="24"/>
        </w:rPr>
        <w:t xml:space="preserve"> intentionally or recklessly causes the victim to apprehend immediate unlawful person violence’. </w:t>
      </w:r>
      <w:r w:rsidR="004A2BB2" w:rsidRPr="000C3143">
        <w:rPr>
          <w:sz w:val="24"/>
          <w:szCs w:val="24"/>
        </w:rPr>
        <w:t>Battery is then defined as ‘intentional or reckless infliction of unlawful personal violence upon the victim’</w:t>
      </w:r>
      <w:r w:rsidR="00F7486F" w:rsidRPr="000C3143">
        <w:rPr>
          <w:sz w:val="24"/>
          <w:szCs w:val="24"/>
        </w:rPr>
        <w:t xml:space="preserve"> (</w:t>
      </w:r>
      <w:r w:rsidR="000D45BD" w:rsidRPr="000C3143">
        <w:rPr>
          <w:sz w:val="24"/>
          <w:szCs w:val="24"/>
        </w:rPr>
        <w:t>ibid)</w:t>
      </w:r>
      <w:r w:rsidR="00F47EF3">
        <w:rPr>
          <w:sz w:val="24"/>
          <w:szCs w:val="24"/>
        </w:rPr>
        <w:t>. There have been many cases where it has been said that that battery cannot be committed by omission and that conduct must be a positive act (Fagan v MPC 1968</w:t>
      </w:r>
      <w:r w:rsidR="007A2D42">
        <w:rPr>
          <w:sz w:val="24"/>
          <w:szCs w:val="24"/>
        </w:rPr>
        <w:t>, ibid</w:t>
      </w:r>
      <w:r w:rsidR="00F47EF3">
        <w:rPr>
          <w:sz w:val="24"/>
          <w:szCs w:val="24"/>
        </w:rPr>
        <w:t xml:space="preserve">). Nonetheless, </w:t>
      </w:r>
      <w:r w:rsidR="007A2D42">
        <w:rPr>
          <w:sz w:val="24"/>
          <w:szCs w:val="24"/>
        </w:rPr>
        <w:t>the decision in Santana-B</w:t>
      </w:r>
      <w:r w:rsidR="00361A7F">
        <w:rPr>
          <w:sz w:val="24"/>
          <w:szCs w:val="24"/>
        </w:rPr>
        <w:t xml:space="preserve">erdundez v DPP (2004, ibid) provided that it was permitted that the defendant was </w:t>
      </w:r>
      <w:r w:rsidR="00361A7F" w:rsidRPr="00361A7F">
        <w:rPr>
          <w:sz w:val="24"/>
          <w:szCs w:val="24"/>
        </w:rPr>
        <w:t xml:space="preserve">to be found guilty on the foundation of their </w:t>
      </w:r>
      <w:r w:rsidR="00361A7F">
        <w:rPr>
          <w:sz w:val="24"/>
          <w:szCs w:val="24"/>
        </w:rPr>
        <w:t xml:space="preserve">omission. </w:t>
      </w:r>
      <w:r w:rsidR="00DE7D83">
        <w:rPr>
          <w:sz w:val="24"/>
          <w:szCs w:val="24"/>
        </w:rPr>
        <w:t>In the case of, Santana</w:t>
      </w:r>
      <w:r w:rsidR="00361A7F">
        <w:rPr>
          <w:sz w:val="24"/>
          <w:szCs w:val="24"/>
        </w:rPr>
        <w:t>-Berdundez v DPP (2004</w:t>
      </w:r>
      <w:r w:rsidR="00DE7D83">
        <w:rPr>
          <w:sz w:val="24"/>
          <w:szCs w:val="24"/>
        </w:rPr>
        <w:t>, Ibid</w:t>
      </w:r>
      <w:r w:rsidR="00361A7F">
        <w:rPr>
          <w:sz w:val="24"/>
          <w:szCs w:val="24"/>
        </w:rPr>
        <w:t xml:space="preserve">) the victim was a policewoman </w:t>
      </w:r>
      <w:r w:rsidR="00DE7D83">
        <w:rPr>
          <w:sz w:val="24"/>
          <w:szCs w:val="24"/>
        </w:rPr>
        <w:t xml:space="preserve">and she </w:t>
      </w:r>
      <w:r w:rsidR="00361A7F">
        <w:rPr>
          <w:sz w:val="24"/>
          <w:szCs w:val="24"/>
        </w:rPr>
        <w:t>was assured by the defe</w:t>
      </w:r>
      <w:r w:rsidR="00D277AE">
        <w:rPr>
          <w:sz w:val="24"/>
          <w:szCs w:val="24"/>
        </w:rPr>
        <w:t xml:space="preserve">ndant, that he was carrying no </w:t>
      </w:r>
      <w:r w:rsidR="00361A7F">
        <w:rPr>
          <w:sz w:val="24"/>
          <w:szCs w:val="24"/>
        </w:rPr>
        <w:t>s</w:t>
      </w:r>
      <w:r w:rsidR="00D277AE">
        <w:rPr>
          <w:sz w:val="24"/>
          <w:szCs w:val="24"/>
        </w:rPr>
        <w:t xml:space="preserve">harps </w:t>
      </w:r>
      <w:r w:rsidR="00361A7F">
        <w:rPr>
          <w:sz w:val="24"/>
          <w:szCs w:val="24"/>
        </w:rPr>
        <w:t>before she searched him. The</w:t>
      </w:r>
      <w:r w:rsidR="00D277AE">
        <w:rPr>
          <w:sz w:val="24"/>
          <w:szCs w:val="24"/>
        </w:rPr>
        <w:t xml:space="preserve"> defendant was carrying sharps</w:t>
      </w:r>
      <w:r w:rsidR="00361A7F">
        <w:rPr>
          <w:sz w:val="24"/>
          <w:szCs w:val="24"/>
        </w:rPr>
        <w:t xml:space="preserve"> resulting in </w:t>
      </w:r>
      <w:r w:rsidR="00DE7D83">
        <w:rPr>
          <w:sz w:val="24"/>
          <w:szCs w:val="24"/>
        </w:rPr>
        <w:t>the victim</w:t>
      </w:r>
      <w:r w:rsidR="00361A7F">
        <w:rPr>
          <w:sz w:val="24"/>
          <w:szCs w:val="24"/>
        </w:rPr>
        <w:t xml:space="preserve"> being injured, the defendant was charged with battery occasioning actual bodily harm</w:t>
      </w:r>
      <w:r w:rsidR="004577F1">
        <w:rPr>
          <w:sz w:val="24"/>
          <w:szCs w:val="24"/>
        </w:rPr>
        <w:t xml:space="preserve"> (Child and Ormerod, 2017)</w:t>
      </w:r>
      <w:r w:rsidR="00361A7F">
        <w:rPr>
          <w:sz w:val="24"/>
          <w:szCs w:val="24"/>
        </w:rPr>
        <w:t xml:space="preserve">. </w:t>
      </w:r>
      <w:r w:rsidR="004577F1">
        <w:rPr>
          <w:sz w:val="24"/>
          <w:szCs w:val="24"/>
        </w:rPr>
        <w:t xml:space="preserve">Child and </w:t>
      </w:r>
      <w:r w:rsidR="004577F1">
        <w:rPr>
          <w:sz w:val="24"/>
          <w:szCs w:val="24"/>
        </w:rPr>
        <w:lastRenderedPageBreak/>
        <w:t>Ormerod (2017, pp</w:t>
      </w:r>
      <w:r w:rsidR="004E7340">
        <w:rPr>
          <w:sz w:val="24"/>
          <w:szCs w:val="24"/>
        </w:rPr>
        <w:t xml:space="preserve"> 231) states that ‘most cases will involve a battery that occasions actual bodily harm’.</w:t>
      </w:r>
      <w:r w:rsidR="00F95BC1">
        <w:rPr>
          <w:sz w:val="24"/>
          <w:szCs w:val="24"/>
        </w:rPr>
        <w:t xml:space="preserve"> </w:t>
      </w:r>
      <w:r w:rsidR="004E754C">
        <w:rPr>
          <w:sz w:val="24"/>
          <w:szCs w:val="24"/>
        </w:rPr>
        <w:t>The term actus reus comes translated from the Latin as ‘guilty act’, and</w:t>
      </w:r>
      <w:r w:rsidR="0056695E">
        <w:rPr>
          <w:sz w:val="24"/>
          <w:szCs w:val="24"/>
        </w:rPr>
        <w:t xml:space="preserve"> refers </w:t>
      </w:r>
      <w:r w:rsidR="00D277AE">
        <w:rPr>
          <w:sz w:val="24"/>
          <w:szCs w:val="24"/>
        </w:rPr>
        <w:t xml:space="preserve">to </w:t>
      </w:r>
      <w:r w:rsidR="0056695E">
        <w:rPr>
          <w:sz w:val="24"/>
          <w:szCs w:val="24"/>
        </w:rPr>
        <w:t xml:space="preserve">the external elements, as expressed by Child and </w:t>
      </w:r>
      <w:proofErr w:type="gramStart"/>
      <w:r w:rsidR="0056695E">
        <w:rPr>
          <w:sz w:val="24"/>
          <w:szCs w:val="24"/>
        </w:rPr>
        <w:t>Ormerod  (</w:t>
      </w:r>
      <w:proofErr w:type="gramEnd"/>
      <w:r w:rsidR="0056695E">
        <w:rPr>
          <w:sz w:val="24"/>
          <w:szCs w:val="24"/>
        </w:rPr>
        <w:t>2017</w:t>
      </w:r>
      <w:r w:rsidR="001C4C02">
        <w:rPr>
          <w:sz w:val="24"/>
          <w:szCs w:val="24"/>
        </w:rPr>
        <w:t>, pp 220</w:t>
      </w:r>
      <w:r w:rsidR="0056695E">
        <w:rPr>
          <w:sz w:val="24"/>
          <w:szCs w:val="24"/>
        </w:rPr>
        <w:t>) t</w:t>
      </w:r>
      <w:r w:rsidR="004E754C">
        <w:rPr>
          <w:sz w:val="24"/>
          <w:szCs w:val="24"/>
        </w:rPr>
        <w:t>he actus reus of battery consists of the infliction of unlawful personal vio</w:t>
      </w:r>
      <w:r w:rsidR="0056695E">
        <w:rPr>
          <w:sz w:val="24"/>
          <w:szCs w:val="24"/>
        </w:rPr>
        <w:t>lence</w:t>
      </w:r>
      <w:r w:rsidR="005926A3">
        <w:rPr>
          <w:sz w:val="24"/>
          <w:szCs w:val="24"/>
        </w:rPr>
        <w:t>.</w:t>
      </w:r>
      <w:r w:rsidR="00D277AE">
        <w:rPr>
          <w:sz w:val="24"/>
          <w:szCs w:val="24"/>
        </w:rPr>
        <w:t xml:space="preserve"> Whereas the</w:t>
      </w:r>
      <w:r w:rsidR="005926A3">
        <w:rPr>
          <w:sz w:val="24"/>
          <w:szCs w:val="24"/>
        </w:rPr>
        <w:t xml:space="preserve"> </w:t>
      </w:r>
      <w:r w:rsidR="0056695E">
        <w:rPr>
          <w:sz w:val="24"/>
          <w:szCs w:val="24"/>
        </w:rPr>
        <w:t xml:space="preserve">mens reus </w:t>
      </w:r>
      <w:r w:rsidR="001C4C02">
        <w:rPr>
          <w:sz w:val="24"/>
          <w:szCs w:val="24"/>
        </w:rPr>
        <w:t xml:space="preserve">which translated means ‘guilty mind’ </w:t>
      </w:r>
      <w:r w:rsidR="0056695E">
        <w:rPr>
          <w:sz w:val="24"/>
          <w:szCs w:val="24"/>
        </w:rPr>
        <w:t>of battery requires recklessness or intention to cause the end result</w:t>
      </w:r>
      <w:r w:rsidR="001C4C02">
        <w:rPr>
          <w:sz w:val="24"/>
          <w:szCs w:val="24"/>
        </w:rPr>
        <w:t xml:space="preserve"> which is articulated form Child and Ormenod (2017, pp 222)</w:t>
      </w:r>
      <w:r w:rsidR="008C77C9">
        <w:rPr>
          <w:sz w:val="24"/>
          <w:szCs w:val="24"/>
        </w:rPr>
        <w:t xml:space="preserve">. </w:t>
      </w:r>
    </w:p>
    <w:p w:rsidR="00060AB5" w:rsidRPr="000C3143" w:rsidRDefault="0039497A" w:rsidP="00FD6B86">
      <w:pPr>
        <w:spacing w:after="0"/>
        <w:jc w:val="both"/>
        <w:rPr>
          <w:sz w:val="24"/>
          <w:szCs w:val="24"/>
        </w:rPr>
      </w:pPr>
      <w:r w:rsidRPr="000C3143">
        <w:rPr>
          <w:sz w:val="24"/>
          <w:szCs w:val="24"/>
        </w:rPr>
        <w:t>The Home Office has created a Draft Offence Bill in 1998; it was brought out to replace the O</w:t>
      </w:r>
      <w:r w:rsidR="00291819">
        <w:rPr>
          <w:sz w:val="24"/>
          <w:szCs w:val="24"/>
        </w:rPr>
        <w:t>ffences Against the Person Act</w:t>
      </w:r>
      <w:r w:rsidRPr="000C3143">
        <w:rPr>
          <w:sz w:val="24"/>
          <w:szCs w:val="24"/>
        </w:rPr>
        <w:t xml:space="preserve"> 1861 into a </w:t>
      </w:r>
      <w:r w:rsidR="001A01EF" w:rsidRPr="000C3143">
        <w:rPr>
          <w:sz w:val="24"/>
          <w:szCs w:val="24"/>
        </w:rPr>
        <w:t>contemporary</w:t>
      </w:r>
      <w:r w:rsidRPr="000C3143">
        <w:rPr>
          <w:sz w:val="24"/>
          <w:szCs w:val="24"/>
        </w:rPr>
        <w:t xml:space="preserve"> statute. </w:t>
      </w:r>
      <w:r w:rsidR="00291819">
        <w:rPr>
          <w:sz w:val="24"/>
          <w:szCs w:val="24"/>
        </w:rPr>
        <w:t>In contrast with the Offence Against the Person A</w:t>
      </w:r>
      <w:r w:rsidR="003E4F10" w:rsidRPr="000C3143">
        <w:rPr>
          <w:sz w:val="24"/>
          <w:szCs w:val="24"/>
        </w:rPr>
        <w:t>ct</w:t>
      </w:r>
      <w:r w:rsidR="001F6424">
        <w:rPr>
          <w:sz w:val="24"/>
          <w:szCs w:val="24"/>
        </w:rPr>
        <w:t>,</w:t>
      </w:r>
      <w:r w:rsidR="001A01EF" w:rsidRPr="000C3143">
        <w:rPr>
          <w:sz w:val="24"/>
          <w:szCs w:val="24"/>
        </w:rPr>
        <w:t xml:space="preserve"> </w:t>
      </w:r>
      <w:r w:rsidR="001F6424">
        <w:rPr>
          <w:sz w:val="24"/>
          <w:szCs w:val="24"/>
        </w:rPr>
        <w:t xml:space="preserve">with the </w:t>
      </w:r>
      <w:r w:rsidR="001A01EF" w:rsidRPr="000C3143">
        <w:rPr>
          <w:sz w:val="24"/>
          <w:szCs w:val="24"/>
        </w:rPr>
        <w:t xml:space="preserve">offences under </w:t>
      </w:r>
      <w:r w:rsidR="00220B23" w:rsidRPr="000C3143">
        <w:rPr>
          <w:sz w:val="24"/>
          <w:szCs w:val="24"/>
        </w:rPr>
        <w:t xml:space="preserve">section </w:t>
      </w:r>
      <w:r w:rsidR="001A01EF" w:rsidRPr="000C3143">
        <w:rPr>
          <w:sz w:val="24"/>
          <w:szCs w:val="24"/>
        </w:rPr>
        <w:t>47 and 20 having the same sentence, regardless of  section 20 containing a more serious mens reus and actus reus</w:t>
      </w:r>
      <w:r w:rsidR="007127D9" w:rsidRPr="000C3143">
        <w:rPr>
          <w:sz w:val="24"/>
          <w:szCs w:val="24"/>
        </w:rPr>
        <w:t>.</w:t>
      </w:r>
      <w:r w:rsidR="00EE0E51" w:rsidRPr="000C3143">
        <w:rPr>
          <w:sz w:val="24"/>
          <w:szCs w:val="24"/>
        </w:rPr>
        <w:t xml:space="preserve"> </w:t>
      </w:r>
      <w:r w:rsidR="001A01EF" w:rsidRPr="000C3143">
        <w:rPr>
          <w:sz w:val="24"/>
          <w:szCs w:val="24"/>
        </w:rPr>
        <w:t>The Draft B</w:t>
      </w:r>
      <w:r w:rsidR="003E4F10" w:rsidRPr="000C3143">
        <w:rPr>
          <w:sz w:val="24"/>
          <w:szCs w:val="24"/>
        </w:rPr>
        <w:t xml:space="preserve">ill </w:t>
      </w:r>
      <w:r w:rsidR="00232B0B" w:rsidRPr="000C3143">
        <w:rPr>
          <w:sz w:val="24"/>
          <w:szCs w:val="24"/>
        </w:rPr>
        <w:t>‘</w:t>
      </w:r>
      <w:r w:rsidR="003E4F10" w:rsidRPr="000C3143">
        <w:rPr>
          <w:sz w:val="24"/>
          <w:szCs w:val="24"/>
        </w:rPr>
        <w:t>i</w:t>
      </w:r>
      <w:r w:rsidR="003E4F10" w:rsidRPr="000C3143">
        <w:rPr>
          <w:sz w:val="24"/>
          <w:szCs w:val="24"/>
          <w:shd w:val="clear" w:color="auto" w:fill="FFFFFF"/>
        </w:rPr>
        <w:t>ncludes a logical hierarchy of offences of violence</w:t>
      </w:r>
      <w:r w:rsidR="00232B0B" w:rsidRPr="000C3143">
        <w:rPr>
          <w:sz w:val="24"/>
          <w:szCs w:val="24"/>
          <w:shd w:val="clear" w:color="auto" w:fill="FFFFFF"/>
        </w:rPr>
        <w:t>’ making it a great amendment to the present law</w:t>
      </w:r>
      <w:r w:rsidR="00363B34" w:rsidRPr="000C3143">
        <w:rPr>
          <w:sz w:val="24"/>
          <w:szCs w:val="24"/>
          <w:shd w:val="clear" w:color="auto" w:fill="FFFFFF"/>
        </w:rPr>
        <w:t>,</w:t>
      </w:r>
      <w:r w:rsidR="00232B0B" w:rsidRPr="000C3143">
        <w:rPr>
          <w:sz w:val="24"/>
          <w:szCs w:val="24"/>
          <w:shd w:val="clear" w:color="auto" w:fill="FFFFFF"/>
        </w:rPr>
        <w:t xml:space="preserve"> this was acknowledged by the Law Commission</w:t>
      </w:r>
      <w:r w:rsidR="006B7E11" w:rsidRPr="000C3143">
        <w:rPr>
          <w:sz w:val="24"/>
          <w:szCs w:val="24"/>
          <w:shd w:val="clear" w:color="auto" w:fill="FFFFFF"/>
        </w:rPr>
        <w:t xml:space="preserve"> (2015)</w:t>
      </w:r>
      <w:r w:rsidR="00232B0B" w:rsidRPr="000C3143">
        <w:rPr>
          <w:sz w:val="24"/>
          <w:szCs w:val="24"/>
          <w:shd w:val="clear" w:color="auto" w:fill="FFFFFF"/>
        </w:rPr>
        <w:t>.</w:t>
      </w:r>
      <w:r w:rsidR="004477E0" w:rsidRPr="000C3143">
        <w:rPr>
          <w:sz w:val="24"/>
          <w:szCs w:val="24"/>
          <w:shd w:val="clear" w:color="auto" w:fill="FFFFFF"/>
        </w:rPr>
        <w:t xml:space="preserve"> </w:t>
      </w:r>
      <w:r w:rsidR="00FD6B86" w:rsidRPr="000C3143">
        <w:rPr>
          <w:sz w:val="24"/>
          <w:szCs w:val="24"/>
          <w:shd w:val="clear" w:color="auto" w:fill="FFFFFF"/>
        </w:rPr>
        <w:t>Assault occasioning actual bodily h</w:t>
      </w:r>
      <w:r w:rsidR="00996313" w:rsidRPr="000C3143">
        <w:rPr>
          <w:sz w:val="24"/>
          <w:szCs w:val="24"/>
          <w:shd w:val="clear" w:color="auto" w:fill="FFFFFF"/>
        </w:rPr>
        <w:t xml:space="preserve">arm </w:t>
      </w:r>
      <w:r w:rsidR="00A15748" w:rsidRPr="000C3143">
        <w:rPr>
          <w:sz w:val="24"/>
          <w:szCs w:val="24"/>
          <w:shd w:val="clear" w:color="auto" w:fill="FFFFFF"/>
        </w:rPr>
        <w:t>is currently maximum five</w:t>
      </w:r>
      <w:r w:rsidR="00FD6B86" w:rsidRPr="000C3143">
        <w:rPr>
          <w:sz w:val="24"/>
          <w:szCs w:val="24"/>
          <w:shd w:val="clear" w:color="auto" w:fill="FFFFFF"/>
        </w:rPr>
        <w:t xml:space="preserve"> years </w:t>
      </w:r>
      <w:r w:rsidR="004B6E4F" w:rsidRPr="000C3143">
        <w:rPr>
          <w:sz w:val="24"/>
          <w:szCs w:val="24"/>
          <w:shd w:val="clear" w:color="auto" w:fill="FFFFFF"/>
        </w:rPr>
        <w:t>imprisonment;</w:t>
      </w:r>
      <w:r w:rsidR="000D5727" w:rsidRPr="000C3143">
        <w:rPr>
          <w:sz w:val="24"/>
          <w:szCs w:val="24"/>
          <w:shd w:val="clear" w:color="auto" w:fill="FFFFFF"/>
        </w:rPr>
        <w:t xml:space="preserve"> this risks the crown court, which is very expensive and unnecessary for less serious offences. T</w:t>
      </w:r>
      <w:r w:rsidR="00FD6B86" w:rsidRPr="000C3143">
        <w:rPr>
          <w:sz w:val="24"/>
          <w:szCs w:val="24"/>
          <w:shd w:val="clear" w:color="auto" w:fill="FFFFFF"/>
        </w:rPr>
        <w:t xml:space="preserve">he lowest level of the present law being common assault is maximum six months </w:t>
      </w:r>
      <w:r w:rsidR="00996313" w:rsidRPr="000C3143">
        <w:rPr>
          <w:sz w:val="24"/>
          <w:szCs w:val="24"/>
        </w:rPr>
        <w:t>imprisonment, meaning</w:t>
      </w:r>
      <w:r w:rsidR="00FD6B86" w:rsidRPr="000C3143">
        <w:rPr>
          <w:sz w:val="24"/>
          <w:szCs w:val="24"/>
        </w:rPr>
        <w:t xml:space="preserve"> fast trail in the </w:t>
      </w:r>
      <w:r w:rsidR="000D5727" w:rsidRPr="000C3143">
        <w:rPr>
          <w:sz w:val="24"/>
          <w:szCs w:val="24"/>
        </w:rPr>
        <w:t>magistrate’s</w:t>
      </w:r>
      <w:r w:rsidR="00FD6B86" w:rsidRPr="000C3143">
        <w:rPr>
          <w:sz w:val="24"/>
          <w:szCs w:val="24"/>
        </w:rPr>
        <w:t xml:space="preserve"> court</w:t>
      </w:r>
      <w:r w:rsidR="000D5727" w:rsidRPr="000C3143">
        <w:rPr>
          <w:sz w:val="24"/>
          <w:szCs w:val="24"/>
        </w:rPr>
        <w:t>, which</w:t>
      </w:r>
      <w:r w:rsidR="00FD6B86" w:rsidRPr="000C3143">
        <w:rPr>
          <w:sz w:val="24"/>
          <w:szCs w:val="24"/>
        </w:rPr>
        <w:t xml:space="preserve"> </w:t>
      </w:r>
      <w:r w:rsidR="000D5727" w:rsidRPr="000C3143">
        <w:rPr>
          <w:sz w:val="24"/>
          <w:szCs w:val="24"/>
        </w:rPr>
        <w:t xml:space="preserve">will not identify the offender as </w:t>
      </w:r>
      <w:r w:rsidR="00996313" w:rsidRPr="000C3143">
        <w:rPr>
          <w:sz w:val="24"/>
          <w:szCs w:val="24"/>
        </w:rPr>
        <w:t>anyone</w:t>
      </w:r>
      <w:r w:rsidR="001F6424">
        <w:rPr>
          <w:sz w:val="24"/>
          <w:szCs w:val="24"/>
        </w:rPr>
        <w:t xml:space="preserve"> who has caused actual bodily harm</w:t>
      </w:r>
      <w:r w:rsidR="00FD6B86" w:rsidRPr="000C3143">
        <w:rPr>
          <w:sz w:val="24"/>
          <w:szCs w:val="24"/>
        </w:rPr>
        <w:t xml:space="preserve">. The Law </w:t>
      </w:r>
      <w:r w:rsidR="004B6E4F" w:rsidRPr="000C3143">
        <w:rPr>
          <w:sz w:val="24"/>
          <w:szCs w:val="24"/>
        </w:rPr>
        <w:t>C</w:t>
      </w:r>
      <w:r w:rsidR="00BF7CB8" w:rsidRPr="000C3143">
        <w:rPr>
          <w:sz w:val="24"/>
          <w:szCs w:val="24"/>
        </w:rPr>
        <w:t>ommission has</w:t>
      </w:r>
      <w:r w:rsidR="00FD6B86" w:rsidRPr="000C3143">
        <w:rPr>
          <w:sz w:val="24"/>
          <w:szCs w:val="24"/>
        </w:rPr>
        <w:t xml:space="preserve"> </w:t>
      </w:r>
      <w:r w:rsidR="004B6E4F" w:rsidRPr="000C3143">
        <w:rPr>
          <w:sz w:val="24"/>
          <w:szCs w:val="24"/>
        </w:rPr>
        <w:t xml:space="preserve">introduced a new summary-only offence </w:t>
      </w:r>
      <w:r w:rsidR="008B0319" w:rsidRPr="000C3143">
        <w:rPr>
          <w:sz w:val="24"/>
          <w:szCs w:val="24"/>
        </w:rPr>
        <w:t xml:space="preserve">named </w:t>
      </w:r>
      <w:r w:rsidR="00BF7CB8" w:rsidRPr="000C3143">
        <w:rPr>
          <w:sz w:val="24"/>
          <w:szCs w:val="24"/>
        </w:rPr>
        <w:t>aggravated assault, t</w:t>
      </w:r>
      <w:r w:rsidR="008B0319" w:rsidRPr="000C3143">
        <w:rPr>
          <w:sz w:val="24"/>
          <w:szCs w:val="24"/>
        </w:rPr>
        <w:t xml:space="preserve">his new offence would </w:t>
      </w:r>
      <w:r w:rsidR="004A2BB2" w:rsidRPr="000C3143">
        <w:rPr>
          <w:sz w:val="24"/>
          <w:szCs w:val="24"/>
        </w:rPr>
        <w:t xml:space="preserve">be situated in-between </w:t>
      </w:r>
      <w:r w:rsidR="008B0319" w:rsidRPr="000C3143">
        <w:rPr>
          <w:sz w:val="24"/>
          <w:szCs w:val="24"/>
        </w:rPr>
        <w:t>the offence of intentionally or recklessly causing harm and the assault offences.</w:t>
      </w:r>
      <w:r w:rsidR="004A2BB2" w:rsidRPr="000C3143">
        <w:rPr>
          <w:sz w:val="24"/>
          <w:szCs w:val="24"/>
        </w:rPr>
        <w:t xml:space="preserve"> </w:t>
      </w:r>
      <w:r w:rsidR="00A15748" w:rsidRPr="000C3143">
        <w:rPr>
          <w:sz w:val="24"/>
          <w:szCs w:val="24"/>
        </w:rPr>
        <w:t xml:space="preserve">The available </w:t>
      </w:r>
      <w:r w:rsidR="001A01EF" w:rsidRPr="000C3143">
        <w:rPr>
          <w:sz w:val="24"/>
          <w:szCs w:val="24"/>
        </w:rPr>
        <w:t xml:space="preserve">offences </w:t>
      </w:r>
      <w:r w:rsidR="00A15748" w:rsidRPr="000C3143">
        <w:rPr>
          <w:sz w:val="24"/>
          <w:szCs w:val="24"/>
        </w:rPr>
        <w:t>sentences under s</w:t>
      </w:r>
      <w:r w:rsidR="00220B23" w:rsidRPr="000C3143">
        <w:rPr>
          <w:sz w:val="24"/>
          <w:szCs w:val="24"/>
        </w:rPr>
        <w:t>ection</w:t>
      </w:r>
      <w:r w:rsidR="00A15748" w:rsidRPr="000C3143">
        <w:rPr>
          <w:sz w:val="24"/>
          <w:szCs w:val="24"/>
        </w:rPr>
        <w:t xml:space="preserve"> 20 and 47 O</w:t>
      </w:r>
      <w:r w:rsidR="00291819">
        <w:rPr>
          <w:sz w:val="24"/>
          <w:szCs w:val="24"/>
        </w:rPr>
        <w:t xml:space="preserve">ffences Against the </w:t>
      </w:r>
      <w:r w:rsidR="00A15748" w:rsidRPr="000C3143">
        <w:rPr>
          <w:sz w:val="24"/>
          <w:szCs w:val="24"/>
        </w:rPr>
        <w:t>P</w:t>
      </w:r>
      <w:r w:rsidR="00291819">
        <w:rPr>
          <w:sz w:val="24"/>
          <w:szCs w:val="24"/>
        </w:rPr>
        <w:t xml:space="preserve">erson </w:t>
      </w:r>
      <w:r w:rsidR="00A15748" w:rsidRPr="000C3143">
        <w:rPr>
          <w:sz w:val="24"/>
          <w:szCs w:val="24"/>
        </w:rPr>
        <w:t>A</w:t>
      </w:r>
      <w:r w:rsidR="00291819">
        <w:rPr>
          <w:sz w:val="24"/>
          <w:szCs w:val="24"/>
        </w:rPr>
        <w:t>ct 1861</w:t>
      </w:r>
      <w:r w:rsidR="00A15748" w:rsidRPr="000C3143">
        <w:rPr>
          <w:sz w:val="24"/>
          <w:szCs w:val="24"/>
        </w:rPr>
        <w:t>, although both of these have a different type</w:t>
      </w:r>
      <w:r w:rsidR="00882455" w:rsidRPr="000C3143">
        <w:rPr>
          <w:sz w:val="24"/>
          <w:szCs w:val="24"/>
        </w:rPr>
        <w:t>s</w:t>
      </w:r>
      <w:r w:rsidR="00A15748" w:rsidRPr="000C3143">
        <w:rPr>
          <w:sz w:val="24"/>
          <w:szCs w:val="24"/>
        </w:rPr>
        <w:t xml:space="preserve"> of harm inadmissible</w:t>
      </w:r>
      <w:r w:rsidR="00882455" w:rsidRPr="000C3143">
        <w:rPr>
          <w:sz w:val="24"/>
          <w:szCs w:val="24"/>
        </w:rPr>
        <w:t xml:space="preserve"> under each </w:t>
      </w:r>
      <w:r w:rsidR="00996313" w:rsidRPr="000C3143">
        <w:rPr>
          <w:sz w:val="24"/>
          <w:szCs w:val="24"/>
        </w:rPr>
        <w:t>offence</w:t>
      </w:r>
      <w:r w:rsidR="00882455" w:rsidRPr="000C3143">
        <w:rPr>
          <w:sz w:val="24"/>
          <w:szCs w:val="24"/>
        </w:rPr>
        <w:t>, they</w:t>
      </w:r>
      <w:r w:rsidR="00A15748" w:rsidRPr="000C3143">
        <w:rPr>
          <w:sz w:val="24"/>
          <w:szCs w:val="24"/>
        </w:rPr>
        <w:t xml:space="preserve"> both have a maximum of five years imprisonment. The previous proscribes the infl</w:t>
      </w:r>
      <w:r w:rsidR="00BA52AC" w:rsidRPr="000C3143">
        <w:rPr>
          <w:sz w:val="24"/>
          <w:szCs w:val="24"/>
        </w:rPr>
        <w:t xml:space="preserve">iction of grievous bodily harm, </w:t>
      </w:r>
      <w:r w:rsidR="00A15748" w:rsidRPr="000C3143">
        <w:rPr>
          <w:sz w:val="24"/>
          <w:szCs w:val="24"/>
        </w:rPr>
        <w:t>however, the latter deals with actual</w:t>
      </w:r>
      <w:r w:rsidR="00BA52AC" w:rsidRPr="000C3143">
        <w:rPr>
          <w:sz w:val="24"/>
          <w:szCs w:val="24"/>
        </w:rPr>
        <w:t xml:space="preserve"> bodily harm</w:t>
      </w:r>
      <w:r w:rsidR="005356A7" w:rsidRPr="000C3143">
        <w:rPr>
          <w:sz w:val="24"/>
          <w:szCs w:val="24"/>
        </w:rPr>
        <w:t xml:space="preserve"> (Demetriou,</w:t>
      </w:r>
      <w:r w:rsidR="00716D3B" w:rsidRPr="000C3143">
        <w:rPr>
          <w:sz w:val="24"/>
          <w:szCs w:val="24"/>
        </w:rPr>
        <w:t xml:space="preserve"> 2016)</w:t>
      </w:r>
      <w:r w:rsidR="00A15748" w:rsidRPr="000C3143">
        <w:rPr>
          <w:sz w:val="24"/>
          <w:szCs w:val="24"/>
        </w:rPr>
        <w:t>.</w:t>
      </w:r>
      <w:r w:rsidR="00882455" w:rsidRPr="000C3143">
        <w:rPr>
          <w:sz w:val="24"/>
          <w:szCs w:val="24"/>
        </w:rPr>
        <w:t xml:space="preserve"> </w:t>
      </w:r>
      <w:r w:rsidR="00F90B85" w:rsidRPr="000C3143">
        <w:rPr>
          <w:sz w:val="24"/>
          <w:szCs w:val="24"/>
        </w:rPr>
        <w:t>Smith (1961</w:t>
      </w:r>
      <w:r w:rsidR="00DE7D83">
        <w:rPr>
          <w:sz w:val="24"/>
          <w:szCs w:val="24"/>
        </w:rPr>
        <w:t xml:space="preserve">, </w:t>
      </w:r>
      <w:r w:rsidR="004104EF">
        <w:rPr>
          <w:sz w:val="24"/>
          <w:szCs w:val="24"/>
        </w:rPr>
        <w:t xml:space="preserve">cited by </w:t>
      </w:r>
      <w:r w:rsidR="00DE7D83">
        <w:rPr>
          <w:sz w:val="24"/>
          <w:szCs w:val="24"/>
        </w:rPr>
        <w:t>Child and Ormerod, 2017</w:t>
      </w:r>
      <w:r w:rsidR="00F90B85" w:rsidRPr="000C3143">
        <w:rPr>
          <w:sz w:val="24"/>
          <w:szCs w:val="24"/>
        </w:rPr>
        <w:t>)</w:t>
      </w:r>
      <w:r w:rsidR="00882455" w:rsidRPr="000C3143">
        <w:rPr>
          <w:sz w:val="24"/>
          <w:szCs w:val="24"/>
        </w:rPr>
        <w:t xml:space="preserve"> </w:t>
      </w:r>
      <w:r w:rsidR="00F90B85" w:rsidRPr="000C3143">
        <w:rPr>
          <w:sz w:val="24"/>
          <w:szCs w:val="24"/>
        </w:rPr>
        <w:t xml:space="preserve">identifies the term </w:t>
      </w:r>
      <w:r w:rsidR="00BA52AC" w:rsidRPr="000C3143">
        <w:rPr>
          <w:sz w:val="24"/>
          <w:szCs w:val="24"/>
        </w:rPr>
        <w:t xml:space="preserve">grievous bodily harm </w:t>
      </w:r>
      <w:r w:rsidR="0095085D">
        <w:rPr>
          <w:sz w:val="24"/>
          <w:szCs w:val="24"/>
        </w:rPr>
        <w:t xml:space="preserve">loosly rendered as </w:t>
      </w:r>
      <w:r w:rsidR="00F90B85" w:rsidRPr="000C3143">
        <w:rPr>
          <w:sz w:val="24"/>
          <w:szCs w:val="24"/>
        </w:rPr>
        <w:t>‘really serious harm’</w:t>
      </w:r>
      <w:r w:rsidR="0095085D">
        <w:rPr>
          <w:sz w:val="24"/>
          <w:szCs w:val="24"/>
        </w:rPr>
        <w:t>,</w:t>
      </w:r>
      <w:r w:rsidR="00F90B85" w:rsidRPr="000C3143">
        <w:rPr>
          <w:sz w:val="24"/>
          <w:szCs w:val="24"/>
        </w:rPr>
        <w:t xml:space="preserve"> for example</w:t>
      </w:r>
      <w:r w:rsidR="0095085D">
        <w:rPr>
          <w:sz w:val="24"/>
          <w:szCs w:val="24"/>
        </w:rPr>
        <w:t>,</w:t>
      </w:r>
      <w:r w:rsidR="00F90B85" w:rsidRPr="000C3143">
        <w:rPr>
          <w:sz w:val="24"/>
          <w:szCs w:val="24"/>
        </w:rPr>
        <w:t xml:space="preserve"> the defendant stabbing the victim to puncture his lung</w:t>
      </w:r>
      <w:r w:rsidR="0095085D">
        <w:rPr>
          <w:sz w:val="24"/>
          <w:szCs w:val="24"/>
        </w:rPr>
        <w:t>.</w:t>
      </w:r>
      <w:r w:rsidR="00731FA5" w:rsidRPr="000C3143">
        <w:rPr>
          <w:sz w:val="24"/>
          <w:szCs w:val="24"/>
        </w:rPr>
        <w:t xml:space="preserve"> Bollom (200</w:t>
      </w:r>
      <w:r w:rsidR="002D2504" w:rsidRPr="000C3143">
        <w:rPr>
          <w:sz w:val="24"/>
          <w:szCs w:val="24"/>
        </w:rPr>
        <w:t>4</w:t>
      </w:r>
      <w:r w:rsidR="00DE7D83">
        <w:rPr>
          <w:sz w:val="24"/>
          <w:szCs w:val="24"/>
        </w:rPr>
        <w:t>, ibid</w:t>
      </w:r>
      <w:r w:rsidR="002D2504" w:rsidRPr="000C3143">
        <w:rPr>
          <w:sz w:val="24"/>
          <w:szCs w:val="24"/>
        </w:rPr>
        <w:t>) states that the injury does n</w:t>
      </w:r>
      <w:r w:rsidR="00731FA5" w:rsidRPr="000C3143">
        <w:rPr>
          <w:sz w:val="24"/>
          <w:szCs w:val="24"/>
        </w:rPr>
        <w:t>ot have to be life threatening, dangerou</w:t>
      </w:r>
      <w:r w:rsidR="00C0289C" w:rsidRPr="000C3143">
        <w:rPr>
          <w:sz w:val="24"/>
          <w:szCs w:val="24"/>
        </w:rPr>
        <w:t xml:space="preserve">s or permanent to </w:t>
      </w:r>
      <w:r w:rsidR="00731FA5" w:rsidRPr="000C3143">
        <w:rPr>
          <w:sz w:val="24"/>
          <w:szCs w:val="24"/>
        </w:rPr>
        <w:t xml:space="preserve">be </w:t>
      </w:r>
      <w:r w:rsidR="00BA52AC" w:rsidRPr="000C3143">
        <w:rPr>
          <w:sz w:val="24"/>
          <w:szCs w:val="24"/>
        </w:rPr>
        <w:t>grievous bodily harm</w:t>
      </w:r>
      <w:r w:rsidR="0095085D">
        <w:rPr>
          <w:sz w:val="24"/>
          <w:szCs w:val="24"/>
        </w:rPr>
        <w:t>. In addition,</w:t>
      </w:r>
      <w:r w:rsidR="002D2504" w:rsidRPr="000C3143">
        <w:rPr>
          <w:sz w:val="24"/>
          <w:szCs w:val="24"/>
        </w:rPr>
        <w:t xml:space="preserve"> </w:t>
      </w:r>
      <w:r w:rsidR="005356A7" w:rsidRPr="000C3143">
        <w:rPr>
          <w:sz w:val="24"/>
          <w:szCs w:val="24"/>
        </w:rPr>
        <w:t>Brown (2005, cited in Child and Ormerod, 2017</w:t>
      </w:r>
      <w:r w:rsidR="004E6BF5" w:rsidRPr="000C3143">
        <w:rPr>
          <w:sz w:val="24"/>
          <w:szCs w:val="24"/>
        </w:rPr>
        <w:t>, pp 234</w:t>
      </w:r>
      <w:r w:rsidR="002D2504" w:rsidRPr="000C3143">
        <w:rPr>
          <w:sz w:val="24"/>
          <w:szCs w:val="24"/>
        </w:rPr>
        <w:t xml:space="preserve">) </w:t>
      </w:r>
      <w:r w:rsidR="00BF7CB8" w:rsidRPr="000C3143">
        <w:rPr>
          <w:sz w:val="24"/>
          <w:szCs w:val="24"/>
        </w:rPr>
        <w:t>expresses that considering the victims</w:t>
      </w:r>
      <w:r w:rsidR="00C0289C" w:rsidRPr="000C3143">
        <w:rPr>
          <w:sz w:val="24"/>
          <w:szCs w:val="24"/>
        </w:rPr>
        <w:t xml:space="preserve"> injuries in court</w:t>
      </w:r>
      <w:r w:rsidR="00F059DA" w:rsidRPr="000C3143">
        <w:rPr>
          <w:sz w:val="24"/>
          <w:szCs w:val="24"/>
        </w:rPr>
        <w:t xml:space="preserve"> it is not </w:t>
      </w:r>
      <w:r w:rsidR="00C0289C" w:rsidRPr="000C3143">
        <w:rPr>
          <w:sz w:val="24"/>
          <w:szCs w:val="24"/>
        </w:rPr>
        <w:t>required</w:t>
      </w:r>
      <w:r w:rsidR="00F059DA" w:rsidRPr="000C3143">
        <w:rPr>
          <w:sz w:val="24"/>
          <w:szCs w:val="24"/>
        </w:rPr>
        <w:t xml:space="preserve"> to </w:t>
      </w:r>
      <w:r w:rsidR="00C0289C" w:rsidRPr="000C3143">
        <w:rPr>
          <w:sz w:val="24"/>
          <w:szCs w:val="24"/>
        </w:rPr>
        <w:t>establish</w:t>
      </w:r>
      <w:r w:rsidR="00BF7CB8" w:rsidRPr="000C3143">
        <w:rPr>
          <w:sz w:val="24"/>
          <w:szCs w:val="24"/>
        </w:rPr>
        <w:t xml:space="preserve"> that the victim</w:t>
      </w:r>
      <w:r w:rsidR="00F059DA" w:rsidRPr="000C3143">
        <w:rPr>
          <w:sz w:val="24"/>
          <w:szCs w:val="24"/>
        </w:rPr>
        <w:t xml:space="preserve"> </w:t>
      </w:r>
      <w:r w:rsidR="00C0289C" w:rsidRPr="000C3143">
        <w:rPr>
          <w:sz w:val="24"/>
          <w:szCs w:val="24"/>
        </w:rPr>
        <w:t xml:space="preserve">suffered </w:t>
      </w:r>
      <w:r w:rsidR="00BA52AC" w:rsidRPr="000C3143">
        <w:rPr>
          <w:sz w:val="24"/>
          <w:szCs w:val="24"/>
        </w:rPr>
        <w:t>actual bodily harm</w:t>
      </w:r>
      <w:r w:rsidR="00363B34" w:rsidRPr="000C3143">
        <w:rPr>
          <w:sz w:val="24"/>
          <w:szCs w:val="24"/>
        </w:rPr>
        <w:t xml:space="preserve"> or</w:t>
      </w:r>
      <w:r w:rsidR="00F059DA" w:rsidRPr="000C3143">
        <w:rPr>
          <w:sz w:val="24"/>
          <w:szCs w:val="24"/>
        </w:rPr>
        <w:t xml:space="preserve"> </w:t>
      </w:r>
      <w:r w:rsidR="00BA52AC" w:rsidRPr="000C3143">
        <w:rPr>
          <w:sz w:val="24"/>
          <w:szCs w:val="24"/>
        </w:rPr>
        <w:t xml:space="preserve">grievous bodily harm </w:t>
      </w:r>
      <w:r w:rsidR="00F059DA" w:rsidRPr="000C3143">
        <w:rPr>
          <w:sz w:val="24"/>
          <w:szCs w:val="24"/>
        </w:rPr>
        <w:t xml:space="preserve">as </w:t>
      </w:r>
      <w:r w:rsidR="00BA52AC" w:rsidRPr="000C3143">
        <w:rPr>
          <w:sz w:val="24"/>
          <w:szCs w:val="24"/>
        </w:rPr>
        <w:t>an</w:t>
      </w:r>
      <w:r w:rsidR="00F059DA" w:rsidRPr="000C3143">
        <w:rPr>
          <w:sz w:val="24"/>
          <w:szCs w:val="24"/>
        </w:rPr>
        <w:t xml:space="preserve"> </w:t>
      </w:r>
      <w:r w:rsidR="00C0289C" w:rsidRPr="000C3143">
        <w:rPr>
          <w:sz w:val="24"/>
          <w:szCs w:val="24"/>
        </w:rPr>
        <w:t>end result</w:t>
      </w:r>
      <w:r w:rsidR="00F059DA" w:rsidRPr="000C3143">
        <w:rPr>
          <w:sz w:val="24"/>
          <w:szCs w:val="24"/>
        </w:rPr>
        <w:t xml:space="preserve"> from a single act, provided that the harm was sustained from on</w:t>
      </w:r>
      <w:r w:rsidR="00C0289C" w:rsidRPr="000C3143">
        <w:rPr>
          <w:sz w:val="24"/>
          <w:szCs w:val="24"/>
        </w:rPr>
        <w:t>e attack or relevant time scale</w:t>
      </w:r>
      <w:r w:rsidR="00F059DA" w:rsidRPr="000C3143">
        <w:rPr>
          <w:sz w:val="24"/>
          <w:szCs w:val="24"/>
        </w:rPr>
        <w:t>.</w:t>
      </w:r>
      <w:r w:rsidR="00C0289C" w:rsidRPr="000C3143">
        <w:rPr>
          <w:sz w:val="24"/>
          <w:szCs w:val="24"/>
        </w:rPr>
        <w:t xml:space="preserve"> </w:t>
      </w:r>
      <w:r w:rsidR="00F059DA" w:rsidRPr="000C3143">
        <w:rPr>
          <w:sz w:val="24"/>
          <w:szCs w:val="24"/>
        </w:rPr>
        <w:t xml:space="preserve"> </w:t>
      </w:r>
    </w:p>
    <w:p w:rsidR="00D74683" w:rsidRPr="000C3143" w:rsidRDefault="00115654" w:rsidP="00FD6B86">
      <w:pPr>
        <w:spacing w:after="0"/>
        <w:jc w:val="both"/>
        <w:rPr>
          <w:sz w:val="24"/>
          <w:szCs w:val="24"/>
        </w:rPr>
      </w:pPr>
      <w:r w:rsidRPr="000C3143">
        <w:rPr>
          <w:sz w:val="24"/>
          <w:szCs w:val="24"/>
        </w:rPr>
        <w:t>It has been suggested by the Law Commission that they have brought</w:t>
      </w:r>
      <w:r w:rsidR="002B0FB5">
        <w:rPr>
          <w:sz w:val="24"/>
          <w:szCs w:val="24"/>
        </w:rPr>
        <w:t xml:space="preserve"> the Scoping Consultation Paper</w:t>
      </w:r>
      <w:r w:rsidRPr="000C3143">
        <w:rPr>
          <w:sz w:val="24"/>
          <w:szCs w:val="24"/>
        </w:rPr>
        <w:t xml:space="preserve"> to improve the legal process </w:t>
      </w:r>
      <w:r w:rsidR="002B0FB5">
        <w:rPr>
          <w:sz w:val="24"/>
          <w:szCs w:val="24"/>
        </w:rPr>
        <w:t>of prosecution, ai</w:t>
      </w:r>
      <w:r w:rsidR="00DB555E" w:rsidRPr="000C3143">
        <w:rPr>
          <w:sz w:val="24"/>
          <w:szCs w:val="24"/>
        </w:rPr>
        <w:t xml:space="preserve">ming to close the gap between common assault and the </w:t>
      </w:r>
      <w:r w:rsidR="002B0FB5">
        <w:rPr>
          <w:sz w:val="24"/>
          <w:szCs w:val="24"/>
        </w:rPr>
        <w:t>mo</w:t>
      </w:r>
      <w:r w:rsidR="0007578E">
        <w:rPr>
          <w:sz w:val="24"/>
          <w:szCs w:val="24"/>
        </w:rPr>
        <w:t>re serious actual bodily harm. S</w:t>
      </w:r>
      <w:r w:rsidR="00DB555E" w:rsidRPr="000C3143">
        <w:rPr>
          <w:sz w:val="24"/>
          <w:szCs w:val="24"/>
        </w:rPr>
        <w:t xml:space="preserve">ection 20 and 47 </w:t>
      </w:r>
      <w:r w:rsidR="002B0FB5">
        <w:rPr>
          <w:sz w:val="24"/>
          <w:szCs w:val="24"/>
        </w:rPr>
        <w:t xml:space="preserve">of the Offences Against the Person Act 1861, </w:t>
      </w:r>
      <w:r w:rsidR="006503C9" w:rsidRPr="000C3143">
        <w:rPr>
          <w:sz w:val="24"/>
          <w:szCs w:val="24"/>
        </w:rPr>
        <w:t>suggest</w:t>
      </w:r>
      <w:r w:rsidR="0007578E">
        <w:rPr>
          <w:sz w:val="24"/>
          <w:szCs w:val="24"/>
        </w:rPr>
        <w:t>est that</w:t>
      </w:r>
      <w:r w:rsidR="006503C9" w:rsidRPr="000C3143">
        <w:rPr>
          <w:sz w:val="24"/>
          <w:szCs w:val="24"/>
        </w:rPr>
        <w:t xml:space="preserve"> aggravated assault</w:t>
      </w:r>
      <w:r w:rsidR="0007578E">
        <w:rPr>
          <w:sz w:val="24"/>
          <w:szCs w:val="24"/>
        </w:rPr>
        <w:t xml:space="preserve"> would be a positive alternative</w:t>
      </w:r>
      <w:r w:rsidR="006503C9" w:rsidRPr="000C3143">
        <w:rPr>
          <w:sz w:val="24"/>
          <w:szCs w:val="24"/>
        </w:rPr>
        <w:t>, t</w:t>
      </w:r>
      <w:r w:rsidR="00DB555E" w:rsidRPr="000C3143">
        <w:rPr>
          <w:sz w:val="24"/>
          <w:szCs w:val="24"/>
        </w:rPr>
        <w:t>his offence will only be trialled in the magistrate’s court, and the defendant will serve a maximum sentence of 12 months.</w:t>
      </w:r>
      <w:r w:rsidR="006503C9" w:rsidRPr="000C3143">
        <w:rPr>
          <w:sz w:val="24"/>
          <w:szCs w:val="24"/>
        </w:rPr>
        <w:t xml:space="preserve"> The Draft Bill</w:t>
      </w:r>
      <w:r w:rsidR="00322912">
        <w:rPr>
          <w:sz w:val="24"/>
          <w:szCs w:val="24"/>
        </w:rPr>
        <w:t xml:space="preserve"> 1988</w:t>
      </w:r>
      <w:r w:rsidR="009514DA" w:rsidRPr="000C3143">
        <w:rPr>
          <w:sz w:val="24"/>
          <w:szCs w:val="24"/>
        </w:rPr>
        <w:t xml:space="preserve"> has incorporated a clear distinguish between harassment and what non-fatal offences</w:t>
      </w:r>
      <w:r w:rsidR="006B3B53">
        <w:rPr>
          <w:sz w:val="24"/>
          <w:szCs w:val="24"/>
        </w:rPr>
        <w:t xml:space="preserve"> are, st</w:t>
      </w:r>
      <w:r w:rsidR="009514DA" w:rsidRPr="000C3143">
        <w:rPr>
          <w:sz w:val="24"/>
          <w:szCs w:val="24"/>
        </w:rPr>
        <w:t>alking cases such as Ireland and Burstow (1998, cited in Child and Ormerod, 2017</w:t>
      </w:r>
      <w:r w:rsidR="005868C4" w:rsidRPr="000C3143">
        <w:rPr>
          <w:sz w:val="24"/>
          <w:szCs w:val="24"/>
        </w:rPr>
        <w:t>, pp 231</w:t>
      </w:r>
      <w:r w:rsidR="009514DA" w:rsidRPr="000C3143">
        <w:rPr>
          <w:sz w:val="24"/>
          <w:szCs w:val="24"/>
        </w:rPr>
        <w:t>)</w:t>
      </w:r>
      <w:r w:rsidR="00F57B04" w:rsidRPr="000C3143">
        <w:rPr>
          <w:sz w:val="24"/>
          <w:szCs w:val="24"/>
        </w:rPr>
        <w:t xml:space="preserve"> and R v Constanza</w:t>
      </w:r>
      <w:r w:rsidR="006B3B53">
        <w:rPr>
          <w:sz w:val="24"/>
          <w:szCs w:val="24"/>
        </w:rPr>
        <w:t xml:space="preserve"> (1997, ibid)</w:t>
      </w:r>
      <w:r w:rsidR="00F57B04" w:rsidRPr="000C3143">
        <w:rPr>
          <w:sz w:val="24"/>
          <w:szCs w:val="24"/>
        </w:rPr>
        <w:t xml:space="preserve">, </w:t>
      </w:r>
      <w:r w:rsidR="006B3B53">
        <w:rPr>
          <w:sz w:val="24"/>
          <w:szCs w:val="24"/>
        </w:rPr>
        <w:t xml:space="preserve">cause </w:t>
      </w:r>
      <w:r w:rsidR="00996313" w:rsidRPr="000C3143">
        <w:rPr>
          <w:sz w:val="24"/>
          <w:szCs w:val="24"/>
        </w:rPr>
        <w:t>confusion</w:t>
      </w:r>
      <w:r w:rsidR="00F57B04" w:rsidRPr="000C3143">
        <w:rPr>
          <w:sz w:val="24"/>
          <w:szCs w:val="24"/>
        </w:rPr>
        <w:t xml:space="preserve"> as it links with the Harassment Act 1997. In</w:t>
      </w:r>
      <w:r w:rsidR="0067388E" w:rsidRPr="000C3143">
        <w:rPr>
          <w:sz w:val="24"/>
          <w:szCs w:val="24"/>
          <w:shd w:val="clear" w:color="auto" w:fill="FFFFFF"/>
        </w:rPr>
        <w:t xml:space="preserve"> the case of </w:t>
      </w:r>
      <w:r w:rsidR="00404DDE" w:rsidRPr="000C3143">
        <w:rPr>
          <w:sz w:val="24"/>
          <w:szCs w:val="24"/>
          <w:shd w:val="clear" w:color="auto" w:fill="FFFFFF"/>
        </w:rPr>
        <w:t>Ireland and Burstow (1998, cited in Child and Ormerod, 2017, pp 231</w:t>
      </w:r>
      <w:r w:rsidR="00AC74F3" w:rsidRPr="000C3143">
        <w:rPr>
          <w:sz w:val="24"/>
          <w:szCs w:val="24"/>
          <w:shd w:val="clear" w:color="auto" w:fill="FFFFFF"/>
        </w:rPr>
        <w:t xml:space="preserve">), Ireland </w:t>
      </w:r>
      <w:r w:rsidR="00AC74F3" w:rsidRPr="000C3143">
        <w:rPr>
          <w:sz w:val="24"/>
          <w:szCs w:val="24"/>
          <w:shd w:val="clear" w:color="auto" w:fill="FFFFFF"/>
        </w:rPr>
        <w:lastRenderedPageBreak/>
        <w:t xml:space="preserve">made a series of silent telephone calls which </w:t>
      </w:r>
      <w:r w:rsidR="006E6EDF" w:rsidRPr="000C3143">
        <w:rPr>
          <w:sz w:val="24"/>
          <w:szCs w:val="24"/>
          <w:shd w:val="clear" w:color="auto" w:fill="FFFFFF"/>
        </w:rPr>
        <w:t>triggered</w:t>
      </w:r>
      <w:r w:rsidR="00AC74F3" w:rsidRPr="000C3143">
        <w:rPr>
          <w:sz w:val="24"/>
          <w:szCs w:val="24"/>
          <w:shd w:val="clear" w:color="auto" w:fill="FFFFFF"/>
        </w:rPr>
        <w:t xml:space="preserve"> the victim to experience psychiatric harm. Ireland was charged with section 47 offence, </w:t>
      </w:r>
      <w:r w:rsidR="00BA52AC" w:rsidRPr="000C3143">
        <w:rPr>
          <w:sz w:val="24"/>
          <w:szCs w:val="24"/>
          <w:shd w:val="clear" w:color="auto" w:fill="FFFFFF"/>
        </w:rPr>
        <w:t xml:space="preserve">the offence was capable of amounting to actual bodily harm or grievous bodily harm </w:t>
      </w:r>
      <w:r w:rsidR="00AC74F3" w:rsidRPr="000C3143">
        <w:rPr>
          <w:sz w:val="24"/>
          <w:szCs w:val="24"/>
          <w:shd w:val="clear" w:color="auto" w:fill="FFFFFF"/>
        </w:rPr>
        <w:t>as the victim suffered psychiatric injury and depression</w:t>
      </w:r>
      <w:r w:rsidR="00BA52AC" w:rsidRPr="000C3143">
        <w:rPr>
          <w:sz w:val="24"/>
          <w:szCs w:val="24"/>
          <w:shd w:val="clear" w:color="auto" w:fill="FFFFFF"/>
        </w:rPr>
        <w:t xml:space="preserve">. Actual bodily harm </w:t>
      </w:r>
      <w:r w:rsidR="00145D29" w:rsidRPr="000C3143">
        <w:rPr>
          <w:sz w:val="24"/>
          <w:szCs w:val="24"/>
          <w:shd w:val="clear" w:color="auto" w:fill="FFFFFF"/>
        </w:rPr>
        <w:t>i</w:t>
      </w:r>
      <w:r w:rsidR="004D1B8F" w:rsidRPr="000C3143">
        <w:rPr>
          <w:sz w:val="24"/>
          <w:szCs w:val="24"/>
          <w:shd w:val="clear" w:color="auto" w:fill="FFFFFF"/>
        </w:rPr>
        <w:t>s not defined in the O</w:t>
      </w:r>
      <w:r w:rsidR="00322912">
        <w:rPr>
          <w:sz w:val="24"/>
          <w:szCs w:val="24"/>
          <w:shd w:val="clear" w:color="auto" w:fill="FFFFFF"/>
        </w:rPr>
        <w:t xml:space="preserve">ffences Against the </w:t>
      </w:r>
      <w:r w:rsidR="004D1B8F" w:rsidRPr="000C3143">
        <w:rPr>
          <w:sz w:val="24"/>
          <w:szCs w:val="24"/>
          <w:shd w:val="clear" w:color="auto" w:fill="FFFFFF"/>
        </w:rPr>
        <w:t>P</w:t>
      </w:r>
      <w:r w:rsidR="00322912">
        <w:rPr>
          <w:sz w:val="24"/>
          <w:szCs w:val="24"/>
          <w:shd w:val="clear" w:color="auto" w:fill="FFFFFF"/>
        </w:rPr>
        <w:t xml:space="preserve">erson </w:t>
      </w:r>
      <w:r w:rsidR="004D1B8F" w:rsidRPr="000C3143">
        <w:rPr>
          <w:sz w:val="24"/>
          <w:szCs w:val="24"/>
          <w:shd w:val="clear" w:color="auto" w:fill="FFFFFF"/>
        </w:rPr>
        <w:t>A</w:t>
      </w:r>
      <w:r w:rsidR="00322912">
        <w:rPr>
          <w:sz w:val="24"/>
          <w:szCs w:val="24"/>
          <w:shd w:val="clear" w:color="auto" w:fill="FFFFFF"/>
        </w:rPr>
        <w:t>ct 1861</w:t>
      </w:r>
      <w:r w:rsidR="004D1B8F" w:rsidRPr="000C3143">
        <w:rPr>
          <w:sz w:val="24"/>
          <w:szCs w:val="24"/>
          <w:shd w:val="clear" w:color="auto" w:fill="FFFFFF"/>
        </w:rPr>
        <w:t xml:space="preserve">, </w:t>
      </w:r>
      <w:r w:rsidR="00D94C0B">
        <w:rPr>
          <w:sz w:val="24"/>
          <w:szCs w:val="24"/>
          <w:shd w:val="clear" w:color="auto" w:fill="FFFFFF"/>
        </w:rPr>
        <w:t xml:space="preserve">yet, </w:t>
      </w:r>
      <w:r w:rsidR="004D1B8F" w:rsidRPr="000C3143">
        <w:rPr>
          <w:sz w:val="24"/>
          <w:szCs w:val="24"/>
          <w:shd w:val="clear" w:color="auto" w:fill="FFFFFF"/>
        </w:rPr>
        <w:t>it has been described by Miller (1954, cited in Child and Ormerod, 2017, pp 231) as ‘any hurt or injury that is calculated to interfere with the health or comfort of the victim’.</w:t>
      </w:r>
      <w:r w:rsidR="009514DA" w:rsidRPr="000C3143">
        <w:rPr>
          <w:sz w:val="24"/>
          <w:szCs w:val="24"/>
          <w:shd w:val="clear" w:color="auto" w:fill="FFFFFF"/>
        </w:rPr>
        <w:t xml:space="preserve"> </w:t>
      </w:r>
      <w:r w:rsidR="00F573AC">
        <w:rPr>
          <w:sz w:val="24"/>
          <w:szCs w:val="24"/>
          <w:shd w:val="clear" w:color="auto" w:fill="FFFFFF"/>
        </w:rPr>
        <w:t>The term bodily harm</w:t>
      </w:r>
      <w:r w:rsidR="005779F4" w:rsidRPr="000C3143">
        <w:rPr>
          <w:sz w:val="24"/>
          <w:szCs w:val="24"/>
          <w:shd w:val="clear" w:color="auto" w:fill="FFFFFF"/>
        </w:rPr>
        <w:t xml:space="preserve"> </w:t>
      </w:r>
      <w:r w:rsidR="006B3B53">
        <w:rPr>
          <w:sz w:val="24"/>
          <w:szCs w:val="24"/>
          <w:shd w:val="clear" w:color="auto" w:fill="FFFFFF"/>
        </w:rPr>
        <w:t xml:space="preserve">which is </w:t>
      </w:r>
      <w:r w:rsidR="005779F4" w:rsidRPr="000C3143">
        <w:rPr>
          <w:sz w:val="24"/>
          <w:szCs w:val="24"/>
          <w:shd w:val="clear" w:color="auto" w:fill="FFFFFF"/>
        </w:rPr>
        <w:t xml:space="preserve">used in s47, s20 and s18 </w:t>
      </w:r>
      <w:r w:rsidR="002F33D8" w:rsidRPr="000C3143">
        <w:rPr>
          <w:sz w:val="24"/>
          <w:szCs w:val="24"/>
          <w:shd w:val="clear" w:color="auto" w:fill="FFFFFF"/>
        </w:rPr>
        <w:t xml:space="preserve">has triggered much criticism, as it has been used in all three sections but has no statutory definition. </w:t>
      </w:r>
      <w:r w:rsidR="00885628" w:rsidRPr="000C3143">
        <w:rPr>
          <w:sz w:val="24"/>
          <w:szCs w:val="24"/>
          <w:shd w:val="clear" w:color="auto" w:fill="FFFFFF"/>
        </w:rPr>
        <w:t xml:space="preserve">The phrase has been extensively interpreted by the courts, Chan Fook (1994, House of Lords) states that bodily harm should include depression for actual bodily harm. </w:t>
      </w:r>
      <w:r w:rsidR="00D74683" w:rsidRPr="000C3143">
        <w:rPr>
          <w:sz w:val="24"/>
          <w:szCs w:val="24"/>
          <w:shd w:val="clear" w:color="auto" w:fill="FFFFFF"/>
        </w:rPr>
        <w:t>Ireland said there should be more serious psychiatric harm for grievous bodily harm, to ensure cases involving harassment and stalking that they are prosecuted in the correct way.</w:t>
      </w:r>
    </w:p>
    <w:p w:rsidR="00670623" w:rsidRDefault="002A0D28" w:rsidP="00FD6B86">
      <w:pPr>
        <w:spacing w:after="0"/>
        <w:jc w:val="both"/>
        <w:rPr>
          <w:sz w:val="24"/>
          <w:szCs w:val="24"/>
        </w:rPr>
      </w:pPr>
      <w:r w:rsidRPr="000C3143">
        <w:rPr>
          <w:sz w:val="24"/>
          <w:szCs w:val="24"/>
        </w:rPr>
        <w:t xml:space="preserve">The Draft Bill that </w:t>
      </w:r>
      <w:r w:rsidR="00996313" w:rsidRPr="000C3143">
        <w:rPr>
          <w:sz w:val="24"/>
          <w:szCs w:val="24"/>
        </w:rPr>
        <w:t>was brought</w:t>
      </w:r>
      <w:r w:rsidRPr="000C3143">
        <w:rPr>
          <w:sz w:val="24"/>
          <w:szCs w:val="24"/>
        </w:rPr>
        <w:t xml:space="preserve"> in by the Home Office in an attempt to reform the O</w:t>
      </w:r>
      <w:r w:rsidR="00322912">
        <w:rPr>
          <w:sz w:val="24"/>
          <w:szCs w:val="24"/>
        </w:rPr>
        <w:t xml:space="preserve">ffences Against the </w:t>
      </w:r>
      <w:r w:rsidRPr="000C3143">
        <w:rPr>
          <w:sz w:val="24"/>
          <w:szCs w:val="24"/>
        </w:rPr>
        <w:t>P</w:t>
      </w:r>
      <w:r w:rsidR="00322912">
        <w:rPr>
          <w:sz w:val="24"/>
          <w:szCs w:val="24"/>
        </w:rPr>
        <w:t xml:space="preserve">erson </w:t>
      </w:r>
      <w:r w:rsidRPr="000C3143">
        <w:rPr>
          <w:sz w:val="24"/>
          <w:szCs w:val="24"/>
        </w:rPr>
        <w:t>A</w:t>
      </w:r>
      <w:r w:rsidR="00322912">
        <w:rPr>
          <w:sz w:val="24"/>
          <w:szCs w:val="24"/>
        </w:rPr>
        <w:t>ct 1861</w:t>
      </w:r>
      <w:r w:rsidRPr="000C3143">
        <w:rPr>
          <w:sz w:val="24"/>
          <w:szCs w:val="24"/>
        </w:rPr>
        <w:t xml:space="preserve"> and be replaced with the modern legislation. In comparison with the current law O</w:t>
      </w:r>
      <w:r w:rsidR="00322912">
        <w:rPr>
          <w:sz w:val="24"/>
          <w:szCs w:val="24"/>
        </w:rPr>
        <w:t xml:space="preserve">ffences </w:t>
      </w:r>
      <w:r w:rsidRPr="000C3143">
        <w:rPr>
          <w:sz w:val="24"/>
          <w:szCs w:val="24"/>
        </w:rPr>
        <w:t>A</w:t>
      </w:r>
      <w:r w:rsidR="00322912">
        <w:rPr>
          <w:sz w:val="24"/>
          <w:szCs w:val="24"/>
        </w:rPr>
        <w:t xml:space="preserve">gainst the </w:t>
      </w:r>
      <w:r w:rsidRPr="000C3143">
        <w:rPr>
          <w:sz w:val="24"/>
          <w:szCs w:val="24"/>
        </w:rPr>
        <w:t>P</w:t>
      </w:r>
      <w:r w:rsidR="00322912">
        <w:rPr>
          <w:sz w:val="24"/>
          <w:szCs w:val="24"/>
        </w:rPr>
        <w:t xml:space="preserve">erson </w:t>
      </w:r>
      <w:r w:rsidRPr="000C3143">
        <w:rPr>
          <w:sz w:val="24"/>
          <w:szCs w:val="24"/>
        </w:rPr>
        <w:t>A</w:t>
      </w:r>
      <w:r w:rsidR="00322912">
        <w:rPr>
          <w:sz w:val="24"/>
          <w:szCs w:val="24"/>
        </w:rPr>
        <w:t>ct 1861</w:t>
      </w:r>
      <w:r w:rsidRPr="000C3143">
        <w:rPr>
          <w:sz w:val="24"/>
          <w:szCs w:val="24"/>
        </w:rPr>
        <w:t xml:space="preserve"> the Draft Bill </w:t>
      </w:r>
      <w:r w:rsidR="00322912">
        <w:rPr>
          <w:sz w:val="24"/>
          <w:szCs w:val="24"/>
        </w:rPr>
        <w:t xml:space="preserve">1988 </w:t>
      </w:r>
      <w:r w:rsidRPr="000C3143">
        <w:rPr>
          <w:sz w:val="24"/>
          <w:szCs w:val="24"/>
        </w:rPr>
        <w:t>has made the offences in a clearer approach and presented in a logical hierarchy.</w:t>
      </w:r>
      <w:r w:rsidR="00D85341" w:rsidRPr="000C3143">
        <w:rPr>
          <w:sz w:val="24"/>
          <w:szCs w:val="24"/>
        </w:rPr>
        <w:t xml:space="preserve">’ </w:t>
      </w:r>
      <w:r w:rsidR="00E57F5C" w:rsidRPr="000C3143">
        <w:rPr>
          <w:sz w:val="24"/>
          <w:szCs w:val="24"/>
        </w:rPr>
        <w:t>The view of Professor JC Smith</w:t>
      </w:r>
      <w:r w:rsidR="004C6AD4">
        <w:rPr>
          <w:sz w:val="24"/>
          <w:szCs w:val="24"/>
        </w:rPr>
        <w:t xml:space="preserve"> </w:t>
      </w:r>
      <w:r w:rsidR="00221D79">
        <w:rPr>
          <w:sz w:val="24"/>
          <w:szCs w:val="24"/>
        </w:rPr>
        <w:t>(House of Lords, 1997)</w:t>
      </w:r>
      <w:r w:rsidR="00E57F5C" w:rsidRPr="000C3143">
        <w:rPr>
          <w:sz w:val="24"/>
          <w:szCs w:val="24"/>
        </w:rPr>
        <w:t xml:space="preserve"> has been widely shared as he describes the O</w:t>
      </w:r>
      <w:r w:rsidR="00322912">
        <w:rPr>
          <w:sz w:val="24"/>
          <w:szCs w:val="24"/>
        </w:rPr>
        <w:t xml:space="preserve">ffences Against the </w:t>
      </w:r>
      <w:r w:rsidR="00E57F5C" w:rsidRPr="000C3143">
        <w:rPr>
          <w:sz w:val="24"/>
          <w:szCs w:val="24"/>
        </w:rPr>
        <w:t>P</w:t>
      </w:r>
      <w:r w:rsidR="00322912">
        <w:rPr>
          <w:sz w:val="24"/>
          <w:szCs w:val="24"/>
        </w:rPr>
        <w:t xml:space="preserve">erson </w:t>
      </w:r>
      <w:r w:rsidR="00E57F5C" w:rsidRPr="000C3143">
        <w:rPr>
          <w:sz w:val="24"/>
          <w:szCs w:val="24"/>
        </w:rPr>
        <w:t>A</w:t>
      </w:r>
      <w:r w:rsidR="00322912">
        <w:rPr>
          <w:sz w:val="24"/>
          <w:szCs w:val="24"/>
        </w:rPr>
        <w:t>ct 1861</w:t>
      </w:r>
      <w:r w:rsidR="00E57F5C" w:rsidRPr="000C3143">
        <w:rPr>
          <w:sz w:val="24"/>
          <w:szCs w:val="24"/>
        </w:rPr>
        <w:t xml:space="preserve"> as ‘a rag bag of offences’ albeit others argue that the law works in practice, so no reform is needed. The Bar Council and Criminal Bar Association think the defects in the act are ‘merely theoretical’ the case law has already recognised </w:t>
      </w:r>
      <w:r w:rsidR="00754073" w:rsidRPr="000C3143">
        <w:rPr>
          <w:sz w:val="24"/>
          <w:szCs w:val="24"/>
        </w:rPr>
        <w:t>the legal meaning (Eugenicos, 2017</w:t>
      </w:r>
      <w:r w:rsidR="000F1AA0" w:rsidRPr="000C3143">
        <w:rPr>
          <w:sz w:val="24"/>
          <w:szCs w:val="24"/>
        </w:rPr>
        <w:t>).The Bar Council</w:t>
      </w:r>
      <w:r w:rsidR="00FF32A9" w:rsidRPr="000C3143">
        <w:rPr>
          <w:sz w:val="24"/>
          <w:szCs w:val="24"/>
        </w:rPr>
        <w:t xml:space="preserve"> which represents over 15,000 barristers in England and Wales (The Bar Council, 2015)</w:t>
      </w:r>
      <w:r w:rsidR="000F1AA0" w:rsidRPr="000C3143">
        <w:rPr>
          <w:sz w:val="24"/>
          <w:szCs w:val="24"/>
        </w:rPr>
        <w:t xml:space="preserve"> has written </w:t>
      </w:r>
      <w:r w:rsidR="00FF32A9" w:rsidRPr="000C3143">
        <w:rPr>
          <w:sz w:val="24"/>
          <w:szCs w:val="24"/>
        </w:rPr>
        <w:t xml:space="preserve">a response from receiving the </w:t>
      </w:r>
      <w:r w:rsidR="000F1AA0" w:rsidRPr="000C3143">
        <w:rPr>
          <w:sz w:val="24"/>
          <w:szCs w:val="24"/>
        </w:rPr>
        <w:t>Scoping Consultation Paper</w:t>
      </w:r>
      <w:r w:rsidR="00FF32A9" w:rsidRPr="000C3143">
        <w:rPr>
          <w:sz w:val="24"/>
          <w:szCs w:val="24"/>
        </w:rPr>
        <w:t xml:space="preserve"> stating that the language</w:t>
      </w:r>
      <w:r w:rsidR="00CB4D06">
        <w:rPr>
          <w:sz w:val="24"/>
          <w:szCs w:val="24"/>
        </w:rPr>
        <w:t xml:space="preserve"> in paticular</w:t>
      </w:r>
      <w:r w:rsidR="00FF32A9" w:rsidRPr="000C3143">
        <w:rPr>
          <w:sz w:val="24"/>
          <w:szCs w:val="24"/>
        </w:rPr>
        <w:t xml:space="preserve"> ‘grievous bodily harm’ that needs to be explained to a jury does not</w:t>
      </w:r>
      <w:r w:rsidR="00CB4D06">
        <w:rPr>
          <w:sz w:val="24"/>
          <w:szCs w:val="24"/>
        </w:rPr>
        <w:t>,</w:t>
      </w:r>
      <w:r w:rsidR="00FF32A9" w:rsidRPr="000C3143">
        <w:rPr>
          <w:sz w:val="24"/>
          <w:szCs w:val="24"/>
        </w:rPr>
        <w:t xml:space="preserve"> in the experience of The Bar Council cause any problems in practice. They </w:t>
      </w:r>
      <w:r w:rsidR="00A9349B" w:rsidRPr="000C3143">
        <w:rPr>
          <w:sz w:val="24"/>
          <w:szCs w:val="24"/>
        </w:rPr>
        <w:t xml:space="preserve">feel that the modifications for expressions such as ‘wounds’ and ‘grievous bodily harm’ would not inevitably be enhanced by any amendment. The </w:t>
      </w:r>
      <w:r w:rsidR="00430406" w:rsidRPr="000C3143">
        <w:rPr>
          <w:sz w:val="24"/>
          <w:szCs w:val="24"/>
        </w:rPr>
        <w:t>B</w:t>
      </w:r>
      <w:r w:rsidR="00A9349B" w:rsidRPr="000C3143">
        <w:rPr>
          <w:sz w:val="24"/>
          <w:szCs w:val="24"/>
        </w:rPr>
        <w:t>ar Council</w:t>
      </w:r>
      <w:r w:rsidR="00430406" w:rsidRPr="000C3143">
        <w:rPr>
          <w:sz w:val="24"/>
          <w:szCs w:val="24"/>
        </w:rPr>
        <w:t xml:space="preserve"> expresses that to fully rewrite the 1861 Act would be unnecessary, to replace some of the archaic wording that has been used within the Act.  </w:t>
      </w:r>
      <w:r w:rsidR="00450E9B" w:rsidRPr="000C3143">
        <w:rPr>
          <w:sz w:val="24"/>
          <w:szCs w:val="24"/>
        </w:rPr>
        <w:t>In The Bar Council’s ex</w:t>
      </w:r>
      <w:r w:rsidR="00CB4D06">
        <w:rPr>
          <w:sz w:val="24"/>
          <w:szCs w:val="24"/>
        </w:rPr>
        <w:t xml:space="preserve">perience, the court of law will </w:t>
      </w:r>
      <w:r w:rsidR="00450E9B" w:rsidRPr="000C3143">
        <w:rPr>
          <w:sz w:val="24"/>
          <w:szCs w:val="24"/>
        </w:rPr>
        <w:t>only look at two cases at a time</w:t>
      </w:r>
      <w:r w:rsidR="00CB4D06">
        <w:rPr>
          <w:sz w:val="24"/>
          <w:szCs w:val="24"/>
        </w:rPr>
        <w:t>,</w:t>
      </w:r>
      <w:r w:rsidR="00450E9B" w:rsidRPr="000C3143">
        <w:rPr>
          <w:sz w:val="24"/>
          <w:szCs w:val="24"/>
        </w:rPr>
        <w:t xml:space="preserve"> so having a number of overlapping offences in the 1861 Act, </w:t>
      </w:r>
      <w:r w:rsidR="00CB4D06">
        <w:rPr>
          <w:sz w:val="24"/>
          <w:szCs w:val="24"/>
        </w:rPr>
        <w:t>with similar conduct has</w:t>
      </w:r>
      <w:r w:rsidR="00450E9B" w:rsidRPr="000C3143">
        <w:rPr>
          <w:sz w:val="24"/>
          <w:szCs w:val="24"/>
        </w:rPr>
        <w:t xml:space="preserve"> shown to be not problematic.  </w:t>
      </w:r>
    </w:p>
    <w:p w:rsidR="00E9392D" w:rsidRPr="007D67AA" w:rsidRDefault="00221D79" w:rsidP="00E9392D">
      <w:pPr>
        <w:spacing w:after="0"/>
        <w:jc w:val="both"/>
        <w:rPr>
          <w:sz w:val="24"/>
          <w:szCs w:val="24"/>
          <w:shd w:val="clear" w:color="auto" w:fill="FFFFFF"/>
        </w:rPr>
      </w:pPr>
      <w:r>
        <w:rPr>
          <w:sz w:val="24"/>
          <w:szCs w:val="24"/>
        </w:rPr>
        <w:t>As the Offences Against the Person Act 1861 has been around for over 150 years, and</w:t>
      </w:r>
      <w:r w:rsidR="007D67AA">
        <w:rPr>
          <w:sz w:val="24"/>
          <w:szCs w:val="24"/>
        </w:rPr>
        <w:t xml:space="preserve"> has been amended many of times. It remains heavy in use even after</w:t>
      </w:r>
      <w:r w:rsidR="001235D0">
        <w:rPr>
          <w:sz w:val="24"/>
          <w:szCs w:val="24"/>
        </w:rPr>
        <w:t xml:space="preserve"> repeated efforts to reform, and</w:t>
      </w:r>
      <w:r w:rsidR="007D67AA">
        <w:rPr>
          <w:sz w:val="24"/>
          <w:szCs w:val="24"/>
        </w:rPr>
        <w:t xml:space="preserve"> extensive history of criticism. </w:t>
      </w:r>
      <w:r w:rsidR="00E9392D" w:rsidRPr="000C3143">
        <w:rPr>
          <w:sz w:val="24"/>
          <w:szCs w:val="24"/>
          <w:shd w:val="clear" w:color="auto" w:fill="FFFFFF"/>
        </w:rPr>
        <w:t xml:space="preserve">As devised from the Scoping Consultation Paper, section 47 would be categorised under Clause 3 of the Draft Bill or aggravated assault. In Clause 3 the offence is ‘intentionally or recklessly causing injury, the injury is only committed if the defendant is aware of the risk that their conduct will cause injury. </w:t>
      </w:r>
      <w:r w:rsidR="009D1F85">
        <w:rPr>
          <w:sz w:val="24"/>
          <w:szCs w:val="24"/>
          <w:shd w:val="clear" w:color="auto" w:fill="FFFFFF"/>
        </w:rPr>
        <w:t>To conclude, i</w:t>
      </w:r>
      <w:r w:rsidR="00E9392D" w:rsidRPr="000C3143">
        <w:rPr>
          <w:sz w:val="24"/>
          <w:szCs w:val="24"/>
          <w:shd w:val="clear" w:color="auto" w:fill="FFFFFF"/>
        </w:rPr>
        <w:t xml:space="preserve">n the opinion of Eugenicos (2017) having this change could positively affect the </w:t>
      </w:r>
      <w:r w:rsidR="001235D0">
        <w:rPr>
          <w:sz w:val="24"/>
          <w:szCs w:val="24"/>
          <w:shd w:val="clear" w:color="auto" w:fill="FFFFFF"/>
        </w:rPr>
        <w:t>practical issues within the Offences Against the Person Act</w:t>
      </w:r>
      <w:r w:rsidR="00E9392D" w:rsidRPr="000C3143">
        <w:rPr>
          <w:sz w:val="24"/>
          <w:szCs w:val="24"/>
          <w:shd w:val="clear" w:color="auto" w:fill="FFFFFF"/>
        </w:rPr>
        <w:t xml:space="preserve">. According to the </w:t>
      </w:r>
      <w:r w:rsidR="00E9392D">
        <w:rPr>
          <w:sz w:val="24"/>
          <w:szCs w:val="24"/>
          <w:shd w:val="clear" w:color="auto" w:fill="FFFFFF"/>
        </w:rPr>
        <w:t>Law Commission section 47 Offences Against the Person Act 1861 de</w:t>
      </w:r>
      <w:r w:rsidR="00E9392D" w:rsidRPr="000C3143">
        <w:rPr>
          <w:sz w:val="24"/>
          <w:szCs w:val="24"/>
          <w:shd w:val="clear" w:color="auto" w:fill="FFFFFF"/>
        </w:rPr>
        <w:t>scribes alternative ways of committing an offence, meaning it is hard to distinguish if it is meant to be one offence or several.</w:t>
      </w:r>
      <w:r w:rsidR="00E9392D">
        <w:rPr>
          <w:sz w:val="24"/>
          <w:szCs w:val="24"/>
          <w:shd w:val="clear" w:color="auto" w:fill="FFFFFF"/>
        </w:rPr>
        <w:t xml:space="preserve"> Richard Mon</w:t>
      </w:r>
      <w:r w:rsidR="009D1F85">
        <w:rPr>
          <w:sz w:val="24"/>
          <w:szCs w:val="24"/>
          <w:shd w:val="clear" w:color="auto" w:fill="FFFFFF"/>
        </w:rPr>
        <w:t>khouse the National Chairman of t</w:t>
      </w:r>
      <w:r w:rsidR="00E9392D">
        <w:rPr>
          <w:sz w:val="24"/>
          <w:szCs w:val="24"/>
          <w:shd w:val="clear" w:color="auto" w:fill="FFFFFF"/>
        </w:rPr>
        <w:t xml:space="preserve">he </w:t>
      </w:r>
      <w:r w:rsidR="009D1F85">
        <w:rPr>
          <w:sz w:val="24"/>
          <w:szCs w:val="24"/>
          <w:shd w:val="clear" w:color="auto" w:fill="FFFFFF"/>
        </w:rPr>
        <w:t>M</w:t>
      </w:r>
      <w:r w:rsidR="00E9392D">
        <w:rPr>
          <w:sz w:val="24"/>
          <w:szCs w:val="24"/>
          <w:shd w:val="clear" w:color="auto" w:fill="FFFFFF"/>
        </w:rPr>
        <w:t xml:space="preserve">agistrates </w:t>
      </w:r>
      <w:r w:rsidR="009D1F85">
        <w:rPr>
          <w:sz w:val="24"/>
          <w:szCs w:val="24"/>
          <w:shd w:val="clear" w:color="auto" w:fill="FFFFFF"/>
        </w:rPr>
        <w:t xml:space="preserve">Association </w:t>
      </w:r>
      <w:r w:rsidR="003574AD">
        <w:rPr>
          <w:sz w:val="24"/>
          <w:szCs w:val="24"/>
          <w:shd w:val="clear" w:color="auto" w:fill="FFFFFF"/>
        </w:rPr>
        <w:t xml:space="preserve">of England and Wales </w:t>
      </w:r>
      <w:r w:rsidR="003574AD">
        <w:rPr>
          <w:sz w:val="24"/>
          <w:szCs w:val="24"/>
          <w:shd w:val="clear" w:color="auto" w:fill="FFFFFF"/>
        </w:rPr>
        <w:lastRenderedPageBreak/>
        <w:t xml:space="preserve">disclosed to The Guardian (2015) and states that the  </w:t>
      </w:r>
      <w:r w:rsidR="003574AD" w:rsidRPr="003574AD">
        <w:rPr>
          <w:sz w:val="24"/>
          <w:szCs w:val="24"/>
          <w:shd w:val="clear" w:color="auto" w:fill="FFFFFF"/>
        </w:rPr>
        <w:t>‘Magistrates are trained, ready and able to handl</w:t>
      </w:r>
      <w:r w:rsidR="003574AD">
        <w:rPr>
          <w:sz w:val="24"/>
          <w:szCs w:val="24"/>
          <w:shd w:val="clear" w:color="auto" w:fill="FFFFFF"/>
        </w:rPr>
        <w:t>e cases with longer sentences’  and then added ‘</w:t>
      </w:r>
      <w:r w:rsidR="003574AD" w:rsidRPr="003574AD">
        <w:rPr>
          <w:sz w:val="24"/>
          <w:szCs w:val="24"/>
          <w:shd w:val="clear" w:color="auto" w:fill="FFFFFF"/>
        </w:rPr>
        <w:t>we see this as an opportunity for the government to trust our members t</w:t>
      </w:r>
      <w:r w:rsidR="003574AD">
        <w:rPr>
          <w:sz w:val="24"/>
          <w:szCs w:val="24"/>
          <w:shd w:val="clear" w:color="auto" w:fill="FFFFFF"/>
        </w:rPr>
        <w:t>o do the job they signed up for</w:t>
      </w:r>
      <w:r w:rsidR="003574AD" w:rsidRPr="003574AD">
        <w:rPr>
          <w:sz w:val="24"/>
          <w:szCs w:val="24"/>
          <w:shd w:val="clear" w:color="auto" w:fill="FFFFFF"/>
        </w:rPr>
        <w:t>’</w:t>
      </w:r>
      <w:r w:rsidR="003574AD">
        <w:rPr>
          <w:sz w:val="24"/>
          <w:szCs w:val="24"/>
          <w:shd w:val="clear" w:color="auto" w:fill="FFFFFF"/>
        </w:rPr>
        <w:t>.</w:t>
      </w:r>
    </w:p>
    <w:p w:rsidR="00A60F0F" w:rsidRPr="00A60F0F" w:rsidRDefault="00A60F0F" w:rsidP="00A60F0F">
      <w:pPr>
        <w:rPr>
          <w:sz w:val="24"/>
          <w:szCs w:val="24"/>
          <w:u w:val="single"/>
        </w:rPr>
      </w:pPr>
      <w:r w:rsidRPr="00A60F0F">
        <w:rPr>
          <w:sz w:val="24"/>
          <w:szCs w:val="24"/>
          <w:u w:val="single"/>
        </w:rPr>
        <w:t>References</w:t>
      </w:r>
    </w:p>
    <w:p w:rsidR="00A60F0F" w:rsidRPr="00E8429B" w:rsidRDefault="00A60F0F" w:rsidP="00A60F0F">
      <w:pPr>
        <w:rPr>
          <w:sz w:val="24"/>
          <w:szCs w:val="24"/>
        </w:rPr>
      </w:pPr>
      <w:r w:rsidRPr="00E8429B">
        <w:rPr>
          <w:sz w:val="24"/>
          <w:szCs w:val="24"/>
        </w:rPr>
        <w:t xml:space="preserve">Child J and </w:t>
      </w:r>
      <w:proofErr w:type="spellStart"/>
      <w:r w:rsidRPr="00E8429B">
        <w:rPr>
          <w:sz w:val="24"/>
          <w:szCs w:val="24"/>
        </w:rPr>
        <w:t>Ormerod</w:t>
      </w:r>
      <w:proofErr w:type="spellEnd"/>
      <w:r w:rsidRPr="00E8429B">
        <w:rPr>
          <w:sz w:val="24"/>
          <w:szCs w:val="24"/>
        </w:rPr>
        <w:t xml:space="preserve"> D (2017) </w:t>
      </w:r>
      <w:r w:rsidRPr="00E8429B">
        <w:rPr>
          <w:sz w:val="24"/>
          <w:szCs w:val="24"/>
          <w:u w:val="single"/>
        </w:rPr>
        <w:t xml:space="preserve">Smith, Hogan and </w:t>
      </w:r>
      <w:proofErr w:type="spellStart"/>
      <w:r w:rsidRPr="00E8429B">
        <w:rPr>
          <w:sz w:val="24"/>
          <w:szCs w:val="24"/>
          <w:u w:val="single"/>
        </w:rPr>
        <w:t>Ormerod’s</w:t>
      </w:r>
      <w:proofErr w:type="spellEnd"/>
      <w:r w:rsidRPr="00E8429B">
        <w:rPr>
          <w:sz w:val="24"/>
          <w:szCs w:val="24"/>
          <w:u w:val="single"/>
        </w:rPr>
        <w:t xml:space="preserve"> Essentials of Criminal Law</w:t>
      </w:r>
      <w:r w:rsidRPr="00E8429B">
        <w:rPr>
          <w:sz w:val="24"/>
          <w:szCs w:val="24"/>
        </w:rPr>
        <w:t>, 2</w:t>
      </w:r>
      <w:r w:rsidRPr="00E8429B">
        <w:rPr>
          <w:sz w:val="24"/>
          <w:szCs w:val="24"/>
          <w:vertAlign w:val="superscript"/>
        </w:rPr>
        <w:t>nd</w:t>
      </w:r>
      <w:r w:rsidRPr="00E8429B">
        <w:rPr>
          <w:sz w:val="24"/>
          <w:szCs w:val="24"/>
        </w:rPr>
        <w:t xml:space="preserve"> Ed, Oxford University Press, UK</w:t>
      </w:r>
    </w:p>
    <w:p w:rsidR="00A60F0F" w:rsidRPr="00E8429B" w:rsidRDefault="00A60F0F" w:rsidP="00A60F0F">
      <w:pPr>
        <w:rPr>
          <w:sz w:val="24"/>
          <w:szCs w:val="24"/>
        </w:rPr>
      </w:pPr>
      <w:proofErr w:type="spellStart"/>
      <w:r w:rsidRPr="00E8429B">
        <w:rPr>
          <w:sz w:val="24"/>
          <w:szCs w:val="24"/>
        </w:rPr>
        <w:t>Demetriou</w:t>
      </w:r>
      <w:proofErr w:type="spellEnd"/>
      <w:r w:rsidRPr="00E8429B">
        <w:rPr>
          <w:sz w:val="24"/>
          <w:szCs w:val="24"/>
        </w:rPr>
        <w:t xml:space="preserve">, S (2016) The Journal of Criminal Law, </w:t>
      </w:r>
      <w:r w:rsidRPr="00E8429B">
        <w:rPr>
          <w:sz w:val="24"/>
          <w:szCs w:val="24"/>
          <w:u w:val="single"/>
        </w:rPr>
        <w:t xml:space="preserve">Not Giving up the Fight: A Review of the Law Commission’s Scoping Report on Non-fatal Offences </w:t>
      </w:r>
      <w:proofErr w:type="gramStart"/>
      <w:r w:rsidRPr="00E8429B">
        <w:rPr>
          <w:sz w:val="24"/>
          <w:szCs w:val="24"/>
          <w:u w:val="single"/>
        </w:rPr>
        <w:t>Against</w:t>
      </w:r>
      <w:proofErr w:type="gramEnd"/>
      <w:r w:rsidRPr="00E8429B">
        <w:rPr>
          <w:sz w:val="24"/>
          <w:szCs w:val="24"/>
          <w:u w:val="single"/>
        </w:rPr>
        <w:t xml:space="preserve"> the Person</w:t>
      </w:r>
      <w:r w:rsidRPr="00E8429B">
        <w:rPr>
          <w:sz w:val="24"/>
          <w:szCs w:val="24"/>
        </w:rPr>
        <w:t>, Vol 80, part 3, pp 191-192</w:t>
      </w:r>
    </w:p>
    <w:p w:rsidR="00A60F0F" w:rsidRPr="00E8429B" w:rsidRDefault="00A60F0F" w:rsidP="00A60F0F">
      <w:pPr>
        <w:rPr>
          <w:sz w:val="24"/>
          <w:szCs w:val="24"/>
        </w:rPr>
      </w:pPr>
      <w:proofErr w:type="spellStart"/>
      <w:r w:rsidRPr="00E8429B">
        <w:rPr>
          <w:sz w:val="24"/>
          <w:szCs w:val="24"/>
        </w:rPr>
        <w:t>Eugenicos</w:t>
      </w:r>
      <w:proofErr w:type="spellEnd"/>
      <w:r w:rsidRPr="00E8429B">
        <w:rPr>
          <w:sz w:val="24"/>
          <w:szCs w:val="24"/>
        </w:rPr>
        <w:t xml:space="preserve">, A (2017) </w:t>
      </w:r>
      <w:r w:rsidRPr="00E8429B">
        <w:rPr>
          <w:sz w:val="24"/>
          <w:szCs w:val="24"/>
          <w:u w:val="single"/>
        </w:rPr>
        <w:t>The Journal of Criminal Law, Should We Reform the Offences Against the Person Act 1861</w:t>
      </w:r>
      <w:proofErr w:type="gramStart"/>
      <w:r w:rsidRPr="00E8429B">
        <w:rPr>
          <w:sz w:val="24"/>
          <w:szCs w:val="24"/>
          <w:u w:val="single"/>
        </w:rPr>
        <w:t>?</w:t>
      </w:r>
      <w:r w:rsidRPr="00E8429B">
        <w:rPr>
          <w:sz w:val="24"/>
          <w:szCs w:val="24"/>
        </w:rPr>
        <w:t>,</w:t>
      </w:r>
      <w:proofErr w:type="gramEnd"/>
      <w:r w:rsidRPr="00E8429B">
        <w:rPr>
          <w:sz w:val="24"/>
          <w:szCs w:val="24"/>
        </w:rPr>
        <w:t xml:space="preserve"> Vol 81, part 1, pp28 </w:t>
      </w:r>
    </w:p>
    <w:p w:rsidR="00A60F0F" w:rsidRPr="00E8429B" w:rsidRDefault="00A60F0F" w:rsidP="00A60F0F">
      <w:pPr>
        <w:rPr>
          <w:rFonts w:eastAsia="Times New Roman" w:cs="Times New Roman"/>
          <w:bCs/>
          <w:sz w:val="24"/>
          <w:szCs w:val="24"/>
          <w:lang w:eastAsia="en-GB"/>
        </w:rPr>
      </w:pPr>
      <w:r w:rsidRPr="00E8429B">
        <w:rPr>
          <w:sz w:val="24"/>
          <w:szCs w:val="24"/>
        </w:rPr>
        <w:t xml:space="preserve">House of Lords (1997) </w:t>
      </w:r>
      <w:r w:rsidRPr="00E8429B">
        <w:rPr>
          <w:rFonts w:eastAsia="Times New Roman" w:cs="Times New Roman"/>
          <w:bCs/>
          <w:sz w:val="24"/>
          <w:szCs w:val="24"/>
          <w:lang w:eastAsia="en-GB"/>
        </w:rPr>
        <w:t xml:space="preserve">Judgments - Regina v. </w:t>
      </w:r>
      <w:proofErr w:type="spellStart"/>
      <w:r w:rsidRPr="00E8429B">
        <w:rPr>
          <w:rFonts w:eastAsia="Times New Roman" w:cs="Times New Roman"/>
          <w:bCs/>
          <w:sz w:val="24"/>
          <w:szCs w:val="24"/>
          <w:lang w:eastAsia="en-GB"/>
        </w:rPr>
        <w:t>Burstow</w:t>
      </w:r>
      <w:proofErr w:type="spellEnd"/>
      <w:r w:rsidRPr="00E8429B">
        <w:rPr>
          <w:rFonts w:eastAsia="Times New Roman" w:cs="Times New Roman"/>
          <w:bCs/>
          <w:sz w:val="24"/>
          <w:szCs w:val="24"/>
          <w:lang w:eastAsia="en-GB"/>
        </w:rPr>
        <w:t xml:space="preserve"> Regina v. Ireland (online) available at </w:t>
      </w:r>
      <w:hyperlink r:id="rId8" w:history="1">
        <w:r w:rsidRPr="00E8429B">
          <w:rPr>
            <w:rStyle w:val="Hyperlink"/>
            <w:rFonts w:eastAsia="Times New Roman" w:cs="Times New Roman"/>
            <w:bCs/>
            <w:sz w:val="24"/>
            <w:szCs w:val="24"/>
            <w:lang w:eastAsia="en-GB"/>
          </w:rPr>
          <w:t>https://publications.parliament.uk/pa/ld199798/ldjudgmt/jd970724/irland01.htm</w:t>
        </w:r>
      </w:hyperlink>
      <w:r w:rsidRPr="00E8429B">
        <w:rPr>
          <w:rFonts w:eastAsia="Times New Roman" w:cs="Times New Roman"/>
          <w:bCs/>
          <w:sz w:val="24"/>
          <w:szCs w:val="24"/>
          <w:lang w:eastAsia="en-GB"/>
        </w:rPr>
        <w:t xml:space="preserve"> Accessed on 26 October 2017</w:t>
      </w:r>
    </w:p>
    <w:p w:rsidR="00A60F0F" w:rsidRPr="00E8429B" w:rsidRDefault="00A60F0F" w:rsidP="00A60F0F">
      <w:pPr>
        <w:rPr>
          <w:sz w:val="24"/>
          <w:szCs w:val="24"/>
        </w:rPr>
      </w:pPr>
      <w:r w:rsidRPr="00E8429B">
        <w:rPr>
          <w:sz w:val="24"/>
          <w:szCs w:val="24"/>
        </w:rPr>
        <w:t xml:space="preserve">Law Commission (2015) reform of Offences </w:t>
      </w:r>
      <w:proofErr w:type="gramStart"/>
      <w:r w:rsidRPr="00E8429B">
        <w:rPr>
          <w:sz w:val="24"/>
          <w:szCs w:val="24"/>
        </w:rPr>
        <w:t>Against</w:t>
      </w:r>
      <w:proofErr w:type="gramEnd"/>
      <w:r w:rsidRPr="00E8429B">
        <w:rPr>
          <w:sz w:val="24"/>
          <w:szCs w:val="24"/>
        </w:rPr>
        <w:t xml:space="preserve"> the Person (online) available at </w:t>
      </w:r>
      <w:hyperlink r:id="rId9" w:history="1">
        <w:r w:rsidRPr="00E8429B">
          <w:rPr>
            <w:rStyle w:val="Hyperlink"/>
            <w:sz w:val="24"/>
            <w:szCs w:val="24"/>
          </w:rPr>
          <w:t>http://www.lawcom.gov.uk/app/uploads/2015/11/lc361_offences_against_the_person_summary.pdf</w:t>
        </w:r>
      </w:hyperlink>
      <w:r w:rsidRPr="00E8429B">
        <w:rPr>
          <w:sz w:val="24"/>
          <w:szCs w:val="24"/>
        </w:rPr>
        <w:t xml:space="preserve"> Accessed on 24 October 2017</w:t>
      </w:r>
    </w:p>
    <w:p w:rsidR="00A60F0F" w:rsidRPr="00E8429B" w:rsidRDefault="00A60F0F" w:rsidP="00A60F0F">
      <w:pPr>
        <w:rPr>
          <w:sz w:val="24"/>
          <w:szCs w:val="24"/>
        </w:rPr>
      </w:pPr>
      <w:r w:rsidRPr="00E8429B">
        <w:rPr>
          <w:sz w:val="24"/>
          <w:szCs w:val="24"/>
        </w:rPr>
        <w:t>Law Commission (2015) Overview of Reform of Offences Against the Person (</w:t>
      </w:r>
      <w:proofErr w:type="gramStart"/>
      <w:r w:rsidRPr="00E8429B">
        <w:rPr>
          <w:sz w:val="24"/>
          <w:szCs w:val="24"/>
        </w:rPr>
        <w:t>online )</w:t>
      </w:r>
      <w:proofErr w:type="gramEnd"/>
      <w:r w:rsidRPr="00E8429B">
        <w:rPr>
          <w:sz w:val="24"/>
          <w:szCs w:val="24"/>
        </w:rPr>
        <w:t xml:space="preserve"> available at </w:t>
      </w:r>
      <w:hyperlink r:id="rId10" w:history="1">
        <w:r w:rsidRPr="00E8429B">
          <w:rPr>
            <w:rStyle w:val="Hyperlink"/>
            <w:sz w:val="24"/>
            <w:szCs w:val="24"/>
          </w:rPr>
          <w:t>https://s3-eu-west-2.amazonaws.com/lawcom-prod-storage-11jsxou24uy7q/uploads/2015/11/lc361_offences_against_the_person_overview_new-1.pdf</w:t>
        </w:r>
      </w:hyperlink>
      <w:r w:rsidRPr="00E8429B">
        <w:rPr>
          <w:sz w:val="24"/>
          <w:szCs w:val="24"/>
        </w:rPr>
        <w:t xml:space="preserve"> Accessed on 26 October 2017 </w:t>
      </w:r>
    </w:p>
    <w:p w:rsidR="00A60F0F" w:rsidRPr="00E8429B" w:rsidRDefault="00A60F0F" w:rsidP="00A60F0F">
      <w:pPr>
        <w:pStyle w:val="Heading1"/>
        <w:shd w:val="clear" w:color="auto" w:fill="FFFFFF"/>
        <w:spacing w:before="300" w:beforeAutospacing="0" w:after="240" w:afterAutospacing="0"/>
        <w:rPr>
          <w:rFonts w:asciiTheme="minorHAnsi" w:hAnsiTheme="minorHAnsi"/>
          <w:b w:val="0"/>
          <w:bCs w:val="0"/>
          <w:color w:val="333333"/>
          <w:sz w:val="24"/>
          <w:szCs w:val="24"/>
        </w:rPr>
      </w:pPr>
      <w:r w:rsidRPr="00E8429B">
        <w:rPr>
          <w:rFonts w:asciiTheme="minorHAnsi" w:hAnsiTheme="minorHAnsi"/>
          <w:b w:val="0"/>
          <w:bCs w:val="0"/>
          <w:sz w:val="24"/>
          <w:szCs w:val="24"/>
        </w:rPr>
        <w:t>Law Commission (2015)</w:t>
      </w:r>
      <w:r w:rsidRPr="00E8429B">
        <w:rPr>
          <w:rFonts w:asciiTheme="minorHAnsi" w:hAnsiTheme="minorHAnsi"/>
          <w:bCs w:val="0"/>
          <w:sz w:val="24"/>
          <w:szCs w:val="24"/>
        </w:rPr>
        <w:t xml:space="preserve"> </w:t>
      </w:r>
      <w:r w:rsidRPr="00E8429B">
        <w:rPr>
          <w:rFonts w:asciiTheme="minorHAnsi" w:hAnsiTheme="minorHAnsi"/>
          <w:b w:val="0"/>
          <w:bCs w:val="0"/>
          <w:sz w:val="24"/>
          <w:szCs w:val="24"/>
        </w:rPr>
        <w:t xml:space="preserve">Offences </w:t>
      </w:r>
      <w:proofErr w:type="gramStart"/>
      <w:r w:rsidRPr="00E8429B">
        <w:rPr>
          <w:rFonts w:asciiTheme="minorHAnsi" w:hAnsiTheme="minorHAnsi"/>
          <w:b w:val="0"/>
          <w:bCs w:val="0"/>
          <w:sz w:val="24"/>
          <w:szCs w:val="24"/>
        </w:rPr>
        <w:t>Against</w:t>
      </w:r>
      <w:proofErr w:type="gramEnd"/>
      <w:r w:rsidRPr="00E8429B">
        <w:rPr>
          <w:rFonts w:asciiTheme="minorHAnsi" w:hAnsiTheme="minorHAnsi"/>
          <w:b w:val="0"/>
          <w:bCs w:val="0"/>
          <w:sz w:val="24"/>
          <w:szCs w:val="24"/>
        </w:rPr>
        <w:t xml:space="preserve"> the Person – Modernising the Law on Violence (online) available at </w:t>
      </w:r>
      <w:hyperlink r:id="rId11" w:history="1">
        <w:r w:rsidRPr="00E8429B">
          <w:rPr>
            <w:rStyle w:val="Hyperlink"/>
            <w:rFonts w:asciiTheme="minorHAnsi" w:hAnsiTheme="minorHAnsi"/>
            <w:b w:val="0"/>
            <w:bCs w:val="0"/>
            <w:sz w:val="24"/>
            <w:szCs w:val="24"/>
          </w:rPr>
          <w:t>https://www.lawcom.gov.uk/offences-against-the-person-modernising-the-la</w:t>
        </w:r>
        <w:r w:rsidRPr="00E8429B">
          <w:rPr>
            <w:rStyle w:val="Hyperlink"/>
            <w:rFonts w:asciiTheme="minorHAnsi" w:hAnsiTheme="minorHAnsi"/>
            <w:b w:val="0"/>
            <w:bCs w:val="0"/>
            <w:sz w:val="24"/>
            <w:szCs w:val="24"/>
          </w:rPr>
          <w:t>w</w:t>
        </w:r>
        <w:r w:rsidRPr="00E8429B">
          <w:rPr>
            <w:rStyle w:val="Hyperlink"/>
            <w:rFonts w:asciiTheme="minorHAnsi" w:hAnsiTheme="minorHAnsi"/>
            <w:b w:val="0"/>
            <w:bCs w:val="0"/>
            <w:sz w:val="24"/>
            <w:szCs w:val="24"/>
          </w:rPr>
          <w:t>-on-violence-2/</w:t>
        </w:r>
      </w:hyperlink>
      <w:r w:rsidRPr="00E8429B">
        <w:rPr>
          <w:rFonts w:asciiTheme="minorHAnsi" w:hAnsiTheme="minorHAnsi"/>
          <w:b w:val="0"/>
          <w:bCs w:val="0"/>
          <w:sz w:val="24"/>
          <w:szCs w:val="24"/>
        </w:rPr>
        <w:t xml:space="preserve"> Accessed on 25</w:t>
      </w:r>
      <w:r w:rsidRPr="00E8429B">
        <w:rPr>
          <w:rFonts w:asciiTheme="minorHAnsi" w:hAnsiTheme="minorHAnsi"/>
          <w:b w:val="0"/>
          <w:bCs w:val="0"/>
          <w:sz w:val="24"/>
          <w:szCs w:val="24"/>
          <w:vertAlign w:val="superscript"/>
        </w:rPr>
        <w:t xml:space="preserve"> </w:t>
      </w:r>
      <w:r w:rsidRPr="00E8429B">
        <w:rPr>
          <w:rFonts w:asciiTheme="minorHAnsi" w:hAnsiTheme="minorHAnsi"/>
          <w:b w:val="0"/>
          <w:bCs w:val="0"/>
          <w:sz w:val="24"/>
          <w:szCs w:val="24"/>
        </w:rPr>
        <w:t>October 2017</w:t>
      </w:r>
    </w:p>
    <w:p w:rsidR="00A60F0F" w:rsidRPr="00E8429B" w:rsidRDefault="00A60F0F" w:rsidP="00A60F0F">
      <w:pPr>
        <w:pStyle w:val="Heading1"/>
        <w:shd w:val="clear" w:color="auto" w:fill="FFFFFF"/>
        <w:spacing w:before="0" w:beforeAutospacing="0" w:after="180" w:afterAutospacing="0"/>
        <w:rPr>
          <w:rFonts w:asciiTheme="minorHAnsi" w:hAnsiTheme="minorHAnsi"/>
          <w:b w:val="0"/>
          <w:bCs w:val="0"/>
          <w:sz w:val="24"/>
          <w:szCs w:val="24"/>
        </w:rPr>
      </w:pPr>
      <w:r w:rsidRPr="00E8429B">
        <w:rPr>
          <w:rFonts w:asciiTheme="minorHAnsi" w:hAnsiTheme="minorHAnsi"/>
          <w:b w:val="0"/>
          <w:bCs w:val="0"/>
          <w:sz w:val="24"/>
          <w:szCs w:val="24"/>
        </w:rPr>
        <w:t xml:space="preserve">Law Commission (2015) Offences </w:t>
      </w:r>
      <w:proofErr w:type="gramStart"/>
      <w:r w:rsidRPr="00E8429B">
        <w:rPr>
          <w:rFonts w:asciiTheme="minorHAnsi" w:hAnsiTheme="minorHAnsi"/>
          <w:b w:val="0"/>
          <w:bCs w:val="0"/>
          <w:sz w:val="24"/>
          <w:szCs w:val="24"/>
        </w:rPr>
        <w:t>Against</w:t>
      </w:r>
      <w:proofErr w:type="gramEnd"/>
      <w:r w:rsidRPr="00E8429B">
        <w:rPr>
          <w:rFonts w:asciiTheme="minorHAnsi" w:hAnsiTheme="minorHAnsi"/>
          <w:b w:val="0"/>
          <w:bCs w:val="0"/>
          <w:sz w:val="24"/>
          <w:szCs w:val="24"/>
        </w:rPr>
        <w:t xml:space="preserve"> the Person (online) available at </w:t>
      </w:r>
      <w:hyperlink r:id="rId12" w:anchor="related" w:history="1">
        <w:r w:rsidRPr="00E8429B">
          <w:rPr>
            <w:rStyle w:val="Hyperlink"/>
            <w:rFonts w:asciiTheme="minorHAnsi" w:hAnsiTheme="minorHAnsi"/>
            <w:b w:val="0"/>
            <w:bCs w:val="0"/>
            <w:sz w:val="24"/>
            <w:szCs w:val="24"/>
          </w:rPr>
          <w:t>https://www.lawcom.gov.uk/project/offences-against-the-person/#related</w:t>
        </w:r>
      </w:hyperlink>
      <w:r w:rsidRPr="00E8429B">
        <w:rPr>
          <w:rFonts w:asciiTheme="minorHAnsi" w:hAnsiTheme="minorHAnsi"/>
          <w:b w:val="0"/>
          <w:bCs w:val="0"/>
          <w:sz w:val="24"/>
          <w:szCs w:val="24"/>
        </w:rPr>
        <w:t xml:space="preserve"> Accessed on 24 October 2017</w:t>
      </w:r>
    </w:p>
    <w:p w:rsidR="00A60F0F" w:rsidRPr="00E8429B" w:rsidRDefault="00A60F0F" w:rsidP="00A60F0F">
      <w:pPr>
        <w:rPr>
          <w:sz w:val="24"/>
          <w:szCs w:val="24"/>
        </w:rPr>
      </w:pPr>
      <w:r w:rsidRPr="00E8429B">
        <w:rPr>
          <w:sz w:val="24"/>
          <w:szCs w:val="24"/>
        </w:rPr>
        <w:t xml:space="preserve">Storey T and Jackson A (2015) </w:t>
      </w:r>
      <w:r w:rsidRPr="00E8429B">
        <w:rPr>
          <w:sz w:val="24"/>
          <w:szCs w:val="24"/>
          <w:u w:val="single"/>
        </w:rPr>
        <w:t xml:space="preserve">Reforming Offences </w:t>
      </w:r>
      <w:proofErr w:type="gramStart"/>
      <w:r w:rsidRPr="00E8429B">
        <w:rPr>
          <w:sz w:val="24"/>
          <w:szCs w:val="24"/>
          <w:u w:val="single"/>
        </w:rPr>
        <w:t>Against</w:t>
      </w:r>
      <w:proofErr w:type="gramEnd"/>
      <w:r w:rsidRPr="00E8429B">
        <w:rPr>
          <w:sz w:val="24"/>
          <w:szCs w:val="24"/>
          <w:u w:val="single"/>
        </w:rPr>
        <w:t xml:space="preserve"> the Person: In Defence of ‘Moderate’ Constructivism, </w:t>
      </w:r>
      <w:r w:rsidRPr="00E8429B">
        <w:rPr>
          <w:sz w:val="24"/>
          <w:szCs w:val="24"/>
        </w:rPr>
        <w:t xml:space="preserve">Vol 79, part 3, pp 438 </w:t>
      </w:r>
    </w:p>
    <w:p w:rsidR="00A60F0F" w:rsidRPr="00E8429B" w:rsidRDefault="00A60F0F" w:rsidP="00A60F0F">
      <w:pPr>
        <w:rPr>
          <w:rFonts w:eastAsia="Times New Roman" w:cs="Times New Roman"/>
          <w:bCs/>
          <w:sz w:val="24"/>
          <w:szCs w:val="24"/>
          <w:lang w:eastAsia="en-GB"/>
        </w:rPr>
      </w:pPr>
      <w:r w:rsidRPr="00E8429B">
        <w:rPr>
          <w:rFonts w:eastAsia="Times New Roman" w:cs="Times New Roman"/>
          <w:bCs/>
          <w:sz w:val="24"/>
          <w:szCs w:val="24"/>
          <w:lang w:eastAsia="en-GB"/>
        </w:rPr>
        <w:t xml:space="preserve">The Bar Council (2015) </w:t>
      </w:r>
      <w:r w:rsidRPr="00E8429B">
        <w:rPr>
          <w:sz w:val="24"/>
          <w:szCs w:val="24"/>
        </w:rPr>
        <w:t xml:space="preserve">Bar Council response to the Reform of Offences against the Person Scoping Consultation Paper (online) available at </w:t>
      </w:r>
      <w:hyperlink r:id="rId13" w:history="1">
        <w:r w:rsidRPr="00E8429B">
          <w:rPr>
            <w:rStyle w:val="Hyperlink"/>
            <w:sz w:val="24"/>
            <w:szCs w:val="24"/>
          </w:rPr>
          <w:t>http://www.barcouncil.org.uk/media/405738/bar_council_response_to_the_law_commission_consultation_paper_-_offences_against_the_person.pdf</w:t>
        </w:r>
      </w:hyperlink>
      <w:r w:rsidRPr="00E8429B">
        <w:rPr>
          <w:sz w:val="24"/>
          <w:szCs w:val="24"/>
        </w:rPr>
        <w:t xml:space="preserve"> Accessed on 25 October 2017</w:t>
      </w:r>
    </w:p>
    <w:p w:rsidR="00A60F0F" w:rsidRPr="00E8429B" w:rsidRDefault="00A60F0F" w:rsidP="00A60F0F">
      <w:pPr>
        <w:pStyle w:val="Heading1"/>
        <w:shd w:val="clear" w:color="auto" w:fill="FFFFFF"/>
        <w:spacing w:before="0" w:beforeAutospacing="0" w:after="180" w:afterAutospacing="0"/>
        <w:rPr>
          <w:rFonts w:asciiTheme="minorHAnsi" w:hAnsiTheme="minorHAnsi"/>
          <w:b w:val="0"/>
          <w:bCs w:val="0"/>
          <w:sz w:val="24"/>
          <w:szCs w:val="24"/>
        </w:rPr>
      </w:pPr>
      <w:r w:rsidRPr="00E8429B">
        <w:rPr>
          <w:rFonts w:asciiTheme="minorHAnsi" w:hAnsiTheme="minorHAnsi"/>
          <w:b w:val="0"/>
          <w:bCs w:val="0"/>
          <w:sz w:val="24"/>
          <w:szCs w:val="24"/>
        </w:rPr>
        <w:lastRenderedPageBreak/>
        <w:t xml:space="preserve">The Guardian (2015) Let Magistrates deal with more assault cases, says law reform body (online) available at </w:t>
      </w:r>
      <w:hyperlink r:id="rId14" w:history="1">
        <w:r w:rsidRPr="00E8429B">
          <w:rPr>
            <w:rStyle w:val="Hyperlink"/>
            <w:rFonts w:asciiTheme="minorHAnsi" w:hAnsiTheme="minorHAnsi"/>
            <w:b w:val="0"/>
            <w:bCs w:val="0"/>
            <w:sz w:val="24"/>
            <w:szCs w:val="24"/>
          </w:rPr>
          <w:t>https://www.theguardian.com/law/2015/nov/03/let-magistrates-deal-more-assault-cases-law-reform-body</w:t>
        </w:r>
      </w:hyperlink>
      <w:r w:rsidRPr="00E8429B">
        <w:rPr>
          <w:rFonts w:asciiTheme="minorHAnsi" w:hAnsiTheme="minorHAnsi"/>
          <w:b w:val="0"/>
          <w:bCs w:val="0"/>
          <w:sz w:val="24"/>
          <w:szCs w:val="24"/>
        </w:rPr>
        <w:t xml:space="preserve"> Accessed on 24 October 2017</w:t>
      </w:r>
    </w:p>
    <w:p w:rsidR="000F1AA0" w:rsidRPr="000C3143" w:rsidRDefault="000F1AA0">
      <w:pPr>
        <w:spacing w:after="0"/>
        <w:jc w:val="both"/>
        <w:rPr>
          <w:sz w:val="24"/>
          <w:szCs w:val="24"/>
        </w:rPr>
      </w:pPr>
    </w:p>
    <w:sectPr w:rsidR="000F1AA0" w:rsidRPr="000C3143">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6251B" w:rsidRDefault="00F6251B" w:rsidP="00F6251B">
      <w:pPr>
        <w:spacing w:after="0" w:line="240" w:lineRule="auto"/>
      </w:pPr>
      <w:r>
        <w:separator/>
      </w:r>
    </w:p>
  </w:endnote>
  <w:endnote w:type="continuationSeparator" w:id="0">
    <w:p w:rsidR="00F6251B" w:rsidRDefault="00F6251B" w:rsidP="00F62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251B" w:rsidRDefault="00F6251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251B" w:rsidRDefault="00F6251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251B" w:rsidRDefault="00F625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6251B" w:rsidRDefault="00F6251B" w:rsidP="00F6251B">
      <w:pPr>
        <w:spacing w:after="0" w:line="240" w:lineRule="auto"/>
      </w:pPr>
      <w:r>
        <w:separator/>
      </w:r>
    </w:p>
  </w:footnote>
  <w:footnote w:type="continuationSeparator" w:id="0">
    <w:p w:rsidR="00F6251B" w:rsidRDefault="00F6251B" w:rsidP="00F6251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251B" w:rsidRDefault="00F6251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251B" w:rsidRDefault="00F6251B">
    <w:pPr>
      <w:pStyle w:val="Header"/>
    </w:pPr>
    <w:r>
      <w:t>Chloe Baker (1704772)</w:t>
    </w:r>
  </w:p>
  <w:p w:rsidR="00F6251B" w:rsidRDefault="00F6251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6251B" w:rsidRDefault="00F625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6DA"/>
    <w:rsid w:val="00007C37"/>
    <w:rsid w:val="00037597"/>
    <w:rsid w:val="000533F8"/>
    <w:rsid w:val="00060AB5"/>
    <w:rsid w:val="0007578E"/>
    <w:rsid w:val="000C3143"/>
    <w:rsid w:val="000D45BD"/>
    <w:rsid w:val="000D5727"/>
    <w:rsid w:val="000F1AA0"/>
    <w:rsid w:val="001101D9"/>
    <w:rsid w:val="00115654"/>
    <w:rsid w:val="00120B3F"/>
    <w:rsid w:val="001235D0"/>
    <w:rsid w:val="00145D29"/>
    <w:rsid w:val="00157EC0"/>
    <w:rsid w:val="001A01EF"/>
    <w:rsid w:val="001A6C46"/>
    <w:rsid w:val="001B5C6E"/>
    <w:rsid w:val="001C4C02"/>
    <w:rsid w:val="001F6424"/>
    <w:rsid w:val="00203AC7"/>
    <w:rsid w:val="00220B23"/>
    <w:rsid w:val="00221D79"/>
    <w:rsid w:val="00232B0B"/>
    <w:rsid w:val="00260D41"/>
    <w:rsid w:val="00291819"/>
    <w:rsid w:val="002964C7"/>
    <w:rsid w:val="002A0D28"/>
    <w:rsid w:val="002B0FB5"/>
    <w:rsid w:val="002D2504"/>
    <w:rsid w:val="002F33D8"/>
    <w:rsid w:val="003069DB"/>
    <w:rsid w:val="00322912"/>
    <w:rsid w:val="00327866"/>
    <w:rsid w:val="00345D02"/>
    <w:rsid w:val="003574AD"/>
    <w:rsid w:val="00357AB6"/>
    <w:rsid w:val="00361A7F"/>
    <w:rsid w:val="00363B34"/>
    <w:rsid w:val="00387992"/>
    <w:rsid w:val="0039497A"/>
    <w:rsid w:val="003C6410"/>
    <w:rsid w:val="003D269B"/>
    <w:rsid w:val="003E4F10"/>
    <w:rsid w:val="00404DDE"/>
    <w:rsid w:val="004104EF"/>
    <w:rsid w:val="00430406"/>
    <w:rsid w:val="004477E0"/>
    <w:rsid w:val="00450E9B"/>
    <w:rsid w:val="004577F1"/>
    <w:rsid w:val="004A2BB2"/>
    <w:rsid w:val="004A6DBD"/>
    <w:rsid w:val="004B6E4F"/>
    <w:rsid w:val="004C6AD4"/>
    <w:rsid w:val="004D1B8F"/>
    <w:rsid w:val="004E6BF5"/>
    <w:rsid w:val="004E7340"/>
    <w:rsid w:val="004E754C"/>
    <w:rsid w:val="0051619D"/>
    <w:rsid w:val="0053560F"/>
    <w:rsid w:val="005356A7"/>
    <w:rsid w:val="00544CE5"/>
    <w:rsid w:val="00560516"/>
    <w:rsid w:val="0056695E"/>
    <w:rsid w:val="005779F4"/>
    <w:rsid w:val="005832F2"/>
    <w:rsid w:val="005868C4"/>
    <w:rsid w:val="005926A3"/>
    <w:rsid w:val="005A4F60"/>
    <w:rsid w:val="005C173C"/>
    <w:rsid w:val="005E2F63"/>
    <w:rsid w:val="006147E2"/>
    <w:rsid w:val="006503C9"/>
    <w:rsid w:val="006554FD"/>
    <w:rsid w:val="006633E9"/>
    <w:rsid w:val="00670623"/>
    <w:rsid w:val="0067388E"/>
    <w:rsid w:val="006B3B53"/>
    <w:rsid w:val="006B7E11"/>
    <w:rsid w:val="006E6EDF"/>
    <w:rsid w:val="007127D9"/>
    <w:rsid w:val="00716D3B"/>
    <w:rsid w:val="00727D27"/>
    <w:rsid w:val="00731FA5"/>
    <w:rsid w:val="00734493"/>
    <w:rsid w:val="00754073"/>
    <w:rsid w:val="00781948"/>
    <w:rsid w:val="007A2D42"/>
    <w:rsid w:val="007D67AA"/>
    <w:rsid w:val="00820D1C"/>
    <w:rsid w:val="00882455"/>
    <w:rsid w:val="00885628"/>
    <w:rsid w:val="008B0319"/>
    <w:rsid w:val="008C77C9"/>
    <w:rsid w:val="008E5A95"/>
    <w:rsid w:val="008F7904"/>
    <w:rsid w:val="008F7DEA"/>
    <w:rsid w:val="00940AB2"/>
    <w:rsid w:val="0095085D"/>
    <w:rsid w:val="009514DA"/>
    <w:rsid w:val="009538F3"/>
    <w:rsid w:val="00955D25"/>
    <w:rsid w:val="00996313"/>
    <w:rsid w:val="009C2113"/>
    <w:rsid w:val="009D1F85"/>
    <w:rsid w:val="00A15748"/>
    <w:rsid w:val="00A220AC"/>
    <w:rsid w:val="00A60F0F"/>
    <w:rsid w:val="00A9349B"/>
    <w:rsid w:val="00AC46DA"/>
    <w:rsid w:val="00AC74F3"/>
    <w:rsid w:val="00AE2536"/>
    <w:rsid w:val="00AE25CC"/>
    <w:rsid w:val="00AF184D"/>
    <w:rsid w:val="00B47A2E"/>
    <w:rsid w:val="00B64EAB"/>
    <w:rsid w:val="00B76BCD"/>
    <w:rsid w:val="00B97F31"/>
    <w:rsid w:val="00BA52AC"/>
    <w:rsid w:val="00BB66DA"/>
    <w:rsid w:val="00BF7CB8"/>
    <w:rsid w:val="00C02673"/>
    <w:rsid w:val="00C0289C"/>
    <w:rsid w:val="00C17647"/>
    <w:rsid w:val="00C42D58"/>
    <w:rsid w:val="00C44332"/>
    <w:rsid w:val="00C746F6"/>
    <w:rsid w:val="00C81032"/>
    <w:rsid w:val="00C8476C"/>
    <w:rsid w:val="00CB4D06"/>
    <w:rsid w:val="00CB7EC3"/>
    <w:rsid w:val="00CC410F"/>
    <w:rsid w:val="00CF5162"/>
    <w:rsid w:val="00CF57D5"/>
    <w:rsid w:val="00D23E43"/>
    <w:rsid w:val="00D277AE"/>
    <w:rsid w:val="00D61588"/>
    <w:rsid w:val="00D71532"/>
    <w:rsid w:val="00D74683"/>
    <w:rsid w:val="00D85341"/>
    <w:rsid w:val="00D94C0B"/>
    <w:rsid w:val="00DB555E"/>
    <w:rsid w:val="00DC6E35"/>
    <w:rsid w:val="00DE7D83"/>
    <w:rsid w:val="00DF5260"/>
    <w:rsid w:val="00E2563F"/>
    <w:rsid w:val="00E57F5C"/>
    <w:rsid w:val="00E9392D"/>
    <w:rsid w:val="00EE0E51"/>
    <w:rsid w:val="00F059DA"/>
    <w:rsid w:val="00F24F94"/>
    <w:rsid w:val="00F47EF3"/>
    <w:rsid w:val="00F573AC"/>
    <w:rsid w:val="00F57B04"/>
    <w:rsid w:val="00F6251B"/>
    <w:rsid w:val="00F7486F"/>
    <w:rsid w:val="00F90B85"/>
    <w:rsid w:val="00F93D27"/>
    <w:rsid w:val="00F95BC1"/>
    <w:rsid w:val="00FC07AF"/>
    <w:rsid w:val="00FC1263"/>
    <w:rsid w:val="00FD6B86"/>
    <w:rsid w:val="00FF3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60F0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66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6DA"/>
    <w:rPr>
      <w:rFonts w:ascii="Tahoma" w:hAnsi="Tahoma" w:cs="Tahoma"/>
      <w:sz w:val="16"/>
      <w:szCs w:val="16"/>
    </w:rPr>
  </w:style>
  <w:style w:type="paragraph" w:styleId="Header">
    <w:name w:val="header"/>
    <w:basedOn w:val="Normal"/>
    <w:link w:val="HeaderChar"/>
    <w:uiPriority w:val="99"/>
    <w:unhideWhenUsed/>
    <w:rsid w:val="00F62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51B"/>
  </w:style>
  <w:style w:type="paragraph" w:styleId="Footer">
    <w:name w:val="footer"/>
    <w:basedOn w:val="Normal"/>
    <w:link w:val="FooterChar"/>
    <w:uiPriority w:val="99"/>
    <w:unhideWhenUsed/>
    <w:rsid w:val="00F62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51B"/>
  </w:style>
  <w:style w:type="character" w:styleId="Hyperlink">
    <w:name w:val="Hyperlink"/>
    <w:basedOn w:val="DefaultParagraphFont"/>
    <w:uiPriority w:val="99"/>
    <w:unhideWhenUsed/>
    <w:rsid w:val="00A60F0F"/>
    <w:rPr>
      <w:color w:val="0000FF" w:themeColor="hyperlink"/>
      <w:u w:val="single"/>
    </w:rPr>
  </w:style>
  <w:style w:type="character" w:styleId="FollowedHyperlink">
    <w:name w:val="FollowedHyperlink"/>
    <w:basedOn w:val="DefaultParagraphFont"/>
    <w:uiPriority w:val="99"/>
    <w:semiHidden/>
    <w:unhideWhenUsed/>
    <w:rsid w:val="00A60F0F"/>
    <w:rPr>
      <w:color w:val="800080" w:themeColor="followedHyperlink"/>
      <w:u w:val="single"/>
    </w:rPr>
  </w:style>
  <w:style w:type="character" w:customStyle="1" w:styleId="Heading1Char">
    <w:name w:val="Heading 1 Char"/>
    <w:basedOn w:val="DefaultParagraphFont"/>
    <w:link w:val="Heading1"/>
    <w:uiPriority w:val="9"/>
    <w:rsid w:val="00A60F0F"/>
    <w:rPr>
      <w:rFonts w:ascii="Times New Roman" w:eastAsia="Times New Roman" w:hAnsi="Times New Roman" w:cs="Times New Roman"/>
      <w:b/>
      <w:bCs/>
      <w:kern w:val="36"/>
      <w:sz w:val="48"/>
      <w:szCs w:val="48"/>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60F0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66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6DA"/>
    <w:rPr>
      <w:rFonts w:ascii="Tahoma" w:hAnsi="Tahoma" w:cs="Tahoma"/>
      <w:sz w:val="16"/>
      <w:szCs w:val="16"/>
    </w:rPr>
  </w:style>
  <w:style w:type="paragraph" w:styleId="Header">
    <w:name w:val="header"/>
    <w:basedOn w:val="Normal"/>
    <w:link w:val="HeaderChar"/>
    <w:uiPriority w:val="99"/>
    <w:unhideWhenUsed/>
    <w:rsid w:val="00F62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51B"/>
  </w:style>
  <w:style w:type="paragraph" w:styleId="Footer">
    <w:name w:val="footer"/>
    <w:basedOn w:val="Normal"/>
    <w:link w:val="FooterChar"/>
    <w:uiPriority w:val="99"/>
    <w:unhideWhenUsed/>
    <w:rsid w:val="00F62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51B"/>
  </w:style>
  <w:style w:type="character" w:styleId="Hyperlink">
    <w:name w:val="Hyperlink"/>
    <w:basedOn w:val="DefaultParagraphFont"/>
    <w:uiPriority w:val="99"/>
    <w:unhideWhenUsed/>
    <w:rsid w:val="00A60F0F"/>
    <w:rPr>
      <w:color w:val="0000FF" w:themeColor="hyperlink"/>
      <w:u w:val="single"/>
    </w:rPr>
  </w:style>
  <w:style w:type="character" w:styleId="FollowedHyperlink">
    <w:name w:val="FollowedHyperlink"/>
    <w:basedOn w:val="DefaultParagraphFont"/>
    <w:uiPriority w:val="99"/>
    <w:semiHidden/>
    <w:unhideWhenUsed/>
    <w:rsid w:val="00A60F0F"/>
    <w:rPr>
      <w:color w:val="800080" w:themeColor="followedHyperlink"/>
      <w:u w:val="single"/>
    </w:rPr>
  </w:style>
  <w:style w:type="character" w:customStyle="1" w:styleId="Heading1Char">
    <w:name w:val="Heading 1 Char"/>
    <w:basedOn w:val="DefaultParagraphFont"/>
    <w:link w:val="Heading1"/>
    <w:uiPriority w:val="9"/>
    <w:rsid w:val="00A60F0F"/>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4421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ld199798/ldjudgmt/jd970724/irland01.htm" TargetMode="External"/><Relationship Id="rId13" Type="http://schemas.openxmlformats.org/officeDocument/2006/relationships/hyperlink" Target="http://www.barcouncil.org.uk/media/405738/bar_council_response_to_the_law_commission_consultation_paper_-_offences_against_the_person.pdf" TargetMode="External"/><Relationship Id="rId18" Type="http://schemas.openxmlformats.org/officeDocument/2006/relationships/footer" Target="footer2.xm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awcom.gov.uk/project/offences-against-the-perso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awcom.gov.uk/offences-against-the-person-modernising-the-law-on-violence-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s3-eu-west-2.amazonaws.com/lawcom-prod-storage-11jsxou24uy7q/uploads/2015/11/lc361_offences_against_the_person_overview_new-1.pdf"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www.lawcom.gov.uk/app/uploads/2015/11/lc361_offences_against_the_person_summary.pdf" TargetMode="External"/><Relationship Id="rId14" Type="http://schemas.openxmlformats.org/officeDocument/2006/relationships/hyperlink" Target="https://www.theguardian.com/law/2015/nov/03/let-magistrates-deal-more-assault-cases-law-reform-bod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E5F846-15AC-48CE-95E5-9E62E4867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1374</TotalTime>
  <Pages>5</Pages>
  <Words>2079</Words>
  <Characters>11851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13903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Baker (1704772)</dc:creator>
  <cp:lastModifiedBy>chloe baker</cp:lastModifiedBy>
  <cp:revision>82</cp:revision>
  <cp:lastPrinted>2017-10-30T22:19:00Z</cp:lastPrinted>
  <dcterms:created xsi:type="dcterms:W3CDTF">2017-10-24T11:41:00Z</dcterms:created>
  <dcterms:modified xsi:type="dcterms:W3CDTF">2017-10-30T22:22:00Z</dcterms:modified>
</cp:coreProperties>
</file>