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E2BE4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CF201E2" w14:textId="77777777" w:rsidTr="00152E9D">
        <w:trPr>
          <w:jc w:val="center"/>
        </w:trPr>
        <w:tc>
          <w:tcPr>
            <w:tcW w:w="10670" w:type="dxa"/>
            <w:shd w:val="clear" w:color="auto" w:fill="BFBFBF"/>
          </w:tcPr>
          <w:p w14:paraId="01AB1FD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3EEF1C" w14:textId="77777777" w:rsidR="00152E9D" w:rsidRPr="00A406E5" w:rsidRDefault="00152E9D" w:rsidP="00152E9D">
      <w:pPr>
        <w:rPr>
          <w:rFonts w:ascii="Arial" w:hAnsi="Arial" w:cs="Arial"/>
        </w:rPr>
      </w:pPr>
    </w:p>
    <w:p w14:paraId="0867AB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C2C809D"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224EB25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B657A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01CB35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8199EA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E8120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70995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AFC3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4C9D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9541A5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8261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D9CD90" w14:textId="77777777" w:rsidR="00152E9D" w:rsidRPr="00A406E5" w:rsidRDefault="00152E9D" w:rsidP="00152E9D">
            <w:pPr>
              <w:jc w:val="center"/>
              <w:rPr>
                <w:rFonts w:ascii="Arial" w:hAnsi="Arial" w:cs="Arial"/>
                <w:sz w:val="32"/>
              </w:rPr>
            </w:pPr>
          </w:p>
        </w:tc>
      </w:tr>
      <w:tr w:rsidR="00152E9D" w:rsidRPr="00A406E5" w14:paraId="1A96469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F3F203" w14:textId="77777777" w:rsidR="00152E9D" w:rsidRPr="00A406E5" w:rsidRDefault="00152E9D" w:rsidP="00152E9D">
            <w:pPr>
              <w:spacing w:after="120"/>
              <w:rPr>
                <w:rFonts w:ascii="Arial" w:hAnsi="Arial" w:cs="Arial"/>
                <w:sz w:val="14"/>
                <w:szCs w:val="14"/>
              </w:rPr>
            </w:pPr>
          </w:p>
          <w:p w14:paraId="02982F4A" w14:textId="77777777" w:rsidR="00152E9D" w:rsidRPr="00A406E5" w:rsidRDefault="00152E9D" w:rsidP="00152E9D">
            <w:pPr>
              <w:spacing w:after="120"/>
              <w:rPr>
                <w:rFonts w:ascii="Arial" w:hAnsi="Arial" w:cs="Arial"/>
                <w:sz w:val="14"/>
                <w:szCs w:val="14"/>
              </w:rPr>
            </w:pPr>
          </w:p>
          <w:p w14:paraId="235AE753" w14:textId="77777777" w:rsidR="00152E9D" w:rsidRPr="00A406E5" w:rsidRDefault="00152E9D" w:rsidP="00152E9D">
            <w:pPr>
              <w:spacing w:after="120"/>
              <w:rPr>
                <w:rFonts w:ascii="Arial" w:hAnsi="Arial" w:cs="Arial"/>
                <w:sz w:val="14"/>
                <w:szCs w:val="14"/>
              </w:rPr>
            </w:pPr>
          </w:p>
          <w:p w14:paraId="716932E5" w14:textId="77777777" w:rsidR="00152E9D" w:rsidRPr="00A406E5" w:rsidRDefault="00152E9D" w:rsidP="00152E9D">
            <w:pPr>
              <w:spacing w:after="120"/>
              <w:rPr>
                <w:rFonts w:ascii="Arial" w:hAnsi="Arial" w:cs="Arial"/>
                <w:sz w:val="14"/>
                <w:szCs w:val="14"/>
              </w:rPr>
            </w:pPr>
          </w:p>
          <w:p w14:paraId="6BD26091" w14:textId="77777777" w:rsidR="00152E9D" w:rsidRPr="00A406E5" w:rsidRDefault="00152E9D" w:rsidP="00152E9D">
            <w:pPr>
              <w:spacing w:after="120"/>
              <w:rPr>
                <w:rFonts w:ascii="Arial" w:hAnsi="Arial" w:cs="Arial"/>
                <w:sz w:val="14"/>
                <w:szCs w:val="14"/>
              </w:rPr>
            </w:pPr>
          </w:p>
          <w:p w14:paraId="00CF91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16CB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0ADBF" w14:textId="77777777" w:rsidR="00152E9D" w:rsidRPr="00A406E5" w:rsidRDefault="00152E9D" w:rsidP="00152E9D">
            <w:pPr>
              <w:jc w:val="center"/>
              <w:rPr>
                <w:rFonts w:ascii="Arial" w:hAnsi="Arial" w:cs="Arial"/>
                <w:sz w:val="32"/>
              </w:rPr>
            </w:pPr>
          </w:p>
        </w:tc>
      </w:tr>
      <w:tr w:rsidR="00152E9D" w:rsidRPr="00A406E5" w14:paraId="21005FDB" w14:textId="77777777" w:rsidTr="00A85BFE">
        <w:trPr>
          <w:trHeight w:val="451"/>
        </w:trPr>
        <w:tc>
          <w:tcPr>
            <w:tcW w:w="4169" w:type="pct"/>
            <w:vMerge/>
            <w:tcBorders>
              <w:left w:val="single" w:sz="4" w:space="0" w:color="auto"/>
              <w:bottom w:val="single" w:sz="4" w:space="0" w:color="auto"/>
              <w:right w:val="single" w:sz="4" w:space="0" w:color="auto"/>
            </w:tcBorders>
          </w:tcPr>
          <w:p w14:paraId="121FC0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33D1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F3974E" w14:textId="77777777" w:rsidR="00152E9D" w:rsidRPr="00A406E5" w:rsidRDefault="00152E9D" w:rsidP="00152E9D">
            <w:pPr>
              <w:jc w:val="center"/>
              <w:rPr>
                <w:rFonts w:ascii="Arial" w:hAnsi="Arial" w:cs="Arial"/>
                <w:sz w:val="32"/>
              </w:rPr>
            </w:pPr>
          </w:p>
        </w:tc>
      </w:tr>
      <w:tr w:rsidR="00152E9D" w:rsidRPr="00A406E5" w14:paraId="52401D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6A2A3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1E1D7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271F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E0483C" w14:textId="77777777" w:rsidR="00152E9D" w:rsidRPr="00A406E5" w:rsidRDefault="00152E9D" w:rsidP="00152E9D">
            <w:pPr>
              <w:jc w:val="center"/>
              <w:rPr>
                <w:rFonts w:ascii="Arial" w:hAnsi="Arial" w:cs="Arial"/>
                <w:sz w:val="32"/>
              </w:rPr>
            </w:pPr>
          </w:p>
        </w:tc>
      </w:tr>
      <w:tr w:rsidR="00152E9D" w:rsidRPr="00A406E5" w14:paraId="3D09C55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B12EAE" w14:textId="77777777" w:rsidR="00152E9D" w:rsidRPr="00A406E5" w:rsidRDefault="00152E9D" w:rsidP="00152E9D">
            <w:pPr>
              <w:spacing w:after="120"/>
              <w:rPr>
                <w:rFonts w:ascii="Arial" w:hAnsi="Arial" w:cs="Arial"/>
                <w:sz w:val="14"/>
                <w:szCs w:val="14"/>
              </w:rPr>
            </w:pPr>
          </w:p>
          <w:p w14:paraId="2858678F" w14:textId="77777777" w:rsidR="00152E9D" w:rsidRPr="00A406E5" w:rsidRDefault="00152E9D" w:rsidP="00152E9D">
            <w:pPr>
              <w:spacing w:after="120"/>
              <w:rPr>
                <w:rFonts w:ascii="Arial" w:hAnsi="Arial" w:cs="Arial"/>
                <w:sz w:val="14"/>
                <w:szCs w:val="14"/>
              </w:rPr>
            </w:pPr>
          </w:p>
          <w:p w14:paraId="6289A214" w14:textId="77777777" w:rsidR="00152E9D" w:rsidRPr="00A406E5" w:rsidRDefault="00152E9D" w:rsidP="00152E9D">
            <w:pPr>
              <w:spacing w:after="120"/>
              <w:rPr>
                <w:rFonts w:ascii="Arial" w:hAnsi="Arial" w:cs="Arial"/>
                <w:sz w:val="14"/>
                <w:szCs w:val="14"/>
              </w:rPr>
            </w:pPr>
          </w:p>
          <w:p w14:paraId="551BC965" w14:textId="77777777" w:rsidR="00152E9D" w:rsidRPr="00A406E5" w:rsidRDefault="00152E9D" w:rsidP="00152E9D">
            <w:pPr>
              <w:spacing w:after="120"/>
              <w:rPr>
                <w:rFonts w:ascii="Arial" w:hAnsi="Arial" w:cs="Arial"/>
                <w:sz w:val="14"/>
                <w:szCs w:val="14"/>
              </w:rPr>
            </w:pPr>
          </w:p>
          <w:p w14:paraId="260A0E0C" w14:textId="77777777" w:rsidR="00152E9D" w:rsidRPr="00A406E5" w:rsidRDefault="00152E9D" w:rsidP="00152E9D">
            <w:pPr>
              <w:spacing w:after="120"/>
              <w:rPr>
                <w:rFonts w:ascii="Arial" w:hAnsi="Arial" w:cs="Arial"/>
                <w:sz w:val="14"/>
                <w:szCs w:val="14"/>
              </w:rPr>
            </w:pPr>
          </w:p>
          <w:p w14:paraId="6AC99A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383C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71D51F" w14:textId="77777777" w:rsidR="00152E9D" w:rsidRPr="00A406E5" w:rsidRDefault="00152E9D" w:rsidP="00152E9D">
            <w:pPr>
              <w:jc w:val="center"/>
              <w:rPr>
                <w:rFonts w:ascii="Arial" w:hAnsi="Arial" w:cs="Arial"/>
                <w:sz w:val="32"/>
              </w:rPr>
            </w:pPr>
          </w:p>
        </w:tc>
      </w:tr>
      <w:tr w:rsidR="00152E9D" w:rsidRPr="00A406E5" w14:paraId="30826345" w14:textId="77777777" w:rsidTr="00A85BFE">
        <w:trPr>
          <w:trHeight w:val="451"/>
        </w:trPr>
        <w:tc>
          <w:tcPr>
            <w:tcW w:w="4169" w:type="pct"/>
            <w:vMerge/>
            <w:tcBorders>
              <w:left w:val="single" w:sz="4" w:space="0" w:color="auto"/>
              <w:bottom w:val="single" w:sz="4" w:space="0" w:color="auto"/>
              <w:right w:val="single" w:sz="4" w:space="0" w:color="auto"/>
            </w:tcBorders>
          </w:tcPr>
          <w:p w14:paraId="3AE4E5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3D085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7513B9" w14:textId="77777777" w:rsidR="00152E9D" w:rsidRPr="00A406E5" w:rsidRDefault="00152E9D" w:rsidP="00152E9D">
            <w:pPr>
              <w:jc w:val="center"/>
              <w:rPr>
                <w:rFonts w:ascii="Arial" w:hAnsi="Arial" w:cs="Arial"/>
                <w:sz w:val="32"/>
              </w:rPr>
            </w:pPr>
          </w:p>
        </w:tc>
      </w:tr>
      <w:tr w:rsidR="00152E9D" w:rsidRPr="00A406E5" w14:paraId="1E804E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2717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B77D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57C0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750652" w14:textId="77777777" w:rsidR="00152E9D" w:rsidRPr="00A406E5" w:rsidRDefault="00152E9D" w:rsidP="00152E9D">
            <w:pPr>
              <w:jc w:val="center"/>
              <w:rPr>
                <w:rFonts w:ascii="Arial" w:hAnsi="Arial" w:cs="Arial"/>
                <w:sz w:val="32"/>
              </w:rPr>
            </w:pPr>
          </w:p>
        </w:tc>
      </w:tr>
      <w:tr w:rsidR="00152E9D" w:rsidRPr="00A406E5" w14:paraId="4331ACA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556455" w14:textId="77777777" w:rsidR="00152E9D" w:rsidRPr="00A406E5" w:rsidRDefault="00152E9D" w:rsidP="00152E9D">
            <w:pPr>
              <w:spacing w:after="120"/>
              <w:rPr>
                <w:rFonts w:ascii="Arial" w:hAnsi="Arial" w:cs="Arial"/>
                <w:sz w:val="14"/>
                <w:szCs w:val="14"/>
              </w:rPr>
            </w:pPr>
          </w:p>
          <w:p w14:paraId="55F6F5A8" w14:textId="77777777" w:rsidR="00152E9D" w:rsidRPr="00A406E5" w:rsidRDefault="00152E9D" w:rsidP="00152E9D">
            <w:pPr>
              <w:spacing w:after="120"/>
              <w:rPr>
                <w:rFonts w:ascii="Arial" w:hAnsi="Arial" w:cs="Arial"/>
                <w:sz w:val="14"/>
                <w:szCs w:val="14"/>
              </w:rPr>
            </w:pPr>
          </w:p>
          <w:p w14:paraId="7E3B13A1" w14:textId="77777777" w:rsidR="00152E9D" w:rsidRPr="00A406E5" w:rsidRDefault="00152E9D" w:rsidP="00152E9D">
            <w:pPr>
              <w:spacing w:after="120"/>
              <w:rPr>
                <w:rFonts w:ascii="Arial" w:hAnsi="Arial" w:cs="Arial"/>
                <w:sz w:val="14"/>
                <w:szCs w:val="14"/>
              </w:rPr>
            </w:pPr>
          </w:p>
          <w:p w14:paraId="3B6D1361" w14:textId="77777777" w:rsidR="00152E9D" w:rsidRPr="00A406E5" w:rsidRDefault="00152E9D" w:rsidP="00152E9D">
            <w:pPr>
              <w:spacing w:after="120"/>
              <w:rPr>
                <w:rFonts w:ascii="Arial" w:hAnsi="Arial" w:cs="Arial"/>
                <w:sz w:val="14"/>
                <w:szCs w:val="14"/>
              </w:rPr>
            </w:pPr>
          </w:p>
          <w:p w14:paraId="628D4EDF" w14:textId="77777777" w:rsidR="00152E9D" w:rsidRPr="00A406E5" w:rsidRDefault="00152E9D" w:rsidP="00152E9D">
            <w:pPr>
              <w:spacing w:after="120"/>
              <w:rPr>
                <w:rFonts w:ascii="Arial" w:hAnsi="Arial" w:cs="Arial"/>
                <w:sz w:val="14"/>
                <w:szCs w:val="14"/>
              </w:rPr>
            </w:pPr>
          </w:p>
          <w:p w14:paraId="6217AA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FAF3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5F5AF7" w14:textId="77777777" w:rsidR="00152E9D" w:rsidRPr="00A406E5" w:rsidRDefault="00152E9D" w:rsidP="00152E9D">
            <w:pPr>
              <w:jc w:val="center"/>
              <w:rPr>
                <w:rFonts w:ascii="Arial" w:hAnsi="Arial" w:cs="Arial"/>
                <w:sz w:val="32"/>
              </w:rPr>
            </w:pPr>
          </w:p>
        </w:tc>
      </w:tr>
      <w:tr w:rsidR="00152E9D" w:rsidRPr="00A406E5" w14:paraId="66E0FE44" w14:textId="77777777" w:rsidTr="00A85BFE">
        <w:trPr>
          <w:trHeight w:val="451"/>
        </w:trPr>
        <w:tc>
          <w:tcPr>
            <w:tcW w:w="4169" w:type="pct"/>
            <w:vMerge/>
            <w:tcBorders>
              <w:left w:val="single" w:sz="4" w:space="0" w:color="auto"/>
              <w:bottom w:val="single" w:sz="4" w:space="0" w:color="auto"/>
              <w:right w:val="single" w:sz="4" w:space="0" w:color="auto"/>
            </w:tcBorders>
          </w:tcPr>
          <w:p w14:paraId="63B8F3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666D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951203" w14:textId="77777777" w:rsidR="00152E9D" w:rsidRPr="00A406E5" w:rsidRDefault="00152E9D" w:rsidP="00152E9D">
            <w:pPr>
              <w:jc w:val="center"/>
              <w:rPr>
                <w:rFonts w:ascii="Arial" w:hAnsi="Arial" w:cs="Arial"/>
                <w:sz w:val="32"/>
              </w:rPr>
            </w:pPr>
          </w:p>
        </w:tc>
      </w:tr>
      <w:tr w:rsidR="00152E9D" w:rsidRPr="00A406E5" w14:paraId="36D4ED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87563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3042C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25D8B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735B9" w14:textId="77777777" w:rsidR="00152E9D" w:rsidRPr="00A406E5" w:rsidRDefault="00152E9D" w:rsidP="00152E9D">
            <w:pPr>
              <w:jc w:val="center"/>
              <w:rPr>
                <w:rFonts w:ascii="Arial" w:hAnsi="Arial" w:cs="Arial"/>
                <w:sz w:val="32"/>
              </w:rPr>
            </w:pPr>
          </w:p>
        </w:tc>
      </w:tr>
      <w:tr w:rsidR="00152E9D" w:rsidRPr="00A406E5" w14:paraId="33F15E5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9D7694" w14:textId="77777777" w:rsidR="00152E9D" w:rsidRPr="00A406E5" w:rsidRDefault="00152E9D" w:rsidP="00152E9D">
            <w:pPr>
              <w:spacing w:after="120"/>
              <w:rPr>
                <w:rFonts w:ascii="Arial" w:hAnsi="Arial" w:cs="Arial"/>
                <w:sz w:val="14"/>
                <w:szCs w:val="14"/>
              </w:rPr>
            </w:pPr>
          </w:p>
          <w:p w14:paraId="30DAE18F" w14:textId="77777777" w:rsidR="00152E9D" w:rsidRPr="00A406E5" w:rsidRDefault="00152E9D" w:rsidP="00152E9D">
            <w:pPr>
              <w:spacing w:after="120"/>
              <w:rPr>
                <w:rFonts w:ascii="Arial" w:hAnsi="Arial" w:cs="Arial"/>
                <w:sz w:val="14"/>
                <w:szCs w:val="14"/>
              </w:rPr>
            </w:pPr>
          </w:p>
          <w:p w14:paraId="580C03F6" w14:textId="77777777" w:rsidR="00152E9D" w:rsidRPr="00A406E5" w:rsidRDefault="00152E9D" w:rsidP="00152E9D">
            <w:pPr>
              <w:spacing w:after="120"/>
              <w:rPr>
                <w:rFonts w:ascii="Arial" w:hAnsi="Arial" w:cs="Arial"/>
                <w:sz w:val="14"/>
                <w:szCs w:val="14"/>
              </w:rPr>
            </w:pPr>
          </w:p>
          <w:p w14:paraId="6000EC7A" w14:textId="77777777" w:rsidR="00152E9D" w:rsidRPr="00A406E5" w:rsidRDefault="00152E9D" w:rsidP="00152E9D">
            <w:pPr>
              <w:spacing w:after="120"/>
              <w:rPr>
                <w:rFonts w:ascii="Arial" w:hAnsi="Arial" w:cs="Arial"/>
                <w:sz w:val="14"/>
                <w:szCs w:val="14"/>
              </w:rPr>
            </w:pPr>
          </w:p>
          <w:p w14:paraId="1E7CE4AE" w14:textId="77777777" w:rsidR="00152E9D" w:rsidRPr="00A406E5" w:rsidRDefault="00152E9D" w:rsidP="00152E9D">
            <w:pPr>
              <w:spacing w:after="120"/>
              <w:rPr>
                <w:rFonts w:ascii="Arial" w:hAnsi="Arial" w:cs="Arial"/>
                <w:sz w:val="14"/>
                <w:szCs w:val="14"/>
              </w:rPr>
            </w:pPr>
          </w:p>
          <w:p w14:paraId="385DB1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683C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7DC0B" w14:textId="77777777" w:rsidR="00152E9D" w:rsidRPr="00A406E5" w:rsidRDefault="00152E9D" w:rsidP="00152E9D">
            <w:pPr>
              <w:jc w:val="center"/>
              <w:rPr>
                <w:rFonts w:ascii="Arial" w:hAnsi="Arial" w:cs="Arial"/>
                <w:sz w:val="32"/>
              </w:rPr>
            </w:pPr>
          </w:p>
        </w:tc>
      </w:tr>
      <w:tr w:rsidR="00152E9D" w:rsidRPr="00A406E5" w14:paraId="777903FD" w14:textId="77777777" w:rsidTr="00A85BFE">
        <w:trPr>
          <w:trHeight w:val="450"/>
        </w:trPr>
        <w:tc>
          <w:tcPr>
            <w:tcW w:w="4169" w:type="pct"/>
            <w:vMerge/>
            <w:tcBorders>
              <w:left w:val="single" w:sz="4" w:space="0" w:color="auto"/>
              <w:bottom w:val="single" w:sz="4" w:space="0" w:color="auto"/>
              <w:right w:val="single" w:sz="4" w:space="0" w:color="auto"/>
            </w:tcBorders>
          </w:tcPr>
          <w:p w14:paraId="4DBD59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26C19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DD2249" w14:textId="77777777" w:rsidR="00152E9D" w:rsidRPr="00A406E5" w:rsidRDefault="00152E9D" w:rsidP="00152E9D">
            <w:pPr>
              <w:jc w:val="center"/>
              <w:rPr>
                <w:rFonts w:ascii="Arial" w:hAnsi="Arial" w:cs="Arial"/>
                <w:sz w:val="32"/>
              </w:rPr>
            </w:pPr>
          </w:p>
        </w:tc>
      </w:tr>
      <w:tr w:rsidR="00152E9D" w:rsidRPr="00A406E5" w14:paraId="4A0C50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9AE6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99B54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0539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80460D" w14:textId="77777777" w:rsidR="00152E9D" w:rsidRPr="00A406E5" w:rsidRDefault="00152E9D" w:rsidP="00152E9D">
            <w:pPr>
              <w:jc w:val="center"/>
              <w:rPr>
                <w:rFonts w:ascii="Arial" w:hAnsi="Arial" w:cs="Arial"/>
                <w:sz w:val="32"/>
              </w:rPr>
            </w:pPr>
          </w:p>
        </w:tc>
      </w:tr>
      <w:tr w:rsidR="00152E9D" w:rsidRPr="00A406E5" w14:paraId="665776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881185" w14:textId="77777777" w:rsidR="00152E9D" w:rsidRPr="00A406E5" w:rsidRDefault="00152E9D" w:rsidP="00152E9D">
            <w:pPr>
              <w:spacing w:after="120"/>
              <w:rPr>
                <w:rFonts w:ascii="Arial" w:hAnsi="Arial" w:cs="Arial"/>
                <w:sz w:val="14"/>
                <w:szCs w:val="14"/>
              </w:rPr>
            </w:pPr>
          </w:p>
          <w:p w14:paraId="6014FB39" w14:textId="77777777" w:rsidR="00152E9D" w:rsidRPr="00A406E5" w:rsidRDefault="00152E9D" w:rsidP="00152E9D">
            <w:pPr>
              <w:spacing w:after="120"/>
              <w:rPr>
                <w:rFonts w:ascii="Arial" w:hAnsi="Arial" w:cs="Arial"/>
                <w:sz w:val="14"/>
                <w:szCs w:val="14"/>
              </w:rPr>
            </w:pPr>
          </w:p>
          <w:p w14:paraId="1FF6A6BB" w14:textId="77777777" w:rsidR="00152E9D" w:rsidRPr="00A406E5" w:rsidRDefault="00152E9D" w:rsidP="00152E9D">
            <w:pPr>
              <w:spacing w:after="120"/>
              <w:rPr>
                <w:rFonts w:ascii="Arial" w:hAnsi="Arial" w:cs="Arial"/>
                <w:sz w:val="14"/>
                <w:szCs w:val="14"/>
              </w:rPr>
            </w:pPr>
          </w:p>
          <w:p w14:paraId="546712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3AA5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F7B13F" w14:textId="77777777" w:rsidR="00152E9D" w:rsidRPr="00A406E5" w:rsidRDefault="00152E9D" w:rsidP="00152E9D">
            <w:pPr>
              <w:jc w:val="center"/>
              <w:rPr>
                <w:rFonts w:ascii="Arial" w:hAnsi="Arial" w:cs="Arial"/>
                <w:sz w:val="32"/>
              </w:rPr>
            </w:pPr>
          </w:p>
        </w:tc>
      </w:tr>
      <w:tr w:rsidR="00152E9D" w:rsidRPr="00A406E5" w14:paraId="312D7BB7" w14:textId="77777777" w:rsidTr="00A85BFE">
        <w:trPr>
          <w:trHeight w:val="450"/>
        </w:trPr>
        <w:tc>
          <w:tcPr>
            <w:tcW w:w="4169" w:type="pct"/>
            <w:vMerge/>
            <w:tcBorders>
              <w:left w:val="single" w:sz="4" w:space="0" w:color="auto"/>
              <w:bottom w:val="single" w:sz="4" w:space="0" w:color="auto"/>
              <w:right w:val="single" w:sz="4" w:space="0" w:color="auto"/>
            </w:tcBorders>
          </w:tcPr>
          <w:p w14:paraId="446845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45587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5F6834" w14:textId="77777777" w:rsidR="00152E9D" w:rsidRPr="00A406E5" w:rsidRDefault="00152E9D" w:rsidP="00152E9D">
            <w:pPr>
              <w:jc w:val="center"/>
              <w:rPr>
                <w:rFonts w:ascii="Arial" w:hAnsi="Arial" w:cs="Arial"/>
                <w:sz w:val="32"/>
              </w:rPr>
            </w:pPr>
          </w:p>
        </w:tc>
      </w:tr>
    </w:tbl>
    <w:p w14:paraId="38EFF9B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41376A" w14:textId="77777777" w:rsidTr="00152E9D">
        <w:trPr>
          <w:cantSplit/>
        </w:trPr>
        <w:tc>
          <w:tcPr>
            <w:tcW w:w="6062" w:type="dxa"/>
            <w:vMerge w:val="restart"/>
            <w:shd w:val="pct15" w:color="auto" w:fill="auto"/>
            <w:vAlign w:val="center"/>
          </w:tcPr>
          <w:p w14:paraId="694CB4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C21BC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B1922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29FEDC5" w14:textId="77777777" w:rsidTr="00152E9D">
        <w:trPr>
          <w:cantSplit/>
        </w:trPr>
        <w:tc>
          <w:tcPr>
            <w:tcW w:w="6062" w:type="dxa"/>
            <w:vMerge/>
            <w:vAlign w:val="bottom"/>
          </w:tcPr>
          <w:p w14:paraId="0AF7B567" w14:textId="77777777" w:rsidR="00152E9D" w:rsidRPr="00A406E5" w:rsidRDefault="00152E9D" w:rsidP="00152E9D">
            <w:pPr>
              <w:rPr>
                <w:rFonts w:ascii="Arial" w:hAnsi="Arial" w:cs="Arial"/>
              </w:rPr>
            </w:pPr>
          </w:p>
        </w:tc>
        <w:tc>
          <w:tcPr>
            <w:tcW w:w="2903" w:type="dxa"/>
            <w:vAlign w:val="bottom"/>
          </w:tcPr>
          <w:p w14:paraId="5BF6E65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9F07599" w14:textId="77777777" w:rsidR="00152E9D" w:rsidRPr="00A406E5" w:rsidRDefault="00152E9D" w:rsidP="00152E9D">
            <w:pPr>
              <w:jc w:val="center"/>
              <w:rPr>
                <w:rFonts w:ascii="Arial" w:hAnsi="Arial" w:cs="Arial"/>
                <w:sz w:val="12"/>
                <w:szCs w:val="12"/>
              </w:rPr>
            </w:pPr>
          </w:p>
        </w:tc>
        <w:tc>
          <w:tcPr>
            <w:tcW w:w="1060" w:type="dxa"/>
            <w:vMerge/>
            <w:vAlign w:val="bottom"/>
          </w:tcPr>
          <w:p w14:paraId="08DC3312" w14:textId="77777777" w:rsidR="00152E9D" w:rsidRPr="00A406E5" w:rsidRDefault="00152E9D" w:rsidP="00152E9D">
            <w:pPr>
              <w:ind w:leftChars="71" w:left="142"/>
              <w:rPr>
                <w:rFonts w:ascii="Arial" w:hAnsi="Arial" w:cs="Arial"/>
              </w:rPr>
            </w:pPr>
          </w:p>
        </w:tc>
      </w:tr>
      <w:tr w:rsidR="00152E9D" w:rsidRPr="00A406E5" w14:paraId="6CA0EB34" w14:textId="77777777" w:rsidTr="00152E9D">
        <w:trPr>
          <w:cantSplit/>
        </w:trPr>
        <w:tc>
          <w:tcPr>
            <w:tcW w:w="6062" w:type="dxa"/>
            <w:vMerge/>
            <w:vAlign w:val="bottom"/>
          </w:tcPr>
          <w:p w14:paraId="4C7142D5" w14:textId="77777777" w:rsidR="00152E9D" w:rsidRPr="00A406E5" w:rsidRDefault="00152E9D" w:rsidP="00152E9D">
            <w:pPr>
              <w:rPr>
                <w:rFonts w:ascii="Arial" w:hAnsi="Arial" w:cs="Arial"/>
              </w:rPr>
            </w:pPr>
          </w:p>
        </w:tc>
        <w:tc>
          <w:tcPr>
            <w:tcW w:w="2903" w:type="dxa"/>
            <w:vAlign w:val="bottom"/>
          </w:tcPr>
          <w:p w14:paraId="301DBBE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BF35B5" w14:textId="77777777" w:rsidR="00152E9D" w:rsidRPr="00A406E5" w:rsidRDefault="00152E9D" w:rsidP="00152E9D">
            <w:pPr>
              <w:jc w:val="center"/>
              <w:rPr>
                <w:rFonts w:ascii="Arial" w:hAnsi="Arial" w:cs="Arial"/>
                <w:sz w:val="12"/>
                <w:szCs w:val="12"/>
              </w:rPr>
            </w:pPr>
          </w:p>
        </w:tc>
        <w:tc>
          <w:tcPr>
            <w:tcW w:w="1060" w:type="dxa"/>
            <w:vMerge/>
            <w:vAlign w:val="bottom"/>
          </w:tcPr>
          <w:p w14:paraId="657C4CF3" w14:textId="77777777" w:rsidR="00152E9D" w:rsidRPr="00A406E5" w:rsidRDefault="00152E9D" w:rsidP="00152E9D">
            <w:pPr>
              <w:ind w:firstLineChars="141" w:firstLine="282"/>
              <w:rPr>
                <w:rFonts w:ascii="Arial" w:hAnsi="Arial" w:cs="Arial"/>
              </w:rPr>
            </w:pPr>
          </w:p>
        </w:tc>
      </w:tr>
    </w:tbl>
    <w:p w14:paraId="746C1D6D" w14:textId="77777777" w:rsidR="00152E9D" w:rsidRDefault="00152E9D" w:rsidP="00152E9D">
      <w:pPr>
        <w:rPr>
          <w:rFonts w:ascii="Arial" w:hAnsi="Arial" w:cs="Arial"/>
        </w:rPr>
      </w:pPr>
    </w:p>
    <w:p w14:paraId="72B1E265" w14:textId="4AF02C5C" w:rsidR="00C073F1" w:rsidRDefault="00C073F1" w:rsidP="00152E9D">
      <w:pPr>
        <w:rPr>
          <w:rFonts w:ascii="Arial" w:hAnsi="Arial" w:cs="Arial"/>
        </w:rPr>
      </w:pPr>
    </w:p>
    <w:p w14:paraId="2C0CE49D" w14:textId="77777777" w:rsidR="005269A0" w:rsidRPr="005269A0" w:rsidRDefault="005269A0" w:rsidP="005269A0">
      <w:pPr>
        <w:ind w:left="170" w:right="170"/>
        <w:jc w:val="right"/>
        <w:rPr>
          <w:rFonts w:asciiTheme="majorHAnsi" w:hAnsiTheme="majorHAnsi" w:cstheme="majorHAnsi"/>
          <w:b/>
          <w:bCs/>
          <w:sz w:val="24"/>
          <w:szCs w:val="24"/>
          <w:lang w:val="en-US"/>
        </w:rPr>
      </w:pPr>
      <w:r w:rsidRPr="005269A0">
        <w:rPr>
          <w:rFonts w:asciiTheme="majorHAnsi" w:hAnsiTheme="majorHAnsi" w:cstheme="majorHAnsi"/>
          <w:b/>
          <w:bCs/>
          <w:sz w:val="24"/>
          <w:szCs w:val="24"/>
          <w:lang w:val="en-US"/>
        </w:rPr>
        <w:lastRenderedPageBreak/>
        <w:t>Jennifer Ashling                                                                                                                                 2004959</w:t>
      </w:r>
    </w:p>
    <w:p w14:paraId="05AB1DA6" w14:textId="77777777" w:rsidR="005269A0" w:rsidRPr="005269A0" w:rsidRDefault="005269A0" w:rsidP="005269A0">
      <w:pPr>
        <w:ind w:left="170" w:right="170"/>
        <w:rPr>
          <w:rFonts w:asciiTheme="majorHAnsi" w:hAnsiTheme="majorHAnsi" w:cstheme="majorHAnsi"/>
          <w:sz w:val="24"/>
          <w:szCs w:val="24"/>
          <w:lang w:val="en-US"/>
        </w:rPr>
      </w:pPr>
    </w:p>
    <w:p w14:paraId="109D2F24" w14:textId="44FA1918" w:rsidR="005269A0" w:rsidRPr="005269A0" w:rsidRDefault="005269A0" w:rsidP="005269A0">
      <w:pPr>
        <w:ind w:left="170" w:right="170"/>
        <w:rPr>
          <w:rFonts w:asciiTheme="majorHAnsi" w:hAnsiTheme="majorHAnsi" w:cstheme="majorHAnsi"/>
          <w:sz w:val="24"/>
          <w:szCs w:val="24"/>
          <w:lang w:val="en-US"/>
        </w:rPr>
      </w:pPr>
      <w:r w:rsidRPr="005269A0">
        <w:rPr>
          <w:rFonts w:asciiTheme="majorHAnsi" w:hAnsiTheme="majorHAnsi" w:cstheme="majorHAnsi"/>
          <w:sz w:val="24"/>
          <w:szCs w:val="24"/>
          <w:lang w:val="en-US"/>
        </w:rPr>
        <w:t>In this assignment I will be arguing my point as to why I think the UK is a socially unequal society and provide examples within my research as to why I have this view on the situation, I will also show research that argues that there is social equality.</w:t>
      </w:r>
    </w:p>
    <w:p w14:paraId="49A17C9E" w14:textId="77777777" w:rsidR="005269A0" w:rsidRPr="005269A0" w:rsidRDefault="005269A0" w:rsidP="005269A0">
      <w:pPr>
        <w:ind w:left="170" w:right="170"/>
        <w:rPr>
          <w:rFonts w:asciiTheme="majorHAnsi" w:hAnsiTheme="majorHAnsi" w:cstheme="majorHAnsi"/>
          <w:sz w:val="24"/>
          <w:szCs w:val="24"/>
          <w:lang w:val="en-US"/>
        </w:rPr>
      </w:pPr>
    </w:p>
    <w:p w14:paraId="792636A4" w14:textId="0593DBCB" w:rsidR="005269A0" w:rsidRPr="005269A0" w:rsidRDefault="005269A0" w:rsidP="005269A0">
      <w:pPr>
        <w:ind w:left="170" w:right="170"/>
        <w:rPr>
          <w:rFonts w:asciiTheme="majorHAnsi" w:hAnsiTheme="majorHAnsi" w:cstheme="majorHAnsi"/>
          <w:sz w:val="24"/>
          <w:szCs w:val="24"/>
          <w:lang w:val="en-US"/>
        </w:rPr>
      </w:pPr>
      <w:r w:rsidRPr="005269A0">
        <w:rPr>
          <w:rFonts w:asciiTheme="majorHAnsi" w:hAnsiTheme="majorHAnsi" w:cstheme="majorHAnsi"/>
          <w:sz w:val="24"/>
          <w:szCs w:val="24"/>
          <w:lang w:val="en-US"/>
        </w:rPr>
        <w:t xml:space="preserve">Equality is essentially about creating a fairer society where everyone can participate and </w:t>
      </w:r>
      <w:proofErr w:type="gramStart"/>
      <w:r w:rsidRPr="005269A0">
        <w:rPr>
          <w:rFonts w:asciiTheme="majorHAnsi" w:hAnsiTheme="majorHAnsi" w:cstheme="majorHAnsi"/>
          <w:sz w:val="24"/>
          <w:szCs w:val="24"/>
          <w:lang w:val="en-US"/>
        </w:rPr>
        <w:t>has the opportunity to</w:t>
      </w:r>
      <w:proofErr w:type="gramEnd"/>
      <w:r w:rsidRPr="005269A0">
        <w:rPr>
          <w:rFonts w:asciiTheme="majorHAnsi" w:hAnsiTheme="majorHAnsi" w:cstheme="majorHAnsi"/>
          <w:sz w:val="24"/>
          <w:szCs w:val="24"/>
          <w:lang w:val="en-US"/>
        </w:rPr>
        <w:t xml:space="preserve"> fulfil their potential. I believe that in general the UK is a socially unequal society due to multiple things that I will discuss in this assignment. There are things such as class; upper-class people and lower-class people are treated differently because of how they may dress, act, or what areas they live in. Background is also a factor as some people are given better chances in life than others, e.g., someone from a “poor” background may not be given the best opportunity to succeed or have a better health understanding than someone from a “comfortable” background. Living on a reduced income or in a socioeconomically deprived community has a huge effect on people's health and well-being “Not only are people more likely to suffer serious illness, they also on average live 9 years less than people in the wealthiest areas.” (Bevan Foundation, 2021) They may not have a healthy home life, good knowledge of a healthy diet and they might not have the ambition or opportunity to pursue good career paths. People from “comfortable” backgrounds could be given more support with these from their family and friends and therefore will have a better opportunity at life. The population of people with health-related illnesses such as obesity, CVD or mental health are categorized as “unfit to work” and therefore are being discriminated against for how they work or what jobs they can do. They are also categorized as “at a higher risk” of diseases and illnesses.</w:t>
      </w:r>
    </w:p>
    <w:p w14:paraId="1463AFB9" w14:textId="77777777" w:rsidR="005269A0" w:rsidRPr="005269A0" w:rsidRDefault="005269A0" w:rsidP="005269A0">
      <w:pPr>
        <w:ind w:left="170" w:right="170"/>
        <w:rPr>
          <w:rFonts w:asciiTheme="majorHAnsi" w:hAnsiTheme="majorHAnsi" w:cstheme="majorHAnsi"/>
          <w:sz w:val="24"/>
          <w:szCs w:val="24"/>
          <w:lang w:val="en-US"/>
        </w:rPr>
      </w:pPr>
    </w:p>
    <w:p w14:paraId="4A0B251E" w14:textId="77777777" w:rsidR="005269A0" w:rsidRPr="005269A0" w:rsidRDefault="005269A0" w:rsidP="005269A0">
      <w:pPr>
        <w:ind w:left="170" w:right="170"/>
        <w:rPr>
          <w:rFonts w:asciiTheme="majorHAnsi" w:hAnsiTheme="majorHAnsi" w:cstheme="majorHAnsi"/>
          <w:sz w:val="24"/>
          <w:szCs w:val="24"/>
          <w:lang w:val="en-US"/>
        </w:rPr>
      </w:pPr>
      <w:r w:rsidRPr="005269A0">
        <w:rPr>
          <w:rFonts w:asciiTheme="majorHAnsi" w:hAnsiTheme="majorHAnsi" w:cstheme="majorHAnsi"/>
          <w:sz w:val="24"/>
          <w:szCs w:val="24"/>
          <w:lang w:val="en-US"/>
        </w:rPr>
        <w:t xml:space="preserve">Older people might be discriminated against by society for many reasons, they may not be given certain training in work because they are “too old”, and a younger person may be given the training instead. Older people’s immune systems may not work as sufficiently as younger people, so they are more likely to get sick or develop illnesses. Research that I have found states that “Not only do you have fewer immune cells as you age, </w:t>
      </w:r>
      <w:proofErr w:type="gramStart"/>
      <w:r w:rsidRPr="005269A0">
        <w:rPr>
          <w:rFonts w:asciiTheme="majorHAnsi" w:hAnsiTheme="majorHAnsi" w:cstheme="majorHAnsi"/>
          <w:sz w:val="24"/>
          <w:szCs w:val="24"/>
          <w:lang w:val="en-US"/>
        </w:rPr>
        <w:t>the ones</w:t>
      </w:r>
      <w:proofErr w:type="gramEnd"/>
      <w:r w:rsidRPr="005269A0">
        <w:rPr>
          <w:rFonts w:asciiTheme="majorHAnsi" w:hAnsiTheme="majorHAnsi" w:cstheme="majorHAnsi"/>
          <w:sz w:val="24"/>
          <w:szCs w:val="24"/>
          <w:lang w:val="en-US"/>
        </w:rPr>
        <w:t xml:space="preserve"> you do have don’t communicate with each other as well. That means they take longer to react to harmful germs.” (Noe </w:t>
      </w:r>
      <w:proofErr w:type="spellStart"/>
      <w:r w:rsidRPr="005269A0">
        <w:rPr>
          <w:rFonts w:asciiTheme="majorHAnsi" w:hAnsiTheme="majorHAnsi" w:cstheme="majorHAnsi"/>
          <w:sz w:val="24"/>
          <w:szCs w:val="24"/>
          <w:lang w:val="en-US"/>
        </w:rPr>
        <w:t>Pagán</w:t>
      </w:r>
      <w:proofErr w:type="spellEnd"/>
      <w:r w:rsidRPr="005269A0">
        <w:rPr>
          <w:rFonts w:asciiTheme="majorHAnsi" w:hAnsiTheme="majorHAnsi" w:cstheme="majorHAnsi"/>
          <w:sz w:val="24"/>
          <w:szCs w:val="24"/>
          <w:lang w:val="en-US"/>
        </w:rPr>
        <w:t>, 2021). I believe that ethnicity also plays a role in equality as these groups of people are most likely to be given lower income or frontline jobs, just the same as the lower-class category, and in more social or polluted environments which can mean that they are more at risk of illnesses.</w:t>
      </w:r>
    </w:p>
    <w:p w14:paraId="71452B1D" w14:textId="77777777" w:rsidR="005269A0" w:rsidRPr="005269A0" w:rsidRDefault="005269A0" w:rsidP="005269A0">
      <w:pPr>
        <w:ind w:left="170" w:right="170"/>
        <w:rPr>
          <w:rFonts w:asciiTheme="majorHAnsi" w:hAnsiTheme="majorHAnsi" w:cstheme="majorHAnsi"/>
          <w:sz w:val="24"/>
          <w:szCs w:val="24"/>
          <w:lang w:val="en-US"/>
        </w:rPr>
      </w:pPr>
    </w:p>
    <w:p w14:paraId="289BCD56" w14:textId="53369D80" w:rsidR="005269A0" w:rsidRPr="005269A0" w:rsidRDefault="005269A0" w:rsidP="005269A0">
      <w:pPr>
        <w:ind w:left="170" w:right="170"/>
        <w:rPr>
          <w:rFonts w:asciiTheme="majorHAnsi" w:hAnsiTheme="majorHAnsi" w:cstheme="majorHAnsi"/>
          <w:sz w:val="24"/>
          <w:szCs w:val="24"/>
          <w:lang w:val="en-US"/>
        </w:rPr>
      </w:pPr>
      <w:r w:rsidRPr="005269A0">
        <w:rPr>
          <w:rFonts w:asciiTheme="majorHAnsi" w:hAnsiTheme="majorHAnsi" w:cstheme="majorHAnsi"/>
          <w:sz w:val="24"/>
          <w:szCs w:val="24"/>
          <w:lang w:val="en-US"/>
        </w:rPr>
        <w:t>“A total of 10,841 COVID-19 cases were identified in nurses, midwives and nursing associates registered with the Nursing and Midwifery Council. Among those who are registered, this represents 4% of Asian ethnic groups, 3.1% of Other ethnic groups, 1.7% of White ethnic groups and 1.5% of both Black and Mixed ethnic groups” (Public Health England, 2020)</w:t>
      </w:r>
    </w:p>
    <w:p w14:paraId="05B9D3AC" w14:textId="77777777" w:rsidR="005269A0" w:rsidRPr="005269A0" w:rsidRDefault="005269A0" w:rsidP="005269A0">
      <w:pPr>
        <w:ind w:left="170" w:right="170"/>
        <w:rPr>
          <w:rFonts w:asciiTheme="majorHAnsi" w:hAnsiTheme="majorHAnsi" w:cstheme="majorHAnsi"/>
          <w:sz w:val="24"/>
          <w:szCs w:val="24"/>
          <w:lang w:val="en-US"/>
        </w:rPr>
      </w:pPr>
    </w:p>
    <w:p w14:paraId="7C21231F" w14:textId="4C08BBC6" w:rsidR="005269A0" w:rsidRPr="005269A0" w:rsidRDefault="005269A0" w:rsidP="005269A0">
      <w:pPr>
        <w:ind w:left="170" w:right="170"/>
        <w:rPr>
          <w:rFonts w:asciiTheme="majorHAnsi" w:hAnsiTheme="majorHAnsi" w:cstheme="majorHAnsi"/>
          <w:sz w:val="24"/>
          <w:szCs w:val="24"/>
          <w:lang w:val="en-US"/>
        </w:rPr>
      </w:pPr>
      <w:r w:rsidRPr="005269A0">
        <w:rPr>
          <w:rFonts w:asciiTheme="majorHAnsi" w:hAnsiTheme="majorHAnsi" w:cstheme="majorHAnsi"/>
          <w:sz w:val="24"/>
          <w:szCs w:val="24"/>
          <w:lang w:val="en-US"/>
        </w:rPr>
        <w:t>There has been a huge inequality in death rates from COVID-19. People from black ethnic groups were the most likely to be diagnosed and people of Black and Asian ethnic groups had the highest death rates from COVID-19 (Public Health England, 2020) The effects of occupation, comorbidities, and obesity were not considered in these studies. Both are significant factors because they are linked to the risk of contracting COVID-19, death, or both. Other research has shown that when comorbidities are considered, the difference in death risk among hospitalized patients is greatly lowered (Public Health England, 2020). The COVID-19 pandemic has illustrated existing social gaps in health and appears to have exacerbated gradients in poor health in the UK based on age, gender, ethnicity, income and wealth, education, and housing.</w:t>
      </w:r>
    </w:p>
    <w:p w14:paraId="7B5D592C" w14:textId="77777777" w:rsidR="005269A0" w:rsidRPr="005269A0" w:rsidRDefault="005269A0" w:rsidP="005269A0">
      <w:pPr>
        <w:ind w:left="170" w:right="170"/>
        <w:rPr>
          <w:rFonts w:asciiTheme="majorHAnsi" w:hAnsiTheme="majorHAnsi" w:cstheme="majorHAnsi"/>
          <w:sz w:val="24"/>
          <w:szCs w:val="24"/>
          <w:lang w:val="en-US"/>
        </w:rPr>
      </w:pPr>
    </w:p>
    <w:p w14:paraId="1E4D5606" w14:textId="0618687C" w:rsidR="005269A0" w:rsidRPr="005269A0" w:rsidRDefault="005269A0" w:rsidP="005269A0">
      <w:pPr>
        <w:ind w:left="170" w:right="170"/>
        <w:rPr>
          <w:rFonts w:asciiTheme="majorHAnsi" w:hAnsiTheme="majorHAnsi" w:cstheme="majorHAnsi"/>
          <w:sz w:val="24"/>
          <w:szCs w:val="24"/>
          <w:lang w:val="en-US"/>
        </w:rPr>
      </w:pPr>
      <w:r w:rsidRPr="005269A0">
        <w:rPr>
          <w:rFonts w:asciiTheme="majorHAnsi" w:hAnsiTheme="majorHAnsi" w:cstheme="majorHAnsi"/>
          <w:sz w:val="24"/>
          <w:szCs w:val="24"/>
          <w:lang w:val="en-US"/>
        </w:rPr>
        <w:t xml:space="preserve">There have been several studies as to why black and minority ethnic people have a higher risk of dying from Covid-19, one that I have found has stated that there are many reasons as to why this is the case, one reason being that they could be living in deprived or high polluted areas which can lead them to </w:t>
      </w:r>
      <w:r w:rsidRPr="005269A0">
        <w:rPr>
          <w:rFonts w:asciiTheme="majorHAnsi" w:hAnsiTheme="majorHAnsi" w:cstheme="majorHAnsi"/>
          <w:sz w:val="24"/>
          <w:szCs w:val="24"/>
          <w:lang w:val="en-US"/>
        </w:rPr>
        <w:lastRenderedPageBreak/>
        <w:t>already having underlying respiratory illnesses. Another being racism, “A strong evidence base has demonstrated that racial discrimination affects people’s life chances through, for example, restricting access to education and employment opportunities.” (Elwell-Sutton, 2021). This also argues my point as to why I think the UK is socially unequal. If ethnicity were not discriminated in such a way, people from black and minority ethnics could have a better chance at education leading to better career choices and better living.</w:t>
      </w:r>
    </w:p>
    <w:p w14:paraId="7AB52E62" w14:textId="77777777" w:rsidR="005269A0" w:rsidRPr="005269A0" w:rsidRDefault="005269A0" w:rsidP="005269A0">
      <w:pPr>
        <w:ind w:left="170" w:right="170"/>
        <w:rPr>
          <w:rFonts w:asciiTheme="majorHAnsi" w:hAnsiTheme="majorHAnsi" w:cstheme="majorHAnsi"/>
          <w:sz w:val="24"/>
          <w:szCs w:val="24"/>
          <w:lang w:val="en-US"/>
        </w:rPr>
      </w:pPr>
    </w:p>
    <w:p w14:paraId="17E9DE1A" w14:textId="77777777" w:rsidR="005269A0" w:rsidRPr="005269A0" w:rsidRDefault="005269A0" w:rsidP="005269A0">
      <w:pPr>
        <w:ind w:left="170" w:right="170"/>
        <w:rPr>
          <w:rFonts w:asciiTheme="majorHAnsi" w:hAnsiTheme="majorHAnsi" w:cstheme="majorHAnsi"/>
          <w:sz w:val="24"/>
          <w:szCs w:val="24"/>
          <w:lang w:val="en-US"/>
        </w:rPr>
      </w:pPr>
      <w:r w:rsidRPr="005269A0">
        <w:rPr>
          <w:rFonts w:asciiTheme="majorHAnsi" w:hAnsiTheme="majorHAnsi" w:cstheme="majorHAnsi"/>
          <w:sz w:val="24"/>
          <w:szCs w:val="24"/>
          <w:lang w:val="en-US"/>
        </w:rPr>
        <w:t>Research shows that “elderly” people have a greater risk of fatality from the Covid-19 pandemic. Females under the age of 60 have a higher diagnosis rate as do males over the age of 60. Despite accounting for 46% of diagnosed cases, men account for nearly 60% of COVID-19 deaths and 70% of admissions to intensive care units. While the prevalence of reported cases rises with age, the age profile of those in critical care is very different. Most patients in critical care, both males and females, are between the ages of 50 and 70, with just a few exceptions over the age of 80. (Public Health England, 2020) This research proves that elderly people are highly susceptible to contracting the virus as their immune systems are not as strong.</w:t>
      </w:r>
    </w:p>
    <w:p w14:paraId="01FA4E96" w14:textId="77777777" w:rsidR="005269A0" w:rsidRPr="005269A0" w:rsidRDefault="005269A0" w:rsidP="005269A0">
      <w:pPr>
        <w:ind w:left="170" w:right="170"/>
        <w:rPr>
          <w:rFonts w:asciiTheme="majorHAnsi" w:hAnsiTheme="majorHAnsi" w:cstheme="majorHAnsi"/>
          <w:sz w:val="24"/>
          <w:szCs w:val="24"/>
          <w:lang w:val="en-US"/>
        </w:rPr>
      </w:pPr>
      <w:r w:rsidRPr="005269A0">
        <w:rPr>
          <w:rFonts w:asciiTheme="majorHAnsi" w:hAnsiTheme="majorHAnsi" w:cstheme="majorHAnsi"/>
          <w:sz w:val="24"/>
          <w:szCs w:val="24"/>
          <w:lang w:val="en-US"/>
        </w:rPr>
        <w:t>The Covid-19 pandemic and lockdown caused a negative impact on people with health-related illnesses as they were at high risk of contracting the virus and likely to cause death for most. People with physical health related illnesses were not able to be as physically active as they were before lockdown as the gyms had closed and you could not travel for exercise, most people lived in small spaces and did not have the opportunity to stay physically active which had a huge impact on people with obesity. People with mental health were not able to see family/friends or support groups which had a greater impact on their wellbeing. With this considered, they could not stay fit and healthy which had a negative impression on their physical health. “Evidence shows that obesity increases the likelihood of hospitalization and advanced respiratory support, and an increased risk of death from COVID-19 infection” (Brown et al., 2021)</w:t>
      </w:r>
    </w:p>
    <w:p w14:paraId="7AA57A60" w14:textId="77777777" w:rsidR="005269A0" w:rsidRPr="005269A0" w:rsidRDefault="005269A0" w:rsidP="005269A0">
      <w:pPr>
        <w:ind w:left="170" w:right="170"/>
        <w:rPr>
          <w:rFonts w:asciiTheme="majorHAnsi" w:hAnsiTheme="majorHAnsi" w:cstheme="majorHAnsi"/>
          <w:sz w:val="24"/>
          <w:szCs w:val="24"/>
          <w:lang w:val="en-US"/>
        </w:rPr>
      </w:pPr>
    </w:p>
    <w:p w14:paraId="3954A353" w14:textId="716D1072" w:rsidR="005269A0" w:rsidRPr="005269A0" w:rsidRDefault="005269A0" w:rsidP="005269A0">
      <w:pPr>
        <w:ind w:left="170" w:right="170"/>
        <w:rPr>
          <w:rFonts w:asciiTheme="majorHAnsi" w:hAnsiTheme="majorHAnsi" w:cstheme="majorHAnsi"/>
          <w:sz w:val="24"/>
          <w:szCs w:val="24"/>
          <w:lang w:val="en-US"/>
        </w:rPr>
      </w:pPr>
      <w:r w:rsidRPr="005269A0">
        <w:rPr>
          <w:rFonts w:asciiTheme="majorHAnsi" w:hAnsiTheme="majorHAnsi" w:cstheme="majorHAnsi"/>
          <w:sz w:val="24"/>
          <w:szCs w:val="24"/>
          <w:lang w:val="en-US"/>
        </w:rPr>
        <w:t xml:space="preserve">To argue against my point, there is support across the UK to ensure that equality is given to the UK population, such as “The </w:t>
      </w:r>
      <w:proofErr w:type="spellStart"/>
      <w:r w:rsidRPr="005269A0">
        <w:rPr>
          <w:rFonts w:asciiTheme="majorHAnsi" w:hAnsiTheme="majorHAnsi" w:cstheme="majorHAnsi"/>
          <w:sz w:val="24"/>
          <w:szCs w:val="24"/>
          <w:lang w:val="en-US"/>
        </w:rPr>
        <w:t>peoples</w:t>
      </w:r>
      <w:proofErr w:type="spellEnd"/>
      <w:r w:rsidRPr="005269A0">
        <w:rPr>
          <w:rFonts w:asciiTheme="majorHAnsi" w:hAnsiTheme="majorHAnsi" w:cstheme="majorHAnsi"/>
          <w:sz w:val="24"/>
          <w:szCs w:val="24"/>
          <w:lang w:val="en-US"/>
        </w:rPr>
        <w:t xml:space="preserve"> health trust” and “The Equality Trust” which supports people from all different categories to ensure that they are treated equally and given the best opportunity. “The Equality Trust works to improve the quality of life in the UK by reducing economic and social inequality.” (The Equality Trust, 2021). This trust had been established in 2012 so it has been in place long enough to have supported many people who may be affected by social inequalities. People in more egalitarian cultures, regardless of their background, live longer, have better mental health, and have better opportunities for a successful education. Where the income gap is smaller, community life is healthier, and children do better in school. As disparity is reduced, people have more confidence in one another, there is less crime, and incarceration rates are lower. (The Equality Trust, 2021) There are many support groups and help to ensure that everyone is </w:t>
      </w:r>
      <w:proofErr w:type="spellStart"/>
      <w:r w:rsidRPr="005269A0">
        <w:rPr>
          <w:rFonts w:asciiTheme="majorHAnsi" w:hAnsiTheme="majorHAnsi" w:cstheme="majorHAnsi"/>
          <w:sz w:val="24"/>
          <w:szCs w:val="24"/>
          <w:lang w:val="en-US"/>
        </w:rPr>
        <w:t>treaded</w:t>
      </w:r>
      <w:proofErr w:type="spellEnd"/>
      <w:r w:rsidRPr="005269A0">
        <w:rPr>
          <w:rFonts w:asciiTheme="majorHAnsi" w:hAnsiTheme="majorHAnsi" w:cstheme="majorHAnsi"/>
          <w:sz w:val="24"/>
          <w:szCs w:val="24"/>
          <w:lang w:val="en-US"/>
        </w:rPr>
        <w:t xml:space="preserve"> equally and has an equal chance at a healthy life.</w:t>
      </w:r>
    </w:p>
    <w:p w14:paraId="147BA1FD" w14:textId="77777777" w:rsidR="005269A0" w:rsidRPr="005269A0" w:rsidRDefault="005269A0" w:rsidP="005269A0">
      <w:pPr>
        <w:ind w:left="170" w:right="170"/>
        <w:rPr>
          <w:rFonts w:asciiTheme="majorHAnsi" w:hAnsiTheme="majorHAnsi" w:cstheme="majorHAnsi"/>
          <w:sz w:val="24"/>
          <w:szCs w:val="24"/>
          <w:lang w:val="en-US"/>
        </w:rPr>
      </w:pPr>
    </w:p>
    <w:p w14:paraId="6FA506B8" w14:textId="77777777" w:rsidR="005269A0" w:rsidRDefault="005269A0" w:rsidP="005269A0">
      <w:pPr>
        <w:ind w:left="170" w:right="170"/>
        <w:rPr>
          <w:rFonts w:asciiTheme="majorHAnsi" w:hAnsiTheme="majorHAnsi" w:cstheme="majorHAnsi"/>
          <w:sz w:val="24"/>
          <w:szCs w:val="24"/>
          <w:lang w:val="en-US"/>
        </w:rPr>
      </w:pPr>
      <w:r w:rsidRPr="005269A0">
        <w:rPr>
          <w:rFonts w:asciiTheme="majorHAnsi" w:hAnsiTheme="majorHAnsi" w:cstheme="majorHAnsi"/>
          <w:sz w:val="24"/>
          <w:szCs w:val="24"/>
          <w:lang w:val="en-US"/>
        </w:rPr>
        <w:t>Taking into consideration the demographical disadvantages of the minority population, I believe that the UK is socially unequal and unfair to black and minority ethics, the elderly, lower-class population, and to people with physical and mental health issues. My research has proven that there are numerous inequalities in society that may result in a negative impact on people’s health, the outcome of this can result in people being more susceptible to illness. My research indicates that the Covid-19 pandemic has shown a dramatic increase in death rates from previous years within the discussed demographical groups. If society were equal and fair, everyone would have a greater chance at an education and career which would provide them with support for better health and therefore a stronger chance at surviving illnesses. Furthermore, from the support system I have discussed in this assignment, we can see that they can provide vital help to many demographic groups with a greater consideration for equality. This will then provide a greater quality of health which will ensure a greater chance at a better life.</w:t>
      </w:r>
    </w:p>
    <w:p w14:paraId="0D30450F" w14:textId="0780B4CE" w:rsidR="005269A0" w:rsidRPr="005269A0" w:rsidRDefault="005269A0" w:rsidP="005269A0">
      <w:pPr>
        <w:ind w:left="170" w:right="170"/>
        <w:jc w:val="right"/>
        <w:rPr>
          <w:rFonts w:asciiTheme="majorHAnsi" w:hAnsiTheme="majorHAnsi" w:cstheme="majorHAnsi"/>
          <w:sz w:val="24"/>
          <w:szCs w:val="24"/>
          <w:lang w:val="en-US"/>
        </w:rPr>
      </w:pPr>
      <w:r w:rsidRPr="005269A0">
        <w:rPr>
          <w:rFonts w:asciiTheme="majorHAnsi" w:hAnsiTheme="majorHAnsi" w:cstheme="majorHAnsi"/>
          <w:sz w:val="24"/>
          <w:szCs w:val="24"/>
          <w:lang w:val="en-US"/>
        </w:rPr>
        <w:lastRenderedPageBreak/>
        <w:t>(Word count 1,431)</w:t>
      </w:r>
    </w:p>
    <w:p w14:paraId="19605C7E" w14:textId="77777777" w:rsidR="005269A0" w:rsidRDefault="005269A0" w:rsidP="005269A0">
      <w:pPr>
        <w:ind w:left="170" w:right="170"/>
        <w:rPr>
          <w:rFonts w:asciiTheme="majorHAnsi" w:hAnsiTheme="majorHAnsi" w:cstheme="majorHAnsi"/>
          <w:b/>
          <w:bCs/>
          <w:sz w:val="24"/>
          <w:szCs w:val="24"/>
          <w:lang w:val="en-US"/>
        </w:rPr>
      </w:pPr>
    </w:p>
    <w:p w14:paraId="0FD5FA6A" w14:textId="2BEC0AA0" w:rsidR="005269A0" w:rsidRPr="005269A0" w:rsidRDefault="005269A0" w:rsidP="005269A0">
      <w:pPr>
        <w:ind w:left="170" w:right="170"/>
        <w:rPr>
          <w:rFonts w:asciiTheme="majorHAnsi" w:hAnsiTheme="majorHAnsi" w:cstheme="majorHAnsi"/>
          <w:b/>
          <w:bCs/>
          <w:sz w:val="28"/>
          <w:szCs w:val="28"/>
          <w:lang w:val="en-US"/>
        </w:rPr>
      </w:pPr>
      <w:r w:rsidRPr="005269A0">
        <w:rPr>
          <w:rFonts w:asciiTheme="majorHAnsi" w:hAnsiTheme="majorHAnsi" w:cstheme="majorHAnsi"/>
          <w:b/>
          <w:bCs/>
          <w:sz w:val="28"/>
          <w:szCs w:val="28"/>
          <w:lang w:val="en-US"/>
        </w:rPr>
        <w:t>Reference page</w:t>
      </w:r>
    </w:p>
    <w:p w14:paraId="1EF45D32" w14:textId="001CD67C" w:rsidR="005269A0" w:rsidRPr="005269A0" w:rsidRDefault="005269A0" w:rsidP="005269A0">
      <w:pPr>
        <w:ind w:left="170" w:right="170"/>
        <w:rPr>
          <w:rFonts w:asciiTheme="majorHAnsi" w:hAnsiTheme="majorHAnsi" w:cstheme="majorHAnsi"/>
          <w:sz w:val="24"/>
          <w:szCs w:val="24"/>
          <w:lang w:val="en-US"/>
        </w:rPr>
      </w:pPr>
      <w:r w:rsidRPr="005269A0">
        <w:rPr>
          <w:rFonts w:asciiTheme="majorHAnsi" w:hAnsiTheme="majorHAnsi" w:cstheme="majorHAnsi"/>
          <w:sz w:val="24"/>
          <w:szCs w:val="24"/>
          <w:lang w:val="en-US"/>
        </w:rPr>
        <w:t xml:space="preserve">A. Brown et al., Negative impact of the first COVID-19 lockdown upon health-related </w:t>
      </w:r>
      <w:proofErr w:type="spellStart"/>
      <w:r w:rsidRPr="005269A0">
        <w:rPr>
          <w:rFonts w:asciiTheme="majorHAnsi" w:hAnsiTheme="majorHAnsi" w:cstheme="majorHAnsi"/>
          <w:sz w:val="24"/>
          <w:szCs w:val="24"/>
          <w:lang w:val="en-US"/>
        </w:rPr>
        <w:t>behaviours</w:t>
      </w:r>
      <w:proofErr w:type="spellEnd"/>
      <w:r w:rsidRPr="005269A0">
        <w:rPr>
          <w:rFonts w:asciiTheme="majorHAnsi" w:hAnsiTheme="majorHAnsi" w:cstheme="majorHAnsi"/>
          <w:sz w:val="24"/>
          <w:szCs w:val="24"/>
          <w:lang w:val="en-US"/>
        </w:rPr>
        <w:t xml:space="preserve"> and psychological wellbeing in people living with severe and complex obesity in the UK, </w:t>
      </w:r>
      <w:proofErr w:type="spellStart"/>
      <w:r w:rsidRPr="005269A0">
        <w:rPr>
          <w:rFonts w:asciiTheme="majorHAnsi" w:hAnsiTheme="majorHAnsi" w:cstheme="majorHAnsi"/>
          <w:sz w:val="24"/>
          <w:szCs w:val="24"/>
          <w:lang w:val="en-US"/>
        </w:rPr>
        <w:t>EClinicalMedicine</w:t>
      </w:r>
      <w:proofErr w:type="spellEnd"/>
      <w:r w:rsidRPr="005269A0">
        <w:rPr>
          <w:rFonts w:asciiTheme="majorHAnsi" w:hAnsiTheme="majorHAnsi" w:cstheme="majorHAnsi"/>
          <w:sz w:val="24"/>
          <w:szCs w:val="24"/>
          <w:lang w:val="en-US"/>
        </w:rPr>
        <w:t xml:space="preserve"> (2021</w:t>
      </w:r>
      <w:proofErr w:type="gramStart"/>
      <w:r w:rsidRPr="005269A0">
        <w:rPr>
          <w:rFonts w:asciiTheme="majorHAnsi" w:hAnsiTheme="majorHAnsi" w:cstheme="majorHAnsi"/>
          <w:sz w:val="24"/>
          <w:szCs w:val="24"/>
          <w:lang w:val="en-US"/>
        </w:rPr>
        <w:t>),  https://doi.org/10.1016/j.eclinm.2021.100796</w:t>
      </w:r>
      <w:proofErr w:type="gramEnd"/>
    </w:p>
    <w:p w14:paraId="1FA812D8" w14:textId="77777777" w:rsidR="005269A0" w:rsidRPr="005269A0" w:rsidRDefault="005269A0" w:rsidP="005269A0">
      <w:pPr>
        <w:ind w:left="170" w:right="170"/>
        <w:rPr>
          <w:rFonts w:asciiTheme="majorHAnsi" w:hAnsiTheme="majorHAnsi" w:cstheme="majorHAnsi"/>
          <w:sz w:val="24"/>
          <w:szCs w:val="24"/>
          <w:lang w:val="en-US"/>
        </w:rPr>
      </w:pPr>
      <w:r w:rsidRPr="005269A0">
        <w:rPr>
          <w:rFonts w:asciiTheme="majorHAnsi" w:hAnsiTheme="majorHAnsi" w:cstheme="majorHAnsi"/>
          <w:sz w:val="24"/>
          <w:szCs w:val="24"/>
          <w:lang w:val="en-US"/>
        </w:rPr>
        <w:t>Bevan Foundation. 2021. Working together to reduce health inequalities | Bevan Foundation. [online] Available at: &lt;https://www.bevanfoundation.org/news/2020/07/working-together-to-reduce-health-inequalities/&gt; [Accessed 18 March 2021].</w:t>
      </w:r>
    </w:p>
    <w:p w14:paraId="0DE7AD7B" w14:textId="77777777" w:rsidR="005269A0" w:rsidRPr="005269A0" w:rsidRDefault="005269A0" w:rsidP="005269A0">
      <w:pPr>
        <w:ind w:left="170" w:right="170"/>
        <w:rPr>
          <w:rFonts w:asciiTheme="majorHAnsi" w:hAnsiTheme="majorHAnsi" w:cstheme="majorHAnsi"/>
          <w:sz w:val="24"/>
          <w:szCs w:val="24"/>
          <w:lang w:val="en-US"/>
        </w:rPr>
      </w:pPr>
      <w:r w:rsidRPr="005269A0">
        <w:rPr>
          <w:rFonts w:asciiTheme="majorHAnsi" w:hAnsiTheme="majorHAnsi" w:cstheme="majorHAnsi"/>
          <w:sz w:val="24"/>
          <w:szCs w:val="24"/>
          <w:lang w:val="en-US"/>
        </w:rPr>
        <w:t>Elwell-Sutton, T., 2021. Emerging findings on the impact of COVID-19 on black and minority ethnic people | The Health Foundation. [online] The Health Foundation. Available at: &lt;https://www.health.org.uk/news-and-comment/charts-and-infographics/emerging-findings-on-the-impact-of-covid-19-on-black-and-min?gclid=EAIaIQobChMIxb2x_ci37wIVu2DmCh0diQ_QEAAYAiAAEgJtAPD_BwE&gt; [Accessed 17 March 2021].</w:t>
      </w:r>
    </w:p>
    <w:p w14:paraId="0BF70654" w14:textId="77777777" w:rsidR="005269A0" w:rsidRPr="005269A0" w:rsidRDefault="005269A0" w:rsidP="005269A0">
      <w:pPr>
        <w:ind w:left="170" w:right="170"/>
        <w:rPr>
          <w:rFonts w:asciiTheme="majorHAnsi" w:hAnsiTheme="majorHAnsi" w:cstheme="majorHAnsi"/>
          <w:sz w:val="24"/>
          <w:szCs w:val="24"/>
          <w:lang w:val="en-US"/>
        </w:rPr>
      </w:pPr>
      <w:r w:rsidRPr="005269A0">
        <w:rPr>
          <w:rFonts w:asciiTheme="majorHAnsi" w:hAnsiTheme="majorHAnsi" w:cstheme="majorHAnsi"/>
          <w:sz w:val="24"/>
          <w:szCs w:val="24"/>
          <w:lang w:val="en-US"/>
        </w:rPr>
        <w:t>Equalitytrust.org.uk. 2021. About Us | The Equality Trust. [online] Available at: &lt;https://www.equalitytrust.org.uk/about-us&gt; [Accessed 18 March 2021].</w:t>
      </w:r>
    </w:p>
    <w:p w14:paraId="1EBA724D" w14:textId="77777777" w:rsidR="005269A0" w:rsidRPr="005269A0" w:rsidRDefault="005269A0" w:rsidP="005269A0">
      <w:pPr>
        <w:ind w:left="170" w:right="170"/>
        <w:rPr>
          <w:rFonts w:asciiTheme="majorHAnsi" w:hAnsiTheme="majorHAnsi" w:cstheme="majorHAnsi"/>
          <w:sz w:val="24"/>
          <w:szCs w:val="24"/>
          <w:lang w:val="en-US"/>
        </w:rPr>
      </w:pPr>
      <w:r w:rsidRPr="005269A0">
        <w:rPr>
          <w:rFonts w:asciiTheme="majorHAnsi" w:hAnsiTheme="majorHAnsi" w:cstheme="majorHAnsi"/>
          <w:sz w:val="24"/>
          <w:szCs w:val="24"/>
          <w:lang w:val="en-US"/>
        </w:rPr>
        <w:t xml:space="preserve">Noe </w:t>
      </w:r>
      <w:proofErr w:type="spellStart"/>
      <w:r w:rsidRPr="005269A0">
        <w:rPr>
          <w:rFonts w:asciiTheme="majorHAnsi" w:hAnsiTheme="majorHAnsi" w:cstheme="majorHAnsi"/>
          <w:sz w:val="24"/>
          <w:szCs w:val="24"/>
          <w:lang w:val="en-US"/>
        </w:rPr>
        <w:t>Pagán</w:t>
      </w:r>
      <w:proofErr w:type="spellEnd"/>
      <w:r w:rsidRPr="005269A0">
        <w:rPr>
          <w:rFonts w:asciiTheme="majorHAnsi" w:hAnsiTheme="majorHAnsi" w:cstheme="majorHAnsi"/>
          <w:sz w:val="24"/>
          <w:szCs w:val="24"/>
          <w:lang w:val="en-US"/>
        </w:rPr>
        <w:t>, C., 2021. The Immunity Challenge: How aging affects your immune system. [online] WebMD. Available at: &lt;https://www.webmd.com/healthy-aging/guide/seniors-boost-immunity#1&gt; [Accessed 18 March 2021].</w:t>
      </w:r>
    </w:p>
    <w:p w14:paraId="71BFA6C5" w14:textId="77777777" w:rsidR="005269A0" w:rsidRPr="005269A0" w:rsidRDefault="005269A0" w:rsidP="005269A0">
      <w:pPr>
        <w:ind w:left="170" w:right="170"/>
        <w:rPr>
          <w:rFonts w:asciiTheme="majorHAnsi" w:hAnsiTheme="majorHAnsi" w:cstheme="majorHAnsi"/>
          <w:sz w:val="24"/>
          <w:szCs w:val="24"/>
          <w:lang w:val="en-US"/>
        </w:rPr>
      </w:pPr>
      <w:r w:rsidRPr="005269A0">
        <w:rPr>
          <w:rFonts w:asciiTheme="majorHAnsi" w:hAnsiTheme="majorHAnsi" w:cstheme="majorHAnsi"/>
          <w:sz w:val="24"/>
          <w:szCs w:val="24"/>
          <w:lang w:val="en-US"/>
        </w:rPr>
        <w:t xml:space="preserve">Public Health England. (2020). Disparities in the risk and outcomes of About Public Health England, 89. Retrieved from </w:t>
      </w:r>
      <w:hyperlink r:id="rId8" w:history="1">
        <w:r w:rsidRPr="005269A0">
          <w:rPr>
            <w:rStyle w:val="Hyperlink"/>
            <w:rFonts w:asciiTheme="majorHAnsi" w:hAnsiTheme="majorHAnsi" w:cstheme="majorHAnsi"/>
            <w:sz w:val="24"/>
            <w:szCs w:val="24"/>
            <w:lang w:val="en-US"/>
          </w:rPr>
          <w:t>www.facebook.com/PublicHealthEngland</w:t>
        </w:r>
      </w:hyperlink>
    </w:p>
    <w:p w14:paraId="7AE2A9D3" w14:textId="77777777" w:rsidR="005269A0" w:rsidRPr="005269A0" w:rsidRDefault="005269A0" w:rsidP="005269A0">
      <w:pPr>
        <w:ind w:left="170" w:right="170"/>
        <w:rPr>
          <w:rFonts w:asciiTheme="majorHAnsi" w:hAnsiTheme="majorHAnsi" w:cstheme="majorHAnsi"/>
          <w:sz w:val="24"/>
          <w:szCs w:val="24"/>
        </w:rPr>
      </w:pPr>
    </w:p>
    <w:p w14:paraId="2D472A03"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1E238F8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5461119"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F28DE2" w14:textId="77777777" w:rsidR="003A7CEB" w:rsidRDefault="003A7CEB">
      <w:r>
        <w:separator/>
      </w:r>
    </w:p>
  </w:endnote>
  <w:endnote w:type="continuationSeparator" w:id="0">
    <w:p w14:paraId="60640DA2" w14:textId="77777777" w:rsidR="003A7CEB" w:rsidRDefault="003A7C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EE06A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5E94">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5E94">
      <w:rPr>
        <w:b/>
        <w:noProof/>
      </w:rPr>
      <w:t>9</w:t>
    </w:r>
    <w:r w:rsidR="0017512A">
      <w:rPr>
        <w:b/>
        <w:sz w:val="24"/>
        <w:szCs w:val="24"/>
      </w:rPr>
      <w:fldChar w:fldCharType="end"/>
    </w:r>
  </w:p>
  <w:p w14:paraId="6680F24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5EFFA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F78B67" w14:textId="77777777" w:rsidR="003A7CEB" w:rsidRDefault="003A7CEB">
      <w:r>
        <w:separator/>
      </w:r>
    </w:p>
  </w:footnote>
  <w:footnote w:type="continuationSeparator" w:id="0">
    <w:p w14:paraId="0C7A1F59" w14:textId="77777777" w:rsidR="003A7CEB" w:rsidRDefault="003A7C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6515618"/>
    <w:multiLevelType w:val="multilevel"/>
    <w:tmpl w:val="1EDA1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8EC"/>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1C51"/>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7CEB"/>
    <w:rsid w:val="003B366F"/>
    <w:rsid w:val="003B3F9D"/>
    <w:rsid w:val="003B6C95"/>
    <w:rsid w:val="003E5751"/>
    <w:rsid w:val="004046A9"/>
    <w:rsid w:val="00404C50"/>
    <w:rsid w:val="00423934"/>
    <w:rsid w:val="00426244"/>
    <w:rsid w:val="00435394"/>
    <w:rsid w:val="00451810"/>
    <w:rsid w:val="00470A38"/>
    <w:rsid w:val="00477880"/>
    <w:rsid w:val="004874DE"/>
    <w:rsid w:val="004B5334"/>
    <w:rsid w:val="004B6C14"/>
    <w:rsid w:val="004D5E9B"/>
    <w:rsid w:val="004D63D9"/>
    <w:rsid w:val="004E6585"/>
    <w:rsid w:val="004F38B4"/>
    <w:rsid w:val="0050249F"/>
    <w:rsid w:val="00524566"/>
    <w:rsid w:val="005269A0"/>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5049"/>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548"/>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5E94"/>
    <w:rsid w:val="00ED7072"/>
    <w:rsid w:val="00EE3132"/>
    <w:rsid w:val="00EE3D9D"/>
    <w:rsid w:val="00EE6F25"/>
    <w:rsid w:val="00F02126"/>
    <w:rsid w:val="00F03D85"/>
    <w:rsid w:val="00F07C8C"/>
    <w:rsid w:val="00F249F1"/>
    <w:rsid w:val="00F25B9D"/>
    <w:rsid w:val="00F2664E"/>
    <w:rsid w:val="00F31163"/>
    <w:rsid w:val="00F311D9"/>
    <w:rsid w:val="00F31C04"/>
    <w:rsid w:val="00F36378"/>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D67091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4263894">
      <w:bodyDiv w:val="1"/>
      <w:marLeft w:val="0"/>
      <w:marRight w:val="0"/>
      <w:marTop w:val="0"/>
      <w:marBottom w:val="0"/>
      <w:divBdr>
        <w:top w:val="none" w:sz="0" w:space="0" w:color="auto"/>
        <w:left w:val="none" w:sz="0" w:space="0" w:color="auto"/>
        <w:bottom w:val="none" w:sz="0" w:space="0" w:color="auto"/>
        <w:right w:val="none" w:sz="0" w:space="0" w:color="auto"/>
      </w:divBdr>
    </w:div>
    <w:div w:id="90788429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acebook.com/PublicHealthEngland"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5</Pages>
  <Words>1696</Words>
  <Characters>9672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11346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jennifer ashling</cp:lastModifiedBy>
  <cp:revision>2</cp:revision>
  <cp:lastPrinted>2014-10-10T07:42:00Z</cp:lastPrinted>
  <dcterms:created xsi:type="dcterms:W3CDTF">2021-03-18T21:15:00Z</dcterms:created>
  <dcterms:modified xsi:type="dcterms:W3CDTF">2021-03-18T21:15:00Z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