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0F2AF2" wp14:paraId="1B2E3596" wp14:textId="13E4207C">
      <w:pPr>
        <w:spacing w:before="165" w:beforeAutospacing="off" w:after="165" w:afterAutospacing="off" w:line="259" w:lineRule="auto"/>
        <w:rPr>
          <w:rFonts w:ascii="Calibri" w:hAnsi="Calibri" w:eastAsia="Calibri" w:cs="Calibri"/>
          <w:noProof w:val="0"/>
          <w:color w:val="000000" w:themeColor="text1" w:themeTint="FF" w:themeShade="FF"/>
          <w:sz w:val="24"/>
          <w:szCs w:val="24"/>
          <w:lang w:val="en-US"/>
        </w:rPr>
      </w:pPr>
      <w:r w:rsidRPr="190F2AF2" w:rsidR="698607D8">
        <w:rPr>
          <w:rFonts w:ascii="Calibri" w:hAnsi="Calibri" w:eastAsia="Calibri" w:cs="Calibri"/>
          <w:noProof w:val="0"/>
          <w:color w:val="000000" w:themeColor="text1" w:themeTint="FF" w:themeShade="FF"/>
          <w:sz w:val="24"/>
          <w:szCs w:val="24"/>
          <w:lang w:val="en-US"/>
        </w:rPr>
        <w:t xml:space="preserve">Importance of Play </w:t>
      </w:r>
    </w:p>
    <w:p xmlns:wp14="http://schemas.microsoft.com/office/word/2010/wordml" w:rsidP="190F2AF2" wp14:paraId="434B8EF6" wp14:textId="287B052B">
      <w:pPr>
        <w:spacing w:before="165" w:beforeAutospacing="off" w:after="165" w:afterAutospacing="off" w:line="259" w:lineRule="auto"/>
        <w:rPr>
          <w:rFonts w:ascii="Calibri" w:hAnsi="Calibri" w:eastAsia="Calibri" w:cs="Calibri"/>
          <w:noProof w:val="0"/>
          <w:color w:val="000000" w:themeColor="text1" w:themeTint="FF" w:themeShade="FF"/>
          <w:sz w:val="24"/>
          <w:szCs w:val="24"/>
          <w:lang w:val="en-US"/>
        </w:rPr>
      </w:pPr>
      <w:r w:rsidRPr="190F2AF2" w:rsidR="698607D8">
        <w:rPr>
          <w:rFonts w:ascii="Calibri" w:hAnsi="Calibri" w:eastAsia="Calibri" w:cs="Calibri"/>
          <w:noProof w:val="0"/>
          <w:color w:val="000000" w:themeColor="text1" w:themeTint="FF" w:themeShade="FF"/>
          <w:sz w:val="24"/>
          <w:szCs w:val="24"/>
          <w:lang w:val="en-US"/>
        </w:rPr>
        <w:t>There is no doubt that play is imperative for children's development.</w:t>
      </w:r>
      <w:r w:rsidRPr="190F2AF2" w:rsidR="698607D8">
        <w:rPr>
          <w:rFonts w:ascii="Calibri" w:hAnsi="Calibri" w:eastAsia="Calibri" w:cs="Calibri"/>
          <w:noProof w:val="0"/>
          <w:color w:val="000000" w:themeColor="text1" w:themeTint="FF" w:themeShade="FF"/>
          <w:sz w:val="24"/>
          <w:szCs w:val="24"/>
          <w:lang w:val="en-US"/>
        </w:rPr>
        <w:t xml:space="preserve"> According to Moyles (2010, p.28) learning is a result from play as children tend to imitate those around them, copying what they see and hear. Play is not just for fun, during the early years play is learning as </w:t>
      </w:r>
      <w:r w:rsidRPr="190F2AF2" w:rsidR="698607D8">
        <w:rPr>
          <w:rFonts w:ascii="Calibri" w:hAnsi="Calibri" w:eastAsia="Calibri" w:cs="Calibri"/>
          <w:noProof w:val="0"/>
          <w:color w:val="000000" w:themeColor="text1" w:themeTint="FF" w:themeShade="FF"/>
          <w:sz w:val="24"/>
          <w:szCs w:val="24"/>
          <w:lang w:val="en-US"/>
        </w:rPr>
        <w:t>stated</w:t>
      </w:r>
      <w:r w:rsidRPr="190F2AF2" w:rsidR="698607D8">
        <w:rPr>
          <w:rFonts w:ascii="Calibri" w:hAnsi="Calibri" w:eastAsia="Calibri" w:cs="Calibri"/>
          <w:noProof w:val="0"/>
          <w:color w:val="000000" w:themeColor="text1" w:themeTint="FF" w:themeShade="FF"/>
          <w:sz w:val="24"/>
          <w:szCs w:val="24"/>
          <w:lang w:val="en-US"/>
        </w:rPr>
        <w:t xml:space="preserve"> by (Early Years Matters, 2018) as they learn how to control their bodies, crawl, climb, stand and so forth. Furthermore, according to (Early Years Matters, 2018) play allows children to build on countless skills needed for development such as risk taking, creativity and problem solving. </w:t>
      </w:r>
      <w:r w:rsidRPr="190F2AF2" w:rsidR="698607D8">
        <w:rPr>
          <w:rFonts w:ascii="Calibri" w:hAnsi="Calibri" w:eastAsia="Calibri" w:cs="Calibri"/>
          <w:noProof w:val="0"/>
          <w:color w:val="000000" w:themeColor="text1" w:themeTint="FF" w:themeShade="FF"/>
          <w:sz w:val="24"/>
          <w:szCs w:val="24"/>
          <w:lang w:val="en-US"/>
        </w:rPr>
        <w:t>Therefore</w:t>
      </w:r>
      <w:r w:rsidRPr="190F2AF2" w:rsidR="698607D8">
        <w:rPr>
          <w:rFonts w:ascii="Calibri" w:hAnsi="Calibri" w:eastAsia="Calibri" w:cs="Calibri"/>
          <w:noProof w:val="0"/>
          <w:color w:val="000000" w:themeColor="text1" w:themeTint="FF" w:themeShade="FF"/>
          <w:sz w:val="24"/>
          <w:szCs w:val="24"/>
          <w:lang w:val="en-US"/>
        </w:rPr>
        <w:t xml:space="preserve">, play is not a futile task as it shapes children and their knowledge for later life. </w:t>
      </w:r>
    </w:p>
    <w:p xmlns:wp14="http://schemas.microsoft.com/office/word/2010/wordml" w:rsidP="190F2AF2" wp14:paraId="7769CE9C" wp14:textId="2F831948">
      <w:pPr>
        <w:spacing w:before="165" w:beforeAutospacing="off" w:after="165" w:afterAutospacing="off" w:line="259" w:lineRule="auto"/>
        <w:rPr>
          <w:rFonts w:ascii="Calibri" w:hAnsi="Calibri" w:eastAsia="Calibri" w:cs="Calibri"/>
          <w:noProof w:val="0"/>
          <w:color w:val="000000" w:themeColor="text1" w:themeTint="FF" w:themeShade="FF"/>
          <w:sz w:val="24"/>
          <w:szCs w:val="24"/>
          <w:lang w:val="en-US"/>
        </w:rPr>
      </w:pPr>
    </w:p>
    <w:p xmlns:wp14="http://schemas.microsoft.com/office/word/2010/wordml" w:rsidP="190F2AF2" wp14:paraId="24229C22" wp14:textId="0C5A3D37">
      <w:pPr>
        <w:spacing w:before="165" w:beforeAutospacing="off" w:after="165" w:afterAutospacing="off" w:line="259" w:lineRule="auto"/>
        <w:rPr>
          <w:rFonts w:ascii="Calibri" w:hAnsi="Calibri" w:eastAsia="Calibri" w:cs="Calibri"/>
          <w:noProof w:val="0"/>
          <w:sz w:val="24"/>
          <w:szCs w:val="24"/>
          <w:lang w:val="en-US"/>
        </w:rPr>
      </w:pPr>
      <w:r w:rsidRPr="190F2AF2" w:rsidR="698607D8">
        <w:rPr>
          <w:rFonts w:ascii="Calibri" w:hAnsi="Calibri" w:eastAsia="Calibri" w:cs="Calibri"/>
          <w:noProof w:val="0"/>
          <w:color w:val="000000" w:themeColor="text1" w:themeTint="FF" w:themeShade="FF"/>
          <w:sz w:val="24"/>
          <w:szCs w:val="24"/>
          <w:lang w:val="en-US"/>
        </w:rPr>
        <w:t xml:space="preserve">Early Years Matters. (2018) </w:t>
      </w:r>
      <w:r w:rsidRPr="190F2AF2" w:rsidR="698607D8">
        <w:rPr>
          <w:rFonts w:ascii="Calibri" w:hAnsi="Calibri" w:eastAsia="Calibri" w:cs="Calibri"/>
          <w:i w:val="1"/>
          <w:iCs w:val="1"/>
          <w:noProof w:val="0"/>
          <w:color w:val="000000" w:themeColor="text1" w:themeTint="FF" w:themeShade="FF"/>
          <w:sz w:val="24"/>
          <w:szCs w:val="24"/>
          <w:lang w:val="en-US"/>
        </w:rPr>
        <w:t>The importance of play.</w:t>
      </w:r>
      <w:r w:rsidRPr="190F2AF2" w:rsidR="698607D8">
        <w:rPr>
          <w:rFonts w:ascii="Calibri" w:hAnsi="Calibri" w:eastAsia="Calibri" w:cs="Calibri"/>
          <w:noProof w:val="0"/>
          <w:color w:val="000000" w:themeColor="text1" w:themeTint="FF" w:themeShade="FF"/>
          <w:sz w:val="24"/>
          <w:szCs w:val="24"/>
          <w:lang w:val="en-US"/>
        </w:rPr>
        <w:t xml:space="preserve"> Availabile at: </w:t>
      </w:r>
      <w:hyperlink r:id="R3e6472f9db114560">
        <w:r w:rsidRPr="190F2AF2" w:rsidR="698607D8">
          <w:rPr>
            <w:rStyle w:val="Hyperlink"/>
            <w:rFonts w:ascii="Calibri" w:hAnsi="Calibri" w:eastAsia="Calibri" w:cs="Calibri"/>
            <w:strike w:val="0"/>
            <w:dstrike w:val="0"/>
            <w:noProof w:val="0"/>
            <w:sz w:val="24"/>
            <w:szCs w:val="24"/>
            <w:lang w:val="en-US"/>
          </w:rPr>
          <w:t>https://www.earlyyearsmatters.co.uk/eyfs/a-unique-child/play-learning/</w:t>
        </w:r>
      </w:hyperlink>
      <w:r w:rsidRPr="190F2AF2" w:rsidR="698607D8">
        <w:rPr>
          <w:rFonts w:ascii="Calibri" w:hAnsi="Calibri" w:eastAsia="Calibri" w:cs="Calibri"/>
          <w:noProof w:val="0"/>
          <w:sz w:val="24"/>
          <w:szCs w:val="24"/>
          <w:lang w:val="en-US"/>
        </w:rPr>
        <w:t xml:space="preserve"> (Accessed: 17 September 2023). </w:t>
      </w:r>
    </w:p>
    <w:p xmlns:wp14="http://schemas.microsoft.com/office/word/2010/wordml" w:rsidP="190F2AF2" wp14:paraId="27822AC8" wp14:textId="4EFA3A75">
      <w:pPr>
        <w:spacing w:before="165" w:beforeAutospacing="off" w:after="165" w:afterAutospacing="off" w:line="259" w:lineRule="auto"/>
        <w:rPr>
          <w:rFonts w:ascii="Calibri" w:hAnsi="Calibri" w:eastAsia="Calibri" w:cs="Calibri"/>
          <w:noProof w:val="0"/>
          <w:sz w:val="24"/>
          <w:szCs w:val="24"/>
          <w:lang w:val="en-US"/>
        </w:rPr>
      </w:pPr>
      <w:r w:rsidRPr="190F2AF2" w:rsidR="698607D8">
        <w:rPr>
          <w:rFonts w:ascii="Calibri" w:hAnsi="Calibri" w:eastAsia="Calibri" w:cs="Calibri"/>
          <w:noProof w:val="0"/>
          <w:sz w:val="24"/>
          <w:szCs w:val="24"/>
          <w:lang w:val="en-US"/>
        </w:rPr>
        <w:t xml:space="preserve">Moyles, J. (2010). </w:t>
      </w:r>
      <w:r w:rsidRPr="190F2AF2" w:rsidR="698607D8">
        <w:rPr>
          <w:rFonts w:ascii="Calibri" w:hAnsi="Calibri" w:eastAsia="Calibri" w:cs="Calibri"/>
          <w:i w:val="1"/>
          <w:iCs w:val="1"/>
          <w:noProof w:val="0"/>
          <w:sz w:val="24"/>
          <w:szCs w:val="24"/>
          <w:lang w:val="en-US"/>
        </w:rPr>
        <w:t xml:space="preserve">The Excellent of play. </w:t>
      </w:r>
      <w:r w:rsidRPr="190F2AF2" w:rsidR="698607D8">
        <w:rPr>
          <w:rFonts w:ascii="Calibri" w:hAnsi="Calibri" w:eastAsia="Calibri" w:cs="Calibri"/>
          <w:noProof w:val="0"/>
          <w:sz w:val="24"/>
          <w:szCs w:val="24"/>
          <w:lang w:val="en-US"/>
        </w:rPr>
        <w:t>2</w:t>
      </w:r>
      <w:r w:rsidRPr="190F2AF2" w:rsidR="698607D8">
        <w:rPr>
          <w:rFonts w:ascii="Calibri" w:hAnsi="Calibri" w:eastAsia="Calibri" w:cs="Calibri"/>
          <w:noProof w:val="0"/>
          <w:sz w:val="24"/>
          <w:szCs w:val="24"/>
          <w:vertAlign w:val="superscript"/>
          <w:lang w:val="en-US"/>
        </w:rPr>
        <w:t>nd</w:t>
      </w:r>
      <w:r w:rsidRPr="190F2AF2" w:rsidR="698607D8">
        <w:rPr>
          <w:rFonts w:ascii="Calibri" w:hAnsi="Calibri" w:eastAsia="Calibri" w:cs="Calibri"/>
          <w:noProof w:val="0"/>
          <w:sz w:val="24"/>
          <w:szCs w:val="24"/>
          <w:lang w:val="en-US"/>
        </w:rPr>
        <w:t xml:space="preserve"> edn. Berkshire: Open University Press. </w:t>
      </w:r>
    </w:p>
    <w:p xmlns:wp14="http://schemas.microsoft.com/office/word/2010/wordml" w:rsidP="190F2AF2" wp14:paraId="3C7F9732" wp14:textId="03453D70">
      <w:pPr>
        <w:spacing w:before="165" w:beforeAutospacing="off" w:after="165" w:afterAutospacing="off" w:line="259" w:lineRule="auto"/>
        <w:rPr>
          <w:rFonts w:ascii="Helvetica Neue" w:hAnsi="Helvetica Neue" w:eastAsia="Helvetica Neue" w:cs="Helvetica Neue"/>
          <w:noProof w:val="0"/>
          <w:color w:val="000000" w:themeColor="text1" w:themeTint="FF" w:themeShade="FF"/>
          <w:sz w:val="16"/>
          <w:szCs w:val="16"/>
          <w:lang w:val="en-US"/>
        </w:rPr>
      </w:pPr>
    </w:p>
    <w:p xmlns:wp14="http://schemas.microsoft.com/office/word/2010/wordml" w:rsidP="190F2AF2" wp14:paraId="0B3E6392" wp14:textId="3B87E954">
      <w:pPr>
        <w:spacing w:before="165" w:beforeAutospacing="off" w:after="165" w:afterAutospacing="off" w:line="259" w:lineRule="auto"/>
        <w:rPr>
          <w:rFonts w:ascii="Helvetica Neue" w:hAnsi="Helvetica Neue" w:eastAsia="Helvetica Neue" w:cs="Helvetica Neue"/>
          <w:noProof w:val="0"/>
          <w:color w:val="000000" w:themeColor="text1" w:themeTint="FF" w:themeShade="FF"/>
          <w:sz w:val="16"/>
          <w:szCs w:val="16"/>
          <w:lang w:val="en-US"/>
        </w:rPr>
      </w:pPr>
    </w:p>
    <w:p xmlns:wp14="http://schemas.microsoft.com/office/word/2010/wordml" w:rsidP="190F2AF2" wp14:paraId="2C078E63" wp14:textId="627633F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D6570F"/>
    <w:rsid w:val="003EAAA6"/>
    <w:rsid w:val="190F2AF2"/>
    <w:rsid w:val="1FD6570F"/>
    <w:rsid w:val="698607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6570F"/>
  <w15:chartTrackingRefBased/>
  <w15:docId w15:val="{3174083E-6A4A-4575-A809-677967AD57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arlyyearsmatters.co.uk/eyfs/a-unique-child/play-learning/" TargetMode="External" Id="R3e6472f9db1145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2023-09-17T16:09:37.8013001Z</dcterms:created>
  <dcterms:modified xsi:type="dcterms:W3CDTF">2023-09-17T16:10:58.9144891Z</dcterms:modified>
  <dc:creator>Alysha Lloyd (2305354)</dc:creator>
  <lastModifiedBy>Alysha Lloyd (2305354)</lastModifiedBy>
</coreProperties>
</file>