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82E6E7" w14:textId="6F17A98C" w:rsidR="00DA0ABD" w:rsidRDefault="00DA0ABD" w:rsidP="00582E7F">
      <w:pPr>
        <w:pStyle w:val="NoSpacing"/>
        <w:rPr>
          <w:rFonts w:cs="Arial"/>
          <w:b/>
          <w:bCs/>
          <w:u w:val="single"/>
        </w:rPr>
      </w:pPr>
    </w:p>
    <w:p w14:paraId="500C7953" w14:textId="77777777" w:rsidR="00582E7F" w:rsidRPr="00DD69E8" w:rsidRDefault="00582E7F" w:rsidP="00582E7F">
      <w:pPr>
        <w:jc w:val="center"/>
        <w:rPr>
          <w:b/>
          <w:bCs/>
          <w:sz w:val="32"/>
          <w:szCs w:val="32"/>
          <w:u w:val="single"/>
        </w:rPr>
      </w:pPr>
      <w:r w:rsidRPr="00DD69E8">
        <w:rPr>
          <w:b/>
          <w:bCs/>
          <w:sz w:val="32"/>
          <w:szCs w:val="32"/>
          <w:u w:val="single"/>
        </w:rPr>
        <w:t>Briefing Paper</w:t>
      </w:r>
      <w:r>
        <w:rPr>
          <w:b/>
          <w:bCs/>
          <w:sz w:val="32"/>
          <w:szCs w:val="32"/>
          <w:u w:val="single"/>
        </w:rPr>
        <w:t xml:space="preserve"> – Evidence-Based Practice</w:t>
      </w:r>
    </w:p>
    <w:p w14:paraId="0FEE964D" w14:textId="77777777" w:rsidR="00582E7F" w:rsidRDefault="00582E7F">
      <w:pPr>
        <w:rPr>
          <w:rFonts w:cs="Arial"/>
          <w:b/>
          <w:bCs/>
          <w:u w:val="single"/>
        </w:rPr>
      </w:pPr>
    </w:p>
    <w:sdt>
      <w:sdtPr>
        <w:rPr>
          <w:rFonts w:ascii="Arial" w:eastAsiaTheme="minorHAnsi" w:hAnsi="Arial" w:cs="Arial"/>
          <w:b w:val="0"/>
          <w:bCs w:val="0"/>
          <w:color w:val="000000" w:themeColor="text1"/>
          <w:kern w:val="2"/>
          <w:sz w:val="24"/>
          <w:szCs w:val="24"/>
          <w:lang w:val="en-GB"/>
          <w14:ligatures w14:val="standardContextual"/>
        </w:rPr>
        <w:id w:val="-1776555566"/>
        <w:docPartObj>
          <w:docPartGallery w:val="Table of Contents"/>
          <w:docPartUnique/>
        </w:docPartObj>
      </w:sdtPr>
      <w:sdtEndPr>
        <w:rPr>
          <w:noProof/>
        </w:rPr>
      </w:sdtEndPr>
      <w:sdtContent>
        <w:p w14:paraId="3FD4A603" w14:textId="71865F97" w:rsidR="00582E7F" w:rsidRPr="00582E7F" w:rsidRDefault="00582E7F">
          <w:pPr>
            <w:pStyle w:val="TOCHeading"/>
            <w:rPr>
              <w:rFonts w:ascii="Arial" w:hAnsi="Arial" w:cs="Arial"/>
              <w:color w:val="000000" w:themeColor="text1"/>
            </w:rPr>
          </w:pPr>
          <w:r w:rsidRPr="00582E7F">
            <w:rPr>
              <w:rFonts w:ascii="Arial" w:hAnsi="Arial" w:cs="Arial"/>
              <w:color w:val="000000" w:themeColor="text1"/>
            </w:rPr>
            <w:t>Table of Contents</w:t>
          </w:r>
        </w:p>
        <w:p w14:paraId="758A50C6" w14:textId="7E56C7FC"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r w:rsidRPr="00582E7F">
            <w:rPr>
              <w:rFonts w:ascii="Arial" w:hAnsi="Arial" w:cs="Arial"/>
              <w:b w:val="0"/>
              <w:bCs w:val="0"/>
              <w:color w:val="000000" w:themeColor="text1"/>
            </w:rPr>
            <w:fldChar w:fldCharType="begin"/>
          </w:r>
          <w:r w:rsidRPr="00582E7F">
            <w:rPr>
              <w:rFonts w:ascii="Arial" w:hAnsi="Arial" w:cs="Arial"/>
              <w:color w:val="000000" w:themeColor="text1"/>
            </w:rPr>
            <w:instrText xml:space="preserve"> TOC \o "1-3" \h \z \u </w:instrText>
          </w:r>
          <w:r w:rsidRPr="00582E7F">
            <w:rPr>
              <w:rFonts w:ascii="Arial" w:hAnsi="Arial" w:cs="Arial"/>
              <w:b w:val="0"/>
              <w:bCs w:val="0"/>
              <w:color w:val="000000" w:themeColor="text1"/>
            </w:rPr>
            <w:fldChar w:fldCharType="separate"/>
          </w:r>
          <w:hyperlink w:anchor="_Toc184048305" w:history="1">
            <w:r w:rsidRPr="00582E7F">
              <w:rPr>
                <w:rStyle w:val="Hyperlink"/>
                <w:rFonts w:ascii="Arial" w:hAnsi="Arial" w:cs="Arial"/>
                <w:noProof/>
                <w:color w:val="000000" w:themeColor="text1"/>
              </w:rPr>
              <w:t>Evidence-Based Practice (AC1.1)</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_Toc184048305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2</w:t>
            </w:r>
            <w:r w:rsidRPr="00582E7F">
              <w:rPr>
                <w:rFonts w:ascii="Arial" w:hAnsi="Arial" w:cs="Arial"/>
                <w:noProof/>
                <w:webHidden/>
                <w:color w:val="000000" w:themeColor="text1"/>
              </w:rPr>
              <w:fldChar w:fldCharType="end"/>
            </w:r>
          </w:hyperlink>
        </w:p>
        <w:p w14:paraId="5649C306" w14:textId="0196F413"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6" w:history="1">
            <w:r w:rsidRPr="00582E7F">
              <w:rPr>
                <w:rStyle w:val="Hyperlink"/>
                <w:rFonts w:ascii="Arial" w:hAnsi="Arial" w:cs="Arial"/>
                <w:noProof/>
                <w:color w:val="000000" w:themeColor="text1"/>
              </w:rPr>
              <w:t>Analysis Tools &amp; Methods (AC1.2)</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_Toc184048306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3</w:t>
            </w:r>
            <w:r w:rsidRPr="00582E7F">
              <w:rPr>
                <w:rFonts w:ascii="Arial" w:hAnsi="Arial" w:cs="Arial"/>
                <w:noProof/>
                <w:webHidden/>
                <w:color w:val="000000" w:themeColor="text1"/>
              </w:rPr>
              <w:fldChar w:fldCharType="end"/>
            </w:r>
          </w:hyperlink>
        </w:p>
        <w:p w14:paraId="66CBAA33" w14:textId="6D971BCC"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7" w:history="1">
            <w:r w:rsidRPr="00582E7F">
              <w:rPr>
                <w:rStyle w:val="Hyperlink"/>
                <w:rFonts w:ascii="Arial" w:hAnsi="Arial" w:cs="Arial"/>
                <w:noProof/>
                <w:color w:val="000000" w:themeColor="text1"/>
              </w:rPr>
              <w:t>Critical Thinking (AC1.3)</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_Toc184048307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4</w:t>
            </w:r>
            <w:r w:rsidRPr="00582E7F">
              <w:rPr>
                <w:rFonts w:ascii="Arial" w:hAnsi="Arial" w:cs="Arial"/>
                <w:noProof/>
                <w:webHidden/>
                <w:color w:val="000000" w:themeColor="text1"/>
              </w:rPr>
              <w:fldChar w:fldCharType="end"/>
            </w:r>
          </w:hyperlink>
        </w:p>
        <w:p w14:paraId="2E4D4B62" w14:textId="35B3076B"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8" w:history="1">
            <w:r w:rsidRPr="00582E7F">
              <w:rPr>
                <w:rStyle w:val="Hyperlink"/>
                <w:rFonts w:ascii="Arial" w:hAnsi="Arial" w:cs="Arial"/>
                <w:noProof/>
                <w:color w:val="000000" w:themeColor="text1"/>
              </w:rPr>
              <w:t>Decision-Making Processes (AC1.4)</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_Toc184048308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5</w:t>
            </w:r>
            <w:r w:rsidRPr="00582E7F">
              <w:rPr>
                <w:rFonts w:ascii="Arial" w:hAnsi="Arial" w:cs="Arial"/>
                <w:noProof/>
                <w:webHidden/>
                <w:color w:val="000000" w:themeColor="text1"/>
              </w:rPr>
              <w:fldChar w:fldCharType="end"/>
            </w:r>
          </w:hyperlink>
        </w:p>
        <w:p w14:paraId="6651B4CF" w14:textId="423B0C0B"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9" w:history="1">
            <w:r w:rsidRPr="00582E7F">
              <w:rPr>
                <w:rStyle w:val="Hyperlink"/>
                <w:rFonts w:ascii="Arial" w:hAnsi="Arial" w:cs="Arial"/>
                <w:noProof/>
                <w:color w:val="000000" w:themeColor="text1"/>
              </w:rPr>
              <w:t>Ethics (AC1.5)</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_Toc184048309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7</w:t>
            </w:r>
            <w:r w:rsidRPr="00582E7F">
              <w:rPr>
                <w:rFonts w:ascii="Arial" w:hAnsi="Arial" w:cs="Arial"/>
                <w:noProof/>
                <w:webHidden/>
                <w:color w:val="000000" w:themeColor="text1"/>
              </w:rPr>
              <w:fldChar w:fldCharType="end"/>
            </w:r>
          </w:hyperlink>
        </w:p>
        <w:p w14:paraId="67924A9B" w14:textId="660A9DF7"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0" w:history="1">
            <w:r w:rsidRPr="00582E7F">
              <w:rPr>
                <w:rStyle w:val="Hyperlink"/>
                <w:rFonts w:ascii="Arial" w:hAnsi="Arial" w:cs="Arial"/>
                <w:noProof/>
                <w:color w:val="000000" w:themeColor="text1"/>
              </w:rPr>
              <w:t>Measuring Financial &amp; Non-Financial Performance (AC3.1)</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_Toc184048310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9</w:t>
            </w:r>
            <w:r w:rsidRPr="00582E7F">
              <w:rPr>
                <w:rFonts w:ascii="Arial" w:hAnsi="Arial" w:cs="Arial"/>
                <w:noProof/>
                <w:webHidden/>
                <w:color w:val="000000" w:themeColor="text1"/>
              </w:rPr>
              <w:fldChar w:fldCharType="end"/>
            </w:r>
          </w:hyperlink>
        </w:p>
        <w:p w14:paraId="7244FB3D" w14:textId="62473119"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1" w:history="1">
            <w:r w:rsidRPr="00582E7F">
              <w:rPr>
                <w:rStyle w:val="Hyperlink"/>
                <w:rFonts w:ascii="Arial" w:hAnsi="Arial" w:cs="Arial"/>
                <w:noProof/>
                <w:color w:val="000000" w:themeColor="text1"/>
              </w:rPr>
              <w:t>The Value of People Practice (AC3.2)</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_Toc184048311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11</w:t>
            </w:r>
            <w:r w:rsidRPr="00582E7F">
              <w:rPr>
                <w:rFonts w:ascii="Arial" w:hAnsi="Arial" w:cs="Arial"/>
                <w:noProof/>
                <w:webHidden/>
                <w:color w:val="000000" w:themeColor="text1"/>
              </w:rPr>
              <w:fldChar w:fldCharType="end"/>
            </w:r>
          </w:hyperlink>
        </w:p>
        <w:p w14:paraId="5B6758AE" w14:textId="0CFD030C"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2" w:history="1">
            <w:r w:rsidRPr="00582E7F">
              <w:rPr>
                <w:rStyle w:val="Hyperlink"/>
                <w:rFonts w:ascii="Arial" w:hAnsi="Arial" w:cs="Arial"/>
                <w:noProof/>
                <w:color w:val="000000" w:themeColor="text1"/>
              </w:rPr>
              <w:t>Performance Data</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_Toc184048312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13</w:t>
            </w:r>
            <w:r w:rsidRPr="00582E7F">
              <w:rPr>
                <w:rFonts w:ascii="Arial" w:hAnsi="Arial" w:cs="Arial"/>
                <w:noProof/>
                <w:webHidden/>
                <w:color w:val="000000" w:themeColor="text1"/>
              </w:rPr>
              <w:fldChar w:fldCharType="end"/>
            </w:r>
          </w:hyperlink>
        </w:p>
        <w:p w14:paraId="26C1FF47" w14:textId="7A5EBF08"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3" w:history="1">
            <w:r w:rsidRPr="00582E7F">
              <w:rPr>
                <w:rStyle w:val="Hyperlink"/>
                <w:rFonts w:ascii="Arial" w:hAnsi="Arial" w:cs="Arial"/>
                <w:noProof/>
                <w:color w:val="000000" w:themeColor="text1"/>
              </w:rPr>
              <w:t>Bonuses</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_Toc184048313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16</w:t>
            </w:r>
            <w:r w:rsidRPr="00582E7F">
              <w:rPr>
                <w:rFonts w:ascii="Arial" w:hAnsi="Arial" w:cs="Arial"/>
                <w:noProof/>
                <w:webHidden/>
                <w:color w:val="000000" w:themeColor="text1"/>
              </w:rPr>
              <w:fldChar w:fldCharType="end"/>
            </w:r>
          </w:hyperlink>
        </w:p>
        <w:p w14:paraId="7B6B0821" w14:textId="718BC83D"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4" w:history="1">
            <w:r w:rsidRPr="00582E7F">
              <w:rPr>
                <w:rStyle w:val="Hyperlink"/>
                <w:rFonts w:ascii="Arial" w:hAnsi="Arial" w:cs="Arial"/>
                <w:noProof/>
                <w:color w:val="000000" w:themeColor="text1"/>
              </w:rPr>
              <w:t>Bibliography</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_Toc184048314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971500">
              <w:rPr>
                <w:rFonts w:ascii="Arial" w:hAnsi="Arial" w:cs="Arial"/>
                <w:noProof/>
                <w:webHidden/>
                <w:color w:val="000000" w:themeColor="text1"/>
              </w:rPr>
              <w:t>21</w:t>
            </w:r>
            <w:r w:rsidRPr="00582E7F">
              <w:rPr>
                <w:rFonts w:ascii="Arial" w:hAnsi="Arial" w:cs="Arial"/>
                <w:noProof/>
                <w:webHidden/>
                <w:color w:val="000000" w:themeColor="text1"/>
              </w:rPr>
              <w:fldChar w:fldCharType="end"/>
            </w:r>
          </w:hyperlink>
        </w:p>
        <w:p w14:paraId="5BF1A2B8" w14:textId="5423C2D0" w:rsidR="00582E7F" w:rsidRPr="00582E7F" w:rsidRDefault="00582E7F">
          <w:pPr>
            <w:rPr>
              <w:rFonts w:cs="Arial"/>
              <w:color w:val="000000" w:themeColor="text1"/>
            </w:rPr>
          </w:pPr>
          <w:r w:rsidRPr="00582E7F">
            <w:rPr>
              <w:rFonts w:cs="Arial"/>
              <w:b/>
              <w:bCs/>
              <w:noProof/>
              <w:color w:val="000000" w:themeColor="text1"/>
            </w:rPr>
            <w:fldChar w:fldCharType="end"/>
          </w:r>
        </w:p>
      </w:sdtContent>
    </w:sdt>
    <w:p w14:paraId="6EE368E3" w14:textId="2B5A1A55" w:rsidR="00582E7F" w:rsidRPr="00582E7F" w:rsidRDefault="00DA0ABD">
      <w:pPr>
        <w:pStyle w:val="TableofFigures"/>
        <w:tabs>
          <w:tab w:val="right" w:leader="dot" w:pos="9010"/>
        </w:tabs>
        <w:rPr>
          <w:rFonts w:eastAsiaTheme="minorEastAsia" w:cs="Arial"/>
          <w:b w:val="0"/>
          <w:bCs w:val="0"/>
          <w:noProof/>
          <w:color w:val="000000" w:themeColor="text1"/>
          <w:sz w:val="24"/>
          <w:szCs w:val="24"/>
          <w:lang w:eastAsia="en-GB"/>
        </w:rPr>
      </w:pPr>
      <w:r w:rsidRPr="00582E7F">
        <w:rPr>
          <w:rFonts w:cs="Arial"/>
          <w:b w:val="0"/>
          <w:bCs w:val="0"/>
          <w:color w:val="000000" w:themeColor="text1"/>
          <w:u w:val="single"/>
        </w:rPr>
        <w:fldChar w:fldCharType="begin"/>
      </w:r>
      <w:r w:rsidRPr="00582E7F">
        <w:rPr>
          <w:rFonts w:cs="Arial"/>
          <w:color w:val="000000" w:themeColor="text1"/>
          <w:u w:val="single"/>
        </w:rPr>
        <w:instrText xml:space="preserve"> TOC \h \z \c "Figure" </w:instrText>
      </w:r>
      <w:r w:rsidRPr="00582E7F">
        <w:rPr>
          <w:rFonts w:cs="Arial"/>
          <w:b w:val="0"/>
          <w:bCs w:val="0"/>
          <w:color w:val="000000" w:themeColor="text1"/>
          <w:u w:val="single"/>
        </w:rPr>
        <w:fldChar w:fldCharType="separate"/>
      </w:r>
      <w:hyperlink w:anchor="_Toc184048350" w:history="1">
        <w:r w:rsidR="00582E7F" w:rsidRPr="00582E7F">
          <w:rPr>
            <w:rStyle w:val="Hyperlink"/>
            <w:rFonts w:cs="Arial"/>
            <w:noProof/>
            <w:color w:val="000000" w:themeColor="text1"/>
          </w:rPr>
          <w:t>Figure 1 - Average Performance per Department (Quarter 1)</w:t>
        </w:r>
        <w:r w:rsidR="00582E7F" w:rsidRPr="00582E7F">
          <w:rPr>
            <w:rFonts w:cs="Arial"/>
            <w:noProof/>
            <w:webHidden/>
            <w:color w:val="000000" w:themeColor="text1"/>
          </w:rPr>
          <w:tab/>
        </w:r>
        <w:r w:rsidR="00582E7F" w:rsidRPr="00582E7F">
          <w:rPr>
            <w:rFonts w:cs="Arial"/>
            <w:noProof/>
            <w:webHidden/>
            <w:color w:val="000000" w:themeColor="text1"/>
          </w:rPr>
          <w:fldChar w:fldCharType="begin"/>
        </w:r>
        <w:r w:rsidR="00582E7F" w:rsidRPr="00582E7F">
          <w:rPr>
            <w:rFonts w:cs="Arial"/>
            <w:noProof/>
            <w:webHidden/>
            <w:color w:val="000000" w:themeColor="text1"/>
          </w:rPr>
          <w:instrText xml:space="preserve"> PAGEREF _Toc184048350 \h </w:instrText>
        </w:r>
        <w:r w:rsidR="00582E7F" w:rsidRPr="00582E7F">
          <w:rPr>
            <w:rFonts w:cs="Arial"/>
            <w:noProof/>
            <w:webHidden/>
            <w:color w:val="000000" w:themeColor="text1"/>
          </w:rPr>
        </w:r>
        <w:r w:rsidR="00582E7F" w:rsidRPr="00582E7F">
          <w:rPr>
            <w:rFonts w:cs="Arial"/>
            <w:noProof/>
            <w:webHidden/>
            <w:color w:val="000000" w:themeColor="text1"/>
          </w:rPr>
          <w:fldChar w:fldCharType="separate"/>
        </w:r>
        <w:r w:rsidR="0070025E">
          <w:rPr>
            <w:rFonts w:cs="Arial"/>
            <w:noProof/>
            <w:webHidden/>
            <w:color w:val="000000" w:themeColor="text1"/>
          </w:rPr>
          <w:t>13</w:t>
        </w:r>
        <w:r w:rsidR="00582E7F" w:rsidRPr="00582E7F">
          <w:rPr>
            <w:rFonts w:cs="Arial"/>
            <w:noProof/>
            <w:webHidden/>
            <w:color w:val="000000" w:themeColor="text1"/>
          </w:rPr>
          <w:fldChar w:fldCharType="end"/>
        </w:r>
      </w:hyperlink>
    </w:p>
    <w:p w14:paraId="253BB391" w14:textId="2FF3E2B4"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1" w:history="1">
        <w:r w:rsidRPr="00582E7F">
          <w:rPr>
            <w:rStyle w:val="Hyperlink"/>
            <w:rFonts w:cs="Arial"/>
            <w:noProof/>
            <w:color w:val="000000" w:themeColor="text1"/>
          </w:rPr>
          <w:t>Figure 2 - Average Performance per Department (Quarter 2)</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_Toc184048351 \h </w:instrText>
        </w:r>
        <w:r w:rsidRPr="00582E7F">
          <w:rPr>
            <w:rFonts w:cs="Arial"/>
            <w:noProof/>
            <w:webHidden/>
            <w:color w:val="000000" w:themeColor="text1"/>
          </w:rPr>
        </w:r>
        <w:r w:rsidRPr="00582E7F">
          <w:rPr>
            <w:rFonts w:cs="Arial"/>
            <w:noProof/>
            <w:webHidden/>
            <w:color w:val="000000" w:themeColor="text1"/>
          </w:rPr>
          <w:fldChar w:fldCharType="separate"/>
        </w:r>
        <w:r w:rsidR="0070025E">
          <w:rPr>
            <w:rFonts w:cs="Arial"/>
            <w:noProof/>
            <w:webHidden/>
            <w:color w:val="000000" w:themeColor="text1"/>
          </w:rPr>
          <w:t>13</w:t>
        </w:r>
        <w:r w:rsidRPr="00582E7F">
          <w:rPr>
            <w:rFonts w:cs="Arial"/>
            <w:noProof/>
            <w:webHidden/>
            <w:color w:val="000000" w:themeColor="text1"/>
          </w:rPr>
          <w:fldChar w:fldCharType="end"/>
        </w:r>
      </w:hyperlink>
    </w:p>
    <w:p w14:paraId="7E64991D" w14:textId="3432E23C"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2" w:history="1">
        <w:r w:rsidRPr="00582E7F">
          <w:rPr>
            <w:rStyle w:val="Hyperlink"/>
            <w:rFonts w:cs="Arial"/>
            <w:noProof/>
            <w:color w:val="000000" w:themeColor="text1"/>
          </w:rPr>
          <w:t>Figure 3 - Average Company Performance over Two Quarters</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_Toc184048352 \h </w:instrText>
        </w:r>
        <w:r w:rsidRPr="00582E7F">
          <w:rPr>
            <w:rFonts w:cs="Arial"/>
            <w:noProof/>
            <w:webHidden/>
            <w:color w:val="000000" w:themeColor="text1"/>
          </w:rPr>
        </w:r>
        <w:r w:rsidRPr="00582E7F">
          <w:rPr>
            <w:rFonts w:cs="Arial"/>
            <w:noProof/>
            <w:webHidden/>
            <w:color w:val="000000" w:themeColor="text1"/>
          </w:rPr>
          <w:fldChar w:fldCharType="separate"/>
        </w:r>
        <w:r w:rsidR="0070025E">
          <w:rPr>
            <w:rFonts w:cs="Arial"/>
            <w:noProof/>
            <w:webHidden/>
            <w:color w:val="000000" w:themeColor="text1"/>
          </w:rPr>
          <w:t>15</w:t>
        </w:r>
        <w:r w:rsidRPr="00582E7F">
          <w:rPr>
            <w:rFonts w:cs="Arial"/>
            <w:noProof/>
            <w:webHidden/>
            <w:color w:val="000000" w:themeColor="text1"/>
          </w:rPr>
          <w:fldChar w:fldCharType="end"/>
        </w:r>
      </w:hyperlink>
    </w:p>
    <w:p w14:paraId="7452ECC3" w14:textId="5B58A58C"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3" w:history="1">
        <w:r w:rsidRPr="00582E7F">
          <w:rPr>
            <w:rStyle w:val="Hyperlink"/>
            <w:rFonts w:cs="Arial"/>
            <w:noProof/>
            <w:color w:val="000000" w:themeColor="text1"/>
          </w:rPr>
          <w:t>Figure 4 - Cost of Bonuses per Department, per Quarter</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_Toc184048353 \h </w:instrText>
        </w:r>
        <w:r w:rsidRPr="00582E7F">
          <w:rPr>
            <w:rFonts w:cs="Arial"/>
            <w:noProof/>
            <w:webHidden/>
            <w:color w:val="000000" w:themeColor="text1"/>
          </w:rPr>
        </w:r>
        <w:r w:rsidRPr="00582E7F">
          <w:rPr>
            <w:rFonts w:cs="Arial"/>
            <w:noProof/>
            <w:webHidden/>
            <w:color w:val="000000" w:themeColor="text1"/>
          </w:rPr>
          <w:fldChar w:fldCharType="separate"/>
        </w:r>
        <w:r w:rsidR="0070025E">
          <w:rPr>
            <w:rFonts w:cs="Arial"/>
            <w:noProof/>
            <w:webHidden/>
            <w:color w:val="000000" w:themeColor="text1"/>
          </w:rPr>
          <w:t>16</w:t>
        </w:r>
        <w:r w:rsidRPr="00582E7F">
          <w:rPr>
            <w:rFonts w:cs="Arial"/>
            <w:noProof/>
            <w:webHidden/>
            <w:color w:val="000000" w:themeColor="text1"/>
          </w:rPr>
          <w:fldChar w:fldCharType="end"/>
        </w:r>
      </w:hyperlink>
    </w:p>
    <w:p w14:paraId="2C51DF04" w14:textId="457EA5B8"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4" w:history="1">
        <w:r w:rsidRPr="00582E7F">
          <w:rPr>
            <w:rStyle w:val="Hyperlink"/>
            <w:rFonts w:cs="Arial"/>
            <w:noProof/>
            <w:color w:val="000000" w:themeColor="text1"/>
          </w:rPr>
          <w:t>Figure 5 - Total Cost of Bonuses</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_Toc184048354 \h </w:instrText>
        </w:r>
        <w:r w:rsidRPr="00582E7F">
          <w:rPr>
            <w:rFonts w:cs="Arial"/>
            <w:noProof/>
            <w:webHidden/>
            <w:color w:val="000000" w:themeColor="text1"/>
          </w:rPr>
        </w:r>
        <w:r w:rsidRPr="00582E7F">
          <w:rPr>
            <w:rFonts w:cs="Arial"/>
            <w:noProof/>
            <w:webHidden/>
            <w:color w:val="000000" w:themeColor="text1"/>
          </w:rPr>
          <w:fldChar w:fldCharType="separate"/>
        </w:r>
        <w:r w:rsidR="0070025E">
          <w:rPr>
            <w:rFonts w:cs="Arial"/>
            <w:noProof/>
            <w:webHidden/>
            <w:color w:val="000000" w:themeColor="text1"/>
          </w:rPr>
          <w:t>17</w:t>
        </w:r>
        <w:r w:rsidRPr="00582E7F">
          <w:rPr>
            <w:rFonts w:cs="Arial"/>
            <w:noProof/>
            <w:webHidden/>
            <w:color w:val="000000" w:themeColor="text1"/>
          </w:rPr>
          <w:fldChar w:fldCharType="end"/>
        </w:r>
      </w:hyperlink>
    </w:p>
    <w:p w14:paraId="6614F0E2" w14:textId="5BE55EC3" w:rsidR="00DA0ABD" w:rsidRPr="00582E7F" w:rsidRDefault="00DA0ABD">
      <w:pPr>
        <w:rPr>
          <w:rFonts w:cs="Arial"/>
          <w:b/>
          <w:bCs/>
          <w:color w:val="000000" w:themeColor="text1"/>
          <w:u w:val="single"/>
        </w:rPr>
      </w:pPr>
      <w:r w:rsidRPr="00582E7F">
        <w:rPr>
          <w:rFonts w:cs="Arial"/>
          <w:b/>
          <w:bCs/>
          <w:color w:val="000000" w:themeColor="text1"/>
          <w:u w:val="single"/>
        </w:rPr>
        <w:fldChar w:fldCharType="end"/>
      </w:r>
    </w:p>
    <w:p w14:paraId="1B016007" w14:textId="77777777" w:rsidR="00DA0ABD" w:rsidRPr="00582E7F" w:rsidRDefault="00DA0ABD">
      <w:pPr>
        <w:rPr>
          <w:rFonts w:cs="Arial"/>
          <w:b/>
          <w:bCs/>
          <w:color w:val="000000" w:themeColor="text1"/>
          <w:u w:val="single"/>
        </w:rPr>
      </w:pPr>
    </w:p>
    <w:p w14:paraId="3C4F4D96" w14:textId="24E80B32" w:rsidR="00582E7F" w:rsidRPr="00582E7F" w:rsidRDefault="00DA0ABD" w:rsidP="00582E7F">
      <w:pPr>
        <w:pStyle w:val="TableofFigures"/>
        <w:tabs>
          <w:tab w:val="right" w:leader="dot" w:pos="9010"/>
        </w:tabs>
        <w:ind w:left="0" w:firstLine="0"/>
        <w:rPr>
          <w:rFonts w:eastAsiaTheme="minorEastAsia" w:cs="Arial"/>
          <w:b w:val="0"/>
          <w:bCs w:val="0"/>
          <w:noProof/>
          <w:color w:val="000000" w:themeColor="text1"/>
          <w:sz w:val="24"/>
          <w:szCs w:val="24"/>
          <w:lang w:eastAsia="en-GB"/>
        </w:rPr>
      </w:pPr>
      <w:r w:rsidRPr="00582E7F">
        <w:rPr>
          <w:rFonts w:cs="Arial"/>
          <w:b w:val="0"/>
          <w:bCs w:val="0"/>
          <w:color w:val="000000" w:themeColor="text1"/>
          <w:u w:val="single"/>
        </w:rPr>
        <w:fldChar w:fldCharType="begin"/>
      </w:r>
      <w:r w:rsidRPr="00582E7F">
        <w:rPr>
          <w:rFonts w:cs="Arial"/>
          <w:color w:val="000000" w:themeColor="text1"/>
          <w:u w:val="single"/>
        </w:rPr>
        <w:instrText xml:space="preserve"> TOC \h \z \c "Table" </w:instrText>
      </w:r>
      <w:r w:rsidRPr="00582E7F">
        <w:rPr>
          <w:rFonts w:cs="Arial"/>
          <w:b w:val="0"/>
          <w:bCs w:val="0"/>
          <w:color w:val="000000" w:themeColor="text1"/>
          <w:u w:val="single"/>
        </w:rPr>
        <w:fldChar w:fldCharType="separate"/>
      </w:r>
      <w:hyperlink w:anchor="_Toc184048320" w:history="1">
        <w:r w:rsidR="00582E7F" w:rsidRPr="00582E7F">
          <w:rPr>
            <w:rStyle w:val="Hyperlink"/>
            <w:rFonts w:cs="Arial"/>
            <w:noProof/>
            <w:color w:val="000000" w:themeColor="text1"/>
          </w:rPr>
          <w:t>Table 1 - Bonuses per Employee</w:t>
        </w:r>
        <w:r w:rsidR="00582E7F" w:rsidRPr="00582E7F">
          <w:rPr>
            <w:rFonts w:cs="Arial"/>
            <w:noProof/>
            <w:webHidden/>
            <w:color w:val="000000" w:themeColor="text1"/>
          </w:rPr>
          <w:tab/>
        </w:r>
        <w:r w:rsidR="00582E7F" w:rsidRPr="00582E7F">
          <w:rPr>
            <w:rFonts w:cs="Arial"/>
            <w:noProof/>
            <w:webHidden/>
            <w:color w:val="000000" w:themeColor="text1"/>
          </w:rPr>
          <w:fldChar w:fldCharType="begin"/>
        </w:r>
        <w:r w:rsidR="00582E7F" w:rsidRPr="00582E7F">
          <w:rPr>
            <w:rFonts w:cs="Arial"/>
            <w:noProof/>
            <w:webHidden/>
            <w:color w:val="000000" w:themeColor="text1"/>
          </w:rPr>
          <w:instrText xml:space="preserve"> PAGEREF _Toc184048320 \h </w:instrText>
        </w:r>
        <w:r w:rsidR="00582E7F" w:rsidRPr="00582E7F">
          <w:rPr>
            <w:rFonts w:cs="Arial"/>
            <w:noProof/>
            <w:webHidden/>
            <w:color w:val="000000" w:themeColor="text1"/>
          </w:rPr>
        </w:r>
        <w:r w:rsidR="00582E7F" w:rsidRPr="00582E7F">
          <w:rPr>
            <w:rFonts w:cs="Arial"/>
            <w:noProof/>
            <w:webHidden/>
            <w:color w:val="000000" w:themeColor="text1"/>
          </w:rPr>
          <w:fldChar w:fldCharType="separate"/>
        </w:r>
        <w:r w:rsidR="0070025E">
          <w:rPr>
            <w:rFonts w:cs="Arial"/>
            <w:noProof/>
            <w:webHidden/>
            <w:color w:val="000000" w:themeColor="text1"/>
          </w:rPr>
          <w:t>16</w:t>
        </w:r>
        <w:r w:rsidR="00582E7F" w:rsidRPr="00582E7F">
          <w:rPr>
            <w:rFonts w:cs="Arial"/>
            <w:noProof/>
            <w:webHidden/>
            <w:color w:val="000000" w:themeColor="text1"/>
          </w:rPr>
          <w:fldChar w:fldCharType="end"/>
        </w:r>
      </w:hyperlink>
    </w:p>
    <w:p w14:paraId="31ED05D3" w14:textId="49603787" w:rsidR="00DA0ABD" w:rsidRDefault="00DA0ABD">
      <w:pPr>
        <w:rPr>
          <w:rFonts w:cs="Arial"/>
          <w:b/>
          <w:bCs/>
          <w:u w:val="single"/>
        </w:rPr>
      </w:pPr>
      <w:r w:rsidRPr="00582E7F">
        <w:rPr>
          <w:rFonts w:cs="Arial"/>
          <w:b/>
          <w:bCs/>
          <w:color w:val="000000" w:themeColor="text1"/>
          <w:u w:val="single"/>
        </w:rPr>
        <w:fldChar w:fldCharType="end"/>
      </w:r>
      <w:r>
        <w:rPr>
          <w:rFonts w:cs="Arial"/>
          <w:b/>
          <w:bCs/>
          <w:u w:val="single"/>
        </w:rPr>
        <w:br w:type="page"/>
      </w:r>
    </w:p>
    <w:p w14:paraId="21BE984E" w14:textId="170AB7DB" w:rsidR="00DA0ABD" w:rsidRPr="00DD69E8" w:rsidRDefault="00DD69E8" w:rsidP="00DD69E8">
      <w:pPr>
        <w:jc w:val="center"/>
        <w:rPr>
          <w:b/>
          <w:bCs/>
          <w:sz w:val="32"/>
          <w:szCs w:val="32"/>
          <w:u w:val="single"/>
        </w:rPr>
      </w:pPr>
      <w:r w:rsidRPr="00DD69E8">
        <w:rPr>
          <w:b/>
          <w:bCs/>
          <w:sz w:val="32"/>
          <w:szCs w:val="32"/>
          <w:u w:val="single"/>
        </w:rPr>
        <w:lastRenderedPageBreak/>
        <w:t>Briefing Paper</w:t>
      </w:r>
      <w:r>
        <w:rPr>
          <w:b/>
          <w:bCs/>
          <w:sz w:val="32"/>
          <w:szCs w:val="32"/>
          <w:u w:val="single"/>
        </w:rPr>
        <w:t xml:space="preserve"> – Evidence-Based Practice</w:t>
      </w:r>
    </w:p>
    <w:p w14:paraId="52AEEFA1" w14:textId="77777777" w:rsidR="00DD69E8" w:rsidRPr="00DD69E8" w:rsidRDefault="00DD69E8" w:rsidP="00DD69E8"/>
    <w:p w14:paraId="411977D6" w14:textId="1722FB3C" w:rsidR="00B11322" w:rsidRPr="00CB4E28" w:rsidRDefault="00CB4E28" w:rsidP="0039627B">
      <w:pPr>
        <w:pStyle w:val="AssignmentHeading1"/>
      </w:pPr>
      <w:bookmarkStart w:id="0" w:name="_Toc183358562"/>
      <w:bookmarkStart w:id="1" w:name="_Toc184048305"/>
      <w:r w:rsidRPr="00CB4E28">
        <w:t>Evidence-Based Practice (AC1.1)</w:t>
      </w:r>
      <w:bookmarkEnd w:id="0"/>
      <w:bookmarkEnd w:id="1"/>
    </w:p>
    <w:p w14:paraId="770FE039" w14:textId="77777777" w:rsidR="00CB4E28" w:rsidRDefault="00CB4E28" w:rsidP="00234A71">
      <w:pPr>
        <w:spacing w:line="360" w:lineRule="auto"/>
        <w:rPr>
          <w:rFonts w:cs="Arial"/>
          <w:b/>
          <w:bCs/>
          <w:u w:val="single"/>
        </w:rPr>
      </w:pPr>
    </w:p>
    <w:p w14:paraId="056F32AA" w14:textId="3E066454" w:rsidR="00402551" w:rsidRDefault="00582E7F" w:rsidP="00BE170B">
      <w:pPr>
        <w:spacing w:line="360" w:lineRule="auto"/>
        <w:rPr>
          <w:rFonts w:cs="Arial"/>
        </w:rPr>
      </w:pPr>
      <w:r>
        <w:rPr>
          <w:rFonts w:cs="Arial"/>
        </w:rPr>
        <w:t xml:space="preserve">Naturally, as humans we are prone to bias. Evidence-based practice is a systematic approach to </w:t>
      </w:r>
      <w:r w:rsidR="00402551">
        <w:rPr>
          <w:rFonts w:cs="Arial"/>
        </w:rPr>
        <w:t xml:space="preserve">making </w:t>
      </w:r>
      <w:r>
        <w:rPr>
          <w:rFonts w:cs="Arial"/>
        </w:rPr>
        <w:t>practical decisions</w:t>
      </w:r>
      <w:r w:rsidR="00402551">
        <w:rPr>
          <w:rFonts w:cs="Arial"/>
        </w:rPr>
        <w:t xml:space="preserve"> based on the best available evidence is fundamental for effective outcomes,</w:t>
      </w:r>
      <w:r>
        <w:rPr>
          <w:rFonts w:cs="Arial"/>
        </w:rPr>
        <w:t xml:space="preserve"> which helps to avoid such bias</w:t>
      </w:r>
      <w:r w:rsidR="00402551">
        <w:rPr>
          <w:rFonts w:cs="Arial"/>
        </w:rPr>
        <w:t xml:space="preserve"> (CIPD, 2024</w:t>
      </w:r>
      <w:r w:rsidR="003F531F">
        <w:rPr>
          <w:rFonts w:cs="Arial"/>
        </w:rPr>
        <w:t>a</w:t>
      </w:r>
      <w:r w:rsidR="00402551">
        <w:rPr>
          <w:rFonts w:cs="Arial"/>
        </w:rPr>
        <w:t>). Decision making can be uncomfortable, therefore approaching it methodically can help ease the personal</w:t>
      </w:r>
      <w:r w:rsidR="00BE170B">
        <w:rPr>
          <w:rFonts w:cs="Arial"/>
        </w:rPr>
        <w:t>, unconscious bias.</w:t>
      </w:r>
    </w:p>
    <w:p w14:paraId="2B2CF9E5" w14:textId="77777777" w:rsidR="00402551" w:rsidRDefault="00402551" w:rsidP="00BE170B">
      <w:pPr>
        <w:spacing w:line="360" w:lineRule="auto"/>
        <w:rPr>
          <w:rFonts w:cs="Arial"/>
        </w:rPr>
      </w:pPr>
    </w:p>
    <w:p w14:paraId="431D2CAB" w14:textId="5800CA03" w:rsidR="00BE170B" w:rsidRDefault="00402551" w:rsidP="00234A71">
      <w:pPr>
        <w:spacing w:line="360" w:lineRule="auto"/>
        <w:rPr>
          <w:rFonts w:cs="Arial"/>
        </w:rPr>
      </w:pPr>
      <w:r>
        <w:rPr>
          <w:rFonts w:cs="Arial"/>
        </w:rPr>
        <w:t>The term evidence-based practice often comes with a stigma of it being a complicated, longwinded, box ticking exercise, but if it’s practiced effectively, evidence-based practice will help generate an organisations’ desired outcomes. In fact,</w:t>
      </w:r>
      <w:r w:rsidR="00B11A69">
        <w:rPr>
          <w:rFonts w:cs="Arial"/>
        </w:rPr>
        <w:t xml:space="preserve"> Rob Briner </w:t>
      </w:r>
      <w:r w:rsidR="00DE33E2">
        <w:rPr>
          <w:rFonts w:cs="Arial"/>
        </w:rPr>
        <w:t>highlighted that after advising organisations or people professionals on evidence-based practice, they’re often surprised at how straightforward the process is</w:t>
      </w:r>
      <w:r w:rsidR="00B11A69">
        <w:rPr>
          <w:rFonts w:cs="Arial"/>
        </w:rPr>
        <w:t xml:space="preserve"> (Green, 2024)</w:t>
      </w:r>
      <w:r w:rsidR="00DE33E2">
        <w:rPr>
          <w:rFonts w:cs="Arial"/>
        </w:rPr>
        <w:t>.</w:t>
      </w:r>
    </w:p>
    <w:p w14:paraId="72C2B635" w14:textId="77777777" w:rsidR="0070025E" w:rsidRDefault="0070025E" w:rsidP="00234A71">
      <w:pPr>
        <w:spacing w:line="360" w:lineRule="auto"/>
        <w:rPr>
          <w:rFonts w:cs="Arial"/>
        </w:rPr>
      </w:pPr>
    </w:p>
    <w:p w14:paraId="33EF7F8B" w14:textId="418A41AF" w:rsidR="0070025E" w:rsidRDefault="0070025E" w:rsidP="00234A71">
      <w:pPr>
        <w:spacing w:line="360" w:lineRule="auto"/>
        <w:rPr>
          <w:rFonts w:cs="Arial"/>
        </w:rPr>
      </w:pPr>
      <w:r>
        <w:rPr>
          <w:rFonts w:cs="Arial"/>
        </w:rPr>
        <w:t>4 sources of information and the 6 A’s. Leading organisation with its data.</w:t>
      </w:r>
    </w:p>
    <w:p w14:paraId="162CBC1F" w14:textId="77777777" w:rsidR="0070025E" w:rsidRDefault="0070025E" w:rsidP="00234A71">
      <w:pPr>
        <w:spacing w:line="360" w:lineRule="auto"/>
        <w:rPr>
          <w:rFonts w:cs="Arial"/>
        </w:rPr>
      </w:pPr>
    </w:p>
    <w:p w14:paraId="3BB32751" w14:textId="4F035B34" w:rsidR="0070025E" w:rsidRDefault="0070025E" w:rsidP="00234A71">
      <w:pPr>
        <w:spacing w:line="360" w:lineRule="auto"/>
        <w:rPr>
          <w:rFonts w:cs="Arial"/>
        </w:rPr>
      </w:pPr>
      <w:r>
        <w:rPr>
          <w:rFonts w:cs="Arial"/>
        </w:rPr>
        <w:t>Use Gifford, Barends and Young (2023)</w:t>
      </w:r>
    </w:p>
    <w:p w14:paraId="60ADF558" w14:textId="7F6A5ECA" w:rsidR="00BE170B" w:rsidRDefault="00BE170B" w:rsidP="00234A71">
      <w:pPr>
        <w:spacing w:line="360" w:lineRule="auto"/>
        <w:rPr>
          <w:rFonts w:cs="Arial"/>
        </w:rPr>
      </w:pPr>
    </w:p>
    <w:p w14:paraId="18C139BA" w14:textId="79F91A71" w:rsidR="00BE170B" w:rsidRDefault="00BE170B" w:rsidP="00234A71">
      <w:pPr>
        <w:spacing w:line="360" w:lineRule="auto"/>
        <w:rPr>
          <w:rFonts w:cs="Arial"/>
        </w:rPr>
      </w:pPr>
      <w:r>
        <w:rPr>
          <w:rFonts w:cs="Arial"/>
        </w:rPr>
        <w:t xml:space="preserve">Ultimately, evidence-based practice shouldn’t be limited to a few individuals to focus </w:t>
      </w:r>
      <w:r w:rsidR="006C493C">
        <w:rPr>
          <w:rFonts w:cs="Arial"/>
        </w:rPr>
        <w:t>on but</w:t>
      </w:r>
      <w:r>
        <w:rPr>
          <w:rFonts w:cs="Arial"/>
        </w:rPr>
        <w:t xml:space="preserve"> should be embedded into all people-practice professionals as a way of thinking.</w:t>
      </w:r>
      <w:r w:rsidR="006C493C">
        <w:rPr>
          <w:rFonts w:cs="Arial"/>
        </w:rPr>
        <w:t xml:space="preserve"> Briner reiterates that the purpose of Human Resources in any organisation is to help the business achieve their desired outcomes, and evidently, the best approach is through evidence-based practice (Green, 2024).</w:t>
      </w:r>
    </w:p>
    <w:p w14:paraId="6C3A3E81" w14:textId="77777777" w:rsidR="006C493C" w:rsidRDefault="006C493C" w:rsidP="00234A71">
      <w:pPr>
        <w:spacing w:line="360" w:lineRule="auto"/>
        <w:rPr>
          <w:rFonts w:cs="Arial"/>
        </w:rPr>
      </w:pPr>
    </w:p>
    <w:p w14:paraId="6B53CDF3" w14:textId="77777777" w:rsidR="006C493C" w:rsidRDefault="006C493C" w:rsidP="00234A71">
      <w:pPr>
        <w:spacing w:line="360" w:lineRule="auto"/>
        <w:rPr>
          <w:rFonts w:cs="Arial"/>
        </w:rPr>
      </w:pPr>
    </w:p>
    <w:p w14:paraId="66670946" w14:textId="77777777" w:rsidR="006C493C" w:rsidRDefault="006C493C" w:rsidP="00234A71">
      <w:pPr>
        <w:spacing w:line="360" w:lineRule="auto"/>
        <w:rPr>
          <w:rFonts w:cs="Arial"/>
        </w:rPr>
      </w:pPr>
    </w:p>
    <w:p w14:paraId="696ADCEC" w14:textId="77777777" w:rsidR="006C493C" w:rsidRDefault="006C493C" w:rsidP="00234A71">
      <w:pPr>
        <w:spacing w:line="360" w:lineRule="auto"/>
        <w:rPr>
          <w:rFonts w:cs="Arial"/>
        </w:rPr>
      </w:pPr>
    </w:p>
    <w:p w14:paraId="07E43A28" w14:textId="77777777" w:rsidR="006C493C" w:rsidRDefault="006C493C" w:rsidP="00234A71">
      <w:pPr>
        <w:spacing w:line="360" w:lineRule="auto"/>
        <w:rPr>
          <w:rFonts w:cs="Arial"/>
        </w:rPr>
      </w:pPr>
    </w:p>
    <w:p w14:paraId="2D3B97BE" w14:textId="77777777" w:rsidR="006C493C" w:rsidRDefault="006C493C" w:rsidP="00234A71">
      <w:pPr>
        <w:spacing w:line="360" w:lineRule="auto"/>
        <w:rPr>
          <w:rFonts w:cs="Arial"/>
        </w:rPr>
      </w:pPr>
    </w:p>
    <w:p w14:paraId="077856E7" w14:textId="77777777" w:rsidR="002F4AA3" w:rsidRPr="00BE170B" w:rsidRDefault="002F4AA3" w:rsidP="00234A71">
      <w:pPr>
        <w:spacing w:line="360" w:lineRule="auto"/>
        <w:rPr>
          <w:rFonts w:cs="Arial"/>
        </w:rPr>
      </w:pPr>
    </w:p>
    <w:p w14:paraId="77084D64" w14:textId="2D17EF78" w:rsidR="00CB4E28" w:rsidRDefault="00CB4E28" w:rsidP="0039627B">
      <w:pPr>
        <w:pStyle w:val="AssignmentHeading1"/>
      </w:pPr>
      <w:bookmarkStart w:id="2" w:name="_Toc183358563"/>
      <w:bookmarkStart w:id="3" w:name="_Toc184048306"/>
      <w:r w:rsidRPr="00CB4E28">
        <w:lastRenderedPageBreak/>
        <w:t>Analysis Tools &amp; Methods (AC1.2)</w:t>
      </w:r>
      <w:bookmarkEnd w:id="2"/>
      <w:bookmarkEnd w:id="3"/>
    </w:p>
    <w:p w14:paraId="363D7019" w14:textId="77777777" w:rsidR="00234A71" w:rsidRDefault="00234A71" w:rsidP="00234A71">
      <w:pPr>
        <w:spacing w:line="360" w:lineRule="auto"/>
        <w:rPr>
          <w:rFonts w:cs="Arial"/>
          <w:b/>
          <w:bCs/>
          <w:u w:val="single"/>
        </w:rPr>
      </w:pPr>
    </w:p>
    <w:p w14:paraId="2A91EC7A" w14:textId="77777777" w:rsidR="006C493C" w:rsidRDefault="006C493C" w:rsidP="006C493C">
      <w:pPr>
        <w:spacing w:line="360" w:lineRule="auto"/>
        <w:rPr>
          <w:rFonts w:cs="Arial"/>
        </w:rPr>
      </w:pPr>
      <w:r>
        <w:rPr>
          <w:rFonts w:cs="Arial"/>
        </w:rPr>
        <w:t>Analysis within any organisation is a fundamental process for its successful operation. There are several analysis tools and methods that can be used to obtain accurate internal or external data, however it’s crucial for an organisation to recognise that not all tools will be the best fit for what’s needed.</w:t>
      </w:r>
    </w:p>
    <w:p w14:paraId="4F6AC602" w14:textId="77777777" w:rsidR="006C493C" w:rsidRDefault="006C493C" w:rsidP="006C493C">
      <w:pPr>
        <w:spacing w:line="360" w:lineRule="auto"/>
        <w:rPr>
          <w:rFonts w:cs="Arial"/>
        </w:rPr>
      </w:pPr>
    </w:p>
    <w:p w14:paraId="69C84AFD" w14:textId="3E0597F0" w:rsidR="00234A71" w:rsidRDefault="006C493C" w:rsidP="006C493C">
      <w:pPr>
        <w:spacing w:line="360" w:lineRule="auto"/>
        <w:rPr>
          <w:rFonts w:cs="Arial"/>
        </w:rPr>
      </w:pPr>
      <w:r>
        <w:rPr>
          <w:rFonts w:cs="Arial"/>
        </w:rPr>
        <w:t xml:space="preserve">One of the most popular analysis tools is SWOT (Strengths, Weaknesses, Opportunities and Threats) due to being straightforward, whilst not sacrificing on rich data. </w:t>
      </w:r>
      <w:r w:rsidR="001737E1">
        <w:rPr>
          <w:rFonts w:cs="Arial"/>
        </w:rPr>
        <w:t>SWOT analysis is a planning tool which helps understand key internal or external factors within an organisation (CIPD, 2024</w:t>
      </w:r>
      <w:r w:rsidR="003F531F">
        <w:rPr>
          <w:rFonts w:cs="Arial"/>
        </w:rPr>
        <w:t>b</w:t>
      </w:r>
      <w:r w:rsidR="001737E1">
        <w:rPr>
          <w:rFonts w:cs="Arial"/>
        </w:rPr>
        <w:t xml:space="preserve">). </w:t>
      </w:r>
      <w:r>
        <w:rPr>
          <w:rFonts w:cs="Arial"/>
        </w:rPr>
        <w:t>Whilst SWOT is often used as part of a strategic or planning process, SWOT can also prove useful to decision-making (CIPD, 2024</w:t>
      </w:r>
      <w:r w:rsidR="003F531F">
        <w:rPr>
          <w:rFonts w:cs="Arial"/>
        </w:rPr>
        <w:t>b</w:t>
      </w:r>
      <w:r>
        <w:rPr>
          <w:rFonts w:cs="Arial"/>
        </w:rPr>
        <w:t>).</w:t>
      </w:r>
    </w:p>
    <w:p w14:paraId="50276B48" w14:textId="77777777" w:rsidR="006C493C" w:rsidRDefault="006C493C" w:rsidP="006C493C">
      <w:pPr>
        <w:spacing w:line="360" w:lineRule="auto"/>
        <w:rPr>
          <w:rFonts w:cs="Arial"/>
        </w:rPr>
      </w:pPr>
    </w:p>
    <w:p w14:paraId="51CDD2CA" w14:textId="36CB18EC" w:rsidR="00472371" w:rsidRDefault="006C493C" w:rsidP="00234A71">
      <w:pPr>
        <w:spacing w:line="360" w:lineRule="auto"/>
        <w:rPr>
          <w:rFonts w:cs="Arial"/>
        </w:rPr>
      </w:pPr>
      <w:r>
        <w:rPr>
          <w:rFonts w:cs="Arial"/>
        </w:rPr>
        <w:t>Advantages – popular for a reason, i</w:t>
      </w:r>
      <w:r w:rsidR="00472371">
        <w:rPr>
          <w:rFonts w:cs="Arial"/>
        </w:rPr>
        <w:t xml:space="preserve">t can be used as a quick or comprehensive management tool </w:t>
      </w:r>
      <w:r w:rsidR="00472371" w:rsidRPr="00472371">
        <w:rPr>
          <w:rFonts w:cs="Arial"/>
        </w:rPr>
        <w:sym w:font="Wingdings" w:char="F0E0"/>
      </w:r>
      <w:r w:rsidR="00472371">
        <w:rPr>
          <w:rFonts w:cs="Arial"/>
        </w:rPr>
        <w:t xml:space="preserve"> Flexibility (CIPD, 2024</w:t>
      </w:r>
      <w:r w:rsidR="003F531F">
        <w:rPr>
          <w:rFonts w:cs="Arial"/>
        </w:rPr>
        <w:t>b</w:t>
      </w:r>
      <w:r w:rsidR="00472371">
        <w:rPr>
          <w:rFonts w:cs="Arial"/>
        </w:rPr>
        <w:t>).</w:t>
      </w:r>
    </w:p>
    <w:p w14:paraId="4FF3F49C" w14:textId="77777777" w:rsidR="00472371" w:rsidRDefault="00472371" w:rsidP="00234A71">
      <w:pPr>
        <w:spacing w:line="360" w:lineRule="auto"/>
        <w:rPr>
          <w:rFonts w:cs="Arial"/>
        </w:rPr>
      </w:pPr>
    </w:p>
    <w:p w14:paraId="43C82DF4" w14:textId="03F38717" w:rsidR="00472371" w:rsidRDefault="001737E1" w:rsidP="00234A71">
      <w:pPr>
        <w:spacing w:line="360" w:lineRule="auto"/>
        <w:rPr>
          <w:rFonts w:cs="Arial"/>
        </w:rPr>
      </w:pPr>
      <w:r>
        <w:rPr>
          <w:rFonts w:cs="Arial"/>
        </w:rPr>
        <w:t xml:space="preserve">It’s argued that SWOT is deceptive in </w:t>
      </w:r>
      <w:r w:rsidR="00D16C27">
        <w:rPr>
          <w:rFonts w:cs="Arial"/>
        </w:rPr>
        <w:t>its</w:t>
      </w:r>
      <w:r>
        <w:rPr>
          <w:rFonts w:cs="Arial"/>
        </w:rPr>
        <w:t xml:space="preserve"> simplicity (CIPD, 2024</w:t>
      </w:r>
      <w:r w:rsidR="003F531F">
        <w:rPr>
          <w:rFonts w:cs="Arial"/>
        </w:rPr>
        <w:t>b</w:t>
      </w:r>
      <w:r>
        <w:rPr>
          <w:rFonts w:cs="Arial"/>
        </w:rPr>
        <w:t xml:space="preserve">). To achieve a SWOT that proves beneficial and meaningful to the organisation, </w:t>
      </w:r>
      <w:r w:rsidR="00D16C27">
        <w:rPr>
          <w:rFonts w:cs="Arial"/>
        </w:rPr>
        <w:t>time and experience is required due to the possibility of deepened complexity. SWOT analysis can sometimes take an unexpected turn which</w:t>
      </w:r>
    </w:p>
    <w:p w14:paraId="3B916458" w14:textId="77777777" w:rsidR="001737E1" w:rsidRDefault="001737E1" w:rsidP="00234A71">
      <w:pPr>
        <w:spacing w:line="360" w:lineRule="auto"/>
        <w:rPr>
          <w:rFonts w:cs="Arial"/>
        </w:rPr>
      </w:pPr>
    </w:p>
    <w:p w14:paraId="07A52EE0" w14:textId="4E87790D" w:rsidR="001737E1" w:rsidRDefault="001737E1" w:rsidP="00234A71">
      <w:pPr>
        <w:spacing w:line="360" w:lineRule="auto"/>
        <w:rPr>
          <w:rFonts w:cs="Arial"/>
        </w:rPr>
      </w:pPr>
      <w:r>
        <w:rPr>
          <w:rFonts w:cs="Arial"/>
        </w:rPr>
        <w:t xml:space="preserve">Capturing SWOT is </w:t>
      </w:r>
      <w:r w:rsidR="00D16C27">
        <w:rPr>
          <w:rFonts w:cs="Arial"/>
        </w:rPr>
        <w:t>just</w:t>
      </w:r>
      <w:r>
        <w:rPr>
          <w:rFonts w:cs="Arial"/>
        </w:rPr>
        <w:t xml:space="preserve"> the beginning of the process, data capturing. Strengths &amp; weaknesses </w:t>
      </w:r>
      <w:r w:rsidR="00D16C27">
        <w:rPr>
          <w:rFonts w:cs="Arial"/>
        </w:rPr>
        <w:t>internal</w:t>
      </w:r>
      <w:r>
        <w:rPr>
          <w:rFonts w:cs="Arial"/>
        </w:rPr>
        <w:t xml:space="preserve">, opportunities and threats external. A collaborative approach to SWOT is recommended, as it can </w:t>
      </w:r>
      <w:r w:rsidR="00D93378">
        <w:rPr>
          <w:rFonts w:cs="Arial"/>
        </w:rPr>
        <w:t xml:space="preserve">easily escalate into something much larger. Designating specific areas/information to team members not only captures a more powerful approach but helps to reduce the risk of  an intricate, and possibly endless inquiry. </w:t>
      </w:r>
    </w:p>
    <w:p w14:paraId="1DE6EB42" w14:textId="77777777" w:rsidR="00472371" w:rsidRDefault="00472371" w:rsidP="00234A71">
      <w:pPr>
        <w:spacing w:line="360" w:lineRule="auto"/>
        <w:rPr>
          <w:rFonts w:cs="Arial"/>
        </w:rPr>
      </w:pPr>
    </w:p>
    <w:p w14:paraId="1AE32B47" w14:textId="73DE5ED1" w:rsidR="00472371" w:rsidRDefault="00472371" w:rsidP="00234A71">
      <w:pPr>
        <w:spacing w:line="360" w:lineRule="auto"/>
        <w:rPr>
          <w:rFonts w:cs="Arial"/>
        </w:rPr>
      </w:pPr>
      <w:r>
        <w:rPr>
          <w:rFonts w:cs="Arial"/>
        </w:rPr>
        <w:t xml:space="preserve">Nevertheless, all tools have their strengths and weaknesses, and it’s often recommended for </w:t>
      </w:r>
      <w:r w:rsidR="001737E1">
        <w:rPr>
          <w:rFonts w:cs="Arial"/>
        </w:rPr>
        <w:t xml:space="preserve">a </w:t>
      </w:r>
      <w:r>
        <w:rPr>
          <w:rFonts w:cs="Arial"/>
        </w:rPr>
        <w:t>more complex analysis</w:t>
      </w:r>
      <w:r w:rsidR="001737E1">
        <w:rPr>
          <w:rFonts w:cs="Arial"/>
        </w:rPr>
        <w:t>,</w:t>
      </w:r>
      <w:r>
        <w:rPr>
          <w:rFonts w:cs="Arial"/>
        </w:rPr>
        <w:t xml:space="preserve"> such as strategic planning</w:t>
      </w:r>
      <w:r w:rsidR="001737E1">
        <w:rPr>
          <w:rFonts w:cs="Arial"/>
        </w:rPr>
        <w:t>,</w:t>
      </w:r>
      <w:r>
        <w:rPr>
          <w:rFonts w:cs="Arial"/>
        </w:rPr>
        <w:t xml:space="preserve"> to use a combination of two tools, such as SWOT and PESTLE.</w:t>
      </w:r>
    </w:p>
    <w:p w14:paraId="73B244D5" w14:textId="77777777" w:rsidR="007A095E" w:rsidRDefault="007A095E" w:rsidP="00234A71">
      <w:pPr>
        <w:spacing w:line="360" w:lineRule="auto"/>
        <w:rPr>
          <w:rFonts w:cs="Arial"/>
        </w:rPr>
      </w:pPr>
    </w:p>
    <w:p w14:paraId="28FB8554" w14:textId="17019187" w:rsidR="00EE2A09" w:rsidRPr="00472371" w:rsidRDefault="007A095E" w:rsidP="00234A71">
      <w:pPr>
        <w:spacing w:line="360" w:lineRule="auto"/>
        <w:rPr>
          <w:rFonts w:cs="Arial"/>
        </w:rPr>
      </w:pPr>
      <w:r>
        <w:rPr>
          <w:rFonts w:cs="Arial"/>
        </w:rPr>
        <w:lastRenderedPageBreak/>
        <w:t xml:space="preserve">Talent management is integral to ensuring that the organisation can successfully acquire and retain essential talent and ensuring that these employees are engaged. </w:t>
      </w:r>
      <w:r w:rsidR="001737E1">
        <w:rPr>
          <w:rFonts w:cs="Arial"/>
        </w:rPr>
        <w:t>Ability</w:t>
      </w:r>
      <w:r>
        <w:rPr>
          <w:rFonts w:cs="Arial"/>
        </w:rPr>
        <w:t xml:space="preserve"> to effectively address </w:t>
      </w:r>
      <w:r w:rsidR="00D16C27">
        <w:rPr>
          <w:rFonts w:cs="Arial"/>
        </w:rPr>
        <w:t>both</w:t>
      </w:r>
      <w:r>
        <w:rPr>
          <w:rFonts w:cs="Arial"/>
        </w:rPr>
        <w:t xml:space="preserve"> issues is a fundamental determinant of organisational success (Christensen Hughes and Rog, 2008).</w:t>
      </w:r>
    </w:p>
    <w:p w14:paraId="4B1FEAA5" w14:textId="7ED47526" w:rsidR="00CB4E28" w:rsidRDefault="00CB4E28" w:rsidP="0039627B">
      <w:pPr>
        <w:pStyle w:val="AssignmentHeading1"/>
      </w:pPr>
      <w:bookmarkStart w:id="4" w:name="_Toc183358564"/>
      <w:bookmarkStart w:id="5" w:name="_Toc184048307"/>
      <w:r w:rsidRPr="00CB4E28">
        <w:t>C</w:t>
      </w:r>
      <w:r w:rsidR="001D4C13">
        <w:t>r</w:t>
      </w:r>
      <w:r w:rsidRPr="00CB4E28">
        <w:t>itical Thinking (AC1.3)</w:t>
      </w:r>
      <w:bookmarkEnd w:id="4"/>
      <w:bookmarkEnd w:id="5"/>
    </w:p>
    <w:p w14:paraId="2C531BAD" w14:textId="77777777" w:rsidR="00234A71" w:rsidRDefault="00234A71" w:rsidP="00234A71">
      <w:pPr>
        <w:spacing w:line="360" w:lineRule="auto"/>
        <w:rPr>
          <w:rFonts w:cs="Arial"/>
          <w:b/>
          <w:bCs/>
          <w:u w:val="single"/>
        </w:rPr>
      </w:pPr>
    </w:p>
    <w:p w14:paraId="6BC841DD" w14:textId="27B4BD2E" w:rsidR="003B1992" w:rsidRDefault="003B1992" w:rsidP="00234A71">
      <w:pPr>
        <w:spacing w:line="360" w:lineRule="auto"/>
        <w:rPr>
          <w:rFonts w:cs="Arial"/>
        </w:rPr>
      </w:pPr>
      <w:r>
        <w:rPr>
          <w:rFonts w:cs="Arial"/>
        </w:rPr>
        <w:t>Critical thinking is a cognitive process which involves analysing and evaluating information objectively, to form a well-reasoned judgement.</w:t>
      </w:r>
    </w:p>
    <w:p w14:paraId="7B5B8747" w14:textId="7B0A20A5" w:rsidR="003B1992" w:rsidRDefault="003B1992" w:rsidP="00234A71">
      <w:pPr>
        <w:spacing w:line="360" w:lineRule="auto"/>
        <w:rPr>
          <w:rFonts w:cs="Arial"/>
        </w:rPr>
      </w:pPr>
      <w:r>
        <w:rPr>
          <w:rFonts w:cs="Arial"/>
        </w:rPr>
        <w:t xml:space="preserve">Main </w:t>
      </w:r>
      <w:r w:rsidR="00974E55">
        <w:rPr>
          <w:rFonts w:cs="Arial"/>
        </w:rPr>
        <w:t>principals</w:t>
      </w:r>
      <w:r>
        <w:rPr>
          <w:rFonts w:cs="Arial"/>
        </w:rPr>
        <w:t xml:space="preserve"> are accuracy, relevance, depth, logic and fairness. These principals will help individuals develop a systematic approach to analysing information and making informed decisions.</w:t>
      </w:r>
    </w:p>
    <w:p w14:paraId="701E6471" w14:textId="78C9F572" w:rsidR="00741466" w:rsidRDefault="00741466" w:rsidP="00234A71">
      <w:pPr>
        <w:spacing w:line="360" w:lineRule="auto"/>
        <w:rPr>
          <w:rFonts w:cs="Arial"/>
        </w:rPr>
      </w:pPr>
      <w:r>
        <w:rPr>
          <w:rFonts w:cs="Arial"/>
        </w:rPr>
        <w:t>Triangulation is a method that can be used to help better understand or embed the principals of critical thinking. Triangulation is a method whereby one uses multiple sources or perspectives to evaluate and validate information and arguments, ensuring the conclusions are well founded.</w:t>
      </w:r>
    </w:p>
    <w:p w14:paraId="27F5D952" w14:textId="14BCFB83" w:rsidR="00741466" w:rsidRDefault="00741466" w:rsidP="00234A71">
      <w:pPr>
        <w:spacing w:line="360" w:lineRule="auto"/>
        <w:rPr>
          <w:rFonts w:cs="Arial"/>
        </w:rPr>
      </w:pPr>
      <w:r>
        <w:rPr>
          <w:rFonts w:cs="Arial"/>
        </w:rPr>
        <w:t>Within people-</w:t>
      </w:r>
      <w:r w:rsidR="00974E55">
        <w:rPr>
          <w:rFonts w:cs="Arial"/>
        </w:rPr>
        <w:t>practice</w:t>
      </w:r>
      <w:r>
        <w:rPr>
          <w:rFonts w:cs="Arial"/>
        </w:rPr>
        <w:t xml:space="preserve">, critical thinking is crucial to all employee relations. </w:t>
      </w:r>
    </w:p>
    <w:p w14:paraId="6FED4811" w14:textId="036C8B23" w:rsidR="00741466" w:rsidRDefault="00741466" w:rsidP="00234A71">
      <w:pPr>
        <w:spacing w:line="360" w:lineRule="auto"/>
        <w:rPr>
          <w:rFonts w:cs="Arial"/>
        </w:rPr>
      </w:pPr>
      <w:r>
        <w:rPr>
          <w:rFonts w:cs="Arial"/>
        </w:rPr>
        <w:t xml:space="preserve">For example, investigating a grievance or flexible working </w:t>
      </w:r>
      <w:r w:rsidR="00974E55">
        <w:rPr>
          <w:rFonts w:cs="Arial"/>
        </w:rPr>
        <w:t>request</w:t>
      </w:r>
      <w:r>
        <w:rPr>
          <w:rFonts w:cs="Arial"/>
        </w:rPr>
        <w:t>.</w:t>
      </w:r>
    </w:p>
    <w:p w14:paraId="77961396" w14:textId="6F9B6C63" w:rsidR="00741466" w:rsidRDefault="00741466" w:rsidP="00234A71">
      <w:pPr>
        <w:spacing w:line="360" w:lineRule="auto"/>
        <w:rPr>
          <w:rFonts w:cs="Arial"/>
        </w:rPr>
      </w:pPr>
      <w:r>
        <w:rPr>
          <w:rFonts w:cs="Arial"/>
        </w:rPr>
        <w:t xml:space="preserve">Recruitment </w:t>
      </w:r>
      <w:r w:rsidRPr="00741466">
        <w:rPr>
          <w:rFonts w:cs="Arial"/>
        </w:rPr>
        <w:sym w:font="Wingdings" w:char="F0E0"/>
      </w:r>
      <w:r>
        <w:rPr>
          <w:rFonts w:cs="Arial"/>
        </w:rPr>
        <w:t xml:space="preserve"> ensuring </w:t>
      </w:r>
      <w:r w:rsidR="00974E55">
        <w:rPr>
          <w:rFonts w:cs="Arial"/>
        </w:rPr>
        <w:t>decisions</w:t>
      </w:r>
      <w:r>
        <w:rPr>
          <w:rFonts w:cs="Arial"/>
        </w:rPr>
        <w:t xml:space="preserve"> are made based on </w:t>
      </w:r>
      <w:r w:rsidR="00974E55">
        <w:rPr>
          <w:rFonts w:cs="Arial"/>
        </w:rPr>
        <w:t>legitimate</w:t>
      </w:r>
      <w:r>
        <w:rPr>
          <w:rFonts w:cs="Arial"/>
        </w:rPr>
        <w:t xml:space="preserve"> metrics rather than </w:t>
      </w:r>
      <w:r w:rsidR="00974E55">
        <w:rPr>
          <w:rFonts w:cs="Arial"/>
        </w:rPr>
        <w:t>opinion</w:t>
      </w:r>
      <w:r>
        <w:rPr>
          <w:rFonts w:cs="Arial"/>
        </w:rPr>
        <w:t xml:space="preserve"> of the candidate.</w:t>
      </w:r>
    </w:p>
    <w:p w14:paraId="4C43A688" w14:textId="77777777" w:rsidR="00741466" w:rsidRDefault="00741466" w:rsidP="00234A71">
      <w:pPr>
        <w:spacing w:line="360" w:lineRule="auto"/>
        <w:rPr>
          <w:rFonts w:cs="Arial"/>
        </w:rPr>
      </w:pPr>
    </w:p>
    <w:p w14:paraId="0FAD5D8C" w14:textId="7E3D322B" w:rsidR="00741466" w:rsidRDefault="00741466" w:rsidP="00234A71">
      <w:pPr>
        <w:spacing w:line="360" w:lineRule="auto"/>
        <w:rPr>
          <w:rFonts w:cs="Arial"/>
        </w:rPr>
      </w:pPr>
      <w:r>
        <w:rPr>
          <w:rFonts w:cs="Arial"/>
        </w:rPr>
        <w:t>Critical thinking is constructive and not negative. Helps manage ambiguity</w:t>
      </w:r>
      <w:r w:rsidR="00E9539F">
        <w:rPr>
          <w:rFonts w:cs="Arial"/>
        </w:rPr>
        <w:t xml:space="preserve"> </w:t>
      </w:r>
      <w:r w:rsidR="00E9539F" w:rsidRPr="00E9539F">
        <w:rPr>
          <w:rFonts w:cs="Arial"/>
        </w:rPr>
        <w:sym w:font="Wingdings" w:char="F0E0"/>
      </w:r>
      <w:r w:rsidR="00E9539F">
        <w:rPr>
          <w:rFonts w:cs="Arial"/>
        </w:rPr>
        <w:t xml:space="preserve"> Facione (2011) critical thinking is being </w:t>
      </w:r>
      <w:r w:rsidR="00974E55">
        <w:rPr>
          <w:rFonts w:cs="Arial"/>
        </w:rPr>
        <w:t>sceptical</w:t>
      </w:r>
      <w:r w:rsidR="00E9539F">
        <w:rPr>
          <w:rFonts w:cs="Arial"/>
        </w:rPr>
        <w:t xml:space="preserve"> without being cynical. </w:t>
      </w:r>
      <w:r w:rsidR="00E9539F" w:rsidRPr="00E9539F">
        <w:rPr>
          <w:rFonts w:cs="Arial"/>
        </w:rPr>
        <w:sym w:font="Wingdings" w:char="F0E0"/>
      </w:r>
      <w:r w:rsidR="00E9539F">
        <w:rPr>
          <w:rFonts w:cs="Arial"/>
        </w:rPr>
        <w:t xml:space="preserve"> it’s ok to be cautious. VUCA World (volatile, uncertain, complex and ambiguous)</w:t>
      </w:r>
    </w:p>
    <w:p w14:paraId="3B321055" w14:textId="77777777" w:rsidR="006E65CD" w:rsidRDefault="006E65CD" w:rsidP="00234A71">
      <w:pPr>
        <w:spacing w:line="360" w:lineRule="auto"/>
        <w:rPr>
          <w:rFonts w:cs="Arial"/>
        </w:rPr>
      </w:pPr>
    </w:p>
    <w:p w14:paraId="381ED545" w14:textId="77777777" w:rsidR="00974E55" w:rsidRDefault="00974E55" w:rsidP="00234A71">
      <w:pPr>
        <w:spacing w:line="360" w:lineRule="auto"/>
        <w:rPr>
          <w:rFonts w:cs="Arial"/>
        </w:rPr>
      </w:pPr>
    </w:p>
    <w:p w14:paraId="233D96EE" w14:textId="77777777" w:rsidR="00974E55" w:rsidRDefault="00974E55" w:rsidP="00234A71">
      <w:pPr>
        <w:spacing w:line="360" w:lineRule="auto"/>
        <w:rPr>
          <w:rFonts w:cs="Arial"/>
        </w:rPr>
      </w:pPr>
    </w:p>
    <w:p w14:paraId="36A677FD" w14:textId="77777777" w:rsidR="00974E55" w:rsidRDefault="00974E55" w:rsidP="00234A71">
      <w:pPr>
        <w:spacing w:line="360" w:lineRule="auto"/>
        <w:rPr>
          <w:rFonts w:cs="Arial"/>
        </w:rPr>
      </w:pPr>
    </w:p>
    <w:p w14:paraId="1DA7B716" w14:textId="77777777" w:rsidR="00974E55" w:rsidRDefault="00974E55" w:rsidP="00234A71">
      <w:pPr>
        <w:spacing w:line="360" w:lineRule="auto"/>
        <w:rPr>
          <w:rFonts w:cs="Arial"/>
        </w:rPr>
      </w:pPr>
    </w:p>
    <w:p w14:paraId="77BC8F48" w14:textId="77777777" w:rsidR="00974E55" w:rsidRDefault="00974E55" w:rsidP="00234A71">
      <w:pPr>
        <w:spacing w:line="360" w:lineRule="auto"/>
        <w:rPr>
          <w:rFonts w:cs="Arial"/>
        </w:rPr>
      </w:pPr>
    </w:p>
    <w:p w14:paraId="65209B2B" w14:textId="77777777" w:rsidR="00974E55" w:rsidRDefault="00974E55" w:rsidP="00234A71">
      <w:pPr>
        <w:spacing w:line="360" w:lineRule="auto"/>
        <w:rPr>
          <w:rFonts w:cs="Arial"/>
        </w:rPr>
      </w:pPr>
    </w:p>
    <w:p w14:paraId="1FE1F200" w14:textId="77777777" w:rsidR="006E65CD" w:rsidRDefault="006E65CD" w:rsidP="00234A71">
      <w:pPr>
        <w:spacing w:line="360" w:lineRule="auto"/>
        <w:rPr>
          <w:rFonts w:cs="Arial"/>
        </w:rPr>
      </w:pPr>
    </w:p>
    <w:p w14:paraId="7C2A5255" w14:textId="77777777" w:rsidR="00974E55" w:rsidRDefault="00974E55" w:rsidP="00234A71">
      <w:pPr>
        <w:spacing w:line="360" w:lineRule="auto"/>
        <w:rPr>
          <w:rFonts w:cs="Arial"/>
        </w:rPr>
      </w:pPr>
    </w:p>
    <w:p w14:paraId="2E1F6F1B" w14:textId="77777777" w:rsidR="00974E55" w:rsidRPr="00EE2A09" w:rsidRDefault="00974E55" w:rsidP="00234A71">
      <w:pPr>
        <w:spacing w:line="360" w:lineRule="auto"/>
        <w:rPr>
          <w:rFonts w:cs="Arial"/>
        </w:rPr>
      </w:pPr>
    </w:p>
    <w:p w14:paraId="28EF9CC9" w14:textId="3A4F1138" w:rsidR="00CB4E28" w:rsidRDefault="00CB4E28" w:rsidP="0039627B">
      <w:pPr>
        <w:pStyle w:val="AssignmentHeading1"/>
      </w:pPr>
      <w:bookmarkStart w:id="6" w:name="_Toc183358565"/>
      <w:bookmarkStart w:id="7" w:name="_Toc184048308"/>
      <w:r w:rsidRPr="00CB4E28">
        <w:lastRenderedPageBreak/>
        <w:t>Decision-Making Processes (AC1.4)</w:t>
      </w:r>
      <w:bookmarkEnd w:id="6"/>
      <w:bookmarkEnd w:id="7"/>
    </w:p>
    <w:p w14:paraId="1218BDA1" w14:textId="77777777" w:rsidR="00234A71" w:rsidRDefault="00234A71" w:rsidP="00234A71">
      <w:pPr>
        <w:spacing w:line="360" w:lineRule="auto"/>
        <w:rPr>
          <w:rFonts w:cs="Arial"/>
          <w:b/>
          <w:bCs/>
          <w:u w:val="single"/>
        </w:rPr>
      </w:pPr>
    </w:p>
    <w:p w14:paraId="460ED5FE" w14:textId="23C2BC9C" w:rsidR="00912480" w:rsidRDefault="00653E85" w:rsidP="001509EC">
      <w:pPr>
        <w:spacing w:line="360" w:lineRule="auto"/>
        <w:rPr>
          <w:rFonts w:cs="Arial"/>
        </w:rPr>
      </w:pPr>
      <w:r>
        <w:rPr>
          <w:rFonts w:cs="Arial"/>
        </w:rPr>
        <w:t xml:space="preserve">Efficient </w:t>
      </w:r>
      <w:r w:rsidR="006E65CD">
        <w:rPr>
          <w:rFonts w:cs="Arial"/>
        </w:rPr>
        <w:t xml:space="preserve">decision-making is essential for achieving </w:t>
      </w:r>
      <w:r>
        <w:rPr>
          <w:rFonts w:cs="Arial"/>
        </w:rPr>
        <w:t>effective outcomes in both professional and personal contexts.</w:t>
      </w:r>
      <w:r w:rsidR="006E65CD">
        <w:rPr>
          <w:rFonts w:cs="Arial"/>
        </w:rPr>
        <w:t xml:space="preserve"> </w:t>
      </w:r>
      <w:r w:rsidR="00B440CE">
        <w:rPr>
          <w:rFonts w:cs="Arial"/>
        </w:rPr>
        <w:t>Decision-making is crucial within the context of people-practice</w:t>
      </w:r>
      <w:r w:rsidR="00912480">
        <w:rPr>
          <w:rFonts w:cs="Arial"/>
        </w:rPr>
        <w:t xml:space="preserve">, considering that people professionals are involved with major organisational decisions such as recruitment and terminating employment. Humans are inherently exposed to heuristics and cognitive biases, therefore being equipped with tools and methods to combat these initial ways of decision-making will help these values become embedded into the professional. </w:t>
      </w:r>
    </w:p>
    <w:p w14:paraId="6F056168" w14:textId="77777777" w:rsidR="00912480" w:rsidRDefault="00912480" w:rsidP="001509EC">
      <w:pPr>
        <w:spacing w:line="360" w:lineRule="auto"/>
        <w:rPr>
          <w:rFonts w:cs="Arial"/>
        </w:rPr>
      </w:pPr>
    </w:p>
    <w:p w14:paraId="05CBFB64" w14:textId="2789763A" w:rsidR="00653E85" w:rsidRDefault="00912480" w:rsidP="001509EC">
      <w:pPr>
        <w:spacing w:line="360" w:lineRule="auto"/>
        <w:rPr>
          <w:rFonts w:cs="Arial"/>
        </w:rPr>
      </w:pPr>
      <w:r>
        <w:rPr>
          <w:rFonts w:cs="Arial"/>
        </w:rPr>
        <w:t xml:space="preserve">Heuristics are mental shortcuts, which are acknowledged as common errors within the key elements of critical thinking. Thinking critically and effective, evidence-based decision-making </w:t>
      </w:r>
      <w:r w:rsidR="00E81332">
        <w:rPr>
          <w:rFonts w:cs="Arial"/>
        </w:rPr>
        <w:t>work in tandem to aid the best possible outcome. A common heuristic is the appeal to history,</w:t>
      </w:r>
      <w:r w:rsidR="00F64C48">
        <w:rPr>
          <w:rFonts w:cs="Arial"/>
        </w:rPr>
        <w:t xml:space="preserve"> explained by Tim Coburn, (Lamb, 2019),</w:t>
      </w:r>
      <w:r w:rsidR="00E81332">
        <w:rPr>
          <w:rFonts w:cs="Arial"/>
        </w:rPr>
        <w:t xml:space="preserve"> whereby an organisation has always done a process one way, therefore that is involuntarily the solution, without considering if it’s practical or effective for the organisation. Therefore, decision-making models help professionals shape outcomes that are ethical and free from bias. </w:t>
      </w:r>
      <w:r w:rsidR="00653E85">
        <w:rPr>
          <w:rFonts w:cs="Arial"/>
        </w:rPr>
        <w:t>Two widely recognised decision-making processes are the Six Thinking Hats model and the Kepner-Tregoe model.</w:t>
      </w:r>
    </w:p>
    <w:p w14:paraId="20F9BB36" w14:textId="77777777" w:rsidR="00653E85" w:rsidRDefault="00653E85" w:rsidP="001509EC">
      <w:pPr>
        <w:spacing w:line="360" w:lineRule="auto"/>
        <w:rPr>
          <w:rFonts w:cs="Arial"/>
        </w:rPr>
      </w:pPr>
    </w:p>
    <w:p w14:paraId="4FC63DAF" w14:textId="6286E8DE" w:rsidR="00653E85" w:rsidRDefault="00653E85" w:rsidP="001509EC">
      <w:pPr>
        <w:spacing w:line="360" w:lineRule="auto"/>
        <w:rPr>
          <w:rFonts w:cs="Arial"/>
        </w:rPr>
      </w:pPr>
      <w:r>
        <w:rPr>
          <w:rFonts w:cs="Arial"/>
        </w:rPr>
        <w:t xml:space="preserve">Edward de Bono’s Six Thinking Hats model encourages a multifaceted </w:t>
      </w:r>
      <w:r w:rsidR="001509EC">
        <w:rPr>
          <w:rFonts w:cs="Arial"/>
        </w:rPr>
        <w:t xml:space="preserve">thinking </w:t>
      </w:r>
      <w:r>
        <w:rPr>
          <w:rFonts w:cs="Arial"/>
        </w:rPr>
        <w:t>approach to decision-making. De Bono (2017) stresses that thinking is the “ultimate human resource”. Ironically, the mind and thinking can be our greatest and weakest asset. Especially within the context of people-practice, trying to think of too many factors at one time can often create a clouded judgement, usually resulting in an undesired outcome. De Bono’s model helps eliminate this by encouraging one to put on different ‘hats’, i.e. perspectives,</w:t>
      </w:r>
      <w:r w:rsidR="001509EC">
        <w:rPr>
          <w:rFonts w:cs="Arial"/>
        </w:rPr>
        <w:t xml:space="preserve"> which results in an all-encompassing understanding of the subject/focus point.</w:t>
      </w:r>
    </w:p>
    <w:p w14:paraId="26BF0C45" w14:textId="3437EA7C" w:rsidR="001509EC" w:rsidRDefault="001509EC" w:rsidP="001509EC">
      <w:pPr>
        <w:spacing w:line="360" w:lineRule="auto"/>
        <w:rPr>
          <w:rFonts w:cs="Arial"/>
        </w:rPr>
      </w:pPr>
    </w:p>
    <w:p w14:paraId="79637680" w14:textId="6CF10EBF" w:rsidR="001509EC" w:rsidRDefault="001509EC" w:rsidP="001509EC">
      <w:pPr>
        <w:spacing w:line="360" w:lineRule="auto"/>
        <w:rPr>
          <w:rFonts w:cs="Arial"/>
        </w:rPr>
      </w:pPr>
      <w:r>
        <w:rPr>
          <w:rFonts w:cs="Arial"/>
        </w:rPr>
        <w:t>The Six Thinking Hats are broken down as follows:</w:t>
      </w:r>
    </w:p>
    <w:p w14:paraId="185100CC" w14:textId="77777777" w:rsidR="001509EC" w:rsidRDefault="001509EC" w:rsidP="001509EC">
      <w:pPr>
        <w:spacing w:line="360" w:lineRule="auto"/>
        <w:rPr>
          <w:rFonts w:cs="Arial"/>
        </w:rPr>
      </w:pPr>
    </w:p>
    <w:p w14:paraId="4B7014A1" w14:textId="5ADDD6F5" w:rsidR="001509EC" w:rsidRDefault="001509EC" w:rsidP="001509EC">
      <w:pPr>
        <w:pStyle w:val="ListParagraph"/>
        <w:numPr>
          <w:ilvl w:val="0"/>
          <w:numId w:val="1"/>
        </w:numPr>
        <w:spacing w:line="360" w:lineRule="auto"/>
        <w:rPr>
          <w:rFonts w:cs="Arial"/>
        </w:rPr>
      </w:pPr>
      <w:r>
        <w:rPr>
          <w:rFonts w:cs="Arial"/>
        </w:rPr>
        <w:t xml:space="preserve">Blue Hat </w:t>
      </w:r>
      <w:r w:rsidRPr="001509EC">
        <w:rPr>
          <w:rFonts w:cs="Arial"/>
        </w:rPr>
        <w:sym w:font="Wingdings" w:char="F0E0"/>
      </w:r>
      <w:r>
        <w:rPr>
          <w:rFonts w:cs="Arial"/>
        </w:rPr>
        <w:t xml:space="preserve"> Organisation and Planning.</w:t>
      </w:r>
    </w:p>
    <w:p w14:paraId="25768F91" w14:textId="46774F6E" w:rsidR="001509EC" w:rsidRDefault="001509EC" w:rsidP="001509EC">
      <w:pPr>
        <w:pStyle w:val="ListParagraph"/>
        <w:numPr>
          <w:ilvl w:val="0"/>
          <w:numId w:val="1"/>
        </w:numPr>
        <w:spacing w:line="360" w:lineRule="auto"/>
        <w:rPr>
          <w:rFonts w:cs="Arial"/>
        </w:rPr>
      </w:pPr>
      <w:r>
        <w:rPr>
          <w:rFonts w:cs="Arial"/>
        </w:rPr>
        <w:t xml:space="preserve">Green Hat </w:t>
      </w:r>
      <w:r w:rsidRPr="001509EC">
        <w:rPr>
          <w:rFonts w:cs="Arial"/>
        </w:rPr>
        <w:sym w:font="Wingdings" w:char="F0E0"/>
      </w:r>
      <w:r>
        <w:rPr>
          <w:rFonts w:cs="Arial"/>
        </w:rPr>
        <w:t xml:space="preserve"> Creative Thinking.</w:t>
      </w:r>
    </w:p>
    <w:p w14:paraId="2A23AA21" w14:textId="147C387A" w:rsidR="001509EC" w:rsidRDefault="001509EC" w:rsidP="001509EC">
      <w:pPr>
        <w:pStyle w:val="ListParagraph"/>
        <w:numPr>
          <w:ilvl w:val="0"/>
          <w:numId w:val="1"/>
        </w:numPr>
        <w:spacing w:line="360" w:lineRule="auto"/>
        <w:rPr>
          <w:rFonts w:cs="Arial"/>
        </w:rPr>
      </w:pPr>
      <w:r>
        <w:rPr>
          <w:rFonts w:cs="Arial"/>
        </w:rPr>
        <w:t xml:space="preserve">Red Hat </w:t>
      </w:r>
      <w:r w:rsidRPr="001509EC">
        <w:rPr>
          <w:rFonts w:cs="Arial"/>
        </w:rPr>
        <w:sym w:font="Wingdings" w:char="F0E0"/>
      </w:r>
      <w:r>
        <w:rPr>
          <w:rFonts w:cs="Arial"/>
        </w:rPr>
        <w:t xml:space="preserve"> Feelings and Instincts.</w:t>
      </w:r>
    </w:p>
    <w:p w14:paraId="1747C11D" w14:textId="5F40D4D0" w:rsidR="001509EC" w:rsidRDefault="001509EC" w:rsidP="001509EC">
      <w:pPr>
        <w:pStyle w:val="ListParagraph"/>
        <w:numPr>
          <w:ilvl w:val="0"/>
          <w:numId w:val="1"/>
        </w:numPr>
        <w:spacing w:line="360" w:lineRule="auto"/>
        <w:rPr>
          <w:rFonts w:cs="Arial"/>
        </w:rPr>
      </w:pPr>
      <w:r>
        <w:rPr>
          <w:rFonts w:cs="Arial"/>
        </w:rPr>
        <w:lastRenderedPageBreak/>
        <w:t xml:space="preserve">Yellow Hat </w:t>
      </w:r>
      <w:r w:rsidRPr="001509EC">
        <w:rPr>
          <w:rFonts w:cs="Arial"/>
        </w:rPr>
        <w:sym w:font="Wingdings" w:char="F0E0"/>
      </w:r>
      <w:r>
        <w:rPr>
          <w:rFonts w:cs="Arial"/>
        </w:rPr>
        <w:t xml:space="preserve"> Benefits and Values.</w:t>
      </w:r>
    </w:p>
    <w:p w14:paraId="2D1F12A9" w14:textId="03F89260" w:rsidR="001509EC" w:rsidRDefault="001509EC" w:rsidP="001509EC">
      <w:pPr>
        <w:pStyle w:val="ListParagraph"/>
        <w:numPr>
          <w:ilvl w:val="0"/>
          <w:numId w:val="1"/>
        </w:numPr>
        <w:spacing w:line="360" w:lineRule="auto"/>
        <w:rPr>
          <w:rFonts w:cs="Arial"/>
        </w:rPr>
      </w:pPr>
      <w:r>
        <w:rPr>
          <w:rFonts w:cs="Arial"/>
        </w:rPr>
        <w:t xml:space="preserve">Black Hat </w:t>
      </w:r>
      <w:r w:rsidRPr="001509EC">
        <w:rPr>
          <w:rFonts w:cs="Arial"/>
        </w:rPr>
        <w:sym w:font="Wingdings" w:char="F0E0"/>
      </w:r>
      <w:r>
        <w:rPr>
          <w:rFonts w:cs="Arial"/>
        </w:rPr>
        <w:t xml:space="preserve"> Difficulties and Dangers.</w:t>
      </w:r>
    </w:p>
    <w:p w14:paraId="4CB9DE3B" w14:textId="5B67D299" w:rsidR="001509EC" w:rsidRDefault="001509EC" w:rsidP="00234A71">
      <w:pPr>
        <w:pStyle w:val="ListParagraph"/>
        <w:numPr>
          <w:ilvl w:val="0"/>
          <w:numId w:val="1"/>
        </w:numPr>
        <w:spacing w:line="360" w:lineRule="auto"/>
        <w:rPr>
          <w:rFonts w:cs="Arial"/>
        </w:rPr>
      </w:pPr>
      <w:r>
        <w:rPr>
          <w:rFonts w:cs="Arial"/>
        </w:rPr>
        <w:t xml:space="preserve">White Hat </w:t>
      </w:r>
      <w:r w:rsidRPr="001509EC">
        <w:rPr>
          <w:rFonts w:cs="Arial"/>
        </w:rPr>
        <w:sym w:font="Wingdings" w:char="F0E0"/>
      </w:r>
      <w:r>
        <w:rPr>
          <w:rFonts w:cs="Arial"/>
        </w:rPr>
        <w:t xml:space="preserve"> Information and Data.</w:t>
      </w:r>
    </w:p>
    <w:p w14:paraId="60CC5B8A" w14:textId="77777777" w:rsidR="001509EC" w:rsidRDefault="001509EC" w:rsidP="001509EC">
      <w:pPr>
        <w:spacing w:line="360" w:lineRule="auto"/>
        <w:rPr>
          <w:rFonts w:cs="Arial"/>
        </w:rPr>
      </w:pPr>
    </w:p>
    <w:p w14:paraId="48552C25" w14:textId="4E948865" w:rsidR="001509EC" w:rsidRDefault="001509EC" w:rsidP="001509EC">
      <w:pPr>
        <w:spacing w:line="360" w:lineRule="auto"/>
        <w:rPr>
          <w:rFonts w:cs="Arial"/>
        </w:rPr>
      </w:pPr>
      <w:r>
        <w:rPr>
          <w:rFonts w:cs="Arial"/>
        </w:rPr>
        <w:t>This model is desirable as it can be used individually or collaboratively whilst both yielding an effective outcome.</w:t>
      </w:r>
      <w:r w:rsidR="00B440CE">
        <w:rPr>
          <w:rFonts w:cs="Arial"/>
        </w:rPr>
        <w:t xml:space="preserve"> De Bono’s method </w:t>
      </w:r>
      <w:r w:rsidR="0036426C">
        <w:rPr>
          <w:rFonts w:cs="Arial"/>
        </w:rPr>
        <w:t>helps avoid conflict as every viewpoint and criticism are considered (Stoilkov, 2023). An example of applying this model in a HR context would be implementing a new policy. A new policy that’s applicable to everyone within the organisation needs to be meticulously planned out to ensure its sustainable, effective and aligned with the goals the implementation set to achieve.</w:t>
      </w:r>
    </w:p>
    <w:p w14:paraId="6ED1860A" w14:textId="77777777" w:rsidR="0036426C" w:rsidRDefault="0036426C" w:rsidP="001509EC">
      <w:pPr>
        <w:spacing w:line="360" w:lineRule="auto"/>
        <w:rPr>
          <w:rFonts w:cs="Arial"/>
        </w:rPr>
      </w:pPr>
    </w:p>
    <w:p w14:paraId="4378F3F4" w14:textId="39DDF133" w:rsidR="0036426C" w:rsidRDefault="0036426C" w:rsidP="001509EC">
      <w:pPr>
        <w:spacing w:line="360" w:lineRule="auto"/>
        <w:rPr>
          <w:rFonts w:cs="Arial"/>
        </w:rPr>
      </w:pPr>
      <w:r>
        <w:rPr>
          <w:rFonts w:cs="Arial"/>
        </w:rPr>
        <w:t xml:space="preserve">The Kepner-Tregoe model is another systematic decision-making methodology which is particularly useful in a situation where various </w:t>
      </w:r>
      <w:r w:rsidR="0053106D">
        <w:rPr>
          <w:rFonts w:cs="Arial"/>
        </w:rPr>
        <w:t>factors</w:t>
      </w:r>
      <w:r>
        <w:rPr>
          <w:rFonts w:cs="Arial"/>
        </w:rPr>
        <w:t xml:space="preserve"> need to be considered.</w:t>
      </w:r>
      <w:r w:rsidR="0053106D">
        <w:rPr>
          <w:rFonts w:cs="Arial"/>
        </w:rPr>
        <w:t xml:space="preserve"> Majority of organisations want to know how to be effective, and to be effective, organisations need to adopt thinking processes to avoid bias (Markopoulos et al., 2022). Often, different needs require different approaches to solve them effectively, therefore this model consists of a four stage, holistic process to help solve this:</w:t>
      </w:r>
    </w:p>
    <w:p w14:paraId="12118D9F" w14:textId="77777777" w:rsidR="0053106D" w:rsidRDefault="0053106D" w:rsidP="001509EC">
      <w:pPr>
        <w:spacing w:line="360" w:lineRule="auto"/>
        <w:rPr>
          <w:rFonts w:cs="Arial"/>
        </w:rPr>
      </w:pPr>
    </w:p>
    <w:p w14:paraId="3B897EFD" w14:textId="70BED80E" w:rsidR="0053106D" w:rsidRDefault="0053106D" w:rsidP="0053106D">
      <w:pPr>
        <w:pStyle w:val="ListParagraph"/>
        <w:numPr>
          <w:ilvl w:val="0"/>
          <w:numId w:val="2"/>
        </w:numPr>
        <w:spacing w:line="360" w:lineRule="auto"/>
        <w:rPr>
          <w:rFonts w:cs="Arial"/>
        </w:rPr>
      </w:pPr>
      <w:r>
        <w:rPr>
          <w:rFonts w:cs="Arial"/>
        </w:rPr>
        <w:t>Situation Appraisal.</w:t>
      </w:r>
    </w:p>
    <w:p w14:paraId="3C81E79B" w14:textId="2CE07F89" w:rsidR="0053106D" w:rsidRDefault="0053106D" w:rsidP="0053106D">
      <w:pPr>
        <w:pStyle w:val="ListParagraph"/>
        <w:numPr>
          <w:ilvl w:val="0"/>
          <w:numId w:val="2"/>
        </w:numPr>
        <w:spacing w:line="360" w:lineRule="auto"/>
        <w:rPr>
          <w:rFonts w:cs="Arial"/>
        </w:rPr>
      </w:pPr>
      <w:r>
        <w:rPr>
          <w:rFonts w:cs="Arial"/>
        </w:rPr>
        <w:t>Problem Analysis.</w:t>
      </w:r>
    </w:p>
    <w:p w14:paraId="3B56BF59" w14:textId="397026A7" w:rsidR="0053106D" w:rsidRDefault="0053106D" w:rsidP="0053106D">
      <w:pPr>
        <w:pStyle w:val="ListParagraph"/>
        <w:numPr>
          <w:ilvl w:val="0"/>
          <w:numId w:val="2"/>
        </w:numPr>
        <w:spacing w:line="360" w:lineRule="auto"/>
        <w:rPr>
          <w:rFonts w:cs="Arial"/>
        </w:rPr>
      </w:pPr>
      <w:r>
        <w:rPr>
          <w:rFonts w:cs="Arial"/>
        </w:rPr>
        <w:t>Decision Analysis.</w:t>
      </w:r>
    </w:p>
    <w:p w14:paraId="0E0964F4" w14:textId="2E1A3BB5" w:rsidR="0053106D" w:rsidRPr="0053106D" w:rsidRDefault="0053106D" w:rsidP="0053106D">
      <w:pPr>
        <w:pStyle w:val="ListParagraph"/>
        <w:numPr>
          <w:ilvl w:val="0"/>
          <w:numId w:val="2"/>
        </w:numPr>
        <w:spacing w:line="360" w:lineRule="auto"/>
        <w:rPr>
          <w:rFonts w:cs="Arial"/>
        </w:rPr>
      </w:pPr>
      <w:r>
        <w:rPr>
          <w:rFonts w:cs="Arial"/>
        </w:rPr>
        <w:t>Potential Problem Analysis.</w:t>
      </w:r>
    </w:p>
    <w:p w14:paraId="6D81BEE4" w14:textId="77777777" w:rsidR="0036426C" w:rsidRDefault="0036426C" w:rsidP="001509EC">
      <w:pPr>
        <w:spacing w:line="360" w:lineRule="auto"/>
        <w:rPr>
          <w:rFonts w:cs="Arial"/>
        </w:rPr>
      </w:pPr>
    </w:p>
    <w:p w14:paraId="26CBE52F" w14:textId="645EDB84" w:rsidR="00B207D7" w:rsidRDefault="00B207D7" w:rsidP="001509EC">
      <w:pPr>
        <w:spacing w:line="360" w:lineRule="auto"/>
        <w:rPr>
          <w:rFonts w:cs="Arial"/>
        </w:rPr>
      </w:pPr>
      <w:r>
        <w:rPr>
          <w:rFonts w:cs="Arial"/>
        </w:rPr>
        <w:t xml:space="preserve">Explain </w:t>
      </w:r>
      <w:r w:rsidRPr="00B207D7">
        <w:rPr>
          <w:rFonts w:cs="Arial"/>
        </w:rPr>
        <w:sym w:font="Wingdings" w:char="F0E0"/>
      </w:r>
      <w:r>
        <w:rPr>
          <w:rFonts w:cs="Arial"/>
        </w:rPr>
        <w:t xml:space="preserve"> context of a grievance.</w:t>
      </w:r>
    </w:p>
    <w:p w14:paraId="24CBFEFC" w14:textId="7E553777" w:rsidR="00BC3D2F" w:rsidRDefault="00BC3D2F" w:rsidP="001509EC">
      <w:pPr>
        <w:spacing w:line="360" w:lineRule="auto"/>
        <w:rPr>
          <w:rFonts w:cs="Arial"/>
        </w:rPr>
      </w:pPr>
    </w:p>
    <w:p w14:paraId="2A38DDAE" w14:textId="5D06A1DA" w:rsidR="00BC3D2F" w:rsidRDefault="00BC3D2F" w:rsidP="001509EC">
      <w:pPr>
        <w:spacing w:line="360" w:lineRule="auto"/>
        <w:rPr>
          <w:rFonts w:cs="Arial"/>
        </w:rPr>
      </w:pPr>
      <w:r>
        <w:rPr>
          <w:rFonts w:cs="Arial"/>
        </w:rPr>
        <w:t>Asking the right questions in the correct order stimulates the collection of information which is needed to understand the problem and subsequently find a solution (Markopoulos et al., 2022)</w:t>
      </w:r>
    </w:p>
    <w:p w14:paraId="3E300644" w14:textId="77777777" w:rsidR="00B207D7" w:rsidRDefault="00B207D7" w:rsidP="001509EC">
      <w:pPr>
        <w:spacing w:line="360" w:lineRule="auto"/>
        <w:rPr>
          <w:rFonts w:cs="Arial"/>
        </w:rPr>
      </w:pPr>
    </w:p>
    <w:p w14:paraId="7F808B0D" w14:textId="77241469" w:rsidR="0036426C" w:rsidRDefault="0036426C" w:rsidP="001509EC">
      <w:pPr>
        <w:spacing w:line="360" w:lineRule="auto"/>
        <w:rPr>
          <w:rFonts w:cs="Arial"/>
        </w:rPr>
      </w:pPr>
      <w:r>
        <w:rPr>
          <w:rFonts w:cs="Arial"/>
        </w:rPr>
        <w:t xml:space="preserve">The efficacy of Kepner-Tregoe can be dependent on employee engagement and trust, therefore in some circumstances it may not be the best approach </w:t>
      </w:r>
      <w:r w:rsidR="0053106D">
        <w:rPr>
          <w:rFonts w:cs="Arial"/>
        </w:rPr>
        <w:t>as the outcome could be inaccurate (Markopoulos et al., 2022).</w:t>
      </w:r>
    </w:p>
    <w:p w14:paraId="0914B64D" w14:textId="77777777" w:rsidR="00B440CE" w:rsidRDefault="00B440CE" w:rsidP="001509EC">
      <w:pPr>
        <w:spacing w:line="360" w:lineRule="auto"/>
        <w:rPr>
          <w:rFonts w:cs="Arial"/>
        </w:rPr>
      </w:pPr>
    </w:p>
    <w:p w14:paraId="5F2E918B" w14:textId="796AC9EF" w:rsidR="00B440CE" w:rsidRDefault="00F64C48" w:rsidP="001509EC">
      <w:pPr>
        <w:spacing w:line="360" w:lineRule="auto"/>
        <w:rPr>
          <w:rFonts w:cs="Arial"/>
        </w:rPr>
      </w:pPr>
      <w:r>
        <w:rPr>
          <w:rFonts w:cs="Arial"/>
        </w:rPr>
        <w:lastRenderedPageBreak/>
        <w:t xml:space="preserve">Decision-making models such as Edward de Bono’s Six Thinking Hats and Kepner-Tregoe help improve critical, unbiased decision-making from people professionals, ultimately increasing their validity within an organisation. </w:t>
      </w:r>
      <w:r w:rsidR="0036426C">
        <w:rPr>
          <w:rFonts w:cs="Arial"/>
        </w:rPr>
        <w:t>Ensuring</w:t>
      </w:r>
      <w:r>
        <w:rPr>
          <w:rFonts w:cs="Arial"/>
        </w:rPr>
        <w:t xml:space="preserve"> that people professionals are equipped with these tools, </w:t>
      </w:r>
      <w:r w:rsidR="00CB2F04">
        <w:rPr>
          <w:rFonts w:cs="Arial"/>
        </w:rPr>
        <w:t>helps promote self-sufficiency and professional development in stakeholders, particularly within a HR context</w:t>
      </w:r>
      <w:r w:rsidR="0036426C">
        <w:rPr>
          <w:rFonts w:cs="Arial"/>
        </w:rPr>
        <w:t xml:space="preserve"> (Stoilkov, 2023)</w:t>
      </w:r>
      <w:r w:rsidR="00CB2F04">
        <w:rPr>
          <w:rFonts w:cs="Arial"/>
        </w:rPr>
        <w:t>.</w:t>
      </w:r>
    </w:p>
    <w:p w14:paraId="6A52E3C1" w14:textId="500E1A93" w:rsidR="00CB4E28" w:rsidRDefault="00CB4E28" w:rsidP="0039627B">
      <w:pPr>
        <w:pStyle w:val="AssignmentHeading1"/>
      </w:pPr>
      <w:bookmarkStart w:id="8" w:name="_Toc183358566"/>
      <w:bookmarkStart w:id="9" w:name="_Toc184048309"/>
      <w:r w:rsidRPr="00CB4E28">
        <w:t>Ethics (AC1.5)</w:t>
      </w:r>
      <w:bookmarkEnd w:id="8"/>
      <w:bookmarkEnd w:id="9"/>
    </w:p>
    <w:p w14:paraId="6FF0473E" w14:textId="77777777" w:rsidR="00234A71" w:rsidRDefault="00234A71" w:rsidP="00234A71">
      <w:pPr>
        <w:spacing w:line="360" w:lineRule="auto"/>
        <w:rPr>
          <w:rFonts w:cs="Arial"/>
          <w:b/>
          <w:bCs/>
          <w:u w:val="single"/>
        </w:rPr>
      </w:pPr>
    </w:p>
    <w:p w14:paraId="3B886B1B" w14:textId="6D5187A2" w:rsidR="005E3B5E" w:rsidRDefault="005E3B5E" w:rsidP="00234A71">
      <w:pPr>
        <w:spacing w:line="360" w:lineRule="auto"/>
        <w:rPr>
          <w:rFonts w:cs="Arial"/>
        </w:rPr>
      </w:pPr>
      <w:r>
        <w:rPr>
          <w:rFonts w:cs="Arial"/>
        </w:rPr>
        <w:t>Ethica</w:t>
      </w:r>
      <w:r w:rsidR="002F4AA3">
        <w:rPr>
          <w:rFonts w:cs="Arial"/>
        </w:rPr>
        <w:t xml:space="preserve">l practice within organisations is crucial, not only from a moral viewpoint but also, it’s what the emerging workforce desire. Minahan (2021) found that 86% of employees want to work within a diverse team and work for an organisation that prioritises outcomes over output. Ethics within </w:t>
      </w:r>
      <w:r w:rsidR="003F531F">
        <w:rPr>
          <w:rFonts w:cs="Arial"/>
        </w:rPr>
        <w:t>people practice</w:t>
      </w:r>
      <w:r w:rsidR="002F4AA3">
        <w:rPr>
          <w:rFonts w:cs="Arial"/>
        </w:rPr>
        <w:t xml:space="preserve"> include safeguarding the wellbeing of employees and ensuring that </w:t>
      </w:r>
      <w:r w:rsidR="003F531F">
        <w:rPr>
          <w:rFonts w:cs="Arial"/>
        </w:rPr>
        <w:t>values such as transparency, accountability and equity are implemented in all areas of the organisation, especially within processes such as recruitment, performance management and employee relations (CIPD, 2024c).</w:t>
      </w:r>
    </w:p>
    <w:p w14:paraId="2AF83D6A" w14:textId="77777777" w:rsidR="001323A8" w:rsidRDefault="001323A8" w:rsidP="00234A71">
      <w:pPr>
        <w:spacing w:line="360" w:lineRule="auto"/>
        <w:rPr>
          <w:rFonts w:cs="Arial"/>
        </w:rPr>
      </w:pPr>
    </w:p>
    <w:p w14:paraId="3A49FCB3" w14:textId="28C1758E" w:rsidR="001323A8" w:rsidRDefault="001323A8" w:rsidP="00234A71">
      <w:pPr>
        <w:spacing w:line="360" w:lineRule="auto"/>
        <w:rPr>
          <w:rFonts w:cs="Arial"/>
        </w:rPr>
      </w:pPr>
      <w:r>
        <w:rPr>
          <w:rFonts w:cs="Arial"/>
        </w:rPr>
        <w:t>The CIPD have distinguished Eight Ethical Lenses (2015) to help aid people professionals to assess and navigate ethical dilemmas. Whilst these lenses aren’t created to represent a ‘right’ or ‘wrong’</w:t>
      </w:r>
      <w:r w:rsidR="00DD6FF8">
        <w:rPr>
          <w:rFonts w:cs="Arial"/>
        </w:rPr>
        <w:t>, they are imperative to understand to ensure that when needed, a decision can be made ethically and sensitively (CIPD, 2015).</w:t>
      </w:r>
    </w:p>
    <w:p w14:paraId="3D2B1CED" w14:textId="77777777" w:rsidR="005E3B5E" w:rsidRDefault="005E3B5E" w:rsidP="00234A71">
      <w:pPr>
        <w:spacing w:line="360" w:lineRule="auto"/>
        <w:rPr>
          <w:rFonts w:cs="Arial"/>
        </w:rPr>
      </w:pPr>
    </w:p>
    <w:p w14:paraId="701886CB" w14:textId="77777777" w:rsidR="00F60F37" w:rsidRDefault="005E3B5E" w:rsidP="00234A71">
      <w:pPr>
        <w:spacing w:line="360" w:lineRule="auto"/>
        <w:rPr>
          <w:rFonts w:cs="Arial"/>
        </w:rPr>
      </w:pPr>
      <w:r>
        <w:rPr>
          <w:rFonts w:cs="Arial"/>
        </w:rPr>
        <w:t>Different ethical perspectives provide clear frameworks for evaluating and guiding moral decision-making, which dictates how individuals and organisations act in specific scenarios.</w:t>
      </w:r>
      <w:r w:rsidR="00493964">
        <w:rPr>
          <w:rFonts w:cs="Arial"/>
        </w:rPr>
        <w:t xml:space="preserve"> Adopting an ethical ideology is a conscious process, however it can sometimes develop overtime subconsciously. Although, most organisations wouldn’t explicitly adopt </w:t>
      </w:r>
      <w:r w:rsidR="002F4AA3">
        <w:rPr>
          <w:rFonts w:cs="Arial"/>
        </w:rPr>
        <w:t>one ideology and rather make decisions based on situational factors.</w:t>
      </w:r>
      <w:r w:rsidR="001323A8">
        <w:rPr>
          <w:rFonts w:cs="Arial"/>
        </w:rPr>
        <w:t xml:space="preserve"> </w:t>
      </w:r>
      <w:r w:rsidR="00CA6117">
        <w:rPr>
          <w:rFonts w:cs="Arial"/>
        </w:rPr>
        <w:t xml:space="preserve">Two largely recognised ethical perspectives are Deontology and Utilitarianism. </w:t>
      </w:r>
    </w:p>
    <w:p w14:paraId="01BB0B77" w14:textId="77777777" w:rsidR="00F60F37" w:rsidRDefault="00F60F37" w:rsidP="00234A71">
      <w:pPr>
        <w:spacing w:line="360" w:lineRule="auto"/>
        <w:rPr>
          <w:rFonts w:cs="Arial"/>
        </w:rPr>
      </w:pPr>
    </w:p>
    <w:p w14:paraId="595F8118" w14:textId="57C63BE5" w:rsidR="001323A8" w:rsidRDefault="00CA6117" w:rsidP="00234A71">
      <w:pPr>
        <w:spacing w:line="360" w:lineRule="auto"/>
        <w:rPr>
          <w:rFonts w:cs="Arial"/>
        </w:rPr>
      </w:pPr>
      <w:r>
        <w:rPr>
          <w:rFonts w:cs="Arial"/>
        </w:rPr>
        <w:t>Within Deontology, the ‘right’ supersedes the ‘good’, as there is an emphasis on adhering to moral principles</w:t>
      </w:r>
      <w:r w:rsidR="00F60F37">
        <w:rPr>
          <w:rFonts w:cs="Arial"/>
        </w:rPr>
        <w:t xml:space="preserve"> regardless of the consequences</w:t>
      </w:r>
      <w:r>
        <w:rPr>
          <w:rFonts w:cs="Arial"/>
        </w:rPr>
        <w:t xml:space="preserve"> (Alexander and Moore, 2020).</w:t>
      </w:r>
      <w:r w:rsidR="00F60F37">
        <w:rPr>
          <w:rFonts w:cs="Arial"/>
        </w:rPr>
        <w:t xml:space="preserve"> However, Utilitarianism is a consequentialist theory, focusing on the consequences of actions, prioritising a decision that will maximise the overall </w:t>
      </w:r>
      <w:r w:rsidR="00F60F37">
        <w:rPr>
          <w:rFonts w:cs="Arial"/>
        </w:rPr>
        <w:lastRenderedPageBreak/>
        <w:t>happiness or wellbeing of those involved. This indicates that the morally ‘right’ choices are the ones that increase the ‘good’ (Alexander and Moore, 2020). Superficially, both ideologies sound extremist, but applying them in context helps one understand how common they are.</w:t>
      </w:r>
      <w:r w:rsidR="004029C3">
        <w:rPr>
          <w:rFonts w:cs="Arial"/>
        </w:rPr>
        <w:t xml:space="preserve"> </w:t>
      </w:r>
    </w:p>
    <w:p w14:paraId="454A30A1" w14:textId="77777777" w:rsidR="004029C3" w:rsidRDefault="004029C3" w:rsidP="00234A71">
      <w:pPr>
        <w:spacing w:line="360" w:lineRule="auto"/>
        <w:rPr>
          <w:rFonts w:cs="Arial"/>
        </w:rPr>
      </w:pPr>
    </w:p>
    <w:p w14:paraId="7198E715" w14:textId="6DD72B47" w:rsidR="004029C3" w:rsidRDefault="00A7517C" w:rsidP="00234A71">
      <w:pPr>
        <w:spacing w:line="360" w:lineRule="auto"/>
        <w:rPr>
          <w:rFonts w:cs="Arial"/>
        </w:rPr>
      </w:pPr>
      <w:r>
        <w:rPr>
          <w:rFonts w:cs="Arial"/>
        </w:rPr>
        <w:t xml:space="preserve">For example, if an organisation was needing to make savings, a Utilitarian approach may consider redundancies as the first and best option. Despite unsettling some people, a small </w:t>
      </w:r>
      <w:r w:rsidR="00B2384A">
        <w:rPr>
          <w:rFonts w:cs="Arial"/>
        </w:rPr>
        <w:t>number</w:t>
      </w:r>
      <w:r>
        <w:rPr>
          <w:rFonts w:cs="Arial"/>
        </w:rPr>
        <w:t xml:space="preserve"> of redundancies would mean the organisation could potentially survive, achieving the greatest good for the largest number of people. In contract, a Deontological approach would focus on individual rights rather than consider the organisation as a </w:t>
      </w:r>
      <w:r w:rsidR="00B2384A">
        <w:rPr>
          <w:rFonts w:cs="Arial"/>
        </w:rPr>
        <w:t>whole and</w:t>
      </w:r>
      <w:r>
        <w:rPr>
          <w:rFonts w:cs="Arial"/>
        </w:rPr>
        <w:t xml:space="preserve"> ensure that </w:t>
      </w:r>
      <w:r w:rsidR="00B2384A">
        <w:rPr>
          <w:rFonts w:cs="Arial"/>
        </w:rPr>
        <w:t>everyone</w:t>
      </w:r>
      <w:r w:rsidR="00053EF7">
        <w:rPr>
          <w:rFonts w:cs="Arial"/>
        </w:rPr>
        <w:t xml:space="preserve"> was treated with humility and given clear, transparent communication. Within Deontology, philosopher Kant advises that one should never treat people “merely as means”, therefore employees should not be treated as a means to the organisations economic benefit (Kranak, 2019).</w:t>
      </w:r>
    </w:p>
    <w:p w14:paraId="552626D2" w14:textId="77777777" w:rsidR="00F60F37" w:rsidRDefault="00F60F37" w:rsidP="00234A71">
      <w:pPr>
        <w:spacing w:line="360" w:lineRule="auto"/>
        <w:rPr>
          <w:rFonts w:cs="Arial"/>
        </w:rPr>
      </w:pPr>
    </w:p>
    <w:p w14:paraId="20032CBB" w14:textId="7276C269" w:rsidR="00CB4E28" w:rsidRDefault="00F60F37" w:rsidP="00234A71">
      <w:pPr>
        <w:spacing w:line="360" w:lineRule="auto"/>
        <w:rPr>
          <w:rFonts w:cs="Arial"/>
        </w:rPr>
      </w:pPr>
      <w:r>
        <w:rPr>
          <w:rFonts w:cs="Arial"/>
        </w:rPr>
        <w:t>Ultimately, both Deontology and Utilitarianism are designed to aid ethical decision-making</w:t>
      </w:r>
      <w:r w:rsidR="00E533CE">
        <w:rPr>
          <w:rFonts w:cs="Arial"/>
        </w:rPr>
        <w:t xml:space="preserve"> with objective guidelines and principles, however, their differences outweigh their similarities. Integrating the two is a solution suggested by Alexander and Moore (2020) which can help achieve a balanced approach</w:t>
      </w:r>
      <w:r w:rsidR="00CC6D7D">
        <w:rPr>
          <w:rFonts w:cs="Arial"/>
        </w:rPr>
        <w:t xml:space="preserve"> to aid decision-making. For example, implementing a policy within an organisation </w:t>
      </w:r>
      <w:r w:rsidR="00443734">
        <w:rPr>
          <w:rFonts w:cs="Arial"/>
        </w:rPr>
        <w:t>is not without its challenges.</w:t>
      </w:r>
      <w:r w:rsidR="00CC6D7D">
        <w:rPr>
          <w:rFonts w:cs="Arial"/>
        </w:rPr>
        <w:t xml:space="preserve"> </w:t>
      </w:r>
      <w:r w:rsidR="00443734">
        <w:rPr>
          <w:rFonts w:cs="Arial"/>
        </w:rPr>
        <w:t xml:space="preserve">A combined ethical perspective would help decision-makers consider the outcomes of their actions </w:t>
      </w:r>
      <w:r w:rsidR="004029C3">
        <w:rPr>
          <w:rFonts w:cs="Arial"/>
        </w:rPr>
        <w:t xml:space="preserve">on happiness and wellbeing, </w:t>
      </w:r>
      <w:r w:rsidR="00443734">
        <w:rPr>
          <w:rFonts w:cs="Arial"/>
        </w:rPr>
        <w:t>while respecting the moral principles and duties of everyone involved, which yields more thoughtful and comprehensive decision-making (Alexander and Moore, 2020).</w:t>
      </w:r>
    </w:p>
    <w:p w14:paraId="3F2DE17E" w14:textId="77777777" w:rsidR="004E61D7" w:rsidRDefault="004E61D7" w:rsidP="00234A71">
      <w:pPr>
        <w:spacing w:line="360" w:lineRule="auto"/>
        <w:rPr>
          <w:rFonts w:cs="Arial"/>
        </w:rPr>
      </w:pPr>
    </w:p>
    <w:p w14:paraId="044AF3D1" w14:textId="77777777" w:rsidR="004E61D7" w:rsidRDefault="004E61D7" w:rsidP="00234A71">
      <w:pPr>
        <w:spacing w:line="360" w:lineRule="auto"/>
        <w:rPr>
          <w:rFonts w:cs="Arial"/>
        </w:rPr>
      </w:pPr>
    </w:p>
    <w:p w14:paraId="7C2D675E" w14:textId="77777777" w:rsidR="004E61D7" w:rsidRDefault="004E61D7" w:rsidP="00234A71">
      <w:pPr>
        <w:spacing w:line="360" w:lineRule="auto"/>
        <w:rPr>
          <w:rFonts w:cs="Arial"/>
        </w:rPr>
      </w:pPr>
    </w:p>
    <w:p w14:paraId="4F9C7710" w14:textId="77777777" w:rsidR="004E61D7" w:rsidRDefault="004E61D7" w:rsidP="00234A71">
      <w:pPr>
        <w:spacing w:line="360" w:lineRule="auto"/>
        <w:rPr>
          <w:rFonts w:cs="Arial"/>
        </w:rPr>
      </w:pPr>
    </w:p>
    <w:p w14:paraId="76679C9F" w14:textId="77777777" w:rsidR="004E61D7" w:rsidRDefault="004E61D7" w:rsidP="00234A71">
      <w:pPr>
        <w:spacing w:line="360" w:lineRule="auto"/>
        <w:rPr>
          <w:rFonts w:cs="Arial"/>
        </w:rPr>
      </w:pPr>
    </w:p>
    <w:p w14:paraId="34C2C54A" w14:textId="77777777" w:rsidR="004E61D7" w:rsidRDefault="004E61D7" w:rsidP="00234A71">
      <w:pPr>
        <w:spacing w:line="360" w:lineRule="auto"/>
        <w:rPr>
          <w:rFonts w:cs="Arial"/>
        </w:rPr>
      </w:pPr>
    </w:p>
    <w:p w14:paraId="4F8DAC7A" w14:textId="77777777" w:rsidR="004E61D7" w:rsidRDefault="004E61D7" w:rsidP="00234A71">
      <w:pPr>
        <w:spacing w:line="360" w:lineRule="auto"/>
        <w:rPr>
          <w:rFonts w:cs="Arial"/>
        </w:rPr>
      </w:pPr>
    </w:p>
    <w:p w14:paraId="7956BB4C" w14:textId="77777777" w:rsidR="004E61D7" w:rsidRDefault="004E61D7" w:rsidP="00234A71">
      <w:pPr>
        <w:spacing w:line="360" w:lineRule="auto"/>
        <w:rPr>
          <w:rFonts w:cs="Arial"/>
        </w:rPr>
      </w:pPr>
    </w:p>
    <w:p w14:paraId="3D16F701" w14:textId="77777777" w:rsidR="004E61D7" w:rsidRPr="001D4C13" w:rsidRDefault="004E61D7" w:rsidP="00234A71">
      <w:pPr>
        <w:spacing w:line="360" w:lineRule="auto"/>
        <w:rPr>
          <w:rFonts w:cs="Arial"/>
        </w:rPr>
      </w:pPr>
    </w:p>
    <w:p w14:paraId="06A26D23" w14:textId="20418712" w:rsidR="00CB4E28" w:rsidRDefault="00CB4E28" w:rsidP="0039627B">
      <w:pPr>
        <w:pStyle w:val="AssignmentHeading1"/>
      </w:pPr>
      <w:bookmarkStart w:id="10" w:name="_Toc183358567"/>
      <w:bookmarkStart w:id="11" w:name="_Toc184048310"/>
      <w:r w:rsidRPr="00CB4E28">
        <w:lastRenderedPageBreak/>
        <w:t>Measuring Financial &amp; Non-Financial Performance (AC3.1)</w:t>
      </w:r>
      <w:bookmarkEnd w:id="10"/>
      <w:bookmarkEnd w:id="11"/>
    </w:p>
    <w:p w14:paraId="62ED9E89" w14:textId="77777777" w:rsidR="00234A71" w:rsidRDefault="00234A71" w:rsidP="00234A71">
      <w:pPr>
        <w:spacing w:line="360" w:lineRule="auto"/>
        <w:rPr>
          <w:rFonts w:cs="Arial"/>
          <w:b/>
          <w:bCs/>
          <w:u w:val="single"/>
        </w:rPr>
      </w:pPr>
    </w:p>
    <w:p w14:paraId="6AEE76B5" w14:textId="2CE9F540" w:rsidR="00234A71" w:rsidRDefault="005B4ADE" w:rsidP="00234A71">
      <w:pPr>
        <w:spacing w:line="360" w:lineRule="auto"/>
        <w:rPr>
          <w:rFonts w:cs="Arial"/>
        </w:rPr>
      </w:pPr>
      <w:r>
        <w:rPr>
          <w:rFonts w:cs="Arial"/>
        </w:rPr>
        <w:t xml:space="preserve">To </w:t>
      </w:r>
      <w:r w:rsidR="000F289D">
        <w:rPr>
          <w:rFonts w:cs="Arial"/>
        </w:rPr>
        <w:t>monitor an organisations success, they must measure their financial and non-financial performance using various indicators. Financial performance can be measured by calculating Return on Investment (ROI), which allows an organisation to compare the financial benefits gained from employee training against the costs that were incurred. ROI is calculated by the following formula:</w:t>
      </w:r>
    </w:p>
    <w:p w14:paraId="0A9C1291" w14:textId="77777777" w:rsidR="000F289D" w:rsidRDefault="000F289D" w:rsidP="00234A71">
      <w:pPr>
        <w:spacing w:line="360" w:lineRule="auto"/>
        <w:rPr>
          <w:rFonts w:cs="Arial"/>
        </w:rPr>
      </w:pPr>
    </w:p>
    <w:p w14:paraId="44811161" w14:textId="44111725" w:rsidR="000F289D" w:rsidRPr="00302BD5" w:rsidRDefault="00000000" w:rsidP="000F289D">
      <w:pPr>
        <w:spacing w:line="360" w:lineRule="auto"/>
        <w:rPr>
          <w:rFonts w:eastAsiaTheme="minorEastAsia" w:cs="Arial"/>
        </w:rPr>
      </w:pPr>
      <m:oMathPara>
        <m:oMath>
          <m:f>
            <m:fPr>
              <m:ctrlPr>
                <w:rPr>
                  <w:rFonts w:ascii="Cambria Math" w:hAnsi="Cambria Math" w:cs="Arial"/>
                  <w:i/>
                </w:rPr>
              </m:ctrlPr>
            </m:fPr>
            <m:num>
              <m:r>
                <m:rPr>
                  <m:sty m:val="p"/>
                </m:rPr>
                <w:rPr>
                  <w:rFonts w:ascii="Cambria Math" w:hAnsi="Cambria Math" w:cs="Arial"/>
                </w:rPr>
                <m:t xml:space="preserve">(Net Profit from Training – Cost of Training) </m:t>
              </m:r>
            </m:num>
            <m:den>
              <m:r>
                <w:rPr>
                  <w:rFonts w:ascii="Cambria Math" w:hAnsi="Cambria Math" w:cs="Arial"/>
                </w:rPr>
                <m:t>Cost of Training</m:t>
              </m:r>
            </m:den>
          </m:f>
          <m:r>
            <w:rPr>
              <w:rFonts w:ascii="Cambria Math" w:hAnsi="Cambria Math" w:cs="Arial"/>
            </w:rPr>
            <m:t xml:space="preserve"> X 100</m:t>
          </m:r>
        </m:oMath>
      </m:oMathPara>
    </w:p>
    <w:p w14:paraId="00AE2CA4" w14:textId="77777777" w:rsidR="00302BD5" w:rsidRPr="000F289D" w:rsidRDefault="00302BD5" w:rsidP="000F289D">
      <w:pPr>
        <w:spacing w:line="360" w:lineRule="auto"/>
        <w:rPr>
          <w:rFonts w:eastAsiaTheme="minorEastAsia" w:cs="Arial"/>
        </w:rPr>
      </w:pPr>
    </w:p>
    <w:p w14:paraId="645859C2" w14:textId="7516E858" w:rsidR="000F289D" w:rsidRDefault="00302BD5" w:rsidP="000F289D">
      <w:pPr>
        <w:spacing w:line="360" w:lineRule="auto"/>
        <w:rPr>
          <w:rFonts w:eastAsiaTheme="minorEastAsia" w:cs="Arial"/>
        </w:rPr>
      </w:pPr>
      <w:r>
        <w:rPr>
          <w:rFonts w:eastAsiaTheme="minorEastAsia" w:cs="Arial"/>
        </w:rPr>
        <w:t xml:space="preserve">A good outcome from this calculation varies depending on the industry and specific goals of the organisation, therefore any positive figure would suggest that training investment is yielding benefits (Phillips, 2012). </w:t>
      </w:r>
      <w:r w:rsidR="000F289D">
        <w:rPr>
          <w:rFonts w:eastAsiaTheme="minorEastAsia" w:cs="Arial"/>
        </w:rPr>
        <w:t xml:space="preserve">The net profit from training should include measuring increased productivity or revenue that can be attributed to the training. It’s important to recognise that in some organisations </w:t>
      </w:r>
      <w:r w:rsidR="007E003F">
        <w:rPr>
          <w:rFonts w:eastAsiaTheme="minorEastAsia" w:cs="Arial"/>
        </w:rPr>
        <w:t>an increase in revenue may be indirectly related to training.</w:t>
      </w:r>
      <w:r>
        <w:rPr>
          <w:rFonts w:eastAsiaTheme="minorEastAsia" w:cs="Arial"/>
        </w:rPr>
        <w:t xml:space="preserve"> </w:t>
      </w:r>
      <w:r w:rsidR="007E003F">
        <w:rPr>
          <w:rFonts w:eastAsiaTheme="minorEastAsia" w:cs="Arial"/>
        </w:rPr>
        <w:t xml:space="preserve">For example, an increase in stakeholders buying into a Service Level Agreement due to an increased level of service which has been provided as an outcome of the training received. ROI is the most accurate way of proving the impact of </w:t>
      </w:r>
      <w:r>
        <w:rPr>
          <w:rFonts w:eastAsiaTheme="minorEastAsia" w:cs="Arial"/>
        </w:rPr>
        <w:t>training and</w:t>
      </w:r>
      <w:r w:rsidR="00D76889">
        <w:rPr>
          <w:rFonts w:eastAsiaTheme="minorEastAsia" w:cs="Arial"/>
        </w:rPr>
        <w:t xml:space="preserve"> is therefore a great metric to present to stakeholders and senior leaders to prove that training is an investment, not an expense</w:t>
      </w:r>
      <w:r w:rsidR="007E003F">
        <w:rPr>
          <w:rFonts w:eastAsiaTheme="minorEastAsia" w:cs="Arial"/>
        </w:rPr>
        <w:t xml:space="preserve"> (</w:t>
      </w:r>
      <w:r w:rsidR="00D76889">
        <w:rPr>
          <w:rFonts w:eastAsiaTheme="minorEastAsia" w:cs="Arial"/>
        </w:rPr>
        <w:t>Phillips, 2012).</w:t>
      </w:r>
    </w:p>
    <w:p w14:paraId="21846C71" w14:textId="77777777" w:rsidR="00D76889" w:rsidRDefault="00D76889" w:rsidP="000F289D">
      <w:pPr>
        <w:spacing w:line="360" w:lineRule="auto"/>
        <w:rPr>
          <w:rFonts w:eastAsiaTheme="minorEastAsia" w:cs="Arial"/>
        </w:rPr>
      </w:pPr>
    </w:p>
    <w:p w14:paraId="07F5810F" w14:textId="6F9F6C4A" w:rsidR="00D76889" w:rsidRDefault="00D76889" w:rsidP="000F289D">
      <w:pPr>
        <w:spacing w:line="360" w:lineRule="auto"/>
        <w:rPr>
          <w:rFonts w:eastAsiaTheme="minorEastAsia" w:cs="Arial"/>
        </w:rPr>
      </w:pPr>
      <w:r>
        <w:rPr>
          <w:rFonts w:eastAsiaTheme="minorEastAsia" w:cs="Arial"/>
        </w:rPr>
        <w:t>Unfortunately, due to a lack of understanding some organisations are apprehensive to calculate ROI due to fear, as they’re worried it could become a performance evaluation tool rather than a process improvement tool (Phillips, 2012). However, this is easily overcome by providing reassurance and better understanding to stakeholders and employees on what ROI is and how it’s beneficial.  Another common issue with ROI is that most training programs focus on learning outcomes, rather than results, consequentially causing employees to focus on measuring results by measuring learning. According to Phillips (2012), this creates a tremendous barrier in implementing the necessary change for the overall orientation and attitude within the HR department.</w:t>
      </w:r>
      <w:r w:rsidR="00AE149D">
        <w:rPr>
          <w:rFonts w:eastAsiaTheme="minorEastAsia" w:cs="Arial"/>
        </w:rPr>
        <w:t xml:space="preserve"> Nevertheless, these barriers are easy to infiltrate providing the correct approach and education is provided, proving that education is </w:t>
      </w:r>
      <w:r w:rsidR="004E61D7">
        <w:rPr>
          <w:rFonts w:eastAsiaTheme="minorEastAsia" w:cs="Arial"/>
        </w:rPr>
        <w:t>often the answer.</w:t>
      </w:r>
    </w:p>
    <w:p w14:paraId="7BECB43D" w14:textId="77777777" w:rsidR="007E003F" w:rsidRDefault="007E003F" w:rsidP="000F289D">
      <w:pPr>
        <w:spacing w:line="360" w:lineRule="auto"/>
        <w:rPr>
          <w:rFonts w:eastAsiaTheme="minorEastAsia" w:cs="Arial"/>
        </w:rPr>
      </w:pPr>
    </w:p>
    <w:p w14:paraId="71D47CB8" w14:textId="628F4BC7" w:rsidR="004E61D7" w:rsidRDefault="00302BD5" w:rsidP="000F289D">
      <w:pPr>
        <w:spacing w:line="360" w:lineRule="auto"/>
        <w:rPr>
          <w:rFonts w:eastAsiaTheme="minorEastAsia" w:cs="Arial"/>
        </w:rPr>
      </w:pPr>
      <w:r>
        <w:rPr>
          <w:rFonts w:eastAsiaTheme="minorEastAsia" w:cs="Arial"/>
        </w:rPr>
        <w:t xml:space="preserve">Non-financial performance </w:t>
      </w:r>
      <w:r w:rsidR="003D49F1">
        <w:rPr>
          <w:rFonts w:eastAsiaTheme="minorEastAsia" w:cs="Arial"/>
        </w:rPr>
        <w:t>can be measured through employee engagement surveys.</w:t>
      </w:r>
      <w:r w:rsidR="00CE65C1">
        <w:rPr>
          <w:rFonts w:eastAsiaTheme="minorEastAsia" w:cs="Arial"/>
        </w:rPr>
        <w:t xml:space="preserve"> Employee engagement is difficult to define, however, Markos and Sridevi (2010) found that employee engagement is the result of a two-way relationship between employee and employer, pointing out that there are things to be done on both sides.</w:t>
      </w:r>
    </w:p>
    <w:p w14:paraId="71F83DA4" w14:textId="77777777" w:rsidR="00CE65C1" w:rsidRDefault="00CE65C1" w:rsidP="000F289D">
      <w:pPr>
        <w:spacing w:line="360" w:lineRule="auto"/>
        <w:rPr>
          <w:rFonts w:eastAsiaTheme="minorEastAsia" w:cs="Arial"/>
        </w:rPr>
      </w:pPr>
    </w:p>
    <w:p w14:paraId="0BE089E9" w14:textId="5F3FC7B8" w:rsidR="00302BD5" w:rsidRDefault="00CE65C1" w:rsidP="000F289D">
      <w:pPr>
        <w:spacing w:line="360" w:lineRule="auto"/>
        <w:rPr>
          <w:rFonts w:eastAsiaTheme="minorEastAsia" w:cs="Arial"/>
        </w:rPr>
      </w:pPr>
      <w:r>
        <w:rPr>
          <w:rFonts w:eastAsiaTheme="minorEastAsia" w:cs="Arial"/>
        </w:rPr>
        <w:t>Employee engagement surveys can assess various aspects of employee satisfaction, commitment, morale and experience. As a result, these surveys can help organisations gauge the overall engagement of a workforce based on their feelings surrounding leadership, environment and opportunities for continued professional development. Research shows a correlation between employee engagement and organisational performance, based on metrics such as retention</w:t>
      </w:r>
      <w:r w:rsidR="005924E9">
        <w:rPr>
          <w:rFonts w:eastAsiaTheme="minorEastAsia" w:cs="Arial"/>
        </w:rPr>
        <w:t xml:space="preserve"> and</w:t>
      </w:r>
      <w:r>
        <w:rPr>
          <w:rFonts w:eastAsiaTheme="minorEastAsia" w:cs="Arial"/>
        </w:rPr>
        <w:t xml:space="preserve"> customer loyalty </w:t>
      </w:r>
      <w:r w:rsidR="00302BD5">
        <w:rPr>
          <w:rFonts w:eastAsiaTheme="minorEastAsia" w:cs="Arial"/>
        </w:rPr>
        <w:t>(Markos and Sri</w:t>
      </w:r>
      <w:r w:rsidR="003D49F1">
        <w:rPr>
          <w:rFonts w:eastAsiaTheme="minorEastAsia" w:cs="Arial"/>
        </w:rPr>
        <w:t>devi, 2010)</w:t>
      </w:r>
      <w:r>
        <w:rPr>
          <w:rFonts w:eastAsiaTheme="minorEastAsia" w:cs="Arial"/>
        </w:rPr>
        <w:t xml:space="preserve">. </w:t>
      </w:r>
    </w:p>
    <w:p w14:paraId="0DBF79CF" w14:textId="77777777" w:rsidR="00CE65C1" w:rsidRDefault="00CE65C1" w:rsidP="000F289D">
      <w:pPr>
        <w:spacing w:line="360" w:lineRule="auto"/>
        <w:rPr>
          <w:rFonts w:eastAsiaTheme="minorEastAsia" w:cs="Arial"/>
        </w:rPr>
      </w:pPr>
    </w:p>
    <w:p w14:paraId="6728CA54" w14:textId="51B15F32" w:rsidR="00CE65C1" w:rsidRDefault="00CE65C1" w:rsidP="000F289D">
      <w:pPr>
        <w:spacing w:line="360" w:lineRule="auto"/>
        <w:rPr>
          <w:rFonts w:eastAsiaTheme="minorEastAsia" w:cs="Arial"/>
        </w:rPr>
      </w:pPr>
      <w:r>
        <w:rPr>
          <w:rFonts w:eastAsiaTheme="minorEastAsia" w:cs="Arial"/>
        </w:rPr>
        <w:t>However, employees may be apprehensive to be honest through these mediums due to anxiety or lack of trust</w:t>
      </w:r>
      <w:r w:rsidR="00EF0D21">
        <w:rPr>
          <w:rFonts w:eastAsiaTheme="minorEastAsia" w:cs="Arial"/>
        </w:rPr>
        <w:t xml:space="preserve">, which causes a risk for inaccurate data </w:t>
      </w:r>
      <w:r>
        <w:rPr>
          <w:rFonts w:eastAsiaTheme="minorEastAsia" w:cs="Arial"/>
        </w:rPr>
        <w:t>(Markopoulos et al., 2022)</w:t>
      </w:r>
      <w:r w:rsidR="00EF0D21">
        <w:rPr>
          <w:rFonts w:eastAsiaTheme="minorEastAsia" w:cs="Arial"/>
        </w:rPr>
        <w:t>. Due to this, employee engagement surveys should be completed regularly, and assurance should be given to teams and employees regarding anonymity and the reason for obtaining the data (Markos and Sridevi, 2010). Also, processes should be in place to encourage employee engagement and conversations within the organisation to ensure the surveys are capturing live data.</w:t>
      </w:r>
    </w:p>
    <w:p w14:paraId="54A81A88" w14:textId="77777777" w:rsidR="005924E9" w:rsidRDefault="005924E9" w:rsidP="000F289D">
      <w:pPr>
        <w:spacing w:line="360" w:lineRule="auto"/>
        <w:rPr>
          <w:rFonts w:eastAsiaTheme="minorEastAsia" w:cs="Arial"/>
        </w:rPr>
      </w:pPr>
    </w:p>
    <w:p w14:paraId="62016E8D" w14:textId="77777777" w:rsidR="005924E9" w:rsidRDefault="005924E9" w:rsidP="000F289D">
      <w:pPr>
        <w:spacing w:line="360" w:lineRule="auto"/>
        <w:rPr>
          <w:rFonts w:eastAsiaTheme="minorEastAsia" w:cs="Arial"/>
        </w:rPr>
      </w:pPr>
    </w:p>
    <w:p w14:paraId="6FF55925" w14:textId="77777777" w:rsidR="005924E9" w:rsidRDefault="005924E9" w:rsidP="000F289D">
      <w:pPr>
        <w:spacing w:line="360" w:lineRule="auto"/>
        <w:rPr>
          <w:rFonts w:eastAsiaTheme="minorEastAsia" w:cs="Arial"/>
        </w:rPr>
      </w:pPr>
    </w:p>
    <w:p w14:paraId="148E4C71" w14:textId="77777777" w:rsidR="005924E9" w:rsidRDefault="005924E9" w:rsidP="000F289D">
      <w:pPr>
        <w:spacing w:line="360" w:lineRule="auto"/>
        <w:rPr>
          <w:rFonts w:eastAsiaTheme="minorEastAsia" w:cs="Arial"/>
        </w:rPr>
      </w:pPr>
    </w:p>
    <w:p w14:paraId="6F80CC51" w14:textId="77777777" w:rsidR="005924E9" w:rsidRDefault="005924E9" w:rsidP="000F289D">
      <w:pPr>
        <w:spacing w:line="360" w:lineRule="auto"/>
        <w:rPr>
          <w:rFonts w:eastAsiaTheme="minorEastAsia" w:cs="Arial"/>
        </w:rPr>
      </w:pPr>
    </w:p>
    <w:p w14:paraId="6C3A9676" w14:textId="77777777" w:rsidR="005924E9" w:rsidRDefault="005924E9" w:rsidP="000F289D">
      <w:pPr>
        <w:spacing w:line="360" w:lineRule="auto"/>
        <w:rPr>
          <w:rFonts w:eastAsiaTheme="minorEastAsia" w:cs="Arial"/>
        </w:rPr>
      </w:pPr>
    </w:p>
    <w:p w14:paraId="22D57A7F" w14:textId="77777777" w:rsidR="005924E9" w:rsidRDefault="005924E9" w:rsidP="000F289D">
      <w:pPr>
        <w:spacing w:line="360" w:lineRule="auto"/>
        <w:rPr>
          <w:rFonts w:eastAsiaTheme="minorEastAsia" w:cs="Arial"/>
        </w:rPr>
      </w:pPr>
    </w:p>
    <w:p w14:paraId="7CB8FA10" w14:textId="77777777" w:rsidR="005924E9" w:rsidRDefault="005924E9" w:rsidP="000F289D">
      <w:pPr>
        <w:spacing w:line="360" w:lineRule="auto"/>
        <w:rPr>
          <w:rFonts w:eastAsiaTheme="minorEastAsia" w:cs="Arial"/>
        </w:rPr>
      </w:pPr>
    </w:p>
    <w:p w14:paraId="06A074DD" w14:textId="77777777" w:rsidR="005924E9" w:rsidRDefault="005924E9" w:rsidP="000F289D">
      <w:pPr>
        <w:spacing w:line="360" w:lineRule="auto"/>
        <w:rPr>
          <w:rFonts w:eastAsiaTheme="minorEastAsia" w:cs="Arial"/>
        </w:rPr>
      </w:pPr>
    </w:p>
    <w:p w14:paraId="4FDE7123" w14:textId="77777777" w:rsidR="005924E9" w:rsidRDefault="005924E9" w:rsidP="000F289D">
      <w:pPr>
        <w:spacing w:line="360" w:lineRule="auto"/>
        <w:rPr>
          <w:rFonts w:eastAsiaTheme="minorEastAsia" w:cs="Arial"/>
        </w:rPr>
      </w:pPr>
    </w:p>
    <w:p w14:paraId="1F15066D" w14:textId="77777777" w:rsidR="005924E9" w:rsidRDefault="005924E9" w:rsidP="000F289D">
      <w:pPr>
        <w:spacing w:line="360" w:lineRule="auto"/>
        <w:rPr>
          <w:rFonts w:eastAsiaTheme="minorEastAsia" w:cs="Arial"/>
        </w:rPr>
      </w:pPr>
    </w:p>
    <w:p w14:paraId="5A503AC2" w14:textId="1B345A49" w:rsidR="00CB4E28" w:rsidRDefault="00CB4E28" w:rsidP="0039627B">
      <w:pPr>
        <w:pStyle w:val="AssignmentHeading1"/>
      </w:pPr>
      <w:bookmarkStart w:id="12" w:name="_Toc183358568"/>
      <w:bookmarkStart w:id="13" w:name="_Toc184048311"/>
      <w:r w:rsidRPr="00CB4E28">
        <w:lastRenderedPageBreak/>
        <w:t>The Value of People Practice (AC3.2)</w:t>
      </w:r>
      <w:bookmarkEnd w:id="12"/>
      <w:bookmarkEnd w:id="13"/>
    </w:p>
    <w:p w14:paraId="2A7C435D" w14:textId="77777777" w:rsidR="00CB4E28" w:rsidRDefault="00CB4E28" w:rsidP="00234A71">
      <w:pPr>
        <w:spacing w:line="360" w:lineRule="auto"/>
        <w:rPr>
          <w:rFonts w:cs="Arial"/>
          <w:b/>
          <w:bCs/>
          <w:u w:val="single"/>
        </w:rPr>
      </w:pPr>
    </w:p>
    <w:p w14:paraId="62140D48" w14:textId="0BC851B9" w:rsidR="00B2762A" w:rsidRDefault="00763C4B" w:rsidP="00234A71">
      <w:pPr>
        <w:spacing w:line="360" w:lineRule="auto"/>
        <w:rPr>
          <w:rFonts w:cs="Arial"/>
        </w:rPr>
      </w:pPr>
      <w:r>
        <w:rPr>
          <w:rFonts w:cs="Arial"/>
        </w:rPr>
        <w:t xml:space="preserve">People practice encompasses the </w:t>
      </w:r>
      <w:r w:rsidR="00172F33">
        <w:rPr>
          <w:rFonts w:cs="Arial"/>
        </w:rPr>
        <w:t xml:space="preserve">methods used to manage and develop an organisations workforce. </w:t>
      </w:r>
      <w:r w:rsidR="00C56A0F">
        <w:rPr>
          <w:rFonts w:cs="Arial"/>
        </w:rPr>
        <w:t>It’s been argued that existing literature does not provide a consistent answer to whether people practice as a function is linked to organisational performance. However, research conducted by Jo, Chadwick and Han (2023) rigorously tested this theory, and found that p</w:t>
      </w:r>
      <w:r w:rsidR="00172F33">
        <w:rPr>
          <w:rFonts w:cs="Arial"/>
        </w:rPr>
        <w:t>eople practice/HR professionals are crucial within an organisation and largely dictate the success</w:t>
      </w:r>
      <w:r w:rsidR="00C56A0F">
        <w:rPr>
          <w:rFonts w:cs="Arial"/>
        </w:rPr>
        <w:t xml:space="preserve"> through an organisations Human Capital Resources.</w:t>
      </w:r>
    </w:p>
    <w:p w14:paraId="0EB32091" w14:textId="77777777" w:rsidR="00C56A0F" w:rsidRDefault="00C56A0F" w:rsidP="00234A71">
      <w:pPr>
        <w:spacing w:line="360" w:lineRule="auto"/>
        <w:rPr>
          <w:rFonts w:cs="Arial"/>
        </w:rPr>
      </w:pPr>
    </w:p>
    <w:p w14:paraId="3A46F5B2" w14:textId="6CFB4CE8" w:rsidR="00C56A0F" w:rsidRDefault="00C56A0F" w:rsidP="00234A71">
      <w:pPr>
        <w:spacing w:line="360" w:lineRule="auto"/>
        <w:rPr>
          <w:rFonts w:cs="Arial"/>
        </w:rPr>
      </w:pPr>
      <w:r>
        <w:rPr>
          <w:rFonts w:cs="Arial"/>
        </w:rPr>
        <w:t xml:space="preserve">People practice professionals oversee the organisation from within and without, an internal and external context. People practice professionals must be aware of external factors such as legal, political and economic factors to ensure the organisation is compliant. The internal context of an organisation is managed by people practice through ensuring employees are compliant, satisfied, engaged, well looked after, all whilst ensuring managers are supporting these factors (Jo, Chadwick and Han, 2023). </w:t>
      </w:r>
    </w:p>
    <w:p w14:paraId="5F4151ED" w14:textId="77777777" w:rsidR="00C56A0F" w:rsidRDefault="00C56A0F" w:rsidP="00234A71">
      <w:pPr>
        <w:spacing w:line="360" w:lineRule="auto"/>
        <w:rPr>
          <w:rFonts w:cs="Arial"/>
        </w:rPr>
      </w:pPr>
    </w:p>
    <w:p w14:paraId="1C4163E1" w14:textId="10C8BE10" w:rsidR="00C56A0F" w:rsidRDefault="00C56A0F" w:rsidP="00234A71">
      <w:pPr>
        <w:spacing w:line="360" w:lineRule="auto"/>
        <w:rPr>
          <w:rFonts w:cs="Arial"/>
        </w:rPr>
      </w:pPr>
      <w:r>
        <w:rPr>
          <w:rFonts w:cs="Arial"/>
        </w:rPr>
        <w:t xml:space="preserve">While the value of people practice is often intangible, there are several metrics and methods that can help measure the impact people practice has (CIPD, 2023). A key metric for organisations to monitor which highlights the value of </w:t>
      </w:r>
      <w:r w:rsidR="006476FA">
        <w:rPr>
          <w:rFonts w:cs="Arial"/>
        </w:rPr>
        <w:t>a HR department is calculating Employee Turnover Rate:</w:t>
      </w:r>
    </w:p>
    <w:p w14:paraId="51BCE516" w14:textId="77777777" w:rsidR="006476FA" w:rsidRDefault="006476FA" w:rsidP="00234A71">
      <w:pPr>
        <w:spacing w:line="360" w:lineRule="auto"/>
        <w:rPr>
          <w:rFonts w:cs="Arial"/>
        </w:rPr>
      </w:pPr>
    </w:p>
    <w:p w14:paraId="56756092" w14:textId="45D77898" w:rsidR="006476FA" w:rsidRDefault="00000000" w:rsidP="00234A71">
      <w:pPr>
        <w:spacing w:line="360" w:lineRule="auto"/>
        <w:rPr>
          <w:rFonts w:cs="Arial"/>
        </w:rPr>
      </w:pPr>
      <m:oMathPara>
        <m:oMath>
          <m:f>
            <m:fPr>
              <m:ctrlPr>
                <w:rPr>
                  <w:rFonts w:ascii="Cambria Math" w:hAnsi="Cambria Math" w:cs="Arial"/>
                  <w:i/>
                </w:rPr>
              </m:ctrlPr>
            </m:fPr>
            <m:num>
              <m:r>
                <w:rPr>
                  <w:rFonts w:ascii="Cambria Math" w:hAnsi="Cambria Math" w:cs="Arial"/>
                </w:rPr>
                <m:t xml:space="preserve">Number of employee separations </m:t>
              </m:r>
            </m:num>
            <m:den>
              <m:r>
                <w:rPr>
                  <w:rFonts w:ascii="Cambria Math" w:hAnsi="Cambria Math" w:cs="Arial"/>
                </w:rPr>
                <m:t>Average number of employees</m:t>
              </m:r>
            </m:den>
          </m:f>
          <m:r>
            <w:rPr>
              <w:rFonts w:ascii="Cambria Math" w:hAnsi="Cambria Math" w:cs="Arial"/>
            </w:rPr>
            <m:t xml:space="preserve"> X 100</m:t>
          </m:r>
        </m:oMath>
      </m:oMathPara>
    </w:p>
    <w:p w14:paraId="7EA811C7" w14:textId="77777777" w:rsidR="00C56A0F" w:rsidRDefault="00C56A0F" w:rsidP="00234A71">
      <w:pPr>
        <w:spacing w:line="360" w:lineRule="auto"/>
        <w:rPr>
          <w:rFonts w:cs="Arial"/>
        </w:rPr>
      </w:pPr>
    </w:p>
    <w:p w14:paraId="78CB1A5E" w14:textId="4BDA310C" w:rsidR="00B2762A" w:rsidRDefault="0026682D" w:rsidP="00234A71">
      <w:pPr>
        <w:spacing w:line="360" w:lineRule="auto"/>
        <w:rPr>
          <w:rFonts w:cs="Arial"/>
        </w:rPr>
      </w:pPr>
      <w:r>
        <w:rPr>
          <w:rFonts w:cs="Arial"/>
        </w:rPr>
        <w:t>Employee Turnover can also be calculated in sub-categories, such as intended (poor performance or retirement) and unintended (resignation and death), which can help provide further insight where greater intervention or support may be needed (CIPD, 2023).</w:t>
      </w:r>
      <w:r w:rsidR="00346C37">
        <w:rPr>
          <w:rFonts w:cs="Arial"/>
        </w:rPr>
        <w:t xml:space="preserve"> If an area of the organisation is experiencing high unintended turnover, further analysis should be carried out to understand why this is happening</w:t>
      </w:r>
    </w:p>
    <w:p w14:paraId="6B9F07F9" w14:textId="77777777" w:rsidR="00346C37" w:rsidRDefault="00346C37" w:rsidP="00234A71">
      <w:pPr>
        <w:spacing w:line="360" w:lineRule="auto"/>
        <w:rPr>
          <w:rFonts w:cs="Arial"/>
        </w:rPr>
      </w:pPr>
    </w:p>
    <w:p w14:paraId="508AF18F" w14:textId="5FD93E4E" w:rsidR="00346C37" w:rsidRDefault="00346C37" w:rsidP="00234A71">
      <w:pPr>
        <w:spacing w:line="360" w:lineRule="auto"/>
        <w:rPr>
          <w:rFonts w:cs="Arial"/>
        </w:rPr>
      </w:pPr>
      <w:r>
        <w:rPr>
          <w:rFonts w:cs="Arial"/>
        </w:rPr>
        <w:t>Another method proven to measure the value of people practice is calculating Return on Investment from learning and development (Phillips, 2012).</w:t>
      </w:r>
    </w:p>
    <w:p w14:paraId="019454B3" w14:textId="77777777" w:rsidR="00346C37" w:rsidRDefault="00346C37" w:rsidP="00234A71">
      <w:pPr>
        <w:spacing w:line="360" w:lineRule="auto"/>
        <w:rPr>
          <w:rFonts w:cs="Arial"/>
        </w:rPr>
      </w:pPr>
    </w:p>
    <w:p w14:paraId="41DCA868" w14:textId="4423475C" w:rsidR="00346C37" w:rsidRDefault="00346C37" w:rsidP="00234A71">
      <w:pPr>
        <w:spacing w:line="360" w:lineRule="auto"/>
        <w:rPr>
          <w:rFonts w:cs="Arial"/>
        </w:rPr>
      </w:pPr>
      <w:r>
        <w:rPr>
          <w:rFonts w:cs="Arial"/>
        </w:rPr>
        <w:lastRenderedPageBreak/>
        <w:t>According to Aslam et al (2014), effective HR management is the sole factor that provides an organisation with a competitive advantage.</w:t>
      </w:r>
      <w:r w:rsidR="00E51DD5">
        <w:rPr>
          <w:rFonts w:cs="Arial"/>
        </w:rPr>
        <w:t xml:space="preserve"> This is supported by evidence </w:t>
      </w:r>
      <w:r w:rsidR="00D82EF0">
        <w:rPr>
          <w:rFonts w:cs="Arial"/>
        </w:rPr>
        <w:t>stating that 86% of employees and job seekers look at organisation reviews prior to applying for jobs (Glassdoor via Bartram, 2024)</w:t>
      </w:r>
      <w:r w:rsidR="00FF412B">
        <w:rPr>
          <w:rFonts w:cs="Arial"/>
        </w:rPr>
        <w:t>.</w:t>
      </w:r>
    </w:p>
    <w:p w14:paraId="1E9F3A14" w14:textId="77777777" w:rsidR="00365102" w:rsidRDefault="00365102" w:rsidP="00234A71">
      <w:pPr>
        <w:spacing w:line="360" w:lineRule="auto"/>
        <w:rPr>
          <w:rFonts w:cs="Arial"/>
        </w:rPr>
      </w:pPr>
    </w:p>
    <w:p w14:paraId="6FFE3CD5" w14:textId="77777777" w:rsidR="00365102" w:rsidRPr="001C4A98" w:rsidRDefault="00365102" w:rsidP="00365102">
      <w:pPr>
        <w:spacing w:line="360" w:lineRule="auto"/>
      </w:pPr>
      <w:r>
        <w:t xml:space="preserve">Christensen Hughes and Rog (2008) effective talent management = improved employee recruitment, retention and engagement </w:t>
      </w:r>
      <w:r>
        <w:sym w:font="Wingdings" w:char="F0E0"/>
      </w:r>
      <w:r>
        <w:t xml:space="preserve"> greater financial performance.</w:t>
      </w:r>
    </w:p>
    <w:p w14:paraId="275B2DF1" w14:textId="77777777" w:rsidR="00365102" w:rsidRPr="00346C37" w:rsidRDefault="00365102" w:rsidP="00234A71">
      <w:pPr>
        <w:spacing w:line="360" w:lineRule="auto"/>
        <w:rPr>
          <w:rFonts w:cs="Arial"/>
        </w:rPr>
      </w:pPr>
    </w:p>
    <w:p w14:paraId="2AD190A8" w14:textId="77777777" w:rsidR="00B2762A" w:rsidRDefault="00B2762A" w:rsidP="00234A71">
      <w:pPr>
        <w:spacing w:line="360" w:lineRule="auto"/>
        <w:rPr>
          <w:rFonts w:cs="Arial"/>
          <w:b/>
          <w:bCs/>
          <w:u w:val="single"/>
        </w:rPr>
      </w:pPr>
    </w:p>
    <w:p w14:paraId="62F8ADB8" w14:textId="77777777" w:rsidR="00B2762A" w:rsidRDefault="00B2762A" w:rsidP="00234A71">
      <w:pPr>
        <w:spacing w:line="360" w:lineRule="auto"/>
        <w:rPr>
          <w:rFonts w:cs="Arial"/>
          <w:b/>
          <w:bCs/>
          <w:u w:val="single"/>
        </w:rPr>
      </w:pPr>
    </w:p>
    <w:p w14:paraId="5A04AD74" w14:textId="77777777" w:rsidR="00B2762A" w:rsidRDefault="00B2762A" w:rsidP="00234A71">
      <w:pPr>
        <w:spacing w:line="360" w:lineRule="auto"/>
        <w:rPr>
          <w:rFonts w:cs="Arial"/>
          <w:b/>
          <w:bCs/>
          <w:u w:val="single"/>
        </w:rPr>
      </w:pPr>
    </w:p>
    <w:p w14:paraId="79F3B8F7" w14:textId="77777777" w:rsidR="00B2762A" w:rsidRDefault="00B2762A" w:rsidP="00234A71">
      <w:pPr>
        <w:spacing w:line="360" w:lineRule="auto"/>
        <w:rPr>
          <w:rFonts w:cs="Arial"/>
          <w:b/>
          <w:bCs/>
          <w:u w:val="single"/>
        </w:rPr>
      </w:pPr>
    </w:p>
    <w:p w14:paraId="5AE293E7" w14:textId="77777777" w:rsidR="00B2762A" w:rsidRDefault="00B2762A" w:rsidP="00234A71">
      <w:pPr>
        <w:spacing w:line="360" w:lineRule="auto"/>
        <w:rPr>
          <w:rFonts w:cs="Arial"/>
          <w:b/>
          <w:bCs/>
          <w:u w:val="single"/>
        </w:rPr>
      </w:pPr>
    </w:p>
    <w:p w14:paraId="32F6ABBD" w14:textId="77777777" w:rsidR="00B2762A" w:rsidRDefault="00B2762A" w:rsidP="00234A71">
      <w:pPr>
        <w:spacing w:line="360" w:lineRule="auto"/>
        <w:rPr>
          <w:rFonts w:cs="Arial"/>
          <w:b/>
          <w:bCs/>
          <w:u w:val="single"/>
        </w:rPr>
      </w:pPr>
    </w:p>
    <w:p w14:paraId="4D0733E5" w14:textId="77777777" w:rsidR="00B2762A" w:rsidRDefault="00B2762A" w:rsidP="00234A71">
      <w:pPr>
        <w:spacing w:line="360" w:lineRule="auto"/>
        <w:rPr>
          <w:rFonts w:cs="Arial"/>
          <w:b/>
          <w:bCs/>
          <w:u w:val="single"/>
        </w:rPr>
      </w:pPr>
    </w:p>
    <w:p w14:paraId="6D6BA228" w14:textId="77777777" w:rsidR="00B2762A" w:rsidRDefault="00B2762A" w:rsidP="00234A71">
      <w:pPr>
        <w:spacing w:line="360" w:lineRule="auto"/>
        <w:rPr>
          <w:rFonts w:cs="Arial"/>
          <w:b/>
          <w:bCs/>
          <w:u w:val="single"/>
        </w:rPr>
      </w:pPr>
    </w:p>
    <w:p w14:paraId="58131F71" w14:textId="77777777" w:rsidR="00B2762A" w:rsidRDefault="00B2762A" w:rsidP="00234A71">
      <w:pPr>
        <w:spacing w:line="360" w:lineRule="auto"/>
        <w:rPr>
          <w:rFonts w:cs="Arial"/>
          <w:b/>
          <w:bCs/>
          <w:u w:val="single"/>
        </w:rPr>
      </w:pPr>
    </w:p>
    <w:p w14:paraId="34B7D935" w14:textId="77777777" w:rsidR="00B2762A" w:rsidRDefault="00B2762A" w:rsidP="00234A71">
      <w:pPr>
        <w:spacing w:line="360" w:lineRule="auto"/>
        <w:rPr>
          <w:rFonts w:cs="Arial"/>
          <w:b/>
          <w:bCs/>
          <w:u w:val="single"/>
        </w:rPr>
      </w:pPr>
    </w:p>
    <w:p w14:paraId="660EBEBA" w14:textId="77777777" w:rsidR="00B2762A" w:rsidRDefault="00B2762A" w:rsidP="00234A71">
      <w:pPr>
        <w:spacing w:line="360" w:lineRule="auto"/>
        <w:rPr>
          <w:rFonts w:cs="Arial"/>
          <w:b/>
          <w:bCs/>
          <w:u w:val="single"/>
        </w:rPr>
      </w:pPr>
    </w:p>
    <w:p w14:paraId="75E48321" w14:textId="77777777" w:rsidR="00B2762A" w:rsidRDefault="00B2762A" w:rsidP="00234A71">
      <w:pPr>
        <w:spacing w:line="360" w:lineRule="auto"/>
        <w:rPr>
          <w:rFonts w:cs="Arial"/>
          <w:b/>
          <w:bCs/>
          <w:u w:val="single"/>
        </w:rPr>
      </w:pPr>
    </w:p>
    <w:p w14:paraId="2D223BD1" w14:textId="77777777" w:rsidR="00B11A69" w:rsidRDefault="00B11A69" w:rsidP="00234A71">
      <w:pPr>
        <w:spacing w:line="360" w:lineRule="auto"/>
        <w:rPr>
          <w:rFonts w:cs="Arial"/>
          <w:b/>
          <w:bCs/>
          <w:u w:val="single"/>
        </w:rPr>
      </w:pPr>
    </w:p>
    <w:p w14:paraId="4088FF96" w14:textId="77777777" w:rsidR="00B11A69" w:rsidRDefault="00B11A69" w:rsidP="00234A71">
      <w:pPr>
        <w:spacing w:line="360" w:lineRule="auto"/>
        <w:rPr>
          <w:rFonts w:cs="Arial"/>
          <w:b/>
          <w:bCs/>
          <w:u w:val="single"/>
        </w:rPr>
      </w:pPr>
    </w:p>
    <w:p w14:paraId="4548D46A" w14:textId="77777777" w:rsidR="00B11A69" w:rsidRDefault="00B11A69" w:rsidP="00234A71">
      <w:pPr>
        <w:spacing w:line="360" w:lineRule="auto"/>
        <w:rPr>
          <w:rFonts w:cs="Arial"/>
          <w:b/>
          <w:bCs/>
          <w:u w:val="single"/>
        </w:rPr>
      </w:pPr>
    </w:p>
    <w:p w14:paraId="0F36273B" w14:textId="77777777" w:rsidR="00B11A69" w:rsidRDefault="00B11A69" w:rsidP="00234A71">
      <w:pPr>
        <w:spacing w:line="360" w:lineRule="auto"/>
        <w:rPr>
          <w:rFonts w:cs="Arial"/>
          <w:b/>
          <w:bCs/>
          <w:u w:val="single"/>
        </w:rPr>
      </w:pPr>
    </w:p>
    <w:p w14:paraId="2BC8668E" w14:textId="77777777" w:rsidR="00B11A69" w:rsidRDefault="00B11A69" w:rsidP="00234A71">
      <w:pPr>
        <w:spacing w:line="360" w:lineRule="auto"/>
        <w:rPr>
          <w:rFonts w:cs="Arial"/>
          <w:b/>
          <w:bCs/>
          <w:u w:val="single"/>
        </w:rPr>
      </w:pPr>
    </w:p>
    <w:p w14:paraId="7587F4D6" w14:textId="77777777" w:rsidR="00B11A69" w:rsidRDefault="00B11A69" w:rsidP="00234A71">
      <w:pPr>
        <w:spacing w:line="360" w:lineRule="auto"/>
        <w:rPr>
          <w:rFonts w:cs="Arial"/>
          <w:b/>
          <w:bCs/>
          <w:u w:val="single"/>
        </w:rPr>
      </w:pPr>
    </w:p>
    <w:p w14:paraId="5AF67952" w14:textId="77777777" w:rsidR="00B11A69" w:rsidRDefault="00B11A69" w:rsidP="00234A71">
      <w:pPr>
        <w:spacing w:line="360" w:lineRule="auto"/>
        <w:rPr>
          <w:rFonts w:cs="Arial"/>
          <w:b/>
          <w:bCs/>
          <w:u w:val="single"/>
        </w:rPr>
      </w:pPr>
    </w:p>
    <w:p w14:paraId="58192CBF" w14:textId="77777777" w:rsidR="00B11A69" w:rsidRDefault="00B11A69" w:rsidP="00234A71">
      <w:pPr>
        <w:spacing w:line="360" w:lineRule="auto"/>
        <w:rPr>
          <w:rFonts w:cs="Arial"/>
          <w:b/>
          <w:bCs/>
          <w:u w:val="single"/>
        </w:rPr>
      </w:pPr>
    </w:p>
    <w:p w14:paraId="37253AB1" w14:textId="77777777" w:rsidR="00B11A69" w:rsidRDefault="00B11A69" w:rsidP="00234A71">
      <w:pPr>
        <w:spacing w:line="360" w:lineRule="auto"/>
        <w:rPr>
          <w:rFonts w:cs="Arial"/>
          <w:b/>
          <w:bCs/>
          <w:u w:val="single"/>
        </w:rPr>
      </w:pPr>
    </w:p>
    <w:p w14:paraId="5B9EC3ED" w14:textId="77777777" w:rsidR="00B11A69" w:rsidRDefault="00B11A69" w:rsidP="00234A71">
      <w:pPr>
        <w:spacing w:line="360" w:lineRule="auto"/>
        <w:rPr>
          <w:rFonts w:cs="Arial"/>
          <w:b/>
          <w:bCs/>
          <w:u w:val="single"/>
        </w:rPr>
      </w:pPr>
    </w:p>
    <w:p w14:paraId="4D5F5F26" w14:textId="77777777" w:rsidR="00B11A69" w:rsidRDefault="00B11A69" w:rsidP="00234A71">
      <w:pPr>
        <w:spacing w:line="360" w:lineRule="auto"/>
        <w:rPr>
          <w:rFonts w:cs="Arial"/>
          <w:b/>
          <w:bCs/>
          <w:u w:val="single"/>
        </w:rPr>
      </w:pPr>
    </w:p>
    <w:p w14:paraId="3EFDF9C8" w14:textId="77777777" w:rsidR="00B11A69" w:rsidRDefault="00B11A69" w:rsidP="00234A71">
      <w:pPr>
        <w:spacing w:line="360" w:lineRule="auto"/>
        <w:rPr>
          <w:rFonts w:cs="Arial"/>
          <w:b/>
          <w:bCs/>
          <w:u w:val="single"/>
        </w:rPr>
      </w:pPr>
    </w:p>
    <w:p w14:paraId="1B1F7314" w14:textId="77777777" w:rsidR="00B2762A" w:rsidRPr="00CB4E28" w:rsidRDefault="00B2762A" w:rsidP="00234A71">
      <w:pPr>
        <w:spacing w:line="360" w:lineRule="auto"/>
        <w:rPr>
          <w:rFonts w:cs="Arial"/>
          <w:b/>
          <w:bCs/>
          <w:u w:val="single"/>
        </w:rPr>
      </w:pPr>
    </w:p>
    <w:p w14:paraId="7EE96367" w14:textId="2C07C066" w:rsidR="00CB4E28" w:rsidRDefault="00E41EF8" w:rsidP="0039627B">
      <w:pPr>
        <w:pStyle w:val="AssignmentHeading1"/>
      </w:pPr>
      <w:bookmarkStart w:id="14" w:name="_Toc184048312"/>
      <w:r>
        <w:lastRenderedPageBreak/>
        <w:t>Performance Data</w:t>
      </w:r>
      <w:bookmarkEnd w:id="14"/>
    </w:p>
    <w:p w14:paraId="7A30A405" w14:textId="2F862A08" w:rsidR="00234A71" w:rsidRDefault="00A73A59" w:rsidP="00234A71">
      <w:pPr>
        <w:spacing w:line="360" w:lineRule="auto"/>
        <w:rPr>
          <w:rFonts w:cs="Arial"/>
          <w:b/>
          <w:bCs/>
          <w:u w:val="single"/>
        </w:rPr>
      </w:pPr>
      <w:r>
        <w:rPr>
          <w:noProof/>
        </w:rPr>
        <w:drawing>
          <wp:anchor distT="0" distB="0" distL="114300" distR="114300" simplePos="0" relativeHeight="251659264" behindDoc="1" locked="0" layoutInCell="1" allowOverlap="1" wp14:anchorId="5FCF77A8" wp14:editId="38546661">
            <wp:simplePos x="0" y="0"/>
            <wp:positionH relativeFrom="margin">
              <wp:align>left</wp:align>
            </wp:positionH>
            <wp:positionV relativeFrom="paragraph">
              <wp:posOffset>319405</wp:posOffset>
            </wp:positionV>
            <wp:extent cx="5743575" cy="2990850"/>
            <wp:effectExtent l="0" t="0" r="9525" b="0"/>
            <wp:wrapTight wrapText="bothSides">
              <wp:wrapPolygon edited="0">
                <wp:start x="0" y="0"/>
                <wp:lineTo x="0" y="21462"/>
                <wp:lineTo x="21564" y="21462"/>
                <wp:lineTo x="21564" y="0"/>
                <wp:lineTo x="0" y="0"/>
              </wp:wrapPolygon>
            </wp:wrapTight>
            <wp:docPr id="1286315187" name="Chart 1">
              <a:extLst xmlns:a="http://schemas.openxmlformats.org/drawingml/2006/main">
                <a:ext uri="{FF2B5EF4-FFF2-40B4-BE49-F238E27FC236}">
                  <a16:creationId xmlns:a16="http://schemas.microsoft.com/office/drawing/2014/main" id="{FCC035E8-C0B3-0707-CC97-6E192B9E58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6DB85D53" w14:textId="37E23970" w:rsidR="00A73A59" w:rsidRPr="00A73A59" w:rsidRDefault="00A73A59" w:rsidP="00A73A59">
      <w:pPr>
        <w:pStyle w:val="Caption"/>
        <w:jc w:val="center"/>
        <w:rPr>
          <w:rFonts w:cs="Arial"/>
          <w:b/>
          <w:bCs/>
          <w:color w:val="auto"/>
          <w:u w:val="single"/>
        </w:rPr>
      </w:pPr>
      <w:bookmarkStart w:id="15" w:name="_Toc184048350"/>
      <w:r w:rsidRPr="00A73A59">
        <w:rPr>
          <w:color w:val="auto"/>
        </w:rPr>
        <w:t xml:space="preserve">Figure </w:t>
      </w:r>
      <w:r w:rsidRPr="00A73A59">
        <w:rPr>
          <w:color w:val="auto"/>
        </w:rPr>
        <w:fldChar w:fldCharType="begin"/>
      </w:r>
      <w:r w:rsidRPr="00A73A59">
        <w:rPr>
          <w:color w:val="auto"/>
        </w:rPr>
        <w:instrText xml:space="preserve"> SEQ Figure \* ARABIC </w:instrText>
      </w:r>
      <w:r w:rsidRPr="00A73A59">
        <w:rPr>
          <w:color w:val="auto"/>
        </w:rPr>
        <w:fldChar w:fldCharType="separate"/>
      </w:r>
      <w:r w:rsidR="00132E44">
        <w:rPr>
          <w:noProof/>
          <w:color w:val="auto"/>
        </w:rPr>
        <w:t>1</w:t>
      </w:r>
      <w:r w:rsidRPr="00A73A59">
        <w:rPr>
          <w:color w:val="auto"/>
        </w:rPr>
        <w:fldChar w:fldCharType="end"/>
      </w:r>
      <w:r w:rsidRPr="00A73A59">
        <w:rPr>
          <w:color w:val="auto"/>
        </w:rPr>
        <w:t xml:space="preserve"> - Average Performance per Department (Quarter 1)</w:t>
      </w:r>
      <w:bookmarkEnd w:id="15"/>
    </w:p>
    <w:p w14:paraId="4ECDC64E" w14:textId="596D8E07" w:rsidR="00234A71" w:rsidRDefault="00D77A08" w:rsidP="00234A71">
      <w:pPr>
        <w:spacing w:line="360" w:lineRule="auto"/>
        <w:rPr>
          <w:rFonts w:cs="Arial"/>
          <w:b/>
          <w:bCs/>
          <w:u w:val="single"/>
        </w:rPr>
      </w:pPr>
      <w:r>
        <w:rPr>
          <w:noProof/>
        </w:rPr>
        <w:drawing>
          <wp:anchor distT="0" distB="0" distL="114300" distR="114300" simplePos="0" relativeHeight="251661312" behindDoc="0" locked="0" layoutInCell="1" allowOverlap="1" wp14:anchorId="44131573" wp14:editId="5AEE8346">
            <wp:simplePos x="0" y="0"/>
            <wp:positionH relativeFrom="margin">
              <wp:align>left</wp:align>
            </wp:positionH>
            <wp:positionV relativeFrom="paragraph">
              <wp:posOffset>422275</wp:posOffset>
            </wp:positionV>
            <wp:extent cx="5791200" cy="3151505"/>
            <wp:effectExtent l="0" t="0" r="0" b="10795"/>
            <wp:wrapTopAndBottom/>
            <wp:docPr id="667236510" name="Chart 1">
              <a:extLst xmlns:a="http://schemas.openxmlformats.org/drawingml/2006/main">
                <a:ext uri="{FF2B5EF4-FFF2-40B4-BE49-F238E27FC236}">
                  <a16:creationId xmlns:a16="http://schemas.microsoft.com/office/drawing/2014/main" id="{4178ED14-38DF-8190-39E1-6DCBDA062D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4AB701B9" w14:textId="77777777" w:rsidR="00D77A08" w:rsidRDefault="00D77A08" w:rsidP="00D77A08">
      <w:pPr>
        <w:pStyle w:val="Caption"/>
        <w:rPr>
          <w:rFonts w:cs="Arial"/>
          <w:b/>
          <w:bCs/>
          <w:u w:val="single"/>
        </w:rPr>
      </w:pPr>
    </w:p>
    <w:p w14:paraId="33CA48AA" w14:textId="175A41CB" w:rsidR="00234A71" w:rsidRDefault="00D77A08" w:rsidP="00D77A08">
      <w:pPr>
        <w:pStyle w:val="Caption"/>
        <w:jc w:val="center"/>
        <w:rPr>
          <w:color w:val="auto"/>
        </w:rPr>
      </w:pPr>
      <w:bookmarkStart w:id="16" w:name="_Toc184048351"/>
      <w:r w:rsidRPr="00D77A08">
        <w:rPr>
          <w:color w:val="auto"/>
        </w:rPr>
        <w:t xml:space="preserve">Figure </w:t>
      </w:r>
      <w:r w:rsidRPr="00D77A08">
        <w:rPr>
          <w:color w:val="auto"/>
        </w:rPr>
        <w:fldChar w:fldCharType="begin"/>
      </w:r>
      <w:r w:rsidRPr="00D77A08">
        <w:rPr>
          <w:color w:val="auto"/>
        </w:rPr>
        <w:instrText xml:space="preserve"> SEQ Figure \* ARABIC </w:instrText>
      </w:r>
      <w:r w:rsidRPr="00D77A08">
        <w:rPr>
          <w:color w:val="auto"/>
        </w:rPr>
        <w:fldChar w:fldCharType="separate"/>
      </w:r>
      <w:r w:rsidR="00132E44">
        <w:rPr>
          <w:noProof/>
          <w:color w:val="auto"/>
        </w:rPr>
        <w:t>2</w:t>
      </w:r>
      <w:r w:rsidRPr="00D77A08">
        <w:rPr>
          <w:color w:val="auto"/>
        </w:rPr>
        <w:fldChar w:fldCharType="end"/>
      </w:r>
      <w:r w:rsidRPr="00D77A08">
        <w:rPr>
          <w:color w:val="auto"/>
        </w:rPr>
        <w:t xml:space="preserve"> - Average Performance per Department (Quarter 2)</w:t>
      </w:r>
      <w:bookmarkEnd w:id="16"/>
    </w:p>
    <w:p w14:paraId="5792829D" w14:textId="77777777" w:rsidR="00930905" w:rsidRDefault="00930905" w:rsidP="00930905"/>
    <w:p w14:paraId="47905615" w14:textId="77777777" w:rsidR="00930905" w:rsidRDefault="00930905" w:rsidP="00930905"/>
    <w:p w14:paraId="41F326E3" w14:textId="77777777" w:rsidR="00930905" w:rsidRDefault="00930905" w:rsidP="00930905"/>
    <w:p w14:paraId="29FC940F" w14:textId="77777777" w:rsidR="00930905" w:rsidRDefault="00930905" w:rsidP="00930905">
      <w:pPr>
        <w:pStyle w:val="ListParagraph"/>
        <w:numPr>
          <w:ilvl w:val="0"/>
          <w:numId w:val="6"/>
        </w:numPr>
        <w:spacing w:line="360" w:lineRule="auto"/>
        <w:rPr>
          <w:rFonts w:cs="Arial"/>
        </w:rPr>
      </w:pPr>
      <w:r>
        <w:rPr>
          <w:rFonts w:cs="Arial"/>
        </w:rPr>
        <w:t xml:space="preserve">No performance data, concerning. Employee it’s applicable too was absent in the previous quarter, question if a proper/robust return to work was carried </w:t>
      </w:r>
      <w:r>
        <w:rPr>
          <w:rFonts w:cs="Arial"/>
        </w:rPr>
        <w:lastRenderedPageBreak/>
        <w:t>out/check in on how they’re doing. Reason for their absence is unclear but additional support potentially should’ve been provided, why has this person slipped under the net?</w:t>
      </w:r>
    </w:p>
    <w:p w14:paraId="59C8C8D5" w14:textId="77777777" w:rsidR="00930905" w:rsidRDefault="00930905" w:rsidP="00930905">
      <w:pPr>
        <w:pStyle w:val="ListParagraph"/>
        <w:numPr>
          <w:ilvl w:val="0"/>
          <w:numId w:val="6"/>
        </w:numPr>
        <w:spacing w:line="360" w:lineRule="auto"/>
        <w:rPr>
          <w:rFonts w:cs="Arial"/>
        </w:rPr>
      </w:pPr>
      <w:r>
        <w:rPr>
          <w:rFonts w:cs="Arial"/>
        </w:rPr>
        <w:t>Higher percentage of employees absent in this period</w:t>
      </w:r>
    </w:p>
    <w:p w14:paraId="06CD74DD" w14:textId="283A3532" w:rsidR="00930905" w:rsidRDefault="00930905" w:rsidP="00930905">
      <w:pPr>
        <w:pStyle w:val="ListParagraph"/>
        <w:numPr>
          <w:ilvl w:val="0"/>
          <w:numId w:val="6"/>
        </w:numPr>
        <w:spacing w:line="360" w:lineRule="auto"/>
        <w:rPr>
          <w:rFonts w:cs="Arial"/>
        </w:rPr>
      </w:pPr>
      <w:r>
        <w:rPr>
          <w:rFonts w:cs="Arial"/>
        </w:rPr>
        <w:t>Significant decrease in under performance employees across all teams, Admin team still have 9% of staff underperforming but huge improvement from 27%. Focusing on the admin team across the two quarters, overall improvement in more employees meeting KPIs, seems that those underperforming have potentially moved to not quite there yet, improvement but still not ideal. Number of outstanding employees decreased, possibly due to a heavy focus on the underperforming employees, motivation possibly wasn’t there, or the outstanding staff could’ve been assigned mentoring duties. Could possibly suggest moral issues in the team if not receiving the recognition.</w:t>
      </w:r>
    </w:p>
    <w:p w14:paraId="130901D4" w14:textId="77777777" w:rsidR="00930905" w:rsidRDefault="00930905" w:rsidP="00930905">
      <w:pPr>
        <w:spacing w:line="360" w:lineRule="auto"/>
        <w:rPr>
          <w:rFonts w:cs="Arial"/>
        </w:rPr>
      </w:pPr>
    </w:p>
    <w:p w14:paraId="5B97D6B0" w14:textId="77777777" w:rsidR="00930905" w:rsidRDefault="00930905" w:rsidP="00930905">
      <w:pPr>
        <w:spacing w:line="360" w:lineRule="auto"/>
        <w:rPr>
          <w:rFonts w:cs="Arial"/>
        </w:rPr>
      </w:pPr>
      <w:r>
        <w:rPr>
          <w:rFonts w:cs="Arial"/>
        </w:rPr>
        <w:t>Sales team are the most consistent team, 100% of staff meeting KPIs in both quarters.</w:t>
      </w:r>
    </w:p>
    <w:p w14:paraId="6B141260" w14:textId="77777777" w:rsidR="00930905" w:rsidRDefault="00930905" w:rsidP="00930905">
      <w:pPr>
        <w:spacing w:line="360" w:lineRule="auto"/>
        <w:rPr>
          <w:rFonts w:cs="Arial"/>
        </w:rPr>
      </w:pPr>
    </w:p>
    <w:p w14:paraId="7C11D10D" w14:textId="77777777" w:rsidR="00930905" w:rsidRDefault="00930905" w:rsidP="00930905">
      <w:pPr>
        <w:spacing w:line="360" w:lineRule="auto"/>
        <w:rPr>
          <w:rFonts w:cs="Arial"/>
        </w:rPr>
      </w:pPr>
      <w:r>
        <w:rPr>
          <w:rFonts w:cs="Arial"/>
        </w:rPr>
        <w:t>Research &amp; Development team have the most diversity/variation amongst the staff. Q1 saw R&amp;D having approximately 60% of their team performing at meeting KPIs/Outstanding level, with 10% not quite there yet and 30% underperforming. This dramatically improved in Q2, 50% outstanding, 10% not quite there yet and no employees underperforming. R&amp;D potentially had an influx of new staff in Q1 which could explain.</w:t>
      </w:r>
    </w:p>
    <w:p w14:paraId="528DDA61" w14:textId="77777777" w:rsidR="00930905" w:rsidRDefault="00930905" w:rsidP="00930905">
      <w:pPr>
        <w:spacing w:line="360" w:lineRule="auto"/>
        <w:rPr>
          <w:rFonts w:cs="Arial"/>
        </w:rPr>
      </w:pPr>
    </w:p>
    <w:p w14:paraId="26FFA26B" w14:textId="77777777" w:rsidR="00930905" w:rsidRDefault="00930905" w:rsidP="00930905">
      <w:pPr>
        <w:spacing w:line="360" w:lineRule="auto"/>
        <w:rPr>
          <w:rFonts w:cs="Arial"/>
        </w:rPr>
      </w:pPr>
      <w:r>
        <w:rPr>
          <w:rFonts w:cs="Arial"/>
        </w:rPr>
        <w:t>Logistics team improved from Q1 to Q2 but also remained the most consistent for the outstanding meeting KPI staff. Logistics seem to be remaining at a good level and improving in the areas needed.</w:t>
      </w:r>
    </w:p>
    <w:p w14:paraId="38069AEB" w14:textId="77777777" w:rsidR="00930905" w:rsidRDefault="00930905" w:rsidP="00930905">
      <w:pPr>
        <w:spacing w:line="360" w:lineRule="auto"/>
        <w:rPr>
          <w:rFonts w:cs="Arial"/>
        </w:rPr>
      </w:pPr>
    </w:p>
    <w:p w14:paraId="7071FE1D" w14:textId="77777777" w:rsidR="00930905" w:rsidRPr="008A3E59" w:rsidRDefault="00930905" w:rsidP="00930905">
      <w:pPr>
        <w:spacing w:line="360" w:lineRule="auto"/>
        <w:rPr>
          <w:rFonts w:cs="Arial"/>
        </w:rPr>
      </w:pPr>
      <w:r>
        <w:rPr>
          <w:rFonts w:cs="Arial"/>
        </w:rPr>
        <w:t>Absence is evident in all teams except for sales, particularly increased during Q2. There isn’t much substance to this without obtaining further data.</w:t>
      </w:r>
    </w:p>
    <w:p w14:paraId="2FA24B30" w14:textId="77777777" w:rsidR="00930905" w:rsidRDefault="00930905" w:rsidP="00930905"/>
    <w:p w14:paraId="5F991048" w14:textId="77777777" w:rsidR="00930905" w:rsidRDefault="00930905" w:rsidP="00930905"/>
    <w:p w14:paraId="76962EAE" w14:textId="77777777" w:rsidR="00930905" w:rsidRDefault="00930905" w:rsidP="00930905"/>
    <w:p w14:paraId="770ED0A7" w14:textId="77777777" w:rsidR="00930905" w:rsidRPr="00930905" w:rsidRDefault="00930905" w:rsidP="00930905"/>
    <w:p w14:paraId="0221F883" w14:textId="01BF993C" w:rsidR="00D77A08" w:rsidRDefault="000C610A" w:rsidP="000C610A">
      <w:pPr>
        <w:pStyle w:val="Caption"/>
        <w:jc w:val="center"/>
        <w:rPr>
          <w:color w:val="auto"/>
        </w:rPr>
      </w:pPr>
      <w:bookmarkStart w:id="17" w:name="_Toc184048352"/>
      <w:r w:rsidRPr="000C610A">
        <w:rPr>
          <w:color w:val="auto"/>
        </w:rPr>
        <w:lastRenderedPageBreak/>
        <w:t xml:space="preserve">Figure </w:t>
      </w:r>
      <w:r w:rsidRPr="000C610A">
        <w:rPr>
          <w:color w:val="auto"/>
        </w:rPr>
        <w:fldChar w:fldCharType="begin"/>
      </w:r>
      <w:r w:rsidRPr="000C610A">
        <w:rPr>
          <w:color w:val="auto"/>
        </w:rPr>
        <w:instrText xml:space="preserve"> SEQ Figure \* ARABIC </w:instrText>
      </w:r>
      <w:r w:rsidRPr="000C610A">
        <w:rPr>
          <w:color w:val="auto"/>
        </w:rPr>
        <w:fldChar w:fldCharType="separate"/>
      </w:r>
      <w:r w:rsidR="00132E44">
        <w:rPr>
          <w:noProof/>
          <w:color w:val="auto"/>
        </w:rPr>
        <w:t>3</w:t>
      </w:r>
      <w:r w:rsidRPr="000C610A">
        <w:rPr>
          <w:color w:val="auto"/>
        </w:rPr>
        <w:fldChar w:fldCharType="end"/>
      </w:r>
      <w:r w:rsidRPr="000C610A">
        <w:rPr>
          <w:color w:val="auto"/>
        </w:rPr>
        <w:t xml:space="preserve"> - Average Company Performance over Two Quarters</w:t>
      </w:r>
      <w:r>
        <w:rPr>
          <w:noProof/>
        </w:rPr>
        <w:drawing>
          <wp:anchor distT="0" distB="0" distL="114300" distR="114300" simplePos="0" relativeHeight="251663360" behindDoc="0" locked="0" layoutInCell="1" allowOverlap="1" wp14:anchorId="63640CE2" wp14:editId="26EF3FAE">
            <wp:simplePos x="0" y="0"/>
            <wp:positionH relativeFrom="column">
              <wp:posOffset>-371475</wp:posOffset>
            </wp:positionH>
            <wp:positionV relativeFrom="paragraph">
              <wp:posOffset>0</wp:posOffset>
            </wp:positionV>
            <wp:extent cx="6137275" cy="3340100"/>
            <wp:effectExtent l="0" t="0" r="9525" b="12700"/>
            <wp:wrapTopAndBottom/>
            <wp:docPr id="917395724" name="Chart 1">
              <a:extLst xmlns:a="http://schemas.openxmlformats.org/drawingml/2006/main">
                <a:ext uri="{FF2B5EF4-FFF2-40B4-BE49-F238E27FC236}">
                  <a16:creationId xmlns:a16="http://schemas.microsoft.com/office/drawing/2014/main" id="{F4D2DD40-25FC-A2E9-5A62-E711276247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bookmarkEnd w:id="17"/>
    </w:p>
    <w:p w14:paraId="3652165E" w14:textId="77777777" w:rsidR="004D3213" w:rsidRDefault="004D3213" w:rsidP="004D3213">
      <w:pPr>
        <w:spacing w:line="360" w:lineRule="auto"/>
        <w:rPr>
          <w:rFonts w:cs="Arial"/>
        </w:rPr>
      </w:pPr>
    </w:p>
    <w:p w14:paraId="6E333A32" w14:textId="19B0FFCD" w:rsidR="004D3213" w:rsidRDefault="004D3213" w:rsidP="004D3213">
      <w:pPr>
        <w:spacing w:line="360" w:lineRule="auto"/>
        <w:rPr>
          <w:rFonts w:cs="Arial"/>
        </w:rPr>
      </w:pPr>
      <w:r>
        <w:rPr>
          <w:rFonts w:cs="Arial"/>
        </w:rPr>
        <w:t>When looking at the company across quarter 1 and quarter 2, 69% are performing at an outstanding/Meeting KPI standard, 39% of which is outstanding performance. This is a good starting point, and it seems like they’re in a good position which the staff performing at or above what’s expected. The number of underperforming staff dramatically decreased in Q2, however absence increased in Q2 although there is no correlation between underperforming staff and absence. To generate accurate and meaningful recommendations, seeing the data from Q3 and Q4 would prove useful.</w:t>
      </w:r>
    </w:p>
    <w:p w14:paraId="3E4C7F22" w14:textId="77777777" w:rsidR="004D3213" w:rsidRDefault="004D3213" w:rsidP="004D3213">
      <w:pPr>
        <w:spacing w:line="360" w:lineRule="auto"/>
        <w:rPr>
          <w:rFonts w:cs="Arial"/>
        </w:rPr>
      </w:pPr>
    </w:p>
    <w:p w14:paraId="17B615A5" w14:textId="77777777" w:rsidR="004D3213" w:rsidRDefault="004D3213" w:rsidP="004D3213">
      <w:pPr>
        <w:spacing w:line="360" w:lineRule="auto"/>
        <w:rPr>
          <w:rFonts w:cs="Arial"/>
        </w:rPr>
      </w:pPr>
      <w:r>
        <w:rPr>
          <w:rFonts w:cs="Arial"/>
        </w:rPr>
        <w:t>However:</w:t>
      </w:r>
    </w:p>
    <w:p w14:paraId="3F6909B2" w14:textId="77777777" w:rsidR="004D3213" w:rsidRDefault="004D3213" w:rsidP="004D3213">
      <w:pPr>
        <w:spacing w:line="360" w:lineRule="auto"/>
        <w:rPr>
          <w:rFonts w:cs="Arial"/>
        </w:rPr>
      </w:pPr>
    </w:p>
    <w:p w14:paraId="3BA5D8B1" w14:textId="77777777" w:rsidR="004D3213" w:rsidRDefault="004D3213" w:rsidP="004D3213">
      <w:pPr>
        <w:spacing w:line="360" w:lineRule="auto"/>
        <w:rPr>
          <w:rFonts w:cs="Arial"/>
        </w:rPr>
      </w:pPr>
      <w:r>
        <w:rPr>
          <w:rFonts w:cs="Arial"/>
        </w:rPr>
        <w:t>Interested to know what metrics sit within these categories and what scoring matrix they use for employees. What they put in place for underperforming employees.</w:t>
      </w:r>
    </w:p>
    <w:p w14:paraId="6476CEC6" w14:textId="09B55EFD" w:rsidR="004D3213" w:rsidRDefault="004D3213" w:rsidP="004D3213">
      <w:pPr>
        <w:spacing w:line="360" w:lineRule="auto"/>
        <w:rPr>
          <w:rFonts w:cs="Arial"/>
        </w:rPr>
      </w:pPr>
      <w:r>
        <w:rPr>
          <w:rFonts w:cs="Arial"/>
        </w:rPr>
        <w:t>Very concerned about the lack of performance data for one employee</w:t>
      </w:r>
      <w:r w:rsidR="0039627B">
        <w:rPr>
          <w:rFonts w:cs="Arial"/>
        </w:rPr>
        <w:t xml:space="preserve"> – explore possible reasons.</w:t>
      </w:r>
    </w:p>
    <w:p w14:paraId="33D4D09E" w14:textId="7A9AC53F" w:rsidR="00C849D7" w:rsidRPr="00C849D7" w:rsidRDefault="00C849D7" w:rsidP="0039627B">
      <w:pPr>
        <w:pStyle w:val="AssignmentHeading1"/>
      </w:pPr>
      <w:bookmarkStart w:id="18" w:name="_Toc184048313"/>
      <w:r w:rsidRPr="00C849D7">
        <w:lastRenderedPageBreak/>
        <w:t>Bonuses</w:t>
      </w:r>
      <w:bookmarkEnd w:id="18"/>
    </w:p>
    <w:p w14:paraId="5828F661" w14:textId="5729D344" w:rsidR="00881F58" w:rsidRDefault="004D3213" w:rsidP="00881F58">
      <w:pPr>
        <w:pStyle w:val="Caption"/>
        <w:jc w:val="center"/>
        <w:rPr>
          <w:color w:val="auto"/>
        </w:rPr>
      </w:pPr>
      <w:r w:rsidRPr="00584D5F">
        <w:rPr>
          <w:rFonts w:cs="Arial"/>
          <w:noProof/>
        </w:rPr>
        <w:drawing>
          <wp:anchor distT="0" distB="0" distL="114300" distR="114300" simplePos="0" relativeHeight="251665408" behindDoc="0" locked="0" layoutInCell="1" allowOverlap="1" wp14:anchorId="72964AD4" wp14:editId="490315B2">
            <wp:simplePos x="0" y="0"/>
            <wp:positionH relativeFrom="margin">
              <wp:posOffset>-276225</wp:posOffset>
            </wp:positionH>
            <wp:positionV relativeFrom="paragraph">
              <wp:posOffset>212389</wp:posOffset>
            </wp:positionV>
            <wp:extent cx="6585585" cy="1882775"/>
            <wp:effectExtent l="0" t="0" r="5715" b="3175"/>
            <wp:wrapTopAndBottom/>
            <wp:docPr id="149914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43305" name=""/>
                    <pic:cNvPicPr/>
                  </pic:nvPicPr>
                  <pic:blipFill>
                    <a:blip r:embed="rId11"/>
                    <a:stretch>
                      <a:fillRect/>
                    </a:stretch>
                  </pic:blipFill>
                  <pic:spPr>
                    <a:xfrm>
                      <a:off x="0" y="0"/>
                      <a:ext cx="6585585" cy="1882775"/>
                    </a:xfrm>
                    <a:prstGeom prst="rect">
                      <a:avLst/>
                    </a:prstGeom>
                  </pic:spPr>
                </pic:pic>
              </a:graphicData>
            </a:graphic>
            <wp14:sizeRelH relativeFrom="page">
              <wp14:pctWidth>0</wp14:pctWidth>
            </wp14:sizeRelH>
            <wp14:sizeRelV relativeFrom="page">
              <wp14:pctHeight>0</wp14:pctHeight>
            </wp14:sizeRelV>
          </wp:anchor>
        </w:drawing>
      </w:r>
    </w:p>
    <w:p w14:paraId="0966EB6B" w14:textId="73BAC095" w:rsidR="00D77A08" w:rsidRDefault="001737AB" w:rsidP="00881F58">
      <w:pPr>
        <w:pStyle w:val="Caption"/>
        <w:jc w:val="center"/>
        <w:rPr>
          <w:color w:val="auto"/>
        </w:rPr>
      </w:pPr>
      <w:bookmarkStart w:id="19" w:name="_Toc184048320"/>
      <w:r w:rsidRPr="0052529E">
        <w:rPr>
          <w:noProof/>
          <w:color w:val="auto"/>
        </w:rPr>
        <w:drawing>
          <wp:anchor distT="0" distB="0" distL="114300" distR="114300" simplePos="0" relativeHeight="251666432" behindDoc="1" locked="0" layoutInCell="1" allowOverlap="1" wp14:anchorId="0F64D368" wp14:editId="42CD9A02">
            <wp:simplePos x="0" y="0"/>
            <wp:positionH relativeFrom="column">
              <wp:posOffset>0</wp:posOffset>
            </wp:positionH>
            <wp:positionV relativeFrom="paragraph">
              <wp:posOffset>2198968</wp:posOffset>
            </wp:positionV>
            <wp:extent cx="5727700" cy="2639695"/>
            <wp:effectExtent l="0" t="0" r="6350" b="8255"/>
            <wp:wrapTight wrapText="bothSides">
              <wp:wrapPolygon edited="0">
                <wp:start x="0" y="0"/>
                <wp:lineTo x="0" y="21512"/>
                <wp:lineTo x="21552" y="21512"/>
                <wp:lineTo x="21552" y="0"/>
                <wp:lineTo x="0" y="0"/>
              </wp:wrapPolygon>
            </wp:wrapTight>
            <wp:docPr id="1935648578" name="Chart 1">
              <a:extLst xmlns:a="http://schemas.openxmlformats.org/drawingml/2006/main">
                <a:ext uri="{FF2B5EF4-FFF2-40B4-BE49-F238E27FC236}">
                  <a16:creationId xmlns:a16="http://schemas.microsoft.com/office/drawing/2014/main" id="{C9884354-26A9-EF94-8B11-E13074CF57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881F58" w:rsidRPr="00881F58">
        <w:rPr>
          <w:color w:val="auto"/>
        </w:rPr>
        <w:t xml:space="preserve">Table </w:t>
      </w:r>
      <w:r w:rsidR="00881F58" w:rsidRPr="00881F58">
        <w:rPr>
          <w:color w:val="auto"/>
        </w:rPr>
        <w:fldChar w:fldCharType="begin"/>
      </w:r>
      <w:r w:rsidR="00881F58" w:rsidRPr="00881F58">
        <w:rPr>
          <w:color w:val="auto"/>
        </w:rPr>
        <w:instrText xml:space="preserve"> SEQ Table \* ARABIC </w:instrText>
      </w:r>
      <w:r w:rsidR="00881F58" w:rsidRPr="00881F58">
        <w:rPr>
          <w:color w:val="auto"/>
        </w:rPr>
        <w:fldChar w:fldCharType="separate"/>
      </w:r>
      <w:r w:rsidR="00881F58" w:rsidRPr="00881F58">
        <w:rPr>
          <w:noProof/>
          <w:color w:val="auto"/>
        </w:rPr>
        <w:t>1</w:t>
      </w:r>
      <w:r w:rsidR="00881F58" w:rsidRPr="00881F58">
        <w:rPr>
          <w:color w:val="auto"/>
        </w:rPr>
        <w:fldChar w:fldCharType="end"/>
      </w:r>
      <w:r w:rsidR="00881F58" w:rsidRPr="00881F58">
        <w:rPr>
          <w:color w:val="auto"/>
        </w:rPr>
        <w:t xml:space="preserve"> - Bonuses per Employee</w:t>
      </w:r>
      <w:bookmarkEnd w:id="19"/>
    </w:p>
    <w:p w14:paraId="04790E12" w14:textId="475244AB" w:rsidR="00881F58" w:rsidRDefault="00881F58" w:rsidP="00881F58"/>
    <w:p w14:paraId="2F82FC89" w14:textId="488886F4" w:rsidR="001737AB" w:rsidRDefault="0052529E" w:rsidP="0052529E">
      <w:pPr>
        <w:pStyle w:val="Caption"/>
        <w:jc w:val="center"/>
        <w:rPr>
          <w:color w:val="auto"/>
        </w:rPr>
      </w:pPr>
      <w:bookmarkStart w:id="20" w:name="_Toc184048353"/>
      <w:r w:rsidRPr="0052529E">
        <w:rPr>
          <w:color w:val="auto"/>
        </w:rPr>
        <w:t xml:space="preserve">Figure </w:t>
      </w:r>
      <w:r w:rsidRPr="0052529E">
        <w:rPr>
          <w:color w:val="auto"/>
        </w:rPr>
        <w:fldChar w:fldCharType="begin"/>
      </w:r>
      <w:r w:rsidRPr="0052529E">
        <w:rPr>
          <w:color w:val="auto"/>
        </w:rPr>
        <w:instrText xml:space="preserve"> SEQ Figure \* ARABIC </w:instrText>
      </w:r>
      <w:r w:rsidRPr="0052529E">
        <w:rPr>
          <w:color w:val="auto"/>
        </w:rPr>
        <w:fldChar w:fldCharType="separate"/>
      </w:r>
      <w:r w:rsidR="00132E44">
        <w:rPr>
          <w:noProof/>
          <w:color w:val="auto"/>
        </w:rPr>
        <w:t>4</w:t>
      </w:r>
      <w:r w:rsidRPr="0052529E">
        <w:rPr>
          <w:color w:val="auto"/>
        </w:rPr>
        <w:fldChar w:fldCharType="end"/>
      </w:r>
      <w:r w:rsidRPr="0052529E">
        <w:rPr>
          <w:color w:val="auto"/>
        </w:rPr>
        <w:t xml:space="preserve"> - Cost of Bonuses per Department, per Quarter</w:t>
      </w:r>
    </w:p>
    <w:p w14:paraId="6EE4DE7B" w14:textId="5F29477B" w:rsidR="001737AB" w:rsidRDefault="001737AB" w:rsidP="001737AB">
      <w:pPr>
        <w:pStyle w:val="Caption"/>
        <w:spacing w:line="360" w:lineRule="auto"/>
        <w:rPr>
          <w:color w:val="auto"/>
          <w:sz w:val="24"/>
          <w:szCs w:val="24"/>
        </w:rPr>
      </w:pPr>
    </w:p>
    <w:p w14:paraId="7FBB44CA" w14:textId="047D960B" w:rsidR="001737AB" w:rsidRDefault="001737AB" w:rsidP="001737AB">
      <w:pPr>
        <w:pStyle w:val="ListParagraph"/>
        <w:numPr>
          <w:ilvl w:val="0"/>
          <w:numId w:val="3"/>
        </w:numPr>
        <w:spacing w:line="360" w:lineRule="auto"/>
      </w:pPr>
      <w:r>
        <w:t xml:space="preserve">Q2 higher percentage of outstanding employees, good improvement. This would suggest the incentive of having a bonus works </w:t>
      </w:r>
      <w:r>
        <w:sym w:font="Wingdings" w:char="F0E0"/>
      </w:r>
      <w:r>
        <w:t xml:space="preserve"> extrinsic motivation</w:t>
      </w:r>
    </w:p>
    <w:p w14:paraId="3A795C65" w14:textId="51D527A9" w:rsidR="001737AB" w:rsidRPr="001737AB" w:rsidRDefault="001737AB" w:rsidP="001737AB">
      <w:pPr>
        <w:pStyle w:val="ListParagraph"/>
        <w:numPr>
          <w:ilvl w:val="0"/>
          <w:numId w:val="3"/>
        </w:numPr>
        <w:spacing w:line="360" w:lineRule="auto"/>
      </w:pPr>
      <w:r>
        <w:t>Combined approach of intrinsic and extrinsic motivation is best (Hennessey et al., 2015)</w:t>
      </w:r>
    </w:p>
    <w:bookmarkEnd w:id="20"/>
    <w:p w14:paraId="0DB850CB" w14:textId="6250F35C" w:rsidR="00881F58" w:rsidRPr="0052529E" w:rsidRDefault="00881F58" w:rsidP="0052529E">
      <w:pPr>
        <w:pStyle w:val="Caption"/>
        <w:jc w:val="center"/>
        <w:rPr>
          <w:color w:val="auto"/>
        </w:rPr>
      </w:pPr>
    </w:p>
    <w:p w14:paraId="68D74CFD" w14:textId="0CA450A6" w:rsidR="00D77A08" w:rsidRDefault="0052529E" w:rsidP="00582E7F">
      <w:r w:rsidRPr="0077761C">
        <w:rPr>
          <w:noProof/>
        </w:rPr>
        <w:lastRenderedPageBreak/>
        <mc:AlternateContent>
          <mc:Choice Requires="cx2">
            <w:drawing>
              <wp:inline distT="0" distB="0" distL="0" distR="0" wp14:anchorId="16B69D0A" wp14:editId="3FA12D4E">
                <wp:extent cx="5727700" cy="3238500"/>
                <wp:effectExtent l="0" t="0" r="6350" b="0"/>
                <wp:docPr id="1128480603" name="Chart 1">
                  <a:extLst xmlns:a="http://schemas.openxmlformats.org/drawingml/2006/main">
                    <a:ext uri="{FF2B5EF4-FFF2-40B4-BE49-F238E27FC236}">
                      <a16:creationId xmlns:a16="http://schemas.microsoft.com/office/drawing/2014/main" id="{0E9212EA-CB49-46E8-ECEA-658C355EF8C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16B69D0A" wp14:editId="3FA12D4E">
                <wp:extent cx="5727700" cy="3238500"/>
                <wp:effectExtent l="0" t="0" r="6350" b="0"/>
                <wp:docPr id="1128480603" name="Chart 1">
                  <a:extLst xmlns:a="http://schemas.openxmlformats.org/drawingml/2006/main">
                    <a:ext uri="{FF2B5EF4-FFF2-40B4-BE49-F238E27FC236}">
                      <a16:creationId xmlns:a16="http://schemas.microsoft.com/office/drawing/2014/main" id="{0E9212EA-CB49-46E8-ECEA-658C355EF8C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28480603" name="Chart 1">
                          <a:extLst>
                            <a:ext uri="{FF2B5EF4-FFF2-40B4-BE49-F238E27FC236}">
                              <a16:creationId xmlns:a16="http://schemas.microsoft.com/office/drawing/2014/main" id="{0E9212EA-CB49-46E8-ECEA-658C355EF8CC}"/>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5727700" cy="3238500"/>
                        </a:xfrm>
                        <a:prstGeom prst="rect">
                          <a:avLst/>
                        </a:prstGeom>
                      </pic:spPr>
                    </pic:pic>
                  </a:graphicData>
                </a:graphic>
              </wp:inline>
            </w:drawing>
          </mc:Fallback>
        </mc:AlternateContent>
      </w:r>
    </w:p>
    <w:p w14:paraId="7F2309DD" w14:textId="621D4BD2" w:rsidR="00D77A08" w:rsidRDefault="00132E44" w:rsidP="00132E44">
      <w:pPr>
        <w:pStyle w:val="Caption"/>
        <w:jc w:val="center"/>
        <w:rPr>
          <w:color w:val="auto"/>
        </w:rPr>
      </w:pPr>
      <w:bookmarkStart w:id="21" w:name="_Toc184048354"/>
      <w:r w:rsidRPr="00132E44">
        <w:rPr>
          <w:color w:val="auto"/>
        </w:rPr>
        <w:t xml:space="preserve">Figure </w:t>
      </w:r>
      <w:r w:rsidRPr="00132E44">
        <w:rPr>
          <w:color w:val="auto"/>
        </w:rPr>
        <w:fldChar w:fldCharType="begin"/>
      </w:r>
      <w:r w:rsidRPr="00132E44">
        <w:rPr>
          <w:color w:val="auto"/>
        </w:rPr>
        <w:instrText xml:space="preserve"> SEQ Figure \* ARABIC </w:instrText>
      </w:r>
      <w:r w:rsidRPr="00132E44">
        <w:rPr>
          <w:color w:val="auto"/>
        </w:rPr>
        <w:fldChar w:fldCharType="separate"/>
      </w:r>
      <w:r w:rsidRPr="00132E44">
        <w:rPr>
          <w:noProof/>
          <w:color w:val="auto"/>
        </w:rPr>
        <w:t>5</w:t>
      </w:r>
      <w:r w:rsidRPr="00132E44">
        <w:rPr>
          <w:color w:val="auto"/>
        </w:rPr>
        <w:fldChar w:fldCharType="end"/>
      </w:r>
      <w:r w:rsidRPr="00132E44">
        <w:rPr>
          <w:color w:val="auto"/>
        </w:rPr>
        <w:t xml:space="preserve"> - Total Cost of Bonuses</w:t>
      </w:r>
      <w:bookmarkEnd w:id="21"/>
    </w:p>
    <w:p w14:paraId="13A7140A" w14:textId="26184D20" w:rsidR="001C4A98" w:rsidRDefault="004D3213" w:rsidP="0039627B">
      <w:pPr>
        <w:pStyle w:val="AssignmentHeading1"/>
      </w:pPr>
      <w:r>
        <w:t>Survey Data</w:t>
      </w:r>
    </w:p>
    <w:p w14:paraId="5B1B769A" w14:textId="77777777" w:rsidR="004D3213" w:rsidRDefault="004D3213" w:rsidP="004D3213"/>
    <w:p w14:paraId="679B762C" w14:textId="77777777" w:rsidR="004D3213" w:rsidRDefault="004D3213" w:rsidP="004D3213">
      <w:pPr>
        <w:spacing w:line="360" w:lineRule="auto"/>
      </w:pPr>
      <w:r w:rsidRPr="004D3213">
        <w:t xml:space="preserve">Survey suggests inconsistences across the company. </w:t>
      </w:r>
    </w:p>
    <w:p w14:paraId="52117330" w14:textId="77777777" w:rsidR="004D3213" w:rsidRPr="004D3213" w:rsidRDefault="004D3213" w:rsidP="004D3213">
      <w:pPr>
        <w:spacing w:line="360" w:lineRule="auto"/>
      </w:pPr>
    </w:p>
    <w:p w14:paraId="027CE649" w14:textId="77777777" w:rsidR="004D3213" w:rsidRDefault="004D3213" w:rsidP="004D3213">
      <w:pPr>
        <w:spacing w:line="360" w:lineRule="auto"/>
      </w:pPr>
      <w:r w:rsidRPr="004D3213">
        <w:t>Suggests that employees are quite confident to report issues anonymously, difficult to filter down these issues. What now?</w:t>
      </w:r>
    </w:p>
    <w:p w14:paraId="0C9B3CF0" w14:textId="77777777" w:rsidR="004D3213" w:rsidRPr="004D3213" w:rsidRDefault="004D3213" w:rsidP="004D3213">
      <w:pPr>
        <w:spacing w:line="360" w:lineRule="auto"/>
      </w:pPr>
    </w:p>
    <w:p w14:paraId="3A7D826E" w14:textId="77777777" w:rsidR="004D3213" w:rsidRPr="004D3213" w:rsidRDefault="004D3213" w:rsidP="004D3213">
      <w:pPr>
        <w:spacing w:line="360" w:lineRule="auto"/>
      </w:pPr>
      <w:r w:rsidRPr="004D3213">
        <w:t>different teams have different expectations workloads, inconsistencies in performance management and delivery from line manger which means inconsistencies across company with morale, motivation, and standard of work.</w:t>
      </w:r>
    </w:p>
    <w:p w14:paraId="7C018C1E" w14:textId="77777777" w:rsidR="004D3213" w:rsidRPr="004D3213" w:rsidRDefault="004D3213" w:rsidP="004D3213">
      <w:pPr>
        <w:spacing w:line="360" w:lineRule="auto"/>
      </w:pPr>
    </w:p>
    <w:p w14:paraId="62694778" w14:textId="77777777" w:rsidR="004D3213" w:rsidRPr="004D3213" w:rsidRDefault="004D3213" w:rsidP="004D3213">
      <w:pPr>
        <w:spacing w:line="360" w:lineRule="auto"/>
      </w:pPr>
      <w:r w:rsidRPr="004D3213">
        <w:t>Seems that management is poor from employee perspective,</w:t>
      </w:r>
    </w:p>
    <w:p w14:paraId="7BE7A812" w14:textId="77777777" w:rsidR="004D3213" w:rsidRPr="004D3213" w:rsidRDefault="004D3213" w:rsidP="004D3213">
      <w:pPr>
        <w:spacing w:line="360" w:lineRule="auto"/>
      </w:pPr>
      <w:r w:rsidRPr="004D3213">
        <w:t>Managers’ perspective been thrown in with little guidance or training. Is there a HR department? What are they enforcing?</w:t>
      </w:r>
    </w:p>
    <w:p w14:paraId="0127C6CF" w14:textId="77777777" w:rsidR="004D3213" w:rsidRPr="004D3213" w:rsidRDefault="004D3213" w:rsidP="004D3213">
      <w:pPr>
        <w:spacing w:line="360" w:lineRule="auto"/>
      </w:pPr>
    </w:p>
    <w:p w14:paraId="6E02A7DF" w14:textId="77777777" w:rsidR="004D3213" w:rsidRDefault="004D3213" w:rsidP="004D3213">
      <w:pPr>
        <w:spacing w:line="360" w:lineRule="auto"/>
      </w:pPr>
      <w:r w:rsidRPr="004D3213">
        <w:t>Leadership style is suggested to be the usual/typical organisational hierarchical style. Managers left to get on with it with little support, can negatively infiltrate among staff at the bottom of the structure.</w:t>
      </w:r>
    </w:p>
    <w:p w14:paraId="2555CCB8" w14:textId="77777777" w:rsidR="004D3213" w:rsidRPr="004D3213" w:rsidRDefault="004D3213" w:rsidP="004D3213"/>
    <w:p w14:paraId="3F53B81E" w14:textId="0D3C2E0F" w:rsidR="001C4A98" w:rsidRDefault="001C4A98" w:rsidP="0039627B">
      <w:pPr>
        <w:pStyle w:val="AssignmentHeading1"/>
      </w:pPr>
      <w:r>
        <w:lastRenderedPageBreak/>
        <w:t>Recommendations</w:t>
      </w:r>
    </w:p>
    <w:p w14:paraId="01B4A059" w14:textId="77777777" w:rsidR="004D3213" w:rsidRDefault="004D3213" w:rsidP="00187817">
      <w:pPr>
        <w:spacing w:line="360" w:lineRule="auto"/>
      </w:pPr>
    </w:p>
    <w:p w14:paraId="4AC39246" w14:textId="6488BEA6" w:rsidR="001C4A98" w:rsidRDefault="001C4A98" w:rsidP="00187817">
      <w:pPr>
        <w:spacing w:line="360" w:lineRule="auto"/>
      </w:pPr>
      <w:r>
        <w:t>De bono</w:t>
      </w:r>
      <w:r w:rsidR="00187817">
        <w:t xml:space="preserve"> increases the goal of </w:t>
      </w:r>
      <w:r w:rsidR="00D9756E">
        <w:t>self-development</w:t>
      </w:r>
      <w:r w:rsidR="00187817">
        <w:t xml:space="preserve"> and trains employees to think creatively. Additionally, using this method helps employees feel certain they’re making the greatest and most ethical decision for themselves and the organisation (Stoilkov, 2023).</w:t>
      </w:r>
    </w:p>
    <w:p w14:paraId="2A61B821" w14:textId="77777777" w:rsidR="00E533CE" w:rsidRDefault="00E533CE" w:rsidP="00187817">
      <w:pPr>
        <w:spacing w:line="360" w:lineRule="auto"/>
      </w:pPr>
    </w:p>
    <w:p w14:paraId="5D27862A" w14:textId="77777777" w:rsidR="00E533CE" w:rsidRDefault="00E533CE" w:rsidP="00E533CE">
      <w:pPr>
        <w:spacing w:line="360" w:lineRule="auto"/>
        <w:rPr>
          <w:rFonts w:cs="Arial"/>
        </w:rPr>
      </w:pPr>
      <w:r>
        <w:rPr>
          <w:rFonts w:cs="Arial"/>
        </w:rPr>
        <w:t>Greenwood (2002) explored the concepts of ‘hard’ and ‘soft’ HRM in the context of ethical practice, whereby ‘hard’ HRM means employees are viewed instrumentally as means to achieve the organisations goals.</w:t>
      </w:r>
    </w:p>
    <w:p w14:paraId="45E429E1" w14:textId="77777777" w:rsidR="00E533CE" w:rsidRDefault="00E533CE" w:rsidP="001737AB">
      <w:pPr>
        <w:spacing w:line="360" w:lineRule="auto"/>
      </w:pPr>
    </w:p>
    <w:p w14:paraId="7E19AEA2" w14:textId="4753D130" w:rsidR="001737AB" w:rsidRDefault="001737AB" w:rsidP="001737AB">
      <w:pPr>
        <w:pStyle w:val="ListParagraph"/>
        <w:numPr>
          <w:ilvl w:val="0"/>
          <w:numId w:val="5"/>
        </w:numPr>
        <w:spacing w:line="360" w:lineRule="auto"/>
      </w:pPr>
      <w:r>
        <w:t>Relationship between pay and performance is widely debated, can demotivate. Pay is not the only motivator for employees and may not be the most important one (CIPD, 2024d)</w:t>
      </w:r>
    </w:p>
    <w:p w14:paraId="1D2660CB" w14:textId="436FC5CA" w:rsidR="00077C14" w:rsidRDefault="00077C14" w:rsidP="00077C14">
      <w:pPr>
        <w:pStyle w:val="ListParagraph"/>
        <w:numPr>
          <w:ilvl w:val="1"/>
          <w:numId w:val="5"/>
        </w:numPr>
        <w:spacing w:line="360" w:lineRule="auto"/>
      </w:pPr>
      <w:r>
        <w:t xml:space="preserve">Can motivate high achievers but demotivate core performers </w:t>
      </w:r>
      <w:r>
        <w:sym w:font="Wingdings" w:char="F0E0"/>
      </w:r>
      <w:r>
        <w:t xml:space="preserve"> what is needed to achieve outstanding performance?</w:t>
      </w:r>
      <w:r w:rsidR="00E03B92">
        <w:t xml:space="preserve"> Burn out?</w:t>
      </w:r>
    </w:p>
    <w:p w14:paraId="0035B2D4" w14:textId="33AA3EA6" w:rsidR="00077C14" w:rsidRDefault="00077C14" w:rsidP="001737AB">
      <w:pPr>
        <w:pStyle w:val="ListParagraph"/>
        <w:numPr>
          <w:ilvl w:val="0"/>
          <w:numId w:val="5"/>
        </w:numPr>
        <w:spacing w:line="360" w:lineRule="auto"/>
      </w:pPr>
      <w:r>
        <w:t>No single best approach to performance management – integrates various factors and activities</w:t>
      </w:r>
      <w:r w:rsidR="00F72F38">
        <w:t xml:space="preserve"> (CIPD, 2024e)</w:t>
      </w:r>
    </w:p>
    <w:p w14:paraId="173DAC60" w14:textId="3B9FA60E" w:rsidR="00F72F38" w:rsidRDefault="00F72F38" w:rsidP="001737AB">
      <w:pPr>
        <w:pStyle w:val="ListParagraph"/>
        <w:numPr>
          <w:ilvl w:val="0"/>
          <w:numId w:val="5"/>
        </w:numPr>
        <w:spacing w:line="360" w:lineRule="auto"/>
      </w:pPr>
      <w:r>
        <w:t>People are the greatest creators of organisation value. Effective management critical (CIPD, 2024e)</w:t>
      </w:r>
    </w:p>
    <w:p w14:paraId="2E943FBB" w14:textId="16F0D878" w:rsidR="00F72F38" w:rsidRDefault="00F72F38" w:rsidP="001737AB">
      <w:pPr>
        <w:pStyle w:val="ListParagraph"/>
        <w:numPr>
          <w:ilvl w:val="0"/>
          <w:numId w:val="5"/>
        </w:numPr>
        <w:spacing w:line="360" w:lineRule="auto"/>
      </w:pPr>
      <w:r>
        <w:t>Two-way regular discussion, open supportive feedback. Aims and objectives for employees.</w:t>
      </w:r>
      <w:r w:rsidR="00365102">
        <w:t xml:space="preserve"> Formal processes in place to record objectives and periodic performance reviews/performance plans. 3 types of performance.</w:t>
      </w:r>
    </w:p>
    <w:p w14:paraId="7C9E5C45" w14:textId="1852310C" w:rsidR="00365102" w:rsidRDefault="00365102" w:rsidP="001737AB">
      <w:pPr>
        <w:pStyle w:val="ListParagraph"/>
        <w:numPr>
          <w:ilvl w:val="0"/>
          <w:numId w:val="5"/>
        </w:numPr>
        <w:spacing w:line="360" w:lineRule="auto"/>
      </w:pPr>
      <w:r>
        <w:t>CIPD (2016) need to be clear on reasons for performance review, is it developmental or administrative?</w:t>
      </w:r>
    </w:p>
    <w:p w14:paraId="42E5C8D1" w14:textId="21B018F6" w:rsidR="00365102" w:rsidRDefault="00365102" w:rsidP="001737AB">
      <w:pPr>
        <w:pStyle w:val="ListParagraph"/>
        <w:numPr>
          <w:ilvl w:val="0"/>
          <w:numId w:val="5"/>
        </w:numPr>
        <w:spacing w:line="360" w:lineRule="auto"/>
      </w:pPr>
      <w:r>
        <w:t>CIPD (2022a) lots of evidence to suggest that performance feedback is positive but can be detrimental when it’s not done correctly.</w:t>
      </w:r>
    </w:p>
    <w:p w14:paraId="095215FD" w14:textId="794F9D79" w:rsidR="00365102" w:rsidRDefault="00365102" w:rsidP="00365102">
      <w:pPr>
        <w:pStyle w:val="ListParagraph"/>
        <w:numPr>
          <w:ilvl w:val="1"/>
          <w:numId w:val="5"/>
        </w:numPr>
        <w:spacing w:line="360" w:lineRule="auto"/>
      </w:pPr>
      <w:r>
        <w:t>Managers need to communicate how information was gathered, highlighting why it’s been done, ensure consistency, accuracy across team.</w:t>
      </w:r>
    </w:p>
    <w:p w14:paraId="3C9A83EC" w14:textId="62BCB34A" w:rsidR="00365102" w:rsidRDefault="00D9756E" w:rsidP="00365102">
      <w:pPr>
        <w:pStyle w:val="ListParagraph"/>
        <w:numPr>
          <w:ilvl w:val="1"/>
          <w:numId w:val="5"/>
        </w:numPr>
        <w:spacing w:line="360" w:lineRule="auto"/>
      </w:pPr>
      <w:r>
        <w:t>Often,</w:t>
      </w:r>
      <w:r w:rsidR="00365102">
        <w:t xml:space="preserve"> it’s not the actions that are incorrect but the quality of these actions</w:t>
      </w:r>
    </w:p>
    <w:p w14:paraId="390FC406" w14:textId="59588836" w:rsidR="00365102" w:rsidRDefault="00365102" w:rsidP="00365102">
      <w:pPr>
        <w:pStyle w:val="ListParagraph"/>
        <w:numPr>
          <w:ilvl w:val="0"/>
          <w:numId w:val="5"/>
        </w:numPr>
        <w:spacing w:line="360" w:lineRule="auto"/>
      </w:pPr>
      <w:r>
        <w:t xml:space="preserve">CIPD (2022b) employee performance is one of the most important outcomes </w:t>
      </w:r>
      <w:r>
        <w:sym w:font="Wingdings" w:char="F0E0"/>
      </w:r>
      <w:r>
        <w:t xml:space="preserve"> used to set objects for employees to motivate and used to inform decisions</w:t>
      </w:r>
    </w:p>
    <w:p w14:paraId="1433E6A1" w14:textId="64B4352D" w:rsidR="00365102" w:rsidRDefault="00365102" w:rsidP="00365102">
      <w:pPr>
        <w:pStyle w:val="ListParagraph"/>
        <w:numPr>
          <w:ilvl w:val="0"/>
          <w:numId w:val="5"/>
        </w:numPr>
        <w:spacing w:line="360" w:lineRule="auto"/>
      </w:pPr>
      <w:r>
        <w:lastRenderedPageBreak/>
        <w:t>Gould-Williams (2003) HR shapes employee behaviours and attitudes through systems thar are implemented – psychological links between organisational and employee goals. Implicit commitment? Emotional attachment?</w:t>
      </w:r>
    </w:p>
    <w:p w14:paraId="01A5D502" w14:textId="50FAE266" w:rsidR="00365102" w:rsidRDefault="00365102" w:rsidP="00365102">
      <w:pPr>
        <w:pStyle w:val="ListParagraph"/>
        <w:numPr>
          <w:ilvl w:val="1"/>
          <w:numId w:val="5"/>
        </w:numPr>
        <w:spacing w:line="360" w:lineRule="auto"/>
      </w:pPr>
      <w:r>
        <w:t xml:space="preserve">Lack of trust </w:t>
      </w:r>
      <w:r>
        <w:sym w:font="Wingdings" w:char="F0E0"/>
      </w:r>
      <w:r>
        <w:t xml:space="preserve"> detriment caused</w:t>
      </w:r>
    </w:p>
    <w:p w14:paraId="0CC1E069" w14:textId="076C7BE1" w:rsidR="00365102" w:rsidRDefault="00365102" w:rsidP="00365102">
      <w:pPr>
        <w:pStyle w:val="ListParagraph"/>
        <w:numPr>
          <w:ilvl w:val="0"/>
          <w:numId w:val="5"/>
        </w:numPr>
        <w:spacing w:line="360" w:lineRule="auto"/>
      </w:pPr>
      <w:r>
        <w:t>Open communication culture</w:t>
      </w:r>
    </w:p>
    <w:p w14:paraId="0C2EDFEB" w14:textId="0C8CC77A" w:rsidR="00365102" w:rsidRDefault="00365102" w:rsidP="00365102">
      <w:pPr>
        <w:pStyle w:val="ListParagraph"/>
        <w:numPr>
          <w:ilvl w:val="0"/>
          <w:numId w:val="5"/>
        </w:numPr>
        <w:spacing w:line="360" w:lineRule="auto"/>
      </w:pPr>
      <w:r>
        <w:t>Leadership recognition, managerial performance reviews</w:t>
      </w:r>
    </w:p>
    <w:p w14:paraId="52C29F07" w14:textId="6681E694" w:rsidR="00365102" w:rsidRDefault="00365102" w:rsidP="00365102">
      <w:pPr>
        <w:pStyle w:val="ListParagraph"/>
        <w:numPr>
          <w:ilvl w:val="0"/>
          <w:numId w:val="5"/>
        </w:numPr>
        <w:spacing w:line="360" w:lineRule="auto"/>
      </w:pPr>
      <w:r>
        <w:t>“</w:t>
      </w:r>
      <w:r w:rsidR="00D9756E">
        <w:t>Monitor</w:t>
      </w:r>
      <w:r>
        <w:t xml:space="preserve"> and adjust”</w:t>
      </w:r>
    </w:p>
    <w:p w14:paraId="79EE4014" w14:textId="32210438" w:rsidR="005B743B" w:rsidRDefault="005B743B" w:rsidP="00365102">
      <w:pPr>
        <w:pStyle w:val="ListParagraph"/>
        <w:numPr>
          <w:ilvl w:val="0"/>
          <w:numId w:val="5"/>
        </w:numPr>
        <w:spacing w:line="360" w:lineRule="auto"/>
      </w:pPr>
      <w:r>
        <w:t>Peer learning, more HR input?</w:t>
      </w:r>
    </w:p>
    <w:p w14:paraId="0C39664B" w14:textId="25DEFA6F" w:rsidR="004D3213" w:rsidRPr="004D3213" w:rsidRDefault="004D3213" w:rsidP="00365102">
      <w:pPr>
        <w:pStyle w:val="ListParagraph"/>
        <w:numPr>
          <w:ilvl w:val="0"/>
          <w:numId w:val="5"/>
        </w:numPr>
        <w:spacing w:line="360" w:lineRule="auto"/>
        <w:rPr>
          <w:b/>
          <w:bCs/>
        </w:rPr>
      </w:pPr>
      <w:r w:rsidRPr="004D3213">
        <w:rPr>
          <w:b/>
          <w:bCs/>
        </w:rPr>
        <w:t>Defining the manager’s role</w:t>
      </w:r>
      <w:r>
        <w:rPr>
          <w:b/>
          <w:bCs/>
        </w:rPr>
        <w:t xml:space="preserve"> </w:t>
      </w:r>
      <w:r>
        <w:t>lapse in communicating what’s expected of them</w:t>
      </w:r>
    </w:p>
    <w:p w14:paraId="3085D01A" w14:textId="49157211" w:rsidR="004D3213" w:rsidRPr="004D3213" w:rsidRDefault="004D3213" w:rsidP="00365102">
      <w:pPr>
        <w:pStyle w:val="ListParagraph"/>
        <w:numPr>
          <w:ilvl w:val="0"/>
          <w:numId w:val="5"/>
        </w:numPr>
        <w:spacing w:line="360" w:lineRule="auto"/>
        <w:rPr>
          <w:b/>
          <w:bCs/>
        </w:rPr>
      </w:pPr>
      <w:r>
        <w:rPr>
          <w:b/>
          <w:bCs/>
        </w:rPr>
        <w:t>Targeted manager training</w:t>
      </w:r>
      <w:r>
        <w:t xml:space="preserve"> </w:t>
      </w:r>
      <w:r>
        <w:sym w:font="Wingdings" w:char="F0E0"/>
      </w:r>
      <w:r>
        <w:t xml:space="preserve"> conflict resolution and emotional intelligence seem like key areas</w:t>
      </w:r>
    </w:p>
    <w:p w14:paraId="3BDA3461" w14:textId="47740EE2" w:rsidR="00D77A08" w:rsidRDefault="00D77A08" w:rsidP="0039627B">
      <w:pPr>
        <w:pStyle w:val="AssignmentHeading1"/>
      </w:pPr>
    </w:p>
    <w:p w14:paraId="67CD578A" w14:textId="56A141F6" w:rsidR="00D77A08" w:rsidRDefault="00D77A08" w:rsidP="0039627B">
      <w:pPr>
        <w:pStyle w:val="AssignmentHeading1"/>
      </w:pPr>
    </w:p>
    <w:p w14:paraId="74CCE5E2" w14:textId="77777777" w:rsidR="00D77A08" w:rsidRDefault="00D77A08" w:rsidP="0039627B">
      <w:pPr>
        <w:pStyle w:val="AssignmentHeading1"/>
      </w:pPr>
    </w:p>
    <w:p w14:paraId="4235556A" w14:textId="77777777" w:rsidR="00D77A08" w:rsidRDefault="00D77A08" w:rsidP="0039627B">
      <w:pPr>
        <w:pStyle w:val="AssignmentHeading1"/>
      </w:pPr>
    </w:p>
    <w:p w14:paraId="7F3B6F31" w14:textId="34A17618" w:rsidR="00D77A08" w:rsidRDefault="00D77A08" w:rsidP="0039627B">
      <w:pPr>
        <w:pStyle w:val="AssignmentHeading1"/>
      </w:pPr>
    </w:p>
    <w:p w14:paraId="0B273941" w14:textId="77777777" w:rsidR="00D77A08" w:rsidRDefault="00D77A08" w:rsidP="0039627B">
      <w:pPr>
        <w:pStyle w:val="AssignmentHeading1"/>
      </w:pPr>
    </w:p>
    <w:p w14:paraId="07E90EFC" w14:textId="77777777" w:rsidR="00D77A08" w:rsidRDefault="00D77A08" w:rsidP="0039627B">
      <w:pPr>
        <w:pStyle w:val="AssignmentHeading1"/>
      </w:pPr>
    </w:p>
    <w:p w14:paraId="30ACB8DF" w14:textId="77777777" w:rsidR="00D77A08" w:rsidRDefault="00D77A08" w:rsidP="0039627B">
      <w:pPr>
        <w:pStyle w:val="AssignmentHeading1"/>
      </w:pPr>
    </w:p>
    <w:p w14:paraId="5A834025" w14:textId="77777777" w:rsidR="00D77A08" w:rsidRDefault="00D77A08" w:rsidP="0039627B">
      <w:pPr>
        <w:pStyle w:val="AssignmentHeading1"/>
      </w:pPr>
    </w:p>
    <w:p w14:paraId="64F47719" w14:textId="77777777" w:rsidR="00D77A08" w:rsidRDefault="00D77A08" w:rsidP="0039627B">
      <w:pPr>
        <w:pStyle w:val="AssignmentHeading1"/>
      </w:pPr>
    </w:p>
    <w:p w14:paraId="750317CF" w14:textId="77777777" w:rsidR="00D77A08" w:rsidRDefault="00D77A08" w:rsidP="0039627B">
      <w:pPr>
        <w:pStyle w:val="AssignmentHeading1"/>
      </w:pPr>
    </w:p>
    <w:p w14:paraId="533A616C" w14:textId="77777777" w:rsidR="00D77A08" w:rsidRDefault="00D77A08" w:rsidP="0039627B">
      <w:pPr>
        <w:pStyle w:val="AssignmentHeading1"/>
      </w:pPr>
    </w:p>
    <w:p w14:paraId="179B5F1A" w14:textId="77777777" w:rsidR="00D77A08" w:rsidRDefault="00D77A08" w:rsidP="0039627B">
      <w:pPr>
        <w:pStyle w:val="AssignmentHeading1"/>
      </w:pPr>
    </w:p>
    <w:p w14:paraId="04E840EC" w14:textId="77777777" w:rsidR="00D77A08" w:rsidRDefault="00D77A08" w:rsidP="0039627B">
      <w:pPr>
        <w:pStyle w:val="AssignmentHeading1"/>
      </w:pPr>
    </w:p>
    <w:p w14:paraId="31774199" w14:textId="77777777" w:rsidR="00D77A08" w:rsidRDefault="00D77A08" w:rsidP="0039627B">
      <w:pPr>
        <w:pStyle w:val="AssignmentHeading1"/>
      </w:pPr>
    </w:p>
    <w:p w14:paraId="26202219" w14:textId="77777777" w:rsidR="00D77A08" w:rsidRDefault="00D77A08" w:rsidP="0039627B">
      <w:pPr>
        <w:pStyle w:val="AssignmentHeading1"/>
      </w:pPr>
    </w:p>
    <w:p w14:paraId="339BC909" w14:textId="77777777" w:rsidR="00132E44" w:rsidRDefault="00132E44" w:rsidP="00132E44"/>
    <w:p w14:paraId="07036411" w14:textId="77777777" w:rsidR="00132E44" w:rsidRDefault="00132E44" w:rsidP="00132E44"/>
    <w:p w14:paraId="53D1A4F5" w14:textId="77777777" w:rsidR="00132E44" w:rsidRDefault="00132E44" w:rsidP="00132E44"/>
    <w:p w14:paraId="49A97F3A" w14:textId="77777777" w:rsidR="00132E44" w:rsidRDefault="00132E44" w:rsidP="00132E44"/>
    <w:p w14:paraId="5DCC9B86" w14:textId="77777777" w:rsidR="00132E44" w:rsidRDefault="00132E44" w:rsidP="00132E44"/>
    <w:p w14:paraId="33549F6B" w14:textId="77777777" w:rsidR="00132E44" w:rsidRDefault="00132E44" w:rsidP="00132E44"/>
    <w:p w14:paraId="263F8634" w14:textId="77777777" w:rsidR="00132E44" w:rsidRDefault="00132E44" w:rsidP="00132E44"/>
    <w:p w14:paraId="68E2EC35" w14:textId="77777777" w:rsidR="00132E44" w:rsidRDefault="00132E44" w:rsidP="00132E44"/>
    <w:p w14:paraId="02BC40A1" w14:textId="77777777" w:rsidR="00132E44" w:rsidRPr="00132E44" w:rsidRDefault="00132E44" w:rsidP="00132E44"/>
    <w:p w14:paraId="2CEE2B4B" w14:textId="471C5CC7" w:rsidR="00234A71" w:rsidRDefault="00D96BB0" w:rsidP="0039627B">
      <w:pPr>
        <w:pStyle w:val="AssignmentHeading1"/>
      </w:pPr>
      <w:bookmarkStart w:id="22" w:name="_Toc184048314"/>
      <w:r>
        <w:lastRenderedPageBreak/>
        <w:t>Bibliography</w:t>
      </w:r>
      <w:bookmarkEnd w:id="22"/>
    </w:p>
    <w:p w14:paraId="47414213" w14:textId="77777777" w:rsidR="00DE5107" w:rsidRDefault="00DE5107" w:rsidP="00DE5107"/>
    <w:p w14:paraId="1E0EDA35" w14:textId="168B9308" w:rsidR="00CA6117" w:rsidRDefault="00CA6117" w:rsidP="00CA6117">
      <w:pPr>
        <w:spacing w:line="360" w:lineRule="auto"/>
      </w:pPr>
      <w:r w:rsidRPr="00CA6117">
        <w:t xml:space="preserve">Alexander, L. and Moore, M. (2020) </w:t>
      </w:r>
      <w:r w:rsidRPr="00CA6117">
        <w:rPr>
          <w:i/>
          <w:iCs/>
        </w:rPr>
        <w:t>Deontological ethics</w:t>
      </w:r>
      <w:r w:rsidRPr="00CA6117">
        <w:t xml:space="preserve">, </w:t>
      </w:r>
      <w:r w:rsidRPr="00CA6117">
        <w:rPr>
          <w:i/>
          <w:iCs/>
        </w:rPr>
        <w:t xml:space="preserve">Stanford </w:t>
      </w:r>
      <w:r w:rsidR="00D9756E" w:rsidRPr="00CA6117">
        <w:rPr>
          <w:i/>
          <w:iCs/>
        </w:rPr>
        <w:t>Encyclopaedia</w:t>
      </w:r>
      <w:r w:rsidRPr="00CA6117">
        <w:rPr>
          <w:i/>
          <w:iCs/>
        </w:rPr>
        <w:t xml:space="preserve"> of Philosophy</w:t>
      </w:r>
      <w:r w:rsidRPr="00CA6117">
        <w:t xml:space="preserve">. Available at: https://plato.stanford.edu/archives/win2021/entries/ethics-deontological/ (Accessed: 02 December 2024). </w:t>
      </w:r>
    </w:p>
    <w:p w14:paraId="6B7F82EF" w14:textId="77777777" w:rsidR="00346C37" w:rsidRDefault="00346C37" w:rsidP="00CA6117">
      <w:pPr>
        <w:spacing w:line="360" w:lineRule="auto"/>
      </w:pPr>
    </w:p>
    <w:p w14:paraId="37B88276" w14:textId="77777777" w:rsidR="00346C37" w:rsidRDefault="00346C37" w:rsidP="00346C37">
      <w:pPr>
        <w:spacing w:line="360" w:lineRule="auto"/>
      </w:pPr>
      <w:r w:rsidRPr="00346C37">
        <w:t xml:space="preserve">Aslam, H.D. </w:t>
      </w:r>
      <w:r w:rsidRPr="00346C37">
        <w:rPr>
          <w:i/>
          <w:iCs/>
        </w:rPr>
        <w:t>et al.</w:t>
      </w:r>
      <w:r w:rsidRPr="00346C37">
        <w:t xml:space="preserve"> (2014) ‘Importance of Human Resource Management in 21st Century: A theoretical perspective’, </w:t>
      </w:r>
      <w:r w:rsidRPr="00346C37">
        <w:rPr>
          <w:i/>
          <w:iCs/>
        </w:rPr>
        <w:t>International Journal of Human Resource Studies</w:t>
      </w:r>
      <w:r w:rsidRPr="00346C37">
        <w:t xml:space="preserve">, 3(3). doi:10.5296/ijhrs.v3i3.6255. </w:t>
      </w:r>
    </w:p>
    <w:p w14:paraId="00757F99" w14:textId="77777777" w:rsidR="00D82EF0" w:rsidRDefault="00D82EF0" w:rsidP="00346C37">
      <w:pPr>
        <w:spacing w:line="360" w:lineRule="auto"/>
      </w:pPr>
    </w:p>
    <w:p w14:paraId="1E5754B3" w14:textId="7F5EAAD8" w:rsidR="00D82EF0" w:rsidRPr="00346C37" w:rsidRDefault="00D82EF0" w:rsidP="00346C37">
      <w:pPr>
        <w:spacing w:line="360" w:lineRule="auto"/>
      </w:pPr>
      <w:r w:rsidRPr="00D82EF0">
        <w:t xml:space="preserve">Bartram, F. (2024) </w:t>
      </w:r>
      <w:r w:rsidRPr="00D82EF0">
        <w:rPr>
          <w:i/>
          <w:iCs/>
        </w:rPr>
        <w:t>HR statistics, Trends &amp; Data: Ultimate list 2024</w:t>
      </w:r>
      <w:r w:rsidRPr="00D82EF0">
        <w:t xml:space="preserve">, </w:t>
      </w:r>
      <w:r w:rsidRPr="00D82EF0">
        <w:rPr>
          <w:i/>
          <w:iCs/>
        </w:rPr>
        <w:t>People Managing People</w:t>
      </w:r>
      <w:r w:rsidRPr="00D82EF0">
        <w:t xml:space="preserve">. Available at: https://peoplemanagingpeople.com/personal-development/hr-career/hr-statistics/ (Accessed: 02 December 2024). </w:t>
      </w:r>
    </w:p>
    <w:p w14:paraId="6C467B3B" w14:textId="77777777" w:rsidR="00CA6117" w:rsidRDefault="00CA6117" w:rsidP="007A095E">
      <w:pPr>
        <w:spacing w:line="360" w:lineRule="auto"/>
      </w:pPr>
    </w:p>
    <w:p w14:paraId="0E2C5B43" w14:textId="43A000AB" w:rsidR="007A095E" w:rsidRDefault="007A095E" w:rsidP="007A095E">
      <w:pPr>
        <w:spacing w:line="360" w:lineRule="auto"/>
      </w:pPr>
      <w:r w:rsidRPr="007A095E">
        <w:t xml:space="preserve">Christensen Hughes, J. and Rog, E. (2008) ‘Talent management’, </w:t>
      </w:r>
      <w:r w:rsidRPr="007A095E">
        <w:rPr>
          <w:i/>
          <w:iCs/>
        </w:rPr>
        <w:t>International Journal of Contemporary Hospitality Management</w:t>
      </w:r>
      <w:r w:rsidRPr="007A095E">
        <w:t xml:space="preserve">, 20(7), pp. 743–757. doi:10.1108/09596110810899086. </w:t>
      </w:r>
    </w:p>
    <w:p w14:paraId="5513DCF1" w14:textId="77777777" w:rsidR="00421B2D" w:rsidRDefault="00421B2D" w:rsidP="007A095E">
      <w:pPr>
        <w:spacing w:line="360" w:lineRule="auto"/>
      </w:pPr>
    </w:p>
    <w:p w14:paraId="6363CF5E" w14:textId="1D0AF88E" w:rsidR="00421B2D" w:rsidRPr="00421B2D" w:rsidRDefault="00421B2D" w:rsidP="00421B2D">
      <w:pPr>
        <w:spacing w:line="360" w:lineRule="auto"/>
      </w:pPr>
      <w:r w:rsidRPr="00421B2D">
        <w:t>CIPD (2024</w:t>
      </w:r>
      <w:r w:rsidR="003F531F">
        <w:t>c</w:t>
      </w:r>
      <w:r w:rsidRPr="00421B2D">
        <w:t xml:space="preserve">) </w:t>
      </w:r>
      <w:r w:rsidRPr="00421B2D">
        <w:rPr>
          <w:i/>
          <w:iCs/>
        </w:rPr>
        <w:t>Ethical practice and the role of people professionals: Factsheets</w:t>
      </w:r>
      <w:r w:rsidRPr="00421B2D">
        <w:t xml:space="preserve">, </w:t>
      </w:r>
      <w:r w:rsidRPr="00421B2D">
        <w:rPr>
          <w:i/>
          <w:iCs/>
        </w:rPr>
        <w:t>CIPD</w:t>
      </w:r>
      <w:r w:rsidRPr="00421B2D">
        <w:t xml:space="preserve">. Available at: https://www.cipd.org/uk/knowledge/factsheets/ethics-role-hr-factsheet/#what-is-ethical-practice-in-organisations (Accessed: 01 December 2024). </w:t>
      </w:r>
    </w:p>
    <w:p w14:paraId="3F6157A9" w14:textId="77777777" w:rsidR="001323A8" w:rsidRDefault="001323A8" w:rsidP="007A095E">
      <w:pPr>
        <w:spacing w:line="360" w:lineRule="auto"/>
      </w:pPr>
    </w:p>
    <w:p w14:paraId="299E5640" w14:textId="12E345C5" w:rsidR="001323A8" w:rsidRDefault="001323A8" w:rsidP="007A095E">
      <w:pPr>
        <w:spacing w:line="360" w:lineRule="auto"/>
      </w:pPr>
      <w:r w:rsidRPr="001323A8">
        <w:t xml:space="preserve">CIPD (2015) </w:t>
      </w:r>
      <w:r w:rsidRPr="001323A8">
        <w:rPr>
          <w:i/>
          <w:iCs/>
        </w:rPr>
        <w:t>Ethical decision making in the workplace: Reports</w:t>
      </w:r>
      <w:r w:rsidRPr="001323A8">
        <w:t xml:space="preserve">, </w:t>
      </w:r>
      <w:r w:rsidRPr="001323A8">
        <w:rPr>
          <w:i/>
          <w:iCs/>
        </w:rPr>
        <w:t>CIPD</w:t>
      </w:r>
      <w:r w:rsidRPr="001323A8">
        <w:t xml:space="preserve">. Available at: https://www.cipd.org/uk/knowledge/reports/workplace-decisions-report/ (Accessed: 01 December 2024). </w:t>
      </w:r>
    </w:p>
    <w:p w14:paraId="6C61C6F0" w14:textId="77777777" w:rsidR="007A095E" w:rsidRPr="007A095E" w:rsidRDefault="007A095E" w:rsidP="007A095E">
      <w:pPr>
        <w:spacing w:line="360" w:lineRule="auto"/>
      </w:pPr>
    </w:p>
    <w:p w14:paraId="084D6D09" w14:textId="40CA6075" w:rsidR="006C493C" w:rsidRDefault="00402551" w:rsidP="007A095E">
      <w:pPr>
        <w:spacing w:line="360" w:lineRule="auto"/>
        <w:rPr>
          <w:rFonts w:cs="Arial"/>
        </w:rPr>
      </w:pPr>
      <w:r w:rsidRPr="00402551">
        <w:rPr>
          <w:rFonts w:cs="Arial"/>
        </w:rPr>
        <w:t>CIPD (2024</w:t>
      </w:r>
      <w:r w:rsidR="003F531F">
        <w:rPr>
          <w:rFonts w:cs="Arial"/>
        </w:rPr>
        <w:t>a</w:t>
      </w:r>
      <w:r w:rsidRPr="00402551">
        <w:rPr>
          <w:rFonts w:cs="Arial"/>
        </w:rPr>
        <w:t xml:space="preserve">) </w:t>
      </w:r>
      <w:r w:rsidRPr="00402551">
        <w:rPr>
          <w:rFonts w:cs="Arial"/>
          <w:i/>
          <w:iCs/>
        </w:rPr>
        <w:t>Evidence-based practice for effective decision-making: Factsheets</w:t>
      </w:r>
      <w:r w:rsidRPr="00402551">
        <w:rPr>
          <w:rFonts w:cs="Arial"/>
        </w:rPr>
        <w:t xml:space="preserve">, </w:t>
      </w:r>
      <w:r w:rsidRPr="00402551">
        <w:rPr>
          <w:rFonts w:cs="Arial"/>
          <w:i/>
          <w:iCs/>
        </w:rPr>
        <w:t>CIPD</w:t>
      </w:r>
      <w:r w:rsidRPr="00402551">
        <w:rPr>
          <w:rFonts w:cs="Arial"/>
        </w:rPr>
        <w:t xml:space="preserve">. Available at: https://www.cipd.org/uk/knowledge/factsheets/evidence-based-practice-factsheet/#_ga=2.124070282.1246059219.1635951255-1362614769.1635951255 (Accessed: 01 December 2024). </w:t>
      </w:r>
    </w:p>
    <w:p w14:paraId="59193316" w14:textId="77777777" w:rsidR="00AE6737" w:rsidRDefault="00AE6737" w:rsidP="00AE6737">
      <w:pPr>
        <w:spacing w:line="360" w:lineRule="auto"/>
        <w:rPr>
          <w:rFonts w:cs="Arial"/>
        </w:rPr>
      </w:pPr>
    </w:p>
    <w:p w14:paraId="26487E27" w14:textId="4EBD8EB9" w:rsidR="00AE6737" w:rsidRDefault="00AE6737" w:rsidP="00AE6737">
      <w:pPr>
        <w:spacing w:line="360" w:lineRule="auto"/>
        <w:rPr>
          <w:rFonts w:cs="Arial"/>
        </w:rPr>
      </w:pPr>
      <w:r w:rsidRPr="00AE6737">
        <w:rPr>
          <w:rFonts w:cs="Arial"/>
        </w:rPr>
        <w:t xml:space="preserve">CIPD (2023) </w:t>
      </w:r>
      <w:r w:rsidRPr="00AE6737">
        <w:rPr>
          <w:rFonts w:cs="Arial"/>
          <w:i/>
          <w:iCs/>
        </w:rPr>
        <w:t>People analytics: Guide for people professionals</w:t>
      </w:r>
      <w:r w:rsidRPr="00AE6737">
        <w:rPr>
          <w:rFonts w:cs="Arial"/>
        </w:rPr>
        <w:t xml:space="preserve">, </w:t>
      </w:r>
      <w:r w:rsidRPr="00AE6737">
        <w:rPr>
          <w:rFonts w:cs="Arial"/>
          <w:i/>
          <w:iCs/>
        </w:rPr>
        <w:t>CIPD</w:t>
      </w:r>
      <w:r w:rsidRPr="00AE6737">
        <w:rPr>
          <w:rFonts w:cs="Arial"/>
        </w:rPr>
        <w:t xml:space="preserve">. Available at: https://www.cipd.org/uk/knowledge/guides/analytics-practitioner-guide/#how-is-hr-using-people-analytics (Accessed: 01 December 2024). </w:t>
      </w:r>
    </w:p>
    <w:p w14:paraId="094CD9FA" w14:textId="7E8675D6" w:rsidR="00365102" w:rsidRPr="00365102" w:rsidRDefault="00365102" w:rsidP="00365102">
      <w:pPr>
        <w:spacing w:line="360" w:lineRule="auto"/>
        <w:rPr>
          <w:rFonts w:cs="Arial"/>
          <w:i/>
          <w:iCs/>
        </w:rPr>
      </w:pPr>
      <w:r w:rsidRPr="00365102">
        <w:rPr>
          <w:rFonts w:cs="Arial"/>
          <w:i/>
          <w:iCs/>
        </w:rPr>
        <w:lastRenderedPageBreak/>
        <w:t>CIPD (2022</w:t>
      </w:r>
      <w:r>
        <w:rPr>
          <w:rFonts w:cs="Arial"/>
          <w:i/>
          <w:iCs/>
        </w:rPr>
        <w:t>b</w:t>
      </w:r>
      <w:r w:rsidRPr="00365102">
        <w:rPr>
          <w:rFonts w:cs="Arial"/>
          <w:i/>
          <w:iCs/>
        </w:rPr>
        <w:t xml:space="preserve">) People performance: An evidence review | Practice Summary, CIPD. Available at: https://www.cipd.org/uk/knowledge/evidence-reviews/evidence-people-performance/ (Accessed: 01 December 2024). </w:t>
      </w:r>
    </w:p>
    <w:p w14:paraId="0C00BEF8" w14:textId="77777777" w:rsidR="00365102" w:rsidRDefault="00365102" w:rsidP="00AE6737">
      <w:pPr>
        <w:spacing w:line="360" w:lineRule="auto"/>
        <w:rPr>
          <w:rFonts w:cs="Arial"/>
        </w:rPr>
      </w:pPr>
    </w:p>
    <w:p w14:paraId="3CA9AF94" w14:textId="0A72F7C5" w:rsidR="00365102" w:rsidRPr="00365102" w:rsidRDefault="00365102" w:rsidP="00365102">
      <w:pPr>
        <w:spacing w:line="360" w:lineRule="auto"/>
        <w:rPr>
          <w:rFonts w:cs="Arial"/>
        </w:rPr>
      </w:pPr>
      <w:r w:rsidRPr="00365102">
        <w:rPr>
          <w:rFonts w:cs="Arial"/>
        </w:rPr>
        <w:t>CIPD (2022</w:t>
      </w:r>
      <w:r>
        <w:rPr>
          <w:rFonts w:cs="Arial"/>
        </w:rPr>
        <w:t>a</w:t>
      </w:r>
      <w:r w:rsidRPr="00365102">
        <w:rPr>
          <w:rFonts w:cs="Arial"/>
        </w:rPr>
        <w:t xml:space="preserve">) </w:t>
      </w:r>
      <w:r w:rsidRPr="00365102">
        <w:rPr>
          <w:rFonts w:cs="Arial"/>
          <w:i/>
          <w:iCs/>
        </w:rPr>
        <w:t>Performance feedback: An evidence review | Practice Summary</w:t>
      </w:r>
      <w:r w:rsidRPr="00365102">
        <w:rPr>
          <w:rFonts w:cs="Arial"/>
        </w:rPr>
        <w:t xml:space="preserve">, </w:t>
      </w:r>
      <w:r w:rsidRPr="00365102">
        <w:rPr>
          <w:rFonts w:cs="Arial"/>
          <w:i/>
          <w:iCs/>
        </w:rPr>
        <w:t>CIPD</w:t>
      </w:r>
      <w:r w:rsidRPr="00365102">
        <w:rPr>
          <w:rFonts w:cs="Arial"/>
        </w:rPr>
        <w:t xml:space="preserve">. Available at: https://www.cipd.org/uk/knowledge/evidence-reviews/performance-feedback/ (Accessed: 01 December 2024). </w:t>
      </w:r>
    </w:p>
    <w:p w14:paraId="1EA4014F" w14:textId="77777777" w:rsidR="00365102" w:rsidRDefault="00365102" w:rsidP="00AE6737">
      <w:pPr>
        <w:spacing w:line="360" w:lineRule="auto"/>
        <w:rPr>
          <w:rFonts w:cs="Arial"/>
        </w:rPr>
      </w:pPr>
    </w:p>
    <w:p w14:paraId="5BCF47B2" w14:textId="77777777" w:rsidR="00F72F38" w:rsidRDefault="00F72F38" w:rsidP="00F72F38">
      <w:pPr>
        <w:spacing w:line="360" w:lineRule="auto"/>
        <w:rPr>
          <w:rFonts w:cs="Arial"/>
        </w:rPr>
      </w:pPr>
      <w:r w:rsidRPr="00F72F38">
        <w:rPr>
          <w:rFonts w:cs="Arial"/>
        </w:rPr>
        <w:t xml:space="preserve">CIPD (2024c) </w:t>
      </w:r>
      <w:r w:rsidRPr="00F72F38">
        <w:rPr>
          <w:rFonts w:cs="Arial"/>
          <w:i/>
          <w:iCs/>
        </w:rPr>
        <w:t>Performance management: an introduction: Factsheets</w:t>
      </w:r>
      <w:r w:rsidRPr="00F72F38">
        <w:rPr>
          <w:rFonts w:cs="Arial"/>
        </w:rPr>
        <w:t xml:space="preserve">, </w:t>
      </w:r>
      <w:r w:rsidRPr="00F72F38">
        <w:rPr>
          <w:rFonts w:cs="Arial"/>
          <w:i/>
          <w:iCs/>
        </w:rPr>
        <w:t>CIPD</w:t>
      </w:r>
      <w:r w:rsidRPr="00F72F38">
        <w:rPr>
          <w:rFonts w:cs="Arial"/>
        </w:rPr>
        <w:t xml:space="preserve">. Available at: https://www.cipd.org/uk/knowledge/factsheets/performance-factsheet/ (Accessed: 01 December 2024). </w:t>
      </w:r>
    </w:p>
    <w:p w14:paraId="2A7CBF65" w14:textId="77777777" w:rsidR="00365102" w:rsidRDefault="00365102" w:rsidP="00F72F38">
      <w:pPr>
        <w:spacing w:line="360" w:lineRule="auto"/>
        <w:rPr>
          <w:rFonts w:cs="Arial"/>
        </w:rPr>
      </w:pPr>
    </w:p>
    <w:p w14:paraId="11EDB2FA" w14:textId="6F322EB0" w:rsidR="00365102" w:rsidRPr="00F72F38" w:rsidRDefault="00365102" w:rsidP="00F72F38">
      <w:pPr>
        <w:spacing w:line="360" w:lineRule="auto"/>
        <w:rPr>
          <w:rFonts w:cs="Arial"/>
        </w:rPr>
      </w:pPr>
      <w:r w:rsidRPr="00365102">
        <w:rPr>
          <w:rFonts w:cs="Arial"/>
        </w:rPr>
        <w:t xml:space="preserve">CIPD (2016) </w:t>
      </w:r>
      <w:r w:rsidRPr="00365102">
        <w:rPr>
          <w:rFonts w:cs="Arial"/>
          <w:i/>
          <w:iCs/>
        </w:rPr>
        <w:t xml:space="preserve">Performance management: Could do </w:t>
      </w:r>
      <w:r w:rsidR="00D9756E" w:rsidRPr="00365102">
        <w:rPr>
          <w:rFonts w:cs="Arial"/>
          <w:i/>
          <w:iCs/>
        </w:rPr>
        <w:t>better?</w:t>
      </w:r>
      <w:r w:rsidRPr="00365102">
        <w:rPr>
          <w:rFonts w:cs="Arial"/>
        </w:rPr>
        <w:t xml:space="preserve"> </w:t>
      </w:r>
      <w:r w:rsidRPr="00365102">
        <w:rPr>
          <w:rFonts w:cs="Arial"/>
          <w:i/>
          <w:iCs/>
        </w:rPr>
        <w:t>CIPD</w:t>
      </w:r>
      <w:r w:rsidRPr="00365102">
        <w:rPr>
          <w:rFonts w:cs="Arial"/>
        </w:rPr>
        <w:t xml:space="preserve">. Available at: https://www.cipd.org/uk/knowledge/evidence-reviews/what-works-in-performance-management/ (Accessed: 01 December 2024). </w:t>
      </w:r>
    </w:p>
    <w:p w14:paraId="134F6311" w14:textId="77777777" w:rsidR="00F72F38" w:rsidRDefault="00F72F38" w:rsidP="00AE6737">
      <w:pPr>
        <w:spacing w:line="360" w:lineRule="auto"/>
        <w:rPr>
          <w:rFonts w:cs="Arial"/>
        </w:rPr>
      </w:pPr>
    </w:p>
    <w:p w14:paraId="6FE4838F" w14:textId="54069F69" w:rsidR="001737AB" w:rsidRPr="001737AB" w:rsidRDefault="001737AB" w:rsidP="001737AB">
      <w:pPr>
        <w:spacing w:line="360" w:lineRule="auto"/>
        <w:rPr>
          <w:rFonts w:cs="Arial"/>
        </w:rPr>
      </w:pPr>
      <w:r w:rsidRPr="001737AB">
        <w:rPr>
          <w:rFonts w:cs="Arial"/>
        </w:rPr>
        <w:t>CIPD (2024</w:t>
      </w:r>
      <w:r>
        <w:rPr>
          <w:rFonts w:cs="Arial"/>
        </w:rPr>
        <w:t>d</w:t>
      </w:r>
      <w:r w:rsidRPr="001737AB">
        <w:rPr>
          <w:rFonts w:cs="Arial"/>
        </w:rPr>
        <w:t xml:space="preserve">) </w:t>
      </w:r>
      <w:r w:rsidRPr="001737AB">
        <w:rPr>
          <w:rFonts w:cs="Arial"/>
          <w:i/>
          <w:iCs/>
        </w:rPr>
        <w:t>Performance related pay: Factsheets</w:t>
      </w:r>
      <w:r w:rsidRPr="001737AB">
        <w:rPr>
          <w:rFonts w:cs="Arial"/>
        </w:rPr>
        <w:t xml:space="preserve">, </w:t>
      </w:r>
      <w:r w:rsidRPr="001737AB">
        <w:rPr>
          <w:rFonts w:cs="Arial"/>
          <w:i/>
          <w:iCs/>
        </w:rPr>
        <w:t>CIPD</w:t>
      </w:r>
      <w:r w:rsidRPr="001737AB">
        <w:rPr>
          <w:rFonts w:cs="Arial"/>
        </w:rPr>
        <w:t xml:space="preserve">. Available at: https://www.cipd.org/uk/knowledge/factsheets/pay-performance-factsheet/ (Accessed: 01 December 2024). </w:t>
      </w:r>
    </w:p>
    <w:p w14:paraId="3D1AE149" w14:textId="77777777" w:rsidR="006C493C" w:rsidRPr="006C493C" w:rsidRDefault="006C493C" w:rsidP="007A095E">
      <w:pPr>
        <w:spacing w:line="360" w:lineRule="auto"/>
        <w:rPr>
          <w:rFonts w:cs="Arial"/>
        </w:rPr>
      </w:pPr>
    </w:p>
    <w:p w14:paraId="637A90A5" w14:textId="7034705B" w:rsidR="006C493C" w:rsidRDefault="006C493C" w:rsidP="007A095E">
      <w:pPr>
        <w:spacing w:line="360" w:lineRule="auto"/>
        <w:rPr>
          <w:rFonts w:cs="Arial"/>
        </w:rPr>
      </w:pPr>
      <w:r w:rsidRPr="006C493C">
        <w:rPr>
          <w:rFonts w:cs="Arial"/>
        </w:rPr>
        <w:t>CIPD (2024</w:t>
      </w:r>
      <w:r w:rsidR="003F531F">
        <w:rPr>
          <w:rFonts w:cs="Arial"/>
        </w:rPr>
        <w:t>b</w:t>
      </w:r>
      <w:r w:rsidRPr="006C493C">
        <w:rPr>
          <w:rFonts w:cs="Arial"/>
        </w:rPr>
        <w:t xml:space="preserve">) </w:t>
      </w:r>
      <w:r w:rsidRPr="006C493C">
        <w:rPr>
          <w:rFonts w:cs="Arial"/>
          <w:i/>
          <w:iCs/>
        </w:rPr>
        <w:t>SWOT Analysis: Factsheets</w:t>
      </w:r>
      <w:r w:rsidRPr="006C493C">
        <w:rPr>
          <w:rFonts w:cs="Arial"/>
        </w:rPr>
        <w:t xml:space="preserve">, </w:t>
      </w:r>
      <w:r w:rsidRPr="006C493C">
        <w:rPr>
          <w:rFonts w:cs="Arial"/>
          <w:i/>
          <w:iCs/>
        </w:rPr>
        <w:t>CIPD</w:t>
      </w:r>
      <w:r w:rsidRPr="006C493C">
        <w:rPr>
          <w:rFonts w:cs="Arial"/>
        </w:rPr>
        <w:t xml:space="preserve">. Available at: https://www.cipd.org/uk/knowledge/factsheets/swot-analysis-factsheet/ (Accessed: 01 December 2024). </w:t>
      </w:r>
    </w:p>
    <w:p w14:paraId="24DFA1B3" w14:textId="77777777" w:rsidR="00653E85" w:rsidRDefault="00653E85" w:rsidP="007A095E">
      <w:pPr>
        <w:spacing w:line="360" w:lineRule="auto"/>
        <w:rPr>
          <w:rFonts w:cs="Arial"/>
        </w:rPr>
      </w:pPr>
    </w:p>
    <w:p w14:paraId="08BE5792" w14:textId="605888C5" w:rsidR="00402551" w:rsidRDefault="002F4AA3" w:rsidP="007A095E">
      <w:pPr>
        <w:spacing w:line="360" w:lineRule="auto"/>
        <w:rPr>
          <w:rFonts w:cs="Arial"/>
        </w:rPr>
      </w:pPr>
      <w:r>
        <w:rPr>
          <w:rFonts w:cs="Arial"/>
        </w:rPr>
        <w:t>De</w:t>
      </w:r>
      <w:r w:rsidR="00653E85" w:rsidRPr="00653E85">
        <w:rPr>
          <w:rFonts w:cs="Arial"/>
        </w:rPr>
        <w:t xml:space="preserve"> Bono, E. (2017) </w:t>
      </w:r>
      <w:r w:rsidR="00653E85" w:rsidRPr="00653E85">
        <w:rPr>
          <w:rFonts w:cs="Arial"/>
          <w:i/>
          <w:iCs/>
        </w:rPr>
        <w:t>Six Thinking Hats: The multi-million bestselling guide to running better meetings and making faster decisions</w:t>
      </w:r>
      <w:r w:rsidR="00653E85" w:rsidRPr="00653E85">
        <w:rPr>
          <w:rFonts w:cs="Arial"/>
        </w:rPr>
        <w:t xml:space="preserve">. revised. London: Penguin. </w:t>
      </w:r>
    </w:p>
    <w:p w14:paraId="5B45DEF8" w14:textId="77777777" w:rsidR="00974E55" w:rsidRDefault="00974E55" w:rsidP="00974E55">
      <w:pPr>
        <w:spacing w:line="360" w:lineRule="auto"/>
        <w:rPr>
          <w:rFonts w:cs="Arial"/>
        </w:rPr>
      </w:pPr>
      <w:r w:rsidRPr="00A92C7F">
        <w:rPr>
          <w:rFonts w:cs="Arial"/>
        </w:rPr>
        <w:t>Facione, P.A., 2011. Critical thinking: What it is and why it counts. </w:t>
      </w:r>
      <w:r w:rsidRPr="00A92C7F">
        <w:rPr>
          <w:rFonts w:cs="Arial"/>
          <w:i/>
          <w:iCs/>
        </w:rPr>
        <w:t>Insight assessment</w:t>
      </w:r>
      <w:r w:rsidRPr="00A92C7F">
        <w:rPr>
          <w:rFonts w:cs="Arial"/>
        </w:rPr>
        <w:t>, </w:t>
      </w:r>
      <w:r w:rsidRPr="00A92C7F">
        <w:rPr>
          <w:rFonts w:cs="Arial"/>
          <w:i/>
          <w:iCs/>
        </w:rPr>
        <w:t>1</w:t>
      </w:r>
      <w:r w:rsidRPr="00A92C7F">
        <w:rPr>
          <w:rFonts w:cs="Arial"/>
        </w:rPr>
        <w:t>(1), pp.1-23.</w:t>
      </w:r>
    </w:p>
    <w:p w14:paraId="3BEEFC4F" w14:textId="77777777" w:rsidR="0092041C" w:rsidRDefault="0092041C" w:rsidP="00974E55">
      <w:pPr>
        <w:spacing w:line="360" w:lineRule="auto"/>
        <w:rPr>
          <w:rFonts w:cs="Arial"/>
        </w:rPr>
      </w:pPr>
    </w:p>
    <w:p w14:paraId="1E4B5E6E" w14:textId="34C7AE86" w:rsidR="0092041C" w:rsidRPr="00EE2A09" w:rsidRDefault="0092041C" w:rsidP="00974E55">
      <w:pPr>
        <w:spacing w:line="360" w:lineRule="auto"/>
        <w:rPr>
          <w:rFonts w:cs="Arial"/>
        </w:rPr>
      </w:pPr>
      <w:r w:rsidRPr="0092041C">
        <w:rPr>
          <w:rFonts w:cs="Arial"/>
        </w:rPr>
        <w:t xml:space="preserve">Gould-Williams, J. (2003) ‘The importance of HR practices and Workplace Trust in achieving superior performance: A study of public-sector organizations’, </w:t>
      </w:r>
      <w:r w:rsidRPr="0092041C">
        <w:rPr>
          <w:rFonts w:cs="Arial"/>
          <w:i/>
          <w:iCs/>
        </w:rPr>
        <w:t>The International Journal of Human Resource Management</w:t>
      </w:r>
      <w:r w:rsidRPr="0092041C">
        <w:rPr>
          <w:rFonts w:cs="Arial"/>
        </w:rPr>
        <w:t xml:space="preserve">, 14(1), pp. 28–54. doi:10.1080/09585190210158501. </w:t>
      </w:r>
    </w:p>
    <w:p w14:paraId="55400D35" w14:textId="77777777" w:rsidR="00653E85" w:rsidRDefault="00653E85" w:rsidP="007A095E">
      <w:pPr>
        <w:spacing w:line="360" w:lineRule="auto"/>
        <w:rPr>
          <w:rFonts w:cs="Arial"/>
        </w:rPr>
      </w:pPr>
    </w:p>
    <w:p w14:paraId="293F1DCF" w14:textId="3C75A817" w:rsidR="00DE5107" w:rsidRDefault="00DE5107" w:rsidP="007A095E">
      <w:pPr>
        <w:spacing w:line="360" w:lineRule="auto"/>
        <w:rPr>
          <w:rFonts w:cs="Arial"/>
        </w:rPr>
      </w:pPr>
      <w:r w:rsidRPr="00EB5BA3">
        <w:rPr>
          <w:rFonts w:cs="Arial"/>
        </w:rPr>
        <w:lastRenderedPageBreak/>
        <w:t>Green, D. (2024) </w:t>
      </w:r>
      <w:r w:rsidRPr="00EB5BA3">
        <w:rPr>
          <w:rFonts w:cs="Arial"/>
          <w:i/>
          <w:iCs/>
        </w:rPr>
        <w:t>Digital HR Leaders with David Green: What is Evidence Based HR and Why is it Important? (An Interview with Rob Briner) </w:t>
      </w:r>
      <w:r w:rsidRPr="00EB5BA3">
        <w:rPr>
          <w:rFonts w:cs="Arial"/>
        </w:rPr>
        <w:t>[Podcast]. 19 March. Available at: https://open.spotify.com/episode/5cU7JaG0FXbJAU6RHSmJBK?si=PPPX0k6MSnq_8Z0iIBi5Cg (Accessed: 24 November 2024).</w:t>
      </w:r>
    </w:p>
    <w:p w14:paraId="3F519DC3" w14:textId="77777777" w:rsidR="002F4AA3" w:rsidRDefault="002F4AA3" w:rsidP="007A095E">
      <w:pPr>
        <w:spacing w:line="360" w:lineRule="auto"/>
        <w:rPr>
          <w:rFonts w:cs="Arial"/>
        </w:rPr>
      </w:pPr>
    </w:p>
    <w:p w14:paraId="0061E231" w14:textId="77777777" w:rsidR="00B2384A" w:rsidRDefault="002F4AA3" w:rsidP="007A095E">
      <w:pPr>
        <w:spacing w:line="360" w:lineRule="auto"/>
        <w:rPr>
          <w:rFonts w:cs="Arial"/>
        </w:rPr>
      </w:pPr>
      <w:r w:rsidRPr="002F4AA3">
        <w:rPr>
          <w:rFonts w:cs="Arial"/>
        </w:rPr>
        <w:t xml:space="preserve">Greenwood, M.R. (2002) ‘Ethics and HRM: A Review and Conceptual Analysis’, </w:t>
      </w:r>
      <w:r w:rsidRPr="002F4AA3">
        <w:rPr>
          <w:rFonts w:cs="Arial"/>
          <w:i/>
          <w:iCs/>
        </w:rPr>
        <w:t>Journal of Business Ethics</w:t>
      </w:r>
      <w:r w:rsidRPr="002F4AA3">
        <w:rPr>
          <w:rFonts w:cs="Arial"/>
        </w:rPr>
        <w:t>, 36(3), pp. 261–278. doi:10.1023/a:1014090411946.</w:t>
      </w:r>
    </w:p>
    <w:p w14:paraId="574ECDB0" w14:textId="77777777" w:rsidR="001737AB" w:rsidRDefault="001737AB" w:rsidP="007A095E">
      <w:pPr>
        <w:spacing w:line="360" w:lineRule="auto"/>
        <w:rPr>
          <w:rFonts w:cs="Arial"/>
        </w:rPr>
      </w:pPr>
    </w:p>
    <w:p w14:paraId="7962DF17" w14:textId="1423D42B" w:rsidR="001737AB" w:rsidRDefault="001737AB" w:rsidP="007A095E">
      <w:pPr>
        <w:spacing w:line="360" w:lineRule="auto"/>
        <w:rPr>
          <w:rFonts w:cs="Arial"/>
        </w:rPr>
      </w:pPr>
      <w:r w:rsidRPr="001737AB">
        <w:rPr>
          <w:rFonts w:cs="Arial"/>
        </w:rPr>
        <w:t xml:space="preserve">Haile, G.A. (2022) ‘Organizational leadership: How much does it matter?’, </w:t>
      </w:r>
      <w:r w:rsidRPr="001737AB">
        <w:rPr>
          <w:rFonts w:cs="Arial"/>
          <w:i/>
          <w:iCs/>
        </w:rPr>
        <w:t>British Journal of Industrial Relations</w:t>
      </w:r>
      <w:r w:rsidRPr="001737AB">
        <w:rPr>
          <w:rFonts w:cs="Arial"/>
        </w:rPr>
        <w:t>, 61(3), pp. 653–673. doi:10.1111/bjir.12711.</w:t>
      </w:r>
    </w:p>
    <w:p w14:paraId="156DCEB8" w14:textId="77777777" w:rsidR="0092041C" w:rsidRDefault="0092041C" w:rsidP="007A095E">
      <w:pPr>
        <w:spacing w:line="360" w:lineRule="auto"/>
        <w:rPr>
          <w:rFonts w:cs="Arial"/>
        </w:rPr>
      </w:pPr>
    </w:p>
    <w:p w14:paraId="09B6041A" w14:textId="7E856D21" w:rsidR="0092041C" w:rsidRDefault="0092041C" w:rsidP="007A095E">
      <w:pPr>
        <w:spacing w:line="360" w:lineRule="auto"/>
        <w:rPr>
          <w:rFonts w:cs="Arial"/>
        </w:rPr>
      </w:pPr>
      <w:r w:rsidRPr="0092041C">
        <w:rPr>
          <w:rFonts w:cs="Arial"/>
        </w:rPr>
        <w:t xml:space="preserve">Hennessey, B. </w:t>
      </w:r>
      <w:r w:rsidRPr="0092041C">
        <w:rPr>
          <w:rFonts w:cs="Arial"/>
          <w:i/>
          <w:iCs/>
        </w:rPr>
        <w:t>et al.</w:t>
      </w:r>
      <w:r w:rsidRPr="0092041C">
        <w:rPr>
          <w:rFonts w:cs="Arial"/>
        </w:rPr>
        <w:t xml:space="preserve"> (2015) ‘Extrinsic and intrinsic motivation’, </w:t>
      </w:r>
      <w:r w:rsidRPr="0092041C">
        <w:rPr>
          <w:rFonts w:cs="Arial"/>
          <w:i/>
          <w:iCs/>
        </w:rPr>
        <w:t xml:space="preserve">Wiley </w:t>
      </w:r>
      <w:r w:rsidR="00D9756E" w:rsidRPr="0092041C">
        <w:rPr>
          <w:rFonts w:cs="Arial"/>
          <w:i/>
          <w:iCs/>
        </w:rPr>
        <w:t>Encyclopaedia</w:t>
      </w:r>
      <w:r w:rsidRPr="0092041C">
        <w:rPr>
          <w:rFonts w:cs="Arial"/>
          <w:i/>
          <w:iCs/>
        </w:rPr>
        <w:t xml:space="preserve"> of Management</w:t>
      </w:r>
      <w:r w:rsidRPr="0092041C">
        <w:rPr>
          <w:rFonts w:cs="Arial"/>
        </w:rPr>
        <w:t xml:space="preserve">, 11. doi:10.1002/9781118785317.weom110098. </w:t>
      </w:r>
    </w:p>
    <w:p w14:paraId="71E26FBB" w14:textId="77777777" w:rsidR="00172F33" w:rsidRDefault="00172F33" w:rsidP="007A095E">
      <w:pPr>
        <w:spacing w:line="360" w:lineRule="auto"/>
        <w:rPr>
          <w:rFonts w:cs="Arial"/>
        </w:rPr>
      </w:pPr>
    </w:p>
    <w:p w14:paraId="75E758E9" w14:textId="086D19C3" w:rsidR="00172F33" w:rsidRDefault="00172F33" w:rsidP="007A095E">
      <w:pPr>
        <w:spacing w:line="360" w:lineRule="auto"/>
        <w:rPr>
          <w:rFonts w:cs="Arial"/>
        </w:rPr>
      </w:pPr>
      <w:r w:rsidRPr="00172F33">
        <w:rPr>
          <w:rFonts w:cs="Arial"/>
        </w:rPr>
        <w:t xml:space="preserve">Jo, J., Chadwick, C. and Han, J.H. (2023) ‘How the human resource (HR) function adds strategic value: A relational perspective of the HR function’, </w:t>
      </w:r>
      <w:r w:rsidRPr="00172F33">
        <w:rPr>
          <w:rFonts w:cs="Arial"/>
          <w:i/>
          <w:iCs/>
        </w:rPr>
        <w:t>Human Resource Management</w:t>
      </w:r>
      <w:r w:rsidRPr="00172F33">
        <w:rPr>
          <w:rFonts w:cs="Arial"/>
        </w:rPr>
        <w:t xml:space="preserve">, 63(1), pp. 5–23. doi:10.1002/hrm.22184. </w:t>
      </w:r>
    </w:p>
    <w:p w14:paraId="1C174B0D" w14:textId="77777777" w:rsidR="00B2384A" w:rsidRDefault="00B2384A" w:rsidP="007A095E">
      <w:pPr>
        <w:spacing w:line="360" w:lineRule="auto"/>
        <w:rPr>
          <w:rFonts w:cs="Arial"/>
        </w:rPr>
      </w:pPr>
    </w:p>
    <w:p w14:paraId="028F4A50" w14:textId="6CB11B00" w:rsidR="00B2384A" w:rsidRPr="00B2384A" w:rsidRDefault="00B2384A" w:rsidP="00B2384A">
      <w:pPr>
        <w:spacing w:line="360" w:lineRule="auto"/>
        <w:rPr>
          <w:rFonts w:cs="Arial"/>
        </w:rPr>
      </w:pPr>
      <w:r w:rsidRPr="00B2384A">
        <w:rPr>
          <w:rFonts w:cs="Arial"/>
        </w:rPr>
        <w:t xml:space="preserve">Kranak, J. (2019) ‘Kantian Deontology’, in </w:t>
      </w:r>
      <w:r w:rsidRPr="00B2384A">
        <w:rPr>
          <w:rFonts w:cs="Arial"/>
          <w:i/>
          <w:iCs/>
        </w:rPr>
        <w:t>Introduction to Philosophy: Ethics</w:t>
      </w:r>
      <w:r w:rsidRPr="00B2384A">
        <w:rPr>
          <w:rFonts w:cs="Arial"/>
        </w:rPr>
        <w:t>. https://press.rebus.community/intro-to-phil-ethics/chapter/kantian-deontology/</w:t>
      </w:r>
    </w:p>
    <w:p w14:paraId="09201AB1" w14:textId="6165B760" w:rsidR="001C4A98" w:rsidRDefault="002F4AA3" w:rsidP="007A095E">
      <w:pPr>
        <w:spacing w:line="360" w:lineRule="auto"/>
        <w:rPr>
          <w:rFonts w:cs="Arial"/>
        </w:rPr>
      </w:pPr>
      <w:r w:rsidRPr="002F4AA3">
        <w:rPr>
          <w:rFonts w:cs="Arial"/>
        </w:rPr>
        <w:t xml:space="preserve"> </w:t>
      </w:r>
    </w:p>
    <w:p w14:paraId="05AC851B" w14:textId="77777777" w:rsidR="001C4A98" w:rsidRDefault="001C4A98" w:rsidP="001C4A98">
      <w:pPr>
        <w:spacing w:line="360" w:lineRule="auto"/>
        <w:rPr>
          <w:rFonts w:cs="Arial"/>
        </w:rPr>
      </w:pPr>
      <w:r w:rsidRPr="001C4A98">
        <w:rPr>
          <w:rFonts w:cs="Arial"/>
        </w:rPr>
        <w:t xml:space="preserve">Lamb, P. (2019) CIPD Podcast: Critical Thinking: Episode 154: How to think well and reflect objectively on the ideas, opinions and arguments of others: Warren Howlett and Tim Coburn. 5 November. Available at: https://www.cipd.org/uk/knowledge/podcasts/critical-thinking/ (Accessed: 1 December 2024). </w:t>
      </w:r>
    </w:p>
    <w:p w14:paraId="44E557B3" w14:textId="77777777" w:rsidR="00653E85" w:rsidRPr="001C4A98" w:rsidRDefault="00653E85" w:rsidP="001C4A98">
      <w:pPr>
        <w:spacing w:line="360" w:lineRule="auto"/>
        <w:rPr>
          <w:rFonts w:cs="Arial"/>
        </w:rPr>
      </w:pPr>
    </w:p>
    <w:p w14:paraId="30ED464E" w14:textId="77777777" w:rsidR="00653E85" w:rsidRDefault="00653E85" w:rsidP="00653E85">
      <w:pPr>
        <w:spacing w:line="360" w:lineRule="auto"/>
        <w:rPr>
          <w:rFonts w:cs="Arial"/>
        </w:rPr>
      </w:pPr>
      <w:r w:rsidRPr="00653E85">
        <w:rPr>
          <w:rFonts w:cs="Arial"/>
        </w:rPr>
        <w:t>Markopoulos, E. </w:t>
      </w:r>
      <w:r w:rsidRPr="00653E85">
        <w:rPr>
          <w:rFonts w:cs="Arial"/>
          <w:i/>
          <w:iCs/>
        </w:rPr>
        <w:t>et al.</w:t>
      </w:r>
      <w:r w:rsidRPr="00653E85">
        <w:rPr>
          <w:rFonts w:cs="Arial"/>
        </w:rPr>
        <w:t> (2022) ‘Understanding Situationality using the Kepner-Tregoe Method in the Company Democracy Model to increase Employee Engagement and Knowledge Contribution’, in. AHFE International.</w:t>
      </w:r>
    </w:p>
    <w:p w14:paraId="5902E952" w14:textId="77777777" w:rsidR="00302BD5" w:rsidRDefault="00302BD5" w:rsidP="00653E85">
      <w:pPr>
        <w:spacing w:line="360" w:lineRule="auto"/>
        <w:rPr>
          <w:rFonts w:cs="Arial"/>
        </w:rPr>
      </w:pPr>
    </w:p>
    <w:p w14:paraId="42CDB1D7" w14:textId="5FBDC208" w:rsidR="00302BD5" w:rsidRDefault="00302BD5" w:rsidP="00653E85">
      <w:pPr>
        <w:spacing w:line="360" w:lineRule="auto"/>
        <w:rPr>
          <w:rFonts w:cs="Arial"/>
        </w:rPr>
      </w:pPr>
      <w:r w:rsidRPr="00302BD5">
        <w:rPr>
          <w:rFonts w:cs="Arial"/>
        </w:rPr>
        <w:t xml:space="preserve">Markos, S. and Sridevi, M.S. (2010) ‘Employee Engagement: The Key to Improving Performance ’, </w:t>
      </w:r>
      <w:r w:rsidRPr="00302BD5">
        <w:rPr>
          <w:rFonts w:cs="Arial"/>
          <w:i/>
          <w:iCs/>
        </w:rPr>
        <w:t>International Journal of Business and Management</w:t>
      </w:r>
      <w:r w:rsidRPr="00302BD5">
        <w:rPr>
          <w:rFonts w:cs="Arial"/>
        </w:rPr>
        <w:t xml:space="preserve">, 5(12). </w:t>
      </w:r>
      <w:r w:rsidRPr="00302BD5">
        <w:rPr>
          <w:rFonts w:cs="Arial"/>
        </w:rPr>
        <w:lastRenderedPageBreak/>
        <w:t xml:space="preserve">doi:https://citeseerx.ist.psu.edu/document?repid=rep1&amp;type=pdf&amp;doi=abeb701782256b3ba7473d640d9a5925d65c9576. </w:t>
      </w:r>
    </w:p>
    <w:p w14:paraId="18C5B51A" w14:textId="77777777" w:rsidR="002F4AA3" w:rsidRDefault="002F4AA3" w:rsidP="00653E85">
      <w:pPr>
        <w:spacing w:line="360" w:lineRule="auto"/>
        <w:rPr>
          <w:rFonts w:cs="Arial"/>
        </w:rPr>
      </w:pPr>
    </w:p>
    <w:p w14:paraId="5FAB75FA" w14:textId="70ADE283" w:rsidR="002F4AA3" w:rsidRDefault="002F4AA3" w:rsidP="00653E85">
      <w:pPr>
        <w:spacing w:line="360" w:lineRule="auto"/>
        <w:rPr>
          <w:rFonts w:cs="Arial"/>
        </w:rPr>
      </w:pPr>
      <w:r w:rsidRPr="002F4AA3">
        <w:rPr>
          <w:rFonts w:cs="Arial"/>
        </w:rPr>
        <w:t>Minaha</w:t>
      </w:r>
      <w:r>
        <w:rPr>
          <w:rFonts w:cs="Arial"/>
        </w:rPr>
        <w:t>n</w:t>
      </w:r>
      <w:r w:rsidRPr="002F4AA3">
        <w:rPr>
          <w:rFonts w:cs="Arial"/>
        </w:rPr>
        <w:t xml:space="preserve">, T. (2021) </w:t>
      </w:r>
      <w:r w:rsidRPr="002F4AA3">
        <w:rPr>
          <w:rFonts w:cs="Arial"/>
          <w:i/>
          <w:iCs/>
        </w:rPr>
        <w:t>What your future employees want most</w:t>
      </w:r>
      <w:r w:rsidRPr="002F4AA3">
        <w:rPr>
          <w:rFonts w:cs="Arial"/>
        </w:rPr>
        <w:t xml:space="preserve">, </w:t>
      </w:r>
      <w:r w:rsidRPr="002F4AA3">
        <w:rPr>
          <w:rFonts w:cs="Arial"/>
          <w:i/>
          <w:iCs/>
        </w:rPr>
        <w:t>Harvard Business Review</w:t>
      </w:r>
      <w:r w:rsidRPr="002F4AA3">
        <w:rPr>
          <w:rFonts w:cs="Arial"/>
        </w:rPr>
        <w:t xml:space="preserve">. Available at: https://hbr.org/2021/05/what-your-future-employees-want-most (Accessed: 02 December 2024). </w:t>
      </w:r>
    </w:p>
    <w:p w14:paraId="770EF07C" w14:textId="77777777" w:rsidR="00D76889" w:rsidRDefault="00D76889" w:rsidP="00653E85">
      <w:pPr>
        <w:spacing w:line="360" w:lineRule="auto"/>
        <w:rPr>
          <w:rFonts w:cs="Arial"/>
        </w:rPr>
      </w:pPr>
    </w:p>
    <w:p w14:paraId="47AB4DE4" w14:textId="77777777" w:rsidR="00D76889" w:rsidRPr="00D76889" w:rsidRDefault="00D76889" w:rsidP="00D76889">
      <w:pPr>
        <w:spacing w:line="360" w:lineRule="auto"/>
        <w:rPr>
          <w:rFonts w:cs="Arial"/>
        </w:rPr>
      </w:pPr>
      <w:r w:rsidRPr="00D76889">
        <w:rPr>
          <w:rFonts w:cs="Arial"/>
        </w:rPr>
        <w:t xml:space="preserve">Phillips, J.J. (2012) </w:t>
      </w:r>
      <w:r w:rsidRPr="00D76889">
        <w:rPr>
          <w:rFonts w:cs="Arial"/>
          <w:i/>
          <w:iCs/>
        </w:rPr>
        <w:t>Return on investment in training and Performance Improvement Programs</w:t>
      </w:r>
      <w:r w:rsidRPr="00D76889">
        <w:rPr>
          <w:rFonts w:cs="Arial"/>
        </w:rPr>
        <w:t xml:space="preserve">, pp. 1–30. doi:10.4324/9780080516257. </w:t>
      </w:r>
    </w:p>
    <w:p w14:paraId="72DA2771" w14:textId="77777777" w:rsidR="00653E85" w:rsidRDefault="00653E85" w:rsidP="00653E85">
      <w:pPr>
        <w:spacing w:line="360" w:lineRule="auto"/>
        <w:rPr>
          <w:rFonts w:cs="Arial"/>
        </w:rPr>
      </w:pPr>
    </w:p>
    <w:p w14:paraId="7845F1B4" w14:textId="77777777" w:rsidR="00653E85" w:rsidRDefault="00653E85" w:rsidP="00653E85">
      <w:pPr>
        <w:spacing w:line="360" w:lineRule="auto"/>
        <w:rPr>
          <w:rFonts w:cs="Arial"/>
        </w:rPr>
      </w:pPr>
      <w:r w:rsidRPr="00653E85">
        <w:rPr>
          <w:rFonts w:cs="Arial"/>
        </w:rPr>
        <w:t>Stoilkov, E. (2023) “The concept of “parallel thinking”, as well as its application and use in the ‘security’ sectorʼs human resource management”, </w:t>
      </w:r>
      <w:r w:rsidRPr="00653E85">
        <w:rPr>
          <w:rFonts w:cs="Arial"/>
          <w:i/>
          <w:iCs/>
        </w:rPr>
        <w:t>Politics &amp; Security</w:t>
      </w:r>
      <w:r w:rsidRPr="00653E85">
        <w:rPr>
          <w:rFonts w:cs="Arial"/>
        </w:rPr>
        <w:t>, 7(1), pp. 1–6. doi: 10.5281/zenodo.7761236.</w:t>
      </w:r>
    </w:p>
    <w:p w14:paraId="2162B88B" w14:textId="77777777" w:rsidR="00653E85" w:rsidRPr="00653E85" w:rsidRDefault="00653E85" w:rsidP="00653E85">
      <w:pPr>
        <w:spacing w:line="360" w:lineRule="auto"/>
        <w:rPr>
          <w:rFonts w:cs="Arial"/>
        </w:rPr>
      </w:pPr>
    </w:p>
    <w:p w14:paraId="14ABC2B9" w14:textId="77777777" w:rsidR="00653E85" w:rsidRPr="00653E85" w:rsidRDefault="00653E85" w:rsidP="00653E85">
      <w:pPr>
        <w:spacing w:line="360" w:lineRule="auto"/>
        <w:rPr>
          <w:rFonts w:cs="Arial"/>
        </w:rPr>
      </w:pPr>
      <w:r w:rsidRPr="00653E85">
        <w:rPr>
          <w:rFonts w:cs="Arial"/>
          <w:i/>
          <w:iCs/>
        </w:rPr>
        <w:t>What is the Kepner-Tregoe method?</w:t>
      </w:r>
      <w:r w:rsidRPr="00653E85">
        <w:rPr>
          <w:rFonts w:cs="Arial"/>
        </w:rPr>
        <w:t xml:space="preserve"> (no date) </w:t>
      </w:r>
      <w:r w:rsidRPr="00653E85">
        <w:rPr>
          <w:rFonts w:cs="Arial"/>
          <w:i/>
          <w:iCs/>
        </w:rPr>
        <w:t>Kepner-Tregoe</w:t>
      </w:r>
      <w:r w:rsidRPr="00653E85">
        <w:rPr>
          <w:rFonts w:cs="Arial"/>
        </w:rPr>
        <w:t xml:space="preserve">. Available at: https://kepner-tregoe.com/gbr/faqs/ (Accessed: 02 December 2024). </w:t>
      </w:r>
    </w:p>
    <w:p w14:paraId="38AFA1F3" w14:textId="77777777" w:rsidR="00653E85" w:rsidRPr="00653E85" w:rsidRDefault="00653E85" w:rsidP="00653E85">
      <w:pPr>
        <w:spacing w:line="360" w:lineRule="auto"/>
        <w:rPr>
          <w:rFonts w:cs="Arial"/>
        </w:rPr>
      </w:pPr>
    </w:p>
    <w:p w14:paraId="0D07B153" w14:textId="77777777" w:rsidR="001C4A98" w:rsidRPr="00EB5BA3" w:rsidRDefault="001C4A98" w:rsidP="007A095E">
      <w:pPr>
        <w:spacing w:line="360" w:lineRule="auto"/>
        <w:rPr>
          <w:rFonts w:cs="Arial"/>
        </w:rPr>
      </w:pPr>
    </w:p>
    <w:p w14:paraId="33A3AD60" w14:textId="77777777" w:rsidR="00DE5107" w:rsidRPr="00DE5107" w:rsidRDefault="00DE5107" w:rsidP="00DE5107"/>
    <w:sectPr w:rsidR="00DE5107" w:rsidRPr="00DE5107" w:rsidSect="00D91FA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12068" w14:textId="77777777" w:rsidR="00E8465B" w:rsidRDefault="00E8465B" w:rsidP="004C5584">
      <w:r>
        <w:separator/>
      </w:r>
    </w:p>
  </w:endnote>
  <w:endnote w:type="continuationSeparator" w:id="0">
    <w:p w14:paraId="2D87D733" w14:textId="77777777" w:rsidR="00E8465B" w:rsidRDefault="00E8465B" w:rsidP="004C5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1D45BC" w14:textId="77777777" w:rsidR="00E8465B" w:rsidRDefault="00E8465B" w:rsidP="004C5584">
      <w:r>
        <w:separator/>
      </w:r>
    </w:p>
  </w:footnote>
  <w:footnote w:type="continuationSeparator" w:id="0">
    <w:p w14:paraId="7C4AC590" w14:textId="77777777" w:rsidR="00E8465B" w:rsidRDefault="00E8465B" w:rsidP="004C55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E1115"/>
    <w:multiLevelType w:val="hybridMultilevel"/>
    <w:tmpl w:val="2FF644D0"/>
    <w:lvl w:ilvl="0" w:tplc="0772DE9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F6382"/>
    <w:multiLevelType w:val="hybridMultilevel"/>
    <w:tmpl w:val="CA909036"/>
    <w:lvl w:ilvl="0" w:tplc="0772DE9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65BF3"/>
    <w:multiLevelType w:val="hybridMultilevel"/>
    <w:tmpl w:val="305EF574"/>
    <w:lvl w:ilvl="0" w:tplc="317E0908">
      <w:start w:val="3"/>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88241A"/>
    <w:multiLevelType w:val="hybridMultilevel"/>
    <w:tmpl w:val="645A6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A43940"/>
    <w:multiLevelType w:val="hybridMultilevel"/>
    <w:tmpl w:val="0A62BC1A"/>
    <w:lvl w:ilvl="0" w:tplc="0772DE9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F41068"/>
    <w:multiLevelType w:val="hybridMultilevel"/>
    <w:tmpl w:val="39D2B368"/>
    <w:lvl w:ilvl="0" w:tplc="0772DE96">
      <w:start w:val="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363505">
    <w:abstractNumId w:val="1"/>
  </w:num>
  <w:num w:numId="2" w16cid:durableId="977338889">
    <w:abstractNumId w:val="3"/>
  </w:num>
  <w:num w:numId="3" w16cid:durableId="893665059">
    <w:abstractNumId w:val="4"/>
  </w:num>
  <w:num w:numId="4" w16cid:durableId="1982346396">
    <w:abstractNumId w:val="0"/>
  </w:num>
  <w:num w:numId="5" w16cid:durableId="356807546">
    <w:abstractNumId w:val="5"/>
  </w:num>
  <w:num w:numId="6" w16cid:durableId="16045359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A55"/>
    <w:rsid w:val="00043B53"/>
    <w:rsid w:val="00053EF7"/>
    <w:rsid w:val="00077C14"/>
    <w:rsid w:val="00082C4A"/>
    <w:rsid w:val="000839CA"/>
    <w:rsid w:val="000C2039"/>
    <w:rsid w:val="000C610A"/>
    <w:rsid w:val="000F289D"/>
    <w:rsid w:val="001323A8"/>
    <w:rsid w:val="00132E44"/>
    <w:rsid w:val="00145FBF"/>
    <w:rsid w:val="001509EC"/>
    <w:rsid w:val="00172F33"/>
    <w:rsid w:val="001737AB"/>
    <w:rsid w:val="001737E1"/>
    <w:rsid w:val="001825F5"/>
    <w:rsid w:val="00187817"/>
    <w:rsid w:val="001C4A98"/>
    <w:rsid w:val="001D4C13"/>
    <w:rsid w:val="00234A71"/>
    <w:rsid w:val="0026682D"/>
    <w:rsid w:val="002F4AA3"/>
    <w:rsid w:val="00302BD5"/>
    <w:rsid w:val="00346C37"/>
    <w:rsid w:val="0036426C"/>
    <w:rsid w:val="00365102"/>
    <w:rsid w:val="0038382E"/>
    <w:rsid w:val="00396081"/>
    <w:rsid w:val="0039627B"/>
    <w:rsid w:val="003B1992"/>
    <w:rsid w:val="003C3803"/>
    <w:rsid w:val="003D49F1"/>
    <w:rsid w:val="003F531F"/>
    <w:rsid w:val="00402551"/>
    <w:rsid w:val="004029C3"/>
    <w:rsid w:val="00421B2D"/>
    <w:rsid w:val="00443734"/>
    <w:rsid w:val="00472371"/>
    <w:rsid w:val="00493964"/>
    <w:rsid w:val="00497747"/>
    <w:rsid w:val="004C5584"/>
    <w:rsid w:val="004D3213"/>
    <w:rsid w:val="004E61D7"/>
    <w:rsid w:val="004F0265"/>
    <w:rsid w:val="0052529E"/>
    <w:rsid w:val="0053106D"/>
    <w:rsid w:val="00582E7F"/>
    <w:rsid w:val="00590890"/>
    <w:rsid w:val="005924E9"/>
    <w:rsid w:val="005B19BF"/>
    <w:rsid w:val="005B4ADE"/>
    <w:rsid w:val="005B743B"/>
    <w:rsid w:val="005E3B5E"/>
    <w:rsid w:val="00640206"/>
    <w:rsid w:val="006476FA"/>
    <w:rsid w:val="00653E85"/>
    <w:rsid w:val="00697361"/>
    <w:rsid w:val="006C493C"/>
    <w:rsid w:val="006E65CD"/>
    <w:rsid w:val="0070025E"/>
    <w:rsid w:val="00741466"/>
    <w:rsid w:val="00763C4B"/>
    <w:rsid w:val="0077761C"/>
    <w:rsid w:val="007A095E"/>
    <w:rsid w:val="007B69E8"/>
    <w:rsid w:val="007E003F"/>
    <w:rsid w:val="00824330"/>
    <w:rsid w:val="00862805"/>
    <w:rsid w:val="008720E0"/>
    <w:rsid w:val="00881F58"/>
    <w:rsid w:val="00911A55"/>
    <w:rsid w:val="00912480"/>
    <w:rsid w:val="0092041C"/>
    <w:rsid w:val="00930905"/>
    <w:rsid w:val="00971500"/>
    <w:rsid w:val="00974E55"/>
    <w:rsid w:val="00A16374"/>
    <w:rsid w:val="00A73A59"/>
    <w:rsid w:val="00A7517C"/>
    <w:rsid w:val="00AE149D"/>
    <w:rsid w:val="00AE6737"/>
    <w:rsid w:val="00B11322"/>
    <w:rsid w:val="00B11A69"/>
    <w:rsid w:val="00B207D7"/>
    <w:rsid w:val="00B2384A"/>
    <w:rsid w:val="00B2762A"/>
    <w:rsid w:val="00B27B92"/>
    <w:rsid w:val="00B440CE"/>
    <w:rsid w:val="00BC3D2F"/>
    <w:rsid w:val="00BE170B"/>
    <w:rsid w:val="00C56A0F"/>
    <w:rsid w:val="00C849D7"/>
    <w:rsid w:val="00CA6117"/>
    <w:rsid w:val="00CB2F04"/>
    <w:rsid w:val="00CB4E28"/>
    <w:rsid w:val="00CC6D7D"/>
    <w:rsid w:val="00CE65C1"/>
    <w:rsid w:val="00D16C27"/>
    <w:rsid w:val="00D76889"/>
    <w:rsid w:val="00D77A08"/>
    <w:rsid w:val="00D82EF0"/>
    <w:rsid w:val="00D91FA0"/>
    <w:rsid w:val="00D93378"/>
    <w:rsid w:val="00D96BB0"/>
    <w:rsid w:val="00D9756E"/>
    <w:rsid w:val="00DA0ABD"/>
    <w:rsid w:val="00DA57B6"/>
    <w:rsid w:val="00DC1D72"/>
    <w:rsid w:val="00DD69E8"/>
    <w:rsid w:val="00DD6FF8"/>
    <w:rsid w:val="00DE33E2"/>
    <w:rsid w:val="00DE5107"/>
    <w:rsid w:val="00E03B92"/>
    <w:rsid w:val="00E372C5"/>
    <w:rsid w:val="00E41EF8"/>
    <w:rsid w:val="00E51DD5"/>
    <w:rsid w:val="00E533CE"/>
    <w:rsid w:val="00E81332"/>
    <w:rsid w:val="00E8465B"/>
    <w:rsid w:val="00E9539F"/>
    <w:rsid w:val="00EC3369"/>
    <w:rsid w:val="00EE2A09"/>
    <w:rsid w:val="00EF0D21"/>
    <w:rsid w:val="00EF41BA"/>
    <w:rsid w:val="00F3174E"/>
    <w:rsid w:val="00F414F9"/>
    <w:rsid w:val="00F45937"/>
    <w:rsid w:val="00F60F37"/>
    <w:rsid w:val="00F64C48"/>
    <w:rsid w:val="00F72F38"/>
    <w:rsid w:val="00FA03B9"/>
    <w:rsid w:val="00FA70DB"/>
    <w:rsid w:val="00FF4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90C3"/>
  <w14:defaultImageDpi w14:val="32767"/>
  <w15:chartTrackingRefBased/>
  <w15:docId w15:val="{02E6DAFF-FB4D-4347-9E06-8181D6B06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A0ABD"/>
    <w:pPr>
      <w:jc w:val="both"/>
    </w:pPr>
    <w:rPr>
      <w:rFonts w:ascii="Arial" w:hAnsi="Arial"/>
    </w:rPr>
  </w:style>
  <w:style w:type="paragraph" w:styleId="Heading1">
    <w:name w:val="heading 1"/>
    <w:basedOn w:val="Normal"/>
    <w:next w:val="Normal"/>
    <w:link w:val="Heading1Char"/>
    <w:uiPriority w:val="9"/>
    <w:qFormat/>
    <w:rsid w:val="00911A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11A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1A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1A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1A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1A5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A5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A5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A5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A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11A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1A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1A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1A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1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A55"/>
    <w:rPr>
      <w:rFonts w:eastAsiaTheme="majorEastAsia" w:cstheme="majorBidi"/>
      <w:color w:val="272727" w:themeColor="text1" w:themeTint="D8"/>
    </w:rPr>
  </w:style>
  <w:style w:type="paragraph" w:styleId="Title">
    <w:name w:val="Title"/>
    <w:basedOn w:val="Normal"/>
    <w:next w:val="Normal"/>
    <w:link w:val="TitleChar"/>
    <w:uiPriority w:val="10"/>
    <w:qFormat/>
    <w:rsid w:val="00911A5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A5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A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1A55"/>
    <w:rPr>
      <w:i/>
      <w:iCs/>
      <w:color w:val="404040" w:themeColor="text1" w:themeTint="BF"/>
    </w:rPr>
  </w:style>
  <w:style w:type="paragraph" w:styleId="ListParagraph">
    <w:name w:val="List Paragraph"/>
    <w:basedOn w:val="Normal"/>
    <w:uiPriority w:val="34"/>
    <w:qFormat/>
    <w:rsid w:val="00911A55"/>
    <w:pPr>
      <w:ind w:left="720"/>
      <w:contextualSpacing/>
    </w:pPr>
  </w:style>
  <w:style w:type="character" w:styleId="IntenseEmphasis">
    <w:name w:val="Intense Emphasis"/>
    <w:basedOn w:val="DefaultParagraphFont"/>
    <w:uiPriority w:val="21"/>
    <w:qFormat/>
    <w:rsid w:val="00911A55"/>
    <w:rPr>
      <w:i/>
      <w:iCs/>
      <w:color w:val="2F5496" w:themeColor="accent1" w:themeShade="BF"/>
    </w:rPr>
  </w:style>
  <w:style w:type="paragraph" w:styleId="IntenseQuote">
    <w:name w:val="Intense Quote"/>
    <w:basedOn w:val="Normal"/>
    <w:next w:val="Normal"/>
    <w:link w:val="IntenseQuoteChar"/>
    <w:uiPriority w:val="30"/>
    <w:qFormat/>
    <w:rsid w:val="00911A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1A55"/>
    <w:rPr>
      <w:i/>
      <w:iCs/>
      <w:color w:val="2F5496" w:themeColor="accent1" w:themeShade="BF"/>
    </w:rPr>
  </w:style>
  <w:style w:type="character" w:styleId="IntenseReference">
    <w:name w:val="Intense Reference"/>
    <w:basedOn w:val="DefaultParagraphFont"/>
    <w:uiPriority w:val="32"/>
    <w:qFormat/>
    <w:rsid w:val="00911A55"/>
    <w:rPr>
      <w:b/>
      <w:bCs/>
      <w:smallCaps/>
      <w:color w:val="2F5496" w:themeColor="accent1" w:themeShade="BF"/>
      <w:spacing w:val="5"/>
    </w:rPr>
  </w:style>
  <w:style w:type="paragraph" w:styleId="TOCHeading">
    <w:name w:val="TOC Heading"/>
    <w:basedOn w:val="Heading1"/>
    <w:next w:val="Normal"/>
    <w:uiPriority w:val="39"/>
    <w:unhideWhenUsed/>
    <w:qFormat/>
    <w:rsid w:val="00DA0AB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0ABD"/>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DA0ABD"/>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A0ABD"/>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A0ABD"/>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A0ABD"/>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A0ABD"/>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A0ABD"/>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A0ABD"/>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A0ABD"/>
    <w:pPr>
      <w:ind w:left="1920"/>
      <w:jc w:val="left"/>
    </w:pPr>
    <w:rPr>
      <w:rFonts w:asciiTheme="minorHAnsi" w:hAnsiTheme="minorHAnsi" w:cstheme="minorHAnsi"/>
      <w:sz w:val="20"/>
      <w:szCs w:val="20"/>
    </w:rPr>
  </w:style>
  <w:style w:type="paragraph" w:styleId="TableofFigures">
    <w:name w:val="table of figures"/>
    <w:basedOn w:val="Normal"/>
    <w:next w:val="Normal"/>
    <w:uiPriority w:val="99"/>
    <w:unhideWhenUsed/>
    <w:rsid w:val="00DA0ABD"/>
    <w:pPr>
      <w:ind w:left="480" w:hanging="480"/>
    </w:pPr>
    <w:rPr>
      <w:rFonts w:cstheme="minorHAnsi"/>
      <w:b/>
      <w:bCs/>
      <w:sz w:val="20"/>
      <w:szCs w:val="20"/>
    </w:rPr>
  </w:style>
  <w:style w:type="paragraph" w:customStyle="1" w:styleId="AssignmentHeading1">
    <w:name w:val="Assignment Heading 1"/>
    <w:basedOn w:val="Heading1"/>
    <w:next w:val="Normal"/>
    <w:autoRedefine/>
    <w:qFormat/>
    <w:rsid w:val="0039627B"/>
    <w:pPr>
      <w:jc w:val="left"/>
    </w:pPr>
    <w:rPr>
      <w:rFonts w:ascii="Arial" w:hAnsi="Arial"/>
      <w:b/>
      <w:color w:val="000000" w:themeColor="text1"/>
      <w:sz w:val="28"/>
      <w:u w:val="single"/>
    </w:rPr>
  </w:style>
  <w:style w:type="character" w:styleId="Hyperlink">
    <w:name w:val="Hyperlink"/>
    <w:basedOn w:val="DefaultParagraphFont"/>
    <w:uiPriority w:val="99"/>
    <w:unhideWhenUsed/>
    <w:rsid w:val="00A16374"/>
    <w:rPr>
      <w:color w:val="0563C1" w:themeColor="hyperlink"/>
      <w:u w:val="single"/>
    </w:rPr>
  </w:style>
  <w:style w:type="paragraph" w:styleId="NoSpacing">
    <w:name w:val="No Spacing"/>
    <w:uiPriority w:val="1"/>
    <w:qFormat/>
    <w:rsid w:val="00A16374"/>
    <w:pPr>
      <w:jc w:val="both"/>
    </w:pPr>
    <w:rPr>
      <w:rFonts w:ascii="Arial" w:hAnsi="Arial"/>
    </w:rPr>
  </w:style>
  <w:style w:type="paragraph" w:styleId="Caption">
    <w:name w:val="caption"/>
    <w:basedOn w:val="Normal"/>
    <w:next w:val="Normal"/>
    <w:uiPriority w:val="35"/>
    <w:unhideWhenUsed/>
    <w:qFormat/>
    <w:rsid w:val="00A73A59"/>
    <w:pPr>
      <w:spacing w:after="200"/>
    </w:pPr>
    <w:rPr>
      <w:i/>
      <w:iCs/>
      <w:color w:val="44546A" w:themeColor="text2"/>
      <w:sz w:val="18"/>
      <w:szCs w:val="18"/>
    </w:rPr>
  </w:style>
  <w:style w:type="paragraph" w:styleId="Header">
    <w:name w:val="header"/>
    <w:basedOn w:val="Normal"/>
    <w:link w:val="HeaderChar"/>
    <w:uiPriority w:val="99"/>
    <w:unhideWhenUsed/>
    <w:rsid w:val="004C5584"/>
    <w:pPr>
      <w:tabs>
        <w:tab w:val="center" w:pos="4513"/>
        <w:tab w:val="right" w:pos="9026"/>
      </w:tabs>
    </w:pPr>
  </w:style>
  <w:style w:type="character" w:customStyle="1" w:styleId="HeaderChar">
    <w:name w:val="Header Char"/>
    <w:basedOn w:val="DefaultParagraphFont"/>
    <w:link w:val="Header"/>
    <w:uiPriority w:val="99"/>
    <w:rsid w:val="004C5584"/>
    <w:rPr>
      <w:rFonts w:ascii="Arial" w:hAnsi="Arial"/>
    </w:rPr>
  </w:style>
  <w:style w:type="paragraph" w:styleId="Footer">
    <w:name w:val="footer"/>
    <w:basedOn w:val="Normal"/>
    <w:link w:val="FooterChar"/>
    <w:uiPriority w:val="99"/>
    <w:unhideWhenUsed/>
    <w:rsid w:val="004C5584"/>
    <w:pPr>
      <w:tabs>
        <w:tab w:val="center" w:pos="4513"/>
        <w:tab w:val="right" w:pos="9026"/>
      </w:tabs>
    </w:pPr>
  </w:style>
  <w:style w:type="character" w:customStyle="1" w:styleId="FooterChar">
    <w:name w:val="Footer Char"/>
    <w:basedOn w:val="DefaultParagraphFont"/>
    <w:link w:val="Footer"/>
    <w:uiPriority w:val="99"/>
    <w:rsid w:val="004C5584"/>
    <w:rPr>
      <w:rFonts w:ascii="Arial" w:hAnsi="Arial"/>
    </w:rPr>
  </w:style>
  <w:style w:type="character" w:styleId="PlaceholderText">
    <w:name w:val="Placeholder Text"/>
    <w:basedOn w:val="DefaultParagraphFont"/>
    <w:uiPriority w:val="99"/>
    <w:semiHidden/>
    <w:rsid w:val="000F289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929427">
      <w:bodyDiv w:val="1"/>
      <w:marLeft w:val="0"/>
      <w:marRight w:val="0"/>
      <w:marTop w:val="0"/>
      <w:marBottom w:val="0"/>
      <w:divBdr>
        <w:top w:val="none" w:sz="0" w:space="0" w:color="auto"/>
        <w:left w:val="none" w:sz="0" w:space="0" w:color="auto"/>
        <w:bottom w:val="none" w:sz="0" w:space="0" w:color="auto"/>
        <w:right w:val="none" w:sz="0" w:space="0" w:color="auto"/>
      </w:divBdr>
    </w:div>
    <w:div w:id="57481228">
      <w:bodyDiv w:val="1"/>
      <w:marLeft w:val="0"/>
      <w:marRight w:val="0"/>
      <w:marTop w:val="0"/>
      <w:marBottom w:val="0"/>
      <w:divBdr>
        <w:top w:val="none" w:sz="0" w:space="0" w:color="auto"/>
        <w:left w:val="none" w:sz="0" w:space="0" w:color="auto"/>
        <w:bottom w:val="none" w:sz="0" w:space="0" w:color="auto"/>
        <w:right w:val="none" w:sz="0" w:space="0" w:color="auto"/>
      </w:divBdr>
    </w:div>
    <w:div w:id="242956311">
      <w:bodyDiv w:val="1"/>
      <w:marLeft w:val="0"/>
      <w:marRight w:val="0"/>
      <w:marTop w:val="0"/>
      <w:marBottom w:val="0"/>
      <w:divBdr>
        <w:top w:val="none" w:sz="0" w:space="0" w:color="auto"/>
        <w:left w:val="none" w:sz="0" w:space="0" w:color="auto"/>
        <w:bottom w:val="none" w:sz="0" w:space="0" w:color="auto"/>
        <w:right w:val="none" w:sz="0" w:space="0" w:color="auto"/>
      </w:divBdr>
    </w:div>
    <w:div w:id="249657460">
      <w:bodyDiv w:val="1"/>
      <w:marLeft w:val="0"/>
      <w:marRight w:val="0"/>
      <w:marTop w:val="0"/>
      <w:marBottom w:val="0"/>
      <w:divBdr>
        <w:top w:val="none" w:sz="0" w:space="0" w:color="auto"/>
        <w:left w:val="none" w:sz="0" w:space="0" w:color="auto"/>
        <w:bottom w:val="none" w:sz="0" w:space="0" w:color="auto"/>
        <w:right w:val="none" w:sz="0" w:space="0" w:color="auto"/>
      </w:divBdr>
    </w:div>
    <w:div w:id="363333749">
      <w:bodyDiv w:val="1"/>
      <w:marLeft w:val="0"/>
      <w:marRight w:val="0"/>
      <w:marTop w:val="0"/>
      <w:marBottom w:val="0"/>
      <w:divBdr>
        <w:top w:val="none" w:sz="0" w:space="0" w:color="auto"/>
        <w:left w:val="none" w:sz="0" w:space="0" w:color="auto"/>
        <w:bottom w:val="none" w:sz="0" w:space="0" w:color="auto"/>
        <w:right w:val="none" w:sz="0" w:space="0" w:color="auto"/>
      </w:divBdr>
    </w:div>
    <w:div w:id="413628137">
      <w:bodyDiv w:val="1"/>
      <w:marLeft w:val="0"/>
      <w:marRight w:val="0"/>
      <w:marTop w:val="0"/>
      <w:marBottom w:val="0"/>
      <w:divBdr>
        <w:top w:val="none" w:sz="0" w:space="0" w:color="auto"/>
        <w:left w:val="none" w:sz="0" w:space="0" w:color="auto"/>
        <w:bottom w:val="none" w:sz="0" w:space="0" w:color="auto"/>
        <w:right w:val="none" w:sz="0" w:space="0" w:color="auto"/>
      </w:divBdr>
    </w:div>
    <w:div w:id="497035665">
      <w:bodyDiv w:val="1"/>
      <w:marLeft w:val="0"/>
      <w:marRight w:val="0"/>
      <w:marTop w:val="0"/>
      <w:marBottom w:val="0"/>
      <w:divBdr>
        <w:top w:val="none" w:sz="0" w:space="0" w:color="auto"/>
        <w:left w:val="none" w:sz="0" w:space="0" w:color="auto"/>
        <w:bottom w:val="none" w:sz="0" w:space="0" w:color="auto"/>
        <w:right w:val="none" w:sz="0" w:space="0" w:color="auto"/>
      </w:divBdr>
    </w:div>
    <w:div w:id="745152637">
      <w:bodyDiv w:val="1"/>
      <w:marLeft w:val="0"/>
      <w:marRight w:val="0"/>
      <w:marTop w:val="0"/>
      <w:marBottom w:val="0"/>
      <w:divBdr>
        <w:top w:val="none" w:sz="0" w:space="0" w:color="auto"/>
        <w:left w:val="none" w:sz="0" w:space="0" w:color="auto"/>
        <w:bottom w:val="none" w:sz="0" w:space="0" w:color="auto"/>
        <w:right w:val="none" w:sz="0" w:space="0" w:color="auto"/>
      </w:divBdr>
      <w:divsChild>
        <w:div w:id="187842959">
          <w:marLeft w:val="0"/>
          <w:marRight w:val="0"/>
          <w:marTop w:val="0"/>
          <w:marBottom w:val="0"/>
          <w:divBdr>
            <w:top w:val="none" w:sz="0" w:space="0" w:color="auto"/>
            <w:left w:val="none" w:sz="0" w:space="0" w:color="auto"/>
            <w:bottom w:val="none" w:sz="0" w:space="0" w:color="auto"/>
            <w:right w:val="none" w:sz="0" w:space="0" w:color="auto"/>
          </w:divBdr>
        </w:div>
      </w:divsChild>
    </w:div>
    <w:div w:id="785855732">
      <w:bodyDiv w:val="1"/>
      <w:marLeft w:val="0"/>
      <w:marRight w:val="0"/>
      <w:marTop w:val="0"/>
      <w:marBottom w:val="0"/>
      <w:divBdr>
        <w:top w:val="none" w:sz="0" w:space="0" w:color="auto"/>
        <w:left w:val="none" w:sz="0" w:space="0" w:color="auto"/>
        <w:bottom w:val="none" w:sz="0" w:space="0" w:color="auto"/>
        <w:right w:val="none" w:sz="0" w:space="0" w:color="auto"/>
      </w:divBdr>
    </w:div>
    <w:div w:id="930547384">
      <w:bodyDiv w:val="1"/>
      <w:marLeft w:val="0"/>
      <w:marRight w:val="0"/>
      <w:marTop w:val="0"/>
      <w:marBottom w:val="0"/>
      <w:divBdr>
        <w:top w:val="none" w:sz="0" w:space="0" w:color="auto"/>
        <w:left w:val="none" w:sz="0" w:space="0" w:color="auto"/>
        <w:bottom w:val="none" w:sz="0" w:space="0" w:color="auto"/>
        <w:right w:val="none" w:sz="0" w:space="0" w:color="auto"/>
      </w:divBdr>
      <w:divsChild>
        <w:div w:id="25717152">
          <w:marLeft w:val="0"/>
          <w:marRight w:val="0"/>
          <w:marTop w:val="0"/>
          <w:marBottom w:val="0"/>
          <w:divBdr>
            <w:top w:val="none" w:sz="0" w:space="0" w:color="auto"/>
            <w:left w:val="none" w:sz="0" w:space="0" w:color="auto"/>
            <w:bottom w:val="none" w:sz="0" w:space="0" w:color="auto"/>
            <w:right w:val="none" w:sz="0" w:space="0" w:color="auto"/>
          </w:divBdr>
        </w:div>
      </w:divsChild>
    </w:div>
    <w:div w:id="1219168677">
      <w:bodyDiv w:val="1"/>
      <w:marLeft w:val="0"/>
      <w:marRight w:val="0"/>
      <w:marTop w:val="0"/>
      <w:marBottom w:val="0"/>
      <w:divBdr>
        <w:top w:val="none" w:sz="0" w:space="0" w:color="auto"/>
        <w:left w:val="none" w:sz="0" w:space="0" w:color="auto"/>
        <w:bottom w:val="none" w:sz="0" w:space="0" w:color="auto"/>
        <w:right w:val="none" w:sz="0" w:space="0" w:color="auto"/>
      </w:divBdr>
    </w:div>
    <w:div w:id="1263107025">
      <w:bodyDiv w:val="1"/>
      <w:marLeft w:val="0"/>
      <w:marRight w:val="0"/>
      <w:marTop w:val="0"/>
      <w:marBottom w:val="0"/>
      <w:divBdr>
        <w:top w:val="none" w:sz="0" w:space="0" w:color="auto"/>
        <w:left w:val="none" w:sz="0" w:space="0" w:color="auto"/>
        <w:bottom w:val="none" w:sz="0" w:space="0" w:color="auto"/>
        <w:right w:val="none" w:sz="0" w:space="0" w:color="auto"/>
      </w:divBdr>
    </w:div>
    <w:div w:id="1337884583">
      <w:bodyDiv w:val="1"/>
      <w:marLeft w:val="0"/>
      <w:marRight w:val="0"/>
      <w:marTop w:val="0"/>
      <w:marBottom w:val="0"/>
      <w:divBdr>
        <w:top w:val="none" w:sz="0" w:space="0" w:color="auto"/>
        <w:left w:val="none" w:sz="0" w:space="0" w:color="auto"/>
        <w:bottom w:val="none" w:sz="0" w:space="0" w:color="auto"/>
        <w:right w:val="none" w:sz="0" w:space="0" w:color="auto"/>
      </w:divBdr>
    </w:div>
    <w:div w:id="1406102596">
      <w:bodyDiv w:val="1"/>
      <w:marLeft w:val="0"/>
      <w:marRight w:val="0"/>
      <w:marTop w:val="0"/>
      <w:marBottom w:val="0"/>
      <w:divBdr>
        <w:top w:val="none" w:sz="0" w:space="0" w:color="auto"/>
        <w:left w:val="none" w:sz="0" w:space="0" w:color="auto"/>
        <w:bottom w:val="none" w:sz="0" w:space="0" w:color="auto"/>
        <w:right w:val="none" w:sz="0" w:space="0" w:color="auto"/>
      </w:divBdr>
    </w:div>
    <w:div w:id="1432631229">
      <w:bodyDiv w:val="1"/>
      <w:marLeft w:val="0"/>
      <w:marRight w:val="0"/>
      <w:marTop w:val="0"/>
      <w:marBottom w:val="0"/>
      <w:divBdr>
        <w:top w:val="none" w:sz="0" w:space="0" w:color="auto"/>
        <w:left w:val="none" w:sz="0" w:space="0" w:color="auto"/>
        <w:bottom w:val="none" w:sz="0" w:space="0" w:color="auto"/>
        <w:right w:val="none" w:sz="0" w:space="0" w:color="auto"/>
      </w:divBdr>
      <w:divsChild>
        <w:div w:id="1486774664">
          <w:marLeft w:val="0"/>
          <w:marRight w:val="0"/>
          <w:marTop w:val="0"/>
          <w:marBottom w:val="0"/>
          <w:divBdr>
            <w:top w:val="none" w:sz="0" w:space="0" w:color="auto"/>
            <w:left w:val="none" w:sz="0" w:space="0" w:color="auto"/>
            <w:bottom w:val="none" w:sz="0" w:space="0" w:color="auto"/>
            <w:right w:val="none" w:sz="0" w:space="0" w:color="auto"/>
          </w:divBdr>
        </w:div>
      </w:divsChild>
    </w:div>
    <w:div w:id="1710454267">
      <w:bodyDiv w:val="1"/>
      <w:marLeft w:val="0"/>
      <w:marRight w:val="0"/>
      <w:marTop w:val="0"/>
      <w:marBottom w:val="0"/>
      <w:divBdr>
        <w:top w:val="none" w:sz="0" w:space="0" w:color="auto"/>
        <w:left w:val="none" w:sz="0" w:space="0" w:color="auto"/>
        <w:bottom w:val="none" w:sz="0" w:space="0" w:color="auto"/>
        <w:right w:val="none" w:sz="0" w:space="0" w:color="auto"/>
      </w:divBdr>
    </w:div>
    <w:div w:id="1770082257">
      <w:bodyDiv w:val="1"/>
      <w:marLeft w:val="0"/>
      <w:marRight w:val="0"/>
      <w:marTop w:val="0"/>
      <w:marBottom w:val="0"/>
      <w:divBdr>
        <w:top w:val="none" w:sz="0" w:space="0" w:color="auto"/>
        <w:left w:val="none" w:sz="0" w:space="0" w:color="auto"/>
        <w:bottom w:val="none" w:sz="0" w:space="0" w:color="auto"/>
        <w:right w:val="none" w:sz="0" w:space="0" w:color="auto"/>
      </w:divBdr>
    </w:div>
    <w:div w:id="2041584258">
      <w:bodyDiv w:val="1"/>
      <w:marLeft w:val="0"/>
      <w:marRight w:val="0"/>
      <w:marTop w:val="0"/>
      <w:marBottom w:val="0"/>
      <w:divBdr>
        <w:top w:val="none" w:sz="0" w:space="0" w:color="auto"/>
        <w:left w:val="none" w:sz="0" w:space="0" w:color="auto"/>
        <w:bottom w:val="none" w:sz="0" w:space="0" w:color="auto"/>
        <w:right w:val="none" w:sz="0" w:space="0" w:color="auto"/>
      </w:divBdr>
    </w:div>
    <w:div w:id="2126731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14/relationships/chartEx" Target="charts/chartEx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Users\ffionmorgan\Desktop\CIPD%20L5\BMPD5017%20-%20Evidence%20Based%20Practice\EBP%20Spreadsheet.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Users\ffionmorgan\Desktop\CIPD%20L5\BMPD5017%20-%20Evidence%20Based%20Practice\EBP%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ffionmorgan\Desktop\CIPD%20L5\BMPD5017%20-%20Evidence%20Based%20Practice\EBP%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ffionmorgan\Desktop\CIPD%20L5\BMPD5017%20-%20Evidence%20Based%20Practice\EBP%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Users\ffionmorgan\Desktop\CIPD%20L5\BMPD5017%20-%20Evidence%20Based%20Practice\EBP%20Spread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Quarter 1 Average Performance (Per Department)</a:t>
            </a:r>
          </a:p>
        </c:rich>
      </c:tx>
      <c:layout>
        <c:manualLayout>
          <c:xMode val="edge"/>
          <c:yMode val="edge"/>
          <c:x val="0.15799971296850229"/>
          <c:y val="3.8776614508428696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Percentages!$A$38</c:f>
              <c:strCache>
                <c:ptCount val="1"/>
                <c:pt idx="0">
                  <c:v>Administration</c:v>
                </c:pt>
              </c:strCache>
            </c:strRef>
          </c:tx>
          <c:spPr>
            <a:solidFill>
              <a:srgbClr val="AAFEF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Percentages!$B$38:$G$38</c:f>
              <c:numCache>
                <c:formatCode>0%</c:formatCode>
                <c:ptCount val="6"/>
                <c:pt idx="0">
                  <c:v>0</c:v>
                </c:pt>
                <c:pt idx="1">
                  <c:v>0.18181818181818182</c:v>
                </c:pt>
                <c:pt idx="2">
                  <c:v>0.18181818181818182</c:v>
                </c:pt>
                <c:pt idx="3">
                  <c:v>0.27272727272727271</c:v>
                </c:pt>
                <c:pt idx="4">
                  <c:v>0.27272727272727271</c:v>
                </c:pt>
                <c:pt idx="5">
                  <c:v>9.0909090909090912E-2</c:v>
                </c:pt>
              </c:numCache>
            </c:numRef>
          </c:val>
          <c:extLst>
            <c:ext xmlns:c16="http://schemas.microsoft.com/office/drawing/2014/chart" uri="{C3380CC4-5D6E-409C-BE32-E72D297353CC}">
              <c16:uniqueId val="{00000000-BD31-46EB-9F75-3DD8DFBD6B55}"/>
            </c:ext>
          </c:extLst>
        </c:ser>
        <c:ser>
          <c:idx val="1"/>
          <c:order val="1"/>
          <c:tx>
            <c:strRef>
              <c:f>Percentages!$A$39</c:f>
              <c:strCache>
                <c:ptCount val="1"/>
                <c:pt idx="0">
                  <c:v>Sales </c:v>
                </c:pt>
              </c:strCache>
            </c:strRef>
          </c:tx>
          <c:spPr>
            <a:solidFill>
              <a:srgbClr val="FFFF6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Percentages!$B$39:$G$39</c:f>
              <c:numCache>
                <c:formatCode>0%</c:formatCode>
                <c:ptCount val="6"/>
                <c:pt idx="0">
                  <c:v>0</c:v>
                </c:pt>
                <c:pt idx="1">
                  <c:v>0</c:v>
                </c:pt>
                <c:pt idx="2">
                  <c:v>1</c:v>
                </c:pt>
                <c:pt idx="3">
                  <c:v>0</c:v>
                </c:pt>
                <c:pt idx="4">
                  <c:v>0</c:v>
                </c:pt>
                <c:pt idx="5">
                  <c:v>0</c:v>
                </c:pt>
              </c:numCache>
            </c:numRef>
          </c:val>
          <c:extLst>
            <c:ext xmlns:c16="http://schemas.microsoft.com/office/drawing/2014/chart" uri="{C3380CC4-5D6E-409C-BE32-E72D297353CC}">
              <c16:uniqueId val="{00000001-BD31-46EB-9F75-3DD8DFBD6B55}"/>
            </c:ext>
          </c:extLst>
        </c:ser>
        <c:ser>
          <c:idx val="2"/>
          <c:order val="2"/>
          <c:tx>
            <c:strRef>
              <c:f>Percentages!$A$40</c:f>
              <c:strCache>
                <c:ptCount val="1"/>
                <c:pt idx="0">
                  <c:v>Logistics </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Percentages!$B$40:$G$40</c:f>
              <c:numCache>
                <c:formatCode>0%</c:formatCode>
                <c:ptCount val="6"/>
                <c:pt idx="0">
                  <c:v>0</c:v>
                </c:pt>
                <c:pt idx="1">
                  <c:v>0.2</c:v>
                </c:pt>
                <c:pt idx="2">
                  <c:v>0.4</c:v>
                </c:pt>
                <c:pt idx="3">
                  <c:v>0.3</c:v>
                </c:pt>
                <c:pt idx="4">
                  <c:v>0.1</c:v>
                </c:pt>
                <c:pt idx="5">
                  <c:v>0</c:v>
                </c:pt>
              </c:numCache>
            </c:numRef>
          </c:val>
          <c:extLst>
            <c:ext xmlns:c16="http://schemas.microsoft.com/office/drawing/2014/chart" uri="{C3380CC4-5D6E-409C-BE32-E72D297353CC}">
              <c16:uniqueId val="{00000002-BD31-46EB-9F75-3DD8DFBD6B55}"/>
            </c:ext>
          </c:extLst>
        </c:ser>
        <c:ser>
          <c:idx val="3"/>
          <c:order val="3"/>
          <c:tx>
            <c:strRef>
              <c:f>Percentages!$A$41</c:f>
              <c:strCache>
                <c:ptCount val="1"/>
                <c:pt idx="0">
                  <c:v>Research &amp; Development</c:v>
                </c:pt>
              </c:strCache>
            </c:strRef>
          </c:tx>
          <c:spPr>
            <a:solidFill>
              <a:srgbClr val="E7719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Percentages!$B$41:$G$41</c:f>
              <c:numCache>
                <c:formatCode>0%</c:formatCode>
                <c:ptCount val="6"/>
                <c:pt idx="0">
                  <c:v>0</c:v>
                </c:pt>
                <c:pt idx="1">
                  <c:v>0.3</c:v>
                </c:pt>
                <c:pt idx="2">
                  <c:v>0.3</c:v>
                </c:pt>
                <c:pt idx="3">
                  <c:v>0.1</c:v>
                </c:pt>
                <c:pt idx="4">
                  <c:v>0.3</c:v>
                </c:pt>
                <c:pt idx="5">
                  <c:v>0</c:v>
                </c:pt>
              </c:numCache>
            </c:numRef>
          </c:val>
          <c:extLst>
            <c:ext xmlns:c16="http://schemas.microsoft.com/office/drawing/2014/chart" uri="{C3380CC4-5D6E-409C-BE32-E72D297353CC}">
              <c16:uniqueId val="{00000003-BD31-46EB-9F75-3DD8DFBD6B55}"/>
            </c:ext>
          </c:extLst>
        </c:ser>
        <c:dLbls>
          <c:dLblPos val="outEnd"/>
          <c:showLegendKey val="0"/>
          <c:showVal val="1"/>
          <c:showCatName val="0"/>
          <c:showSerName val="0"/>
          <c:showPercent val="0"/>
          <c:showBubbleSize val="0"/>
        </c:dLbls>
        <c:gapWidth val="80"/>
        <c:overlap val="25"/>
        <c:axId val="1099379344"/>
        <c:axId val="1099607376"/>
      </c:barChart>
      <c:catAx>
        <c:axId val="1099379344"/>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099607376"/>
        <c:crosses val="autoZero"/>
        <c:auto val="1"/>
        <c:lblAlgn val="ctr"/>
        <c:lblOffset val="100"/>
        <c:noMultiLvlLbl val="0"/>
      </c:catAx>
      <c:valAx>
        <c:axId val="1099607376"/>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09937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Quarter 2 Average Performance (Per Department)</a:t>
            </a:r>
          </a:p>
        </c:rich>
      </c:tx>
      <c:layout>
        <c:manualLayout>
          <c:xMode val="edge"/>
          <c:yMode val="edge"/>
          <c:x val="0.15738775536531208"/>
          <c:y val="3.2026318015741649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Percentages!$A$46</c:f>
              <c:strCache>
                <c:ptCount val="1"/>
                <c:pt idx="0">
                  <c:v>Administration</c:v>
                </c:pt>
              </c:strCache>
            </c:strRef>
          </c:tx>
          <c:spPr>
            <a:solidFill>
              <a:srgbClr val="AAFEF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Percentages!$B$46:$G$46</c:f>
              <c:numCache>
                <c:formatCode>0%</c:formatCode>
                <c:ptCount val="6"/>
                <c:pt idx="0">
                  <c:v>0.09</c:v>
                </c:pt>
                <c:pt idx="1">
                  <c:v>9.0909090909090912E-2</c:v>
                </c:pt>
                <c:pt idx="2">
                  <c:v>0.36363636363636365</c:v>
                </c:pt>
                <c:pt idx="3">
                  <c:v>0.36363636363636365</c:v>
                </c:pt>
                <c:pt idx="4">
                  <c:v>9.0909090909090912E-2</c:v>
                </c:pt>
                <c:pt idx="5">
                  <c:v>9.0909090909090912E-2</c:v>
                </c:pt>
              </c:numCache>
            </c:numRef>
          </c:val>
          <c:extLst>
            <c:ext xmlns:c16="http://schemas.microsoft.com/office/drawing/2014/chart" uri="{C3380CC4-5D6E-409C-BE32-E72D297353CC}">
              <c16:uniqueId val="{00000000-CDC9-4638-B57B-5B4EDE031220}"/>
            </c:ext>
          </c:extLst>
        </c:ser>
        <c:ser>
          <c:idx val="1"/>
          <c:order val="1"/>
          <c:tx>
            <c:strRef>
              <c:f>Percentages!$A$47</c:f>
              <c:strCache>
                <c:ptCount val="1"/>
                <c:pt idx="0">
                  <c:v>Sales </c:v>
                </c:pt>
              </c:strCache>
            </c:strRef>
          </c:tx>
          <c:spPr>
            <a:solidFill>
              <a:srgbClr val="FFFF6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Percentages!$B$47:$G$47</c:f>
              <c:numCache>
                <c:formatCode>0%</c:formatCode>
                <c:ptCount val="6"/>
                <c:pt idx="0">
                  <c:v>0</c:v>
                </c:pt>
                <c:pt idx="1">
                  <c:v>0</c:v>
                </c:pt>
                <c:pt idx="2">
                  <c:v>1</c:v>
                </c:pt>
                <c:pt idx="3">
                  <c:v>0</c:v>
                </c:pt>
                <c:pt idx="4">
                  <c:v>0</c:v>
                </c:pt>
                <c:pt idx="5">
                  <c:v>0</c:v>
                </c:pt>
              </c:numCache>
            </c:numRef>
          </c:val>
          <c:extLst>
            <c:ext xmlns:c16="http://schemas.microsoft.com/office/drawing/2014/chart" uri="{C3380CC4-5D6E-409C-BE32-E72D297353CC}">
              <c16:uniqueId val="{00000001-CDC9-4638-B57B-5B4EDE031220}"/>
            </c:ext>
          </c:extLst>
        </c:ser>
        <c:ser>
          <c:idx val="2"/>
          <c:order val="2"/>
          <c:tx>
            <c:strRef>
              <c:f>Percentages!$A$48</c:f>
              <c:strCache>
                <c:ptCount val="1"/>
                <c:pt idx="0">
                  <c:v>Logistics </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Percentages!$B$48:$G$48</c:f>
              <c:numCache>
                <c:formatCode>0%</c:formatCode>
                <c:ptCount val="6"/>
                <c:pt idx="0">
                  <c:v>0</c:v>
                </c:pt>
                <c:pt idx="1">
                  <c:v>0.25</c:v>
                </c:pt>
                <c:pt idx="2">
                  <c:v>0.45</c:v>
                </c:pt>
                <c:pt idx="3">
                  <c:v>0.2</c:v>
                </c:pt>
                <c:pt idx="4">
                  <c:v>0</c:v>
                </c:pt>
                <c:pt idx="5">
                  <c:v>0.1</c:v>
                </c:pt>
              </c:numCache>
            </c:numRef>
          </c:val>
          <c:extLst>
            <c:ext xmlns:c16="http://schemas.microsoft.com/office/drawing/2014/chart" uri="{C3380CC4-5D6E-409C-BE32-E72D297353CC}">
              <c16:uniqueId val="{00000002-CDC9-4638-B57B-5B4EDE031220}"/>
            </c:ext>
          </c:extLst>
        </c:ser>
        <c:ser>
          <c:idx val="3"/>
          <c:order val="3"/>
          <c:tx>
            <c:strRef>
              <c:f>Percentages!$A$49</c:f>
              <c:strCache>
                <c:ptCount val="1"/>
                <c:pt idx="0">
                  <c:v>Research &amp; Development</c:v>
                </c:pt>
              </c:strCache>
            </c:strRef>
          </c:tx>
          <c:spPr>
            <a:solidFill>
              <a:srgbClr val="E7719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Percentages!$B$49:$G$49</c:f>
              <c:numCache>
                <c:formatCode>0%</c:formatCode>
                <c:ptCount val="6"/>
                <c:pt idx="0">
                  <c:v>0</c:v>
                </c:pt>
                <c:pt idx="1">
                  <c:v>0.5</c:v>
                </c:pt>
                <c:pt idx="2">
                  <c:v>0.3</c:v>
                </c:pt>
                <c:pt idx="3">
                  <c:v>0.1</c:v>
                </c:pt>
                <c:pt idx="4">
                  <c:v>0</c:v>
                </c:pt>
                <c:pt idx="5">
                  <c:v>0.1</c:v>
                </c:pt>
              </c:numCache>
            </c:numRef>
          </c:val>
          <c:extLst>
            <c:ext xmlns:c16="http://schemas.microsoft.com/office/drawing/2014/chart" uri="{C3380CC4-5D6E-409C-BE32-E72D297353CC}">
              <c16:uniqueId val="{00000003-CDC9-4638-B57B-5B4EDE031220}"/>
            </c:ext>
          </c:extLst>
        </c:ser>
        <c:dLbls>
          <c:dLblPos val="outEnd"/>
          <c:showLegendKey val="0"/>
          <c:showVal val="1"/>
          <c:showCatName val="0"/>
          <c:showSerName val="0"/>
          <c:showPercent val="0"/>
          <c:showBubbleSize val="0"/>
        </c:dLbls>
        <c:gapWidth val="80"/>
        <c:overlap val="25"/>
        <c:axId val="271093328"/>
        <c:axId val="271095040"/>
      </c:barChart>
      <c:catAx>
        <c:axId val="271093328"/>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271095040"/>
        <c:crosses val="autoZero"/>
        <c:auto val="1"/>
        <c:lblAlgn val="ctr"/>
        <c:lblOffset val="100"/>
        <c:noMultiLvlLbl val="0"/>
      </c:catAx>
      <c:valAx>
        <c:axId val="271095040"/>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271093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Average</a:t>
            </a:r>
            <a:r>
              <a:rPr lang="en-US" baseline="0"/>
              <a:t> Company Performance over two quarters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Percentages!$A$33</c:f>
              <c:strCache>
                <c:ptCount val="1"/>
                <c:pt idx="0">
                  <c:v>Company Average</c:v>
                </c:pt>
              </c:strCache>
            </c:strRef>
          </c:tx>
          <c:spPr>
            <a:solidFill>
              <a:srgbClr val="FF9933"/>
            </a:solidFill>
          </c:spPr>
          <c:dPt>
            <c:idx val="0"/>
            <c:bubble3D val="0"/>
            <c:spPr>
              <a:solidFill>
                <a:schemeClr val="bg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068-407B-899A-46348224CF47}"/>
              </c:ext>
            </c:extLst>
          </c:dPt>
          <c:dPt>
            <c:idx val="1"/>
            <c:bubble3D val="0"/>
            <c:spPr>
              <a:solidFill>
                <a:srgbClr val="FF993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068-407B-899A-46348224CF47}"/>
              </c:ext>
            </c:extLst>
          </c:dPt>
          <c:dPt>
            <c:idx val="2"/>
            <c:bubble3D val="0"/>
            <c:spPr>
              <a:solidFill>
                <a:srgbClr val="92D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068-407B-899A-46348224CF47}"/>
              </c:ext>
            </c:extLst>
          </c:dPt>
          <c:dPt>
            <c:idx val="3"/>
            <c:bubble3D val="0"/>
            <c:spPr>
              <a:solidFill>
                <a:srgbClr val="FFFF6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068-407B-899A-46348224CF47}"/>
              </c:ext>
            </c:extLst>
          </c:dPt>
          <c:dPt>
            <c:idx val="4"/>
            <c:bubble3D val="0"/>
            <c:spPr>
              <a:solidFill>
                <a:srgbClr val="FF5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068-407B-899A-46348224CF47}"/>
              </c:ext>
            </c:extLst>
          </c:dPt>
          <c:dPt>
            <c:idx val="5"/>
            <c:bubble3D val="0"/>
            <c:spPr>
              <a:solidFill>
                <a:schemeClr val="bg2">
                  <a:lumMod val="7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D068-407B-899A-46348224CF4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Percentages!$B$32:$G$32</c:f>
              <c:strCache>
                <c:ptCount val="6"/>
                <c:pt idx="0">
                  <c:v>No Performance Data</c:v>
                </c:pt>
                <c:pt idx="1">
                  <c:v>Outstanding</c:v>
                </c:pt>
                <c:pt idx="2">
                  <c:v>Meeting KPIs</c:v>
                </c:pt>
                <c:pt idx="3">
                  <c:v>Not Quite There Yet</c:v>
                </c:pt>
                <c:pt idx="4">
                  <c:v>Under Performing</c:v>
                </c:pt>
                <c:pt idx="5">
                  <c:v>Absent</c:v>
                </c:pt>
              </c:strCache>
            </c:strRef>
          </c:cat>
          <c:val>
            <c:numRef>
              <c:f>Percentages!$B$33:$G$33</c:f>
              <c:numCache>
                <c:formatCode>0%</c:formatCode>
                <c:ptCount val="6"/>
                <c:pt idx="0">
                  <c:v>1.1363636363636364E-2</c:v>
                </c:pt>
                <c:pt idx="1">
                  <c:v>0.4</c:v>
                </c:pt>
                <c:pt idx="2">
                  <c:v>0.3</c:v>
                </c:pt>
                <c:pt idx="3">
                  <c:v>0.1</c:v>
                </c:pt>
                <c:pt idx="4">
                  <c:v>0.15</c:v>
                </c:pt>
                <c:pt idx="5">
                  <c:v>0.05</c:v>
                </c:pt>
              </c:numCache>
            </c:numRef>
          </c:val>
          <c:extLst>
            <c:ext xmlns:c16="http://schemas.microsoft.com/office/drawing/2014/chart" uri="{C3380CC4-5D6E-409C-BE32-E72D297353CC}">
              <c16:uniqueId val="{0000000C-D068-407B-899A-46348224CF4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 of Bonuses per Department, per Quarter</a:t>
            </a:r>
          </a:p>
        </c:rich>
      </c:tx>
      <c:layout>
        <c:manualLayout>
          <c:xMode val="edge"/>
          <c:yMode val="edge"/>
          <c:x val="0.21281037763849364"/>
          <c:y val="3.848929516478229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Bonuses!$E$23</c:f>
              <c:strCache>
                <c:ptCount val="1"/>
                <c:pt idx="0">
                  <c:v>Administration</c:v>
                </c:pt>
              </c:strCache>
            </c:strRef>
          </c:tx>
          <c:spPr>
            <a:solidFill>
              <a:srgbClr val="AAFEF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Bonuses!$F$23:$G$23</c:f>
              <c:numCache>
                <c:formatCode>"£"#,##0.00</c:formatCode>
                <c:ptCount val="2"/>
                <c:pt idx="0" formatCode="&quot;£&quot;#,##0_);[Red]\(&quot;£&quot;#,##0\)">
                  <c:v>2220</c:v>
                </c:pt>
                <c:pt idx="1">
                  <c:v>960</c:v>
                </c:pt>
              </c:numCache>
            </c:numRef>
          </c:val>
          <c:extLst>
            <c:ext xmlns:c16="http://schemas.microsoft.com/office/drawing/2014/chart" uri="{C3380CC4-5D6E-409C-BE32-E72D297353CC}">
              <c16:uniqueId val="{00000000-81CC-4020-9B60-A7763C0B5CE9}"/>
            </c:ext>
          </c:extLst>
        </c:ser>
        <c:ser>
          <c:idx val="1"/>
          <c:order val="1"/>
          <c:tx>
            <c:strRef>
              <c:f>Bonuses!$E$24</c:f>
              <c:strCache>
                <c:ptCount val="1"/>
                <c:pt idx="0">
                  <c:v>Logistics</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Bonuses!$F$24:$G$24</c:f>
              <c:numCache>
                <c:formatCode>"£"#,##0.00</c:formatCode>
                <c:ptCount val="2"/>
                <c:pt idx="0">
                  <c:v>3290</c:v>
                </c:pt>
                <c:pt idx="1">
                  <c:v>4500</c:v>
                </c:pt>
              </c:numCache>
            </c:numRef>
          </c:val>
          <c:extLst>
            <c:ext xmlns:c16="http://schemas.microsoft.com/office/drawing/2014/chart" uri="{C3380CC4-5D6E-409C-BE32-E72D297353CC}">
              <c16:uniqueId val="{00000001-81CC-4020-9B60-A7763C0B5CE9}"/>
            </c:ext>
          </c:extLst>
        </c:ser>
        <c:ser>
          <c:idx val="2"/>
          <c:order val="2"/>
          <c:tx>
            <c:strRef>
              <c:f>Bonuses!$E$25</c:f>
              <c:strCache>
                <c:ptCount val="1"/>
                <c:pt idx="0">
                  <c:v>Research &amp; Development</c:v>
                </c:pt>
              </c:strCache>
            </c:strRef>
          </c:tx>
          <c:spPr>
            <a:solidFill>
              <a:srgbClr val="E7719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Bonuses!$F$25:$G$25</c:f>
              <c:numCache>
                <c:formatCode>"£"#,##0.00</c:formatCode>
                <c:ptCount val="2"/>
                <c:pt idx="0">
                  <c:v>3660</c:v>
                </c:pt>
                <c:pt idx="1">
                  <c:v>6140</c:v>
                </c:pt>
              </c:numCache>
            </c:numRef>
          </c:val>
          <c:extLst>
            <c:ext xmlns:c16="http://schemas.microsoft.com/office/drawing/2014/chart" uri="{C3380CC4-5D6E-409C-BE32-E72D297353CC}">
              <c16:uniqueId val="{00000002-81CC-4020-9B60-A7763C0B5CE9}"/>
            </c:ext>
          </c:extLst>
        </c:ser>
        <c:ser>
          <c:idx val="3"/>
          <c:order val="3"/>
          <c:tx>
            <c:strRef>
              <c:f>Bonuses!$E$26</c:f>
              <c:strCache>
                <c:ptCount val="1"/>
                <c:pt idx="0">
                  <c:v>Sales </c:v>
                </c:pt>
              </c:strCache>
            </c:strRef>
          </c:tx>
          <c:spPr>
            <a:solidFill>
              <a:srgbClr val="FFFF6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Bonuses!$F$26:$G$26</c:f>
              <c:numCache>
                <c:formatCode>"£"#,##0_);[Red]\("£"#,##0\)</c:formatCode>
                <c:ptCount val="2"/>
                <c:pt idx="0">
                  <c:v>0</c:v>
                </c:pt>
                <c:pt idx="1">
                  <c:v>0</c:v>
                </c:pt>
              </c:numCache>
            </c:numRef>
          </c:val>
          <c:extLst>
            <c:ext xmlns:c16="http://schemas.microsoft.com/office/drawing/2014/chart" uri="{C3380CC4-5D6E-409C-BE32-E72D297353CC}">
              <c16:uniqueId val="{00000003-81CC-4020-9B60-A7763C0B5CE9}"/>
            </c:ext>
          </c:extLst>
        </c:ser>
        <c:dLbls>
          <c:dLblPos val="inEnd"/>
          <c:showLegendKey val="0"/>
          <c:showVal val="1"/>
          <c:showCatName val="0"/>
          <c:showSerName val="0"/>
          <c:showPercent val="0"/>
          <c:showBubbleSize val="0"/>
        </c:dLbls>
        <c:gapWidth val="182"/>
        <c:axId val="686100000"/>
        <c:axId val="686089168"/>
      </c:barChart>
      <c:catAx>
        <c:axId val="686100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089168"/>
        <c:crosses val="autoZero"/>
        <c:auto val="1"/>
        <c:lblAlgn val="ctr"/>
        <c:lblOffset val="100"/>
        <c:noMultiLvlLbl val="0"/>
      </c:catAx>
      <c:valAx>
        <c:axId val="686089168"/>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10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Bonuses!$E$31:$E$33</cx:f>
        <cx:lvl ptCount="3">
          <cx:pt idx="0">Q1</cx:pt>
          <cx:pt idx="1">Q2</cx:pt>
          <cx:pt idx="2">Total</cx:pt>
        </cx:lvl>
      </cx:strDim>
      <cx:numDim type="val">
        <cx:f>Bonuses!$F$31:$F$33</cx:f>
        <cx:lvl ptCount="3" formatCode="&quot;£&quot;#,##0;[Red]\-&quot;£&quot;#,##0">
          <cx:pt idx="0">9170</cx:pt>
          <cx:pt idx="1">11600</cx:pt>
          <cx:pt idx="2">20770</cx:pt>
        </cx:lvl>
      </cx:numDim>
    </cx:data>
  </cx:chartData>
  <cx:chart>
    <cx:title pos="t" align="ctr" overlay="0">
      <cx:tx>
        <cx:txData>
          <cx:v>Total Cost of Bonuses</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Narrow" panose="02110004020202020204"/>
            </a:rPr>
            <a:t>Total Cost of Bonuses</a:t>
          </a:r>
        </a:p>
      </cx:txPr>
    </cx:title>
    <cx:plotArea>
      <cx:plotAreaRegion>
        <cx:series layoutId="funnel" uniqueId="{6711F834-62F5-0048-89D9-76F1AE24A24A}">
          <cx:tx>
            <cx:txData>
              <cx:f>Bonuses!$F$30</cx:f>
              <cx:v>Total cost of Bonuses </cx:v>
            </cx:txData>
          </cx:tx>
          <cx:spPr>
            <a:solidFill>
              <a:srgbClr val="02BFDF"/>
            </a:solidFill>
          </cx:spPr>
          <cx:dataLabels>
            <cx:txPr>
              <a:bodyPr spcFirstLastPara="1" vertOverflow="ellipsis" horzOverflow="overflow" wrap="square" lIns="0" tIns="0" rIns="0" bIns="0" anchor="ctr" anchorCtr="1"/>
              <a:lstStyle/>
              <a:p>
                <a:pPr algn="ctr" rtl="0">
                  <a:defRPr>
                    <a:solidFill>
                      <a:sysClr val="windowText" lastClr="000000"/>
                    </a:solidFill>
                  </a:defRPr>
                </a:pPr>
                <a:endParaRPr lang="en-GB" sz="900" b="0" i="0" u="none" strike="noStrike" baseline="0">
                  <a:solidFill>
                    <a:sysClr val="windowText" lastClr="000000"/>
                  </a:solidFill>
                  <a:latin typeface="Calibri" panose="020F0502020204030204"/>
                </a:endParaRPr>
              </a:p>
            </cx:txPr>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130E8-817E-494C-B5DD-42B0F2248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24</Pages>
  <Words>4880</Words>
  <Characters>27820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dc:creator>
  <cp:keywords/>
  <dc:description/>
  <cp:lastModifiedBy>Ffion Morgan</cp:lastModifiedBy>
  <cp:revision>65</cp:revision>
  <dcterms:created xsi:type="dcterms:W3CDTF">2024-12-02T12:05:00Z</dcterms:created>
  <dcterms:modified xsi:type="dcterms:W3CDTF">2024-12-02T23:39:00Z</dcterms:modified>
</cp:coreProperties>
</file>