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305B7" w14:textId="40DCB81D" w:rsidR="00C22C9E" w:rsidRDefault="00C22C9E" w:rsidP="00C22C9E">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17C37A99" wp14:editId="567E284B">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433F17EB" w14:textId="77777777" w:rsidR="00C22C9E" w:rsidRDefault="00C22C9E" w:rsidP="00C22C9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22C9E" w14:paraId="28F6B562" w14:textId="77777777" w:rsidTr="00C22C9E">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685756D" w14:textId="77777777" w:rsidR="00C22C9E" w:rsidRDefault="00C22C9E">
            <w:pPr>
              <w:pStyle w:val="Heading4"/>
              <w:rPr>
                <w:rFonts w:ascii="Arial" w:hAnsi="Arial" w:cs="Arial"/>
                <w:b/>
                <w:lang w:eastAsia="en-US"/>
              </w:rPr>
            </w:pPr>
            <w:r>
              <w:rPr>
                <w:rFonts w:ascii="Arial" w:hAnsi="Arial" w:cs="Arial"/>
                <w:b/>
                <w:lang w:eastAsia="en-US"/>
              </w:rPr>
              <w:t xml:space="preserve">LEVEL 4 ASSESSMENT SPECIFICATION </w:t>
            </w:r>
          </w:p>
        </w:tc>
      </w:tr>
    </w:tbl>
    <w:p w14:paraId="1B9941D4" w14:textId="77777777" w:rsidR="00C22C9E" w:rsidRDefault="00C22C9E" w:rsidP="00C22C9E">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C22C9E" w14:paraId="40CECD61"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17F1198"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2D2DB2B" w14:textId="3098D196"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fldChar w:fldCharType="begin">
                <w:ffData>
                  <w:name w:val="Text2"/>
                  <w:enabled/>
                  <w:calcOnExit w:val="0"/>
                  <w:textInput/>
                </w:ffData>
              </w:fldChar>
            </w:r>
            <w:r>
              <w:rPr>
                <w:rFonts w:ascii="Arial" w:hAnsi="Arial" w:cs="Arial"/>
                <w:b/>
                <w:sz w:val="22"/>
                <w:szCs w:val="22"/>
                <w:lang w:eastAsia="en-US"/>
              </w:rPr>
              <w:instrText xml:space="preserve"> FORMTEXT </w:instrText>
            </w:r>
            <w:r>
              <w:rPr>
                <w:rFonts w:ascii="Arial" w:hAnsi="Arial" w:cs="Arial"/>
                <w:b/>
                <w:sz w:val="22"/>
                <w:szCs w:val="22"/>
                <w:lang w:eastAsia="en-US"/>
              </w:rPr>
            </w:r>
            <w:r>
              <w:rPr>
                <w:rFonts w:ascii="Arial" w:hAnsi="Arial" w:cs="Arial"/>
                <w:b/>
                <w:sz w:val="22"/>
                <w:szCs w:val="22"/>
                <w:lang w:eastAsia="en-US"/>
              </w:rPr>
              <w:fldChar w:fldCharType="separate"/>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sz w:val="22"/>
                <w:szCs w:val="22"/>
                <w:lang w:eastAsia="en-US"/>
              </w:rPr>
              <w:fldChar w:fldCharType="end"/>
            </w:r>
            <w:r>
              <w:rPr>
                <w:rFonts w:ascii="Arial" w:hAnsi="Arial" w:cs="Arial"/>
                <w:b/>
                <w:sz w:val="22"/>
                <w:szCs w:val="22"/>
                <w:lang w:eastAsia="en-US"/>
              </w:rPr>
              <w:t>Iuliana Violeta Vlasceanu</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E2EF07D"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14:paraId="79CCCC84" w14:textId="1A30A38D" w:rsidR="00C22C9E" w:rsidRDefault="00EE0781">
            <w:pPr>
              <w:spacing w:before="120" w:after="120"/>
              <w:jc w:val="both"/>
              <w:rPr>
                <w:rFonts w:ascii="Arial" w:hAnsi="Arial" w:cs="Arial"/>
                <w:b/>
                <w:sz w:val="22"/>
                <w:szCs w:val="22"/>
                <w:lang w:eastAsia="en-US"/>
              </w:rPr>
            </w:pPr>
            <w:r>
              <w:rPr>
                <w:rFonts w:ascii="Arial" w:hAnsi="Arial" w:cs="Arial"/>
                <w:b/>
                <w:sz w:val="22"/>
                <w:szCs w:val="22"/>
                <w:lang w:eastAsia="en-US"/>
              </w:rPr>
              <w:t>2214468</w:t>
            </w:r>
          </w:p>
        </w:tc>
      </w:tr>
      <w:tr w:rsidR="00C22C9E" w14:paraId="2D161CA2"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8A9CB98"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04F45965"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Law and Legal Practice</w:t>
            </w:r>
          </w:p>
        </w:tc>
      </w:tr>
      <w:tr w:rsidR="00C22C9E" w14:paraId="21F1E41B"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4553B62"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4D3F1DA"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Criminal Litigation</w:t>
            </w:r>
          </w:p>
        </w:tc>
      </w:tr>
      <w:tr w:rsidR="00C22C9E" w14:paraId="3DF50DB1"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7C8A438"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4750CBF7"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BMLW4000</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1AD917C" w14:textId="77777777" w:rsidR="00C22C9E" w:rsidRDefault="00C22C9E">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AB2F1D9"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C22C9E" w14:paraId="25DE34D4"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D1B1371"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hideMark/>
          </w:tcPr>
          <w:p w14:paraId="12C5D595"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James Drew</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A9F6E99"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6162C9A2"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Sian Turvey</w:t>
            </w:r>
          </w:p>
        </w:tc>
      </w:tr>
      <w:tr w:rsidR="00C22C9E" w14:paraId="3FB1A0F8"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89D6ED9"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AB25FC3"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 xml:space="preserve">The Case of Miss Sarah Jones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8108905"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D653BBD"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1500</w:t>
            </w:r>
          </w:p>
        </w:tc>
      </w:tr>
      <w:tr w:rsidR="00C22C9E" w14:paraId="1926DEA0"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C7925BC"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14:paraId="6EA95664" w14:textId="77777777" w:rsidR="00C22C9E" w:rsidRDefault="00C22C9E">
            <w:pPr>
              <w:spacing w:before="120" w:after="120"/>
              <w:jc w:val="both"/>
              <w:rPr>
                <w:rFonts w:ascii="Arial" w:hAnsi="Arial" w:cs="Arial"/>
                <w:b/>
                <w:sz w:val="22"/>
                <w:szCs w:val="22"/>
                <w:lang w:eastAsia="en-US"/>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16423E6"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29C22C36" w14:textId="77777777" w:rsidR="00C22C9E" w:rsidRDefault="00C22C9E">
            <w:pPr>
              <w:spacing w:before="120" w:after="120"/>
              <w:jc w:val="both"/>
              <w:rPr>
                <w:rFonts w:ascii="Arial" w:hAnsi="Arial" w:cs="Arial"/>
                <w:b/>
                <w:sz w:val="22"/>
                <w:szCs w:val="22"/>
                <w:lang w:eastAsia="en-US"/>
              </w:rPr>
            </w:pPr>
          </w:p>
        </w:tc>
      </w:tr>
      <w:tr w:rsidR="00C22C9E" w14:paraId="5BAB4F03"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3374CC9"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7B897862" w14:textId="77777777" w:rsidR="00C22C9E" w:rsidRDefault="00C22C9E">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DC3EBD"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135FC23D" w14:textId="77777777" w:rsidR="00C22C9E" w:rsidRDefault="00C22C9E">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C22C9E" w14:paraId="723734AF" w14:textId="77777777" w:rsidTr="00C22C9E">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031069" w14:textId="77777777" w:rsidR="00C22C9E" w:rsidRDefault="00C22C9E">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E9982AE" w14:textId="77777777" w:rsidR="00C22C9E" w:rsidRDefault="00C22C9E">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AED17DB" w14:textId="77777777" w:rsidR="00C22C9E" w:rsidRDefault="00C22C9E" w:rsidP="00C22C9E">
      <w:pPr>
        <w:rPr>
          <w:rFonts w:ascii="Arial" w:hAnsi="Arial" w:cs="Arial"/>
          <w:sz w:val="32"/>
        </w:rPr>
      </w:pPr>
    </w:p>
    <w:p w14:paraId="04B9172F" w14:textId="77777777" w:rsidR="00C22C9E" w:rsidRDefault="00C22C9E" w:rsidP="00C22C9E">
      <w:pPr>
        <w:rPr>
          <w:rFonts w:ascii="Arial" w:hAnsi="Arial" w:cs="Arial"/>
          <w:sz w:val="32"/>
        </w:rPr>
      </w:pPr>
    </w:p>
    <w:p w14:paraId="4BBB2BC2" w14:textId="77777777" w:rsidR="00C22C9E" w:rsidRDefault="00C22C9E" w:rsidP="00C22C9E">
      <w:pPr>
        <w:rPr>
          <w:rFonts w:ascii="Arial" w:hAnsi="Arial" w:cs="Arial"/>
          <w:sz w:val="32"/>
        </w:rPr>
      </w:pPr>
    </w:p>
    <w:p w14:paraId="3628548E" w14:textId="11E67E66" w:rsidR="00C22C9E" w:rsidRDefault="00C22C9E" w:rsidP="00C22C9E">
      <w:pPr>
        <w:rPr>
          <w:rFonts w:ascii="Arial" w:hAnsi="Arial" w:cs="Arial"/>
          <w:sz w:val="32"/>
        </w:rPr>
      </w:pPr>
    </w:p>
    <w:p w14:paraId="528BD8EF" w14:textId="77777777" w:rsidR="00EE0781" w:rsidRDefault="00EE0781" w:rsidP="00C22C9E">
      <w:pPr>
        <w:rPr>
          <w:rFonts w:ascii="Arial" w:hAnsi="Arial" w:cs="Arial"/>
          <w:sz w:val="32"/>
        </w:rPr>
      </w:pPr>
    </w:p>
    <w:p w14:paraId="44408AAD" w14:textId="77777777" w:rsidR="00C22C9E" w:rsidRDefault="00C22C9E" w:rsidP="00C22C9E">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C22C9E" w14:paraId="0818C658" w14:textId="77777777" w:rsidTr="00C22C9E">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7B14E670" w14:textId="77777777" w:rsidR="00C22C9E" w:rsidRDefault="00C22C9E">
            <w:pPr>
              <w:rPr>
                <w:rFonts w:ascii="Arial" w:hAnsi="Arial" w:cs="Arial"/>
                <w:b/>
                <w:sz w:val="22"/>
                <w:szCs w:val="22"/>
                <w:lang w:eastAsia="en-US"/>
              </w:rPr>
            </w:pPr>
            <w:r>
              <w:rPr>
                <w:rFonts w:ascii="Arial" w:hAnsi="Arial" w:cs="Arial"/>
                <w:b/>
                <w:sz w:val="22"/>
                <w:szCs w:val="22"/>
                <w:lang w:eastAsia="en-US"/>
              </w:rPr>
              <w:lastRenderedPageBreak/>
              <w:t xml:space="preserve">Module Learning Outcomes </w:t>
            </w:r>
          </w:p>
          <w:p w14:paraId="6BD93D7D" w14:textId="77777777" w:rsidR="00C22C9E" w:rsidRDefault="00C22C9E">
            <w:pPr>
              <w:rPr>
                <w:rFonts w:ascii="Arial" w:hAnsi="Arial" w:cs="Arial"/>
                <w:sz w:val="22"/>
                <w:szCs w:val="22"/>
                <w:lang w:eastAsia="en-US"/>
              </w:rPr>
            </w:pPr>
            <w:r>
              <w:rPr>
                <w:rFonts w:ascii="Arial" w:hAnsi="Arial" w:cs="Arial"/>
                <w:b/>
                <w:sz w:val="22"/>
                <w:szCs w:val="22"/>
                <w:lang w:eastAsia="en-US"/>
              </w:rPr>
              <w:t>(from module syllabus)</w:t>
            </w:r>
          </w:p>
        </w:tc>
      </w:tr>
      <w:tr w:rsidR="00C22C9E" w14:paraId="1D38F016" w14:textId="77777777" w:rsidTr="00C22C9E">
        <w:tc>
          <w:tcPr>
            <w:tcW w:w="9747" w:type="dxa"/>
            <w:tcBorders>
              <w:top w:val="single" w:sz="4" w:space="0" w:color="auto"/>
              <w:left w:val="single" w:sz="4" w:space="0" w:color="auto"/>
              <w:bottom w:val="single" w:sz="4" w:space="0" w:color="auto"/>
              <w:right w:val="single" w:sz="4" w:space="0" w:color="auto"/>
            </w:tcBorders>
          </w:tcPr>
          <w:p w14:paraId="397DE108" w14:textId="77777777" w:rsidR="00C22C9E" w:rsidRDefault="00C22C9E">
            <w:pPr>
              <w:rPr>
                <w:rFonts w:ascii="Arial" w:hAnsi="Arial" w:cs="Arial"/>
                <w:sz w:val="22"/>
                <w:szCs w:val="22"/>
                <w:lang w:eastAsia="en-US"/>
              </w:rPr>
            </w:pPr>
          </w:p>
          <w:p w14:paraId="2D2EB930" w14:textId="77777777" w:rsidR="00C22C9E" w:rsidRDefault="00C22C9E" w:rsidP="00C51A8E">
            <w:pPr>
              <w:pStyle w:val="ListParagraph"/>
              <w:numPr>
                <w:ilvl w:val="0"/>
                <w:numId w:val="1"/>
              </w:numPr>
              <w:overflowPunct w:val="0"/>
              <w:autoSpaceDE w:val="0"/>
              <w:autoSpaceDN w:val="0"/>
              <w:adjustRightInd w:val="0"/>
              <w:spacing w:before="120"/>
              <w:ind w:left="851" w:hanging="567"/>
              <w:jc w:val="both"/>
              <w:textAlignment w:val="baseline"/>
              <w:rPr>
                <w:rFonts w:ascii="Arial" w:hAnsi="Arial" w:cs="Arial"/>
                <w:sz w:val="20"/>
                <w:szCs w:val="20"/>
                <w:lang w:eastAsia="en-US"/>
              </w:rPr>
            </w:pPr>
            <w:r>
              <w:rPr>
                <w:rFonts w:ascii="Arial" w:hAnsi="Arial" w:cs="Arial"/>
                <w:lang w:eastAsia="en-US"/>
              </w:rPr>
              <w:t xml:space="preserve">Demonstrate knowledge and understanding of the key concepts of the structure of the courts, criminal jurisdiction and the role of the police </w:t>
            </w:r>
          </w:p>
          <w:p w14:paraId="748332A3" w14:textId="77777777" w:rsidR="00C22C9E" w:rsidRDefault="00C22C9E" w:rsidP="00C51A8E">
            <w:pPr>
              <w:pStyle w:val="ListParagraph"/>
              <w:numPr>
                <w:ilvl w:val="0"/>
                <w:numId w:val="1"/>
              </w:numPr>
              <w:overflowPunct w:val="0"/>
              <w:autoSpaceDE w:val="0"/>
              <w:autoSpaceDN w:val="0"/>
              <w:adjustRightInd w:val="0"/>
              <w:spacing w:before="120"/>
              <w:ind w:left="851" w:hanging="567"/>
              <w:jc w:val="both"/>
              <w:textAlignment w:val="baseline"/>
              <w:rPr>
                <w:rFonts w:ascii="Arial" w:hAnsi="Arial" w:cs="Arial"/>
                <w:lang w:eastAsia="en-US"/>
              </w:rPr>
            </w:pPr>
            <w:r>
              <w:rPr>
                <w:rFonts w:ascii="Arial" w:hAnsi="Arial" w:cs="Arial"/>
                <w:lang w:eastAsia="en-US"/>
              </w:rPr>
              <w:t xml:space="preserve">Understand the various stages of criminal proceedings, bail and funding to prepare for and to advise a client for criminal proceedings.  </w:t>
            </w:r>
          </w:p>
          <w:p w14:paraId="683A8D00" w14:textId="77777777" w:rsidR="00C22C9E" w:rsidRDefault="00C22C9E">
            <w:pPr>
              <w:ind w:left="360"/>
              <w:rPr>
                <w:rFonts w:ascii="Arial" w:hAnsi="Arial" w:cs="Arial"/>
                <w:sz w:val="22"/>
                <w:szCs w:val="22"/>
                <w:lang w:eastAsia="en-US"/>
              </w:rPr>
            </w:pPr>
          </w:p>
          <w:p w14:paraId="29402785" w14:textId="77777777" w:rsidR="00C22C9E" w:rsidRDefault="00C22C9E">
            <w:pPr>
              <w:rPr>
                <w:rFonts w:ascii="Arial" w:hAnsi="Arial" w:cs="Arial"/>
                <w:sz w:val="22"/>
                <w:szCs w:val="22"/>
                <w:lang w:eastAsia="en-US"/>
              </w:rPr>
            </w:pPr>
          </w:p>
        </w:tc>
      </w:tr>
    </w:tbl>
    <w:p w14:paraId="2C5F3C82" w14:textId="77777777" w:rsidR="00C22C9E" w:rsidRDefault="00C22C9E" w:rsidP="00C22C9E">
      <w:pPr>
        <w:rPr>
          <w:rFonts w:ascii="Arial" w:hAnsi="Arial" w:cs="Arial"/>
          <w:b/>
        </w:rPr>
      </w:pPr>
    </w:p>
    <w:p w14:paraId="5CA109C3" w14:textId="77777777" w:rsidR="00C22C9E" w:rsidRDefault="00C22C9E" w:rsidP="00C22C9E">
      <w:pPr>
        <w:rPr>
          <w:rFonts w:ascii="Arial" w:hAnsi="Arial" w:cs="Arial"/>
          <w:b/>
        </w:rPr>
      </w:pPr>
    </w:p>
    <w:p w14:paraId="29006312" w14:textId="5A0E2669" w:rsidR="00C22C9E" w:rsidRDefault="00C22C9E" w:rsidP="00C22C9E">
      <w:pPr>
        <w:rPr>
          <w:rFonts w:ascii="Arial" w:hAnsi="Arial" w:cs="Arial"/>
          <w:b/>
        </w:rPr>
      </w:pPr>
    </w:p>
    <w:p w14:paraId="6BE45EF6" w14:textId="331BF4E2" w:rsidR="00EE0781" w:rsidRDefault="00EE0781" w:rsidP="00C22C9E">
      <w:pPr>
        <w:rPr>
          <w:rFonts w:ascii="Arial" w:hAnsi="Arial" w:cs="Arial"/>
          <w:b/>
        </w:rPr>
      </w:pPr>
    </w:p>
    <w:p w14:paraId="528E6322" w14:textId="3B7DF1CF" w:rsidR="00EE0781" w:rsidRDefault="00EE0781" w:rsidP="00C22C9E">
      <w:pPr>
        <w:rPr>
          <w:rFonts w:ascii="Arial" w:hAnsi="Arial" w:cs="Arial"/>
          <w:b/>
        </w:rPr>
      </w:pPr>
    </w:p>
    <w:p w14:paraId="69B25F99" w14:textId="7B0A62C5" w:rsidR="00EE0781" w:rsidRDefault="00EE0781" w:rsidP="00C22C9E">
      <w:pPr>
        <w:rPr>
          <w:rFonts w:ascii="Arial" w:hAnsi="Arial" w:cs="Arial"/>
          <w:b/>
        </w:rPr>
      </w:pPr>
    </w:p>
    <w:p w14:paraId="587C18E0" w14:textId="2BD32636" w:rsidR="00EE0781" w:rsidRDefault="00EE0781" w:rsidP="00C22C9E">
      <w:pPr>
        <w:rPr>
          <w:rFonts w:ascii="Arial" w:hAnsi="Arial" w:cs="Arial"/>
          <w:b/>
        </w:rPr>
      </w:pPr>
    </w:p>
    <w:p w14:paraId="5E6DC17A" w14:textId="33A459AF" w:rsidR="00EE0781" w:rsidRDefault="00EE0781" w:rsidP="00C22C9E">
      <w:pPr>
        <w:rPr>
          <w:rFonts w:ascii="Arial" w:hAnsi="Arial" w:cs="Arial"/>
          <w:b/>
        </w:rPr>
      </w:pPr>
    </w:p>
    <w:p w14:paraId="43116BC9" w14:textId="0E60D65D" w:rsidR="00EE0781" w:rsidRDefault="00EE0781" w:rsidP="00C22C9E">
      <w:pPr>
        <w:rPr>
          <w:rFonts w:ascii="Arial" w:hAnsi="Arial" w:cs="Arial"/>
          <w:b/>
        </w:rPr>
      </w:pPr>
    </w:p>
    <w:p w14:paraId="340C672E" w14:textId="5ADF2ECB" w:rsidR="00EE0781" w:rsidRDefault="00EE0781" w:rsidP="00C22C9E">
      <w:pPr>
        <w:rPr>
          <w:rFonts w:ascii="Arial" w:hAnsi="Arial" w:cs="Arial"/>
          <w:b/>
        </w:rPr>
      </w:pPr>
    </w:p>
    <w:p w14:paraId="3F130ED8" w14:textId="592D39ED" w:rsidR="00EE0781" w:rsidRDefault="00EE0781" w:rsidP="00C22C9E">
      <w:pPr>
        <w:rPr>
          <w:rFonts w:ascii="Arial" w:hAnsi="Arial" w:cs="Arial"/>
          <w:b/>
        </w:rPr>
      </w:pPr>
    </w:p>
    <w:p w14:paraId="3714218C" w14:textId="1A57D9A5" w:rsidR="00EE0781" w:rsidRDefault="00EE0781" w:rsidP="00C22C9E">
      <w:pPr>
        <w:rPr>
          <w:rFonts w:ascii="Arial" w:hAnsi="Arial" w:cs="Arial"/>
          <w:b/>
        </w:rPr>
      </w:pPr>
    </w:p>
    <w:p w14:paraId="374543FE" w14:textId="774E31D3" w:rsidR="00EE0781" w:rsidRDefault="00EE0781" w:rsidP="00C22C9E">
      <w:pPr>
        <w:rPr>
          <w:rFonts w:ascii="Arial" w:hAnsi="Arial" w:cs="Arial"/>
          <w:b/>
        </w:rPr>
      </w:pPr>
    </w:p>
    <w:p w14:paraId="0DDA6198" w14:textId="0DDEB41A" w:rsidR="00EE0781" w:rsidRDefault="00EE0781" w:rsidP="00C22C9E">
      <w:pPr>
        <w:rPr>
          <w:rFonts w:ascii="Arial" w:hAnsi="Arial" w:cs="Arial"/>
          <w:b/>
        </w:rPr>
      </w:pPr>
    </w:p>
    <w:p w14:paraId="33AFFF8B" w14:textId="01EB56E2" w:rsidR="00EE0781" w:rsidRDefault="00EE0781" w:rsidP="00C22C9E">
      <w:pPr>
        <w:rPr>
          <w:rFonts w:ascii="Arial" w:hAnsi="Arial" w:cs="Arial"/>
          <w:b/>
        </w:rPr>
      </w:pPr>
    </w:p>
    <w:p w14:paraId="3C70D858" w14:textId="5028834F" w:rsidR="00EE0781" w:rsidRDefault="00EE0781" w:rsidP="00C22C9E">
      <w:pPr>
        <w:rPr>
          <w:rFonts w:ascii="Arial" w:hAnsi="Arial" w:cs="Arial"/>
          <w:b/>
        </w:rPr>
      </w:pPr>
    </w:p>
    <w:p w14:paraId="3D42484A" w14:textId="32DC0983" w:rsidR="00EE0781" w:rsidRDefault="00EE0781" w:rsidP="00C22C9E">
      <w:pPr>
        <w:rPr>
          <w:rFonts w:ascii="Arial" w:hAnsi="Arial" w:cs="Arial"/>
          <w:b/>
        </w:rPr>
      </w:pPr>
    </w:p>
    <w:p w14:paraId="3E65BD22" w14:textId="77777777" w:rsidR="00EE0781" w:rsidRDefault="00EE0781" w:rsidP="00C22C9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22C9E" w14:paraId="1275B9E0" w14:textId="77777777" w:rsidTr="00C22C9E">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0EE56C3B" w14:textId="77777777" w:rsidR="00C22C9E" w:rsidRDefault="00C22C9E">
            <w:pPr>
              <w:jc w:val="center"/>
              <w:rPr>
                <w:rFonts w:ascii="Arial" w:hAnsi="Arial" w:cs="Arial"/>
                <w:b/>
                <w:sz w:val="40"/>
                <w:szCs w:val="40"/>
                <w:lang w:eastAsia="en-US"/>
              </w:rPr>
            </w:pPr>
            <w:r>
              <w:rPr>
                <w:rFonts w:ascii="Arial" w:hAnsi="Arial" w:cs="Arial"/>
                <w:sz w:val="32"/>
              </w:rPr>
              <w:br w:type="page"/>
            </w:r>
            <w:r>
              <w:rPr>
                <w:rFonts w:ascii="Arial" w:hAnsi="Arial" w:cs="Arial"/>
                <w:b/>
                <w:sz w:val="40"/>
                <w:szCs w:val="40"/>
                <w:lang w:eastAsia="en-US"/>
              </w:rPr>
              <w:t>TASK DESCRIPTION</w:t>
            </w:r>
          </w:p>
        </w:tc>
      </w:tr>
    </w:tbl>
    <w:p w14:paraId="496880D2" w14:textId="77777777" w:rsidR="00C22C9E" w:rsidRDefault="00C22C9E" w:rsidP="00C22C9E">
      <w:pPr>
        <w:jc w:val="both"/>
        <w:rPr>
          <w:rFonts w:ascii="Arial" w:hAnsi="Arial" w:cs="Arial"/>
          <w:sz w:val="22"/>
          <w:szCs w:val="22"/>
        </w:rPr>
      </w:pPr>
    </w:p>
    <w:p w14:paraId="4922C5D7" w14:textId="77777777" w:rsidR="00C22C9E" w:rsidRDefault="00C22C9E" w:rsidP="00C22C9E">
      <w:pPr>
        <w:ind w:left="720"/>
        <w:rPr>
          <w:rFonts w:ascii="Arial" w:hAnsi="Arial" w:cs="Arial"/>
          <w:sz w:val="24"/>
          <w:szCs w:val="24"/>
        </w:rPr>
      </w:pPr>
    </w:p>
    <w:p w14:paraId="560CA2DE" w14:textId="77777777" w:rsidR="00C22C9E" w:rsidRDefault="00C22C9E" w:rsidP="00C22C9E">
      <w:pPr>
        <w:rPr>
          <w:rFonts w:ascii="Arial" w:hAnsi="Arial" w:cs="Arial"/>
          <w:b/>
          <w:bCs/>
          <w:sz w:val="24"/>
          <w:szCs w:val="24"/>
          <w:u w:val="single"/>
        </w:rPr>
      </w:pPr>
      <w:r>
        <w:rPr>
          <w:rFonts w:ascii="Arial" w:hAnsi="Arial" w:cs="Arial"/>
          <w:b/>
          <w:bCs/>
          <w:sz w:val="24"/>
          <w:szCs w:val="24"/>
          <w:u w:val="single"/>
        </w:rPr>
        <w:t>Background</w:t>
      </w:r>
    </w:p>
    <w:p w14:paraId="3DD10FB7" w14:textId="77777777" w:rsidR="00C22C9E" w:rsidRDefault="00C22C9E" w:rsidP="00C22C9E">
      <w:pPr>
        <w:rPr>
          <w:rFonts w:ascii="Arial" w:hAnsi="Arial" w:cs="Arial"/>
          <w:b/>
          <w:bCs/>
          <w:sz w:val="24"/>
          <w:szCs w:val="24"/>
          <w:u w:val="single"/>
        </w:rPr>
      </w:pPr>
    </w:p>
    <w:p w14:paraId="1854BCFE" w14:textId="77777777" w:rsidR="00C22C9E" w:rsidRDefault="00C22C9E" w:rsidP="00C22C9E">
      <w:pPr>
        <w:rPr>
          <w:rFonts w:ascii="Arial" w:hAnsi="Arial" w:cs="Arial"/>
          <w:sz w:val="24"/>
          <w:szCs w:val="24"/>
        </w:rPr>
      </w:pPr>
      <w:r>
        <w:rPr>
          <w:rFonts w:ascii="Arial" w:hAnsi="Arial" w:cs="Arial"/>
          <w:sz w:val="24"/>
          <w:szCs w:val="24"/>
        </w:rPr>
        <w:t xml:space="preserve">You are a trainee lawyer with the firm ‘Trinity Solicitors’. You are currently working in the Criminal Litigation Department of the firm, which has a standard criminal contract and participates in a number of local duty solicitor schemes. Among the cases being handled by the Department at the present time is the matter of: </w:t>
      </w:r>
      <w:r>
        <w:rPr>
          <w:rFonts w:ascii="Arial" w:hAnsi="Arial" w:cs="Arial"/>
          <w:b/>
          <w:bCs/>
          <w:sz w:val="24"/>
          <w:szCs w:val="24"/>
        </w:rPr>
        <w:t>Miss Sarah Jones.</w:t>
      </w:r>
    </w:p>
    <w:p w14:paraId="05E32A21" w14:textId="77777777" w:rsidR="00C22C9E" w:rsidRDefault="00C22C9E" w:rsidP="00C22C9E">
      <w:pPr>
        <w:rPr>
          <w:rFonts w:ascii="Arial" w:hAnsi="Arial" w:cs="Arial"/>
          <w:sz w:val="24"/>
          <w:szCs w:val="24"/>
        </w:rPr>
      </w:pPr>
    </w:p>
    <w:p w14:paraId="76D3DCE5"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This client, aged 35, is charged with one offence of theft of a Gucci handbag valued at £5000 and one count of assault. </w:t>
      </w:r>
    </w:p>
    <w:p w14:paraId="38CE4423" w14:textId="77777777" w:rsidR="00C22C9E" w:rsidRDefault="00C22C9E" w:rsidP="00C22C9E">
      <w:pPr>
        <w:rPr>
          <w:rFonts w:asciiTheme="minorBidi" w:hAnsiTheme="minorBidi" w:cstheme="minorBidi"/>
          <w:sz w:val="24"/>
          <w:szCs w:val="24"/>
        </w:rPr>
      </w:pPr>
    </w:p>
    <w:p w14:paraId="5C18D1CC"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Sarah Jones (Miss Jones) is from a troubled neighbourhood and succumbed to a life of crime during her teens and early twenties. She is currently unemployed but volunteers at the local catholic church having found religion a few years ago.  </w:t>
      </w:r>
    </w:p>
    <w:p w14:paraId="3F356C35" w14:textId="77777777" w:rsidR="00C22C9E" w:rsidRDefault="00C22C9E" w:rsidP="00C22C9E">
      <w:pPr>
        <w:rPr>
          <w:rFonts w:asciiTheme="minorBidi" w:hAnsiTheme="minorBidi" w:cstheme="minorBidi"/>
          <w:sz w:val="24"/>
          <w:szCs w:val="24"/>
        </w:rPr>
      </w:pPr>
    </w:p>
    <w:p w14:paraId="7F84F2B5"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Your client was sentenced to four years for robbery five years ago but was paroled after two years for good behaviour. She is an active member of the church and participates in a number of charitable causes. </w:t>
      </w:r>
    </w:p>
    <w:p w14:paraId="2A601892" w14:textId="77777777" w:rsidR="00C22C9E" w:rsidRDefault="00C22C9E" w:rsidP="00C22C9E">
      <w:pPr>
        <w:rPr>
          <w:rFonts w:asciiTheme="minorBidi" w:hAnsiTheme="minorBidi" w:cstheme="minorBidi"/>
          <w:sz w:val="24"/>
          <w:szCs w:val="24"/>
        </w:rPr>
      </w:pPr>
    </w:p>
    <w:p w14:paraId="439B549B"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Miss Jones tells you that she did not steal the Handbag; she found it in a lane just off Wind Street in Swansea while on a night out. As she picked up the Handbag, an individual known to the client as Miss Nora Davies, attacked her and snatched the Handbag from her grasp shouting “Oi, that’s my Gucci handbag!!”. </w:t>
      </w:r>
    </w:p>
    <w:p w14:paraId="3909A7A9" w14:textId="77777777" w:rsidR="00C22C9E" w:rsidRDefault="00C22C9E" w:rsidP="00C22C9E">
      <w:pPr>
        <w:rPr>
          <w:rFonts w:asciiTheme="minorBidi" w:hAnsiTheme="minorBidi" w:cstheme="minorBidi"/>
          <w:sz w:val="24"/>
          <w:szCs w:val="24"/>
        </w:rPr>
      </w:pPr>
    </w:p>
    <w:p w14:paraId="4271C0B5"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lastRenderedPageBreak/>
        <w:t xml:space="preserve">Miss Jones tells you that Miss Davies is also from a bad neighbourhood, has always been unemployed, and there is no way that she could afford to purchase a Gucci handbag. </w:t>
      </w:r>
    </w:p>
    <w:p w14:paraId="20FAB014" w14:textId="77777777" w:rsidR="00C22C9E" w:rsidRDefault="00C22C9E" w:rsidP="00C22C9E">
      <w:pPr>
        <w:rPr>
          <w:rFonts w:asciiTheme="minorBidi" w:hAnsiTheme="minorBidi" w:cstheme="minorBidi"/>
          <w:sz w:val="24"/>
          <w:szCs w:val="24"/>
        </w:rPr>
      </w:pPr>
    </w:p>
    <w:p w14:paraId="4C41BE51"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PC Norman Jenkins was on routine patrol on Wind Street when he saw the two women fighting. Miss Jones told the officer that Miss Davies had stolen her Gucci handbag and was merely attempting to recover her property. Miss Davies said that her Grandmother had gifted her the handbag some years ago but she does not have a receipt and her Grandmother is now deceased.  </w:t>
      </w:r>
    </w:p>
    <w:p w14:paraId="112EF51B" w14:textId="77777777" w:rsidR="00C22C9E" w:rsidRDefault="00C22C9E" w:rsidP="00C22C9E">
      <w:pPr>
        <w:rPr>
          <w:rFonts w:asciiTheme="minorBidi" w:hAnsiTheme="minorBidi" w:cstheme="minorBidi"/>
          <w:sz w:val="24"/>
          <w:szCs w:val="24"/>
        </w:rPr>
      </w:pPr>
    </w:p>
    <w:p w14:paraId="517DD1D1"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PC Jenkins arrested Miss Jones on suspicion of theft of the Gucci handbag and for assault. </w:t>
      </w:r>
    </w:p>
    <w:p w14:paraId="62E723ED" w14:textId="77777777" w:rsidR="00C22C9E" w:rsidRDefault="00C22C9E" w:rsidP="00C22C9E">
      <w:pPr>
        <w:rPr>
          <w:rFonts w:asciiTheme="minorBidi" w:hAnsiTheme="minorBidi" w:cstheme="minorBidi"/>
          <w:sz w:val="24"/>
          <w:szCs w:val="24"/>
        </w:rPr>
      </w:pPr>
    </w:p>
    <w:p w14:paraId="585A359B" w14:textId="77777777" w:rsidR="00C22C9E" w:rsidRDefault="00C22C9E" w:rsidP="00C22C9E">
      <w:pPr>
        <w:rPr>
          <w:rFonts w:asciiTheme="minorBidi" w:hAnsiTheme="minorBidi" w:cstheme="minorBidi"/>
          <w:sz w:val="24"/>
          <w:szCs w:val="24"/>
        </w:rPr>
      </w:pPr>
      <w:r>
        <w:rPr>
          <w:rFonts w:asciiTheme="minorBidi" w:hAnsiTheme="minorBidi" w:cstheme="minorBidi"/>
          <w:sz w:val="24"/>
          <w:szCs w:val="24"/>
        </w:rPr>
        <w:t xml:space="preserve">Your client is due to attend South Wales Police Headquarters for her first interview relating to this incident. Miss Jones is adamant that she is innocent on both charges.  </w:t>
      </w:r>
    </w:p>
    <w:p w14:paraId="17C7547A" w14:textId="77777777" w:rsidR="00C22C9E" w:rsidRDefault="00C22C9E" w:rsidP="00C22C9E">
      <w:pPr>
        <w:rPr>
          <w:rFonts w:asciiTheme="minorBidi" w:hAnsiTheme="minorBidi" w:cstheme="minorBidi"/>
          <w:sz w:val="24"/>
          <w:szCs w:val="24"/>
        </w:rPr>
      </w:pPr>
    </w:p>
    <w:p w14:paraId="550085A4" w14:textId="77777777" w:rsidR="00C22C9E" w:rsidRDefault="00C22C9E" w:rsidP="00C22C9E">
      <w:pPr>
        <w:rPr>
          <w:rFonts w:ascii="Arial" w:hAnsi="Arial" w:cs="Arial"/>
          <w:b/>
          <w:bCs/>
          <w:sz w:val="24"/>
          <w:szCs w:val="24"/>
          <w:u w:val="single"/>
        </w:rPr>
      </w:pPr>
    </w:p>
    <w:p w14:paraId="1013BCB2" w14:textId="77777777" w:rsidR="00C22C9E" w:rsidRDefault="00C22C9E" w:rsidP="00C22C9E">
      <w:pPr>
        <w:rPr>
          <w:rFonts w:ascii="Arial" w:hAnsi="Arial" w:cs="Arial"/>
          <w:b/>
          <w:bCs/>
          <w:sz w:val="24"/>
          <w:szCs w:val="24"/>
          <w:u w:val="single"/>
        </w:rPr>
      </w:pPr>
    </w:p>
    <w:p w14:paraId="603AC384" w14:textId="77777777" w:rsidR="00C22C9E" w:rsidRDefault="00C22C9E" w:rsidP="00C22C9E">
      <w:pPr>
        <w:rPr>
          <w:rFonts w:ascii="Arial" w:hAnsi="Arial" w:cs="Arial"/>
          <w:b/>
          <w:bCs/>
          <w:sz w:val="24"/>
          <w:szCs w:val="24"/>
          <w:u w:val="single"/>
        </w:rPr>
      </w:pPr>
      <w:r>
        <w:rPr>
          <w:rFonts w:ascii="Arial" w:hAnsi="Arial" w:cs="Arial"/>
          <w:b/>
          <w:bCs/>
          <w:sz w:val="24"/>
          <w:szCs w:val="24"/>
          <w:u w:val="single"/>
        </w:rPr>
        <w:t>Instructions</w:t>
      </w:r>
    </w:p>
    <w:p w14:paraId="496B8A66" w14:textId="77777777" w:rsidR="00C22C9E" w:rsidRDefault="00C22C9E" w:rsidP="00C22C9E">
      <w:pPr>
        <w:rPr>
          <w:rFonts w:ascii="Arial" w:hAnsi="Arial" w:cs="Arial"/>
          <w:b/>
          <w:bCs/>
          <w:sz w:val="24"/>
          <w:szCs w:val="24"/>
          <w:u w:val="single"/>
        </w:rPr>
      </w:pPr>
    </w:p>
    <w:p w14:paraId="3DA95707" w14:textId="77777777" w:rsidR="00C22C9E" w:rsidRDefault="00C22C9E" w:rsidP="00C22C9E">
      <w:pPr>
        <w:rPr>
          <w:rFonts w:ascii="Arial" w:hAnsi="Arial" w:cs="Arial"/>
          <w:sz w:val="24"/>
          <w:szCs w:val="24"/>
        </w:rPr>
      </w:pPr>
      <w:r>
        <w:rPr>
          <w:rFonts w:ascii="Arial" w:hAnsi="Arial" w:cs="Arial"/>
          <w:sz w:val="24"/>
          <w:szCs w:val="24"/>
        </w:rPr>
        <w:t xml:space="preserve">Your supervisor at the firm, Mr Thomas Trinity, has asked you to prepare a comprehensive internal memorandum/file note so that he may consider what advice to give to the client. </w:t>
      </w:r>
    </w:p>
    <w:p w14:paraId="247C7792" w14:textId="77777777" w:rsidR="00C22C9E" w:rsidRDefault="00C22C9E" w:rsidP="00C22C9E">
      <w:pPr>
        <w:rPr>
          <w:rFonts w:ascii="Arial" w:hAnsi="Arial" w:cs="Arial"/>
          <w:sz w:val="24"/>
          <w:szCs w:val="24"/>
        </w:rPr>
      </w:pPr>
    </w:p>
    <w:p w14:paraId="5603CF37" w14:textId="77777777" w:rsidR="00C22C9E" w:rsidRDefault="00C22C9E" w:rsidP="00C22C9E">
      <w:pPr>
        <w:rPr>
          <w:rFonts w:ascii="Arial" w:hAnsi="Arial" w:cs="Arial"/>
          <w:sz w:val="24"/>
          <w:szCs w:val="24"/>
        </w:rPr>
      </w:pPr>
      <w:r>
        <w:rPr>
          <w:rFonts w:ascii="Arial" w:hAnsi="Arial" w:cs="Arial"/>
          <w:sz w:val="24"/>
          <w:szCs w:val="24"/>
        </w:rPr>
        <w:t xml:space="preserve">The memorandum should be business-like in tone and layout and be professional. </w:t>
      </w:r>
    </w:p>
    <w:p w14:paraId="6B314D24" w14:textId="77777777" w:rsidR="00C22C9E" w:rsidRDefault="00C22C9E" w:rsidP="00C22C9E">
      <w:pPr>
        <w:rPr>
          <w:rFonts w:ascii="Arial" w:hAnsi="Arial" w:cs="Arial"/>
          <w:sz w:val="24"/>
          <w:szCs w:val="24"/>
        </w:rPr>
      </w:pPr>
    </w:p>
    <w:p w14:paraId="5D6947F3" w14:textId="77777777" w:rsidR="00C22C9E" w:rsidRDefault="00C22C9E" w:rsidP="00C22C9E">
      <w:pPr>
        <w:rPr>
          <w:rFonts w:ascii="Arial" w:hAnsi="Arial" w:cs="Arial"/>
          <w:sz w:val="24"/>
          <w:szCs w:val="24"/>
        </w:rPr>
      </w:pPr>
      <w:r>
        <w:rPr>
          <w:rFonts w:ascii="Arial" w:hAnsi="Arial" w:cs="Arial"/>
          <w:sz w:val="24"/>
          <w:szCs w:val="24"/>
        </w:rPr>
        <w:t>The memorandum should address the following matters: -</w:t>
      </w:r>
    </w:p>
    <w:p w14:paraId="2AFA2872" w14:textId="77777777" w:rsidR="00C22C9E" w:rsidRDefault="00C22C9E" w:rsidP="00C22C9E">
      <w:pPr>
        <w:rPr>
          <w:rFonts w:ascii="Arial" w:hAnsi="Arial" w:cs="Arial"/>
          <w:sz w:val="24"/>
          <w:szCs w:val="24"/>
        </w:rPr>
      </w:pPr>
    </w:p>
    <w:p w14:paraId="59EE57DB" w14:textId="77777777" w:rsidR="00C22C9E" w:rsidRDefault="00C22C9E" w:rsidP="00C22C9E">
      <w:pPr>
        <w:pStyle w:val="ListParagraph"/>
        <w:numPr>
          <w:ilvl w:val="0"/>
          <w:numId w:val="2"/>
        </w:numPr>
        <w:rPr>
          <w:rFonts w:ascii="Arial" w:hAnsi="Arial" w:cs="Arial"/>
          <w:sz w:val="24"/>
          <w:szCs w:val="24"/>
        </w:rPr>
      </w:pPr>
      <w:r>
        <w:rPr>
          <w:rFonts w:ascii="Arial" w:hAnsi="Arial" w:cs="Arial"/>
          <w:sz w:val="24"/>
          <w:szCs w:val="24"/>
        </w:rPr>
        <w:t xml:space="preserve">You must review and set out the law for the offences and be able to explain the </w:t>
      </w:r>
      <w:proofErr w:type="spellStart"/>
      <w:r>
        <w:rPr>
          <w:rFonts w:ascii="Arial" w:hAnsi="Arial" w:cs="Arial"/>
          <w:sz w:val="24"/>
          <w:szCs w:val="24"/>
        </w:rPr>
        <w:t>mens</w:t>
      </w:r>
      <w:proofErr w:type="spellEnd"/>
      <w:r>
        <w:rPr>
          <w:rFonts w:ascii="Arial" w:hAnsi="Arial" w:cs="Arial"/>
          <w:sz w:val="24"/>
          <w:szCs w:val="24"/>
        </w:rPr>
        <w:t xml:space="preserve"> rea and actus reus.</w:t>
      </w:r>
    </w:p>
    <w:p w14:paraId="27AD6079" w14:textId="77777777" w:rsidR="00C22C9E" w:rsidRDefault="00C22C9E" w:rsidP="00C22C9E">
      <w:pPr>
        <w:pStyle w:val="ListParagraph"/>
        <w:numPr>
          <w:ilvl w:val="0"/>
          <w:numId w:val="2"/>
        </w:numPr>
        <w:rPr>
          <w:rFonts w:ascii="Arial" w:hAnsi="Arial" w:cs="Arial"/>
          <w:sz w:val="24"/>
          <w:szCs w:val="24"/>
        </w:rPr>
      </w:pPr>
      <w:r>
        <w:rPr>
          <w:rFonts w:ascii="Arial" w:hAnsi="Arial" w:cs="Arial"/>
          <w:sz w:val="24"/>
          <w:szCs w:val="24"/>
        </w:rPr>
        <w:t xml:space="preserve">Explain the range of possible sentences for the alleged offences. </w:t>
      </w:r>
    </w:p>
    <w:p w14:paraId="415ADBB9" w14:textId="77777777" w:rsidR="00C22C9E" w:rsidRDefault="00C22C9E" w:rsidP="00C22C9E">
      <w:pPr>
        <w:pStyle w:val="ListParagraph"/>
        <w:numPr>
          <w:ilvl w:val="0"/>
          <w:numId w:val="2"/>
        </w:numPr>
        <w:rPr>
          <w:rFonts w:ascii="Arial" w:hAnsi="Arial" w:cs="Arial"/>
          <w:sz w:val="24"/>
          <w:szCs w:val="24"/>
        </w:rPr>
      </w:pPr>
      <w:r>
        <w:rPr>
          <w:rFonts w:ascii="Arial" w:hAnsi="Arial" w:cs="Arial"/>
          <w:sz w:val="24"/>
          <w:szCs w:val="24"/>
        </w:rPr>
        <w:t xml:space="preserve">Evaluate the strength of the evidence against the client. </w:t>
      </w:r>
    </w:p>
    <w:p w14:paraId="55AC12E9" w14:textId="77777777" w:rsidR="00C22C9E" w:rsidRDefault="00C22C9E" w:rsidP="00C22C9E">
      <w:pPr>
        <w:pStyle w:val="ListParagraph"/>
        <w:numPr>
          <w:ilvl w:val="0"/>
          <w:numId w:val="2"/>
        </w:numPr>
        <w:rPr>
          <w:rFonts w:ascii="Arial" w:hAnsi="Arial" w:cs="Arial"/>
          <w:sz w:val="24"/>
          <w:szCs w:val="24"/>
        </w:rPr>
      </w:pPr>
      <w:r>
        <w:rPr>
          <w:rFonts w:ascii="Arial" w:hAnsi="Arial" w:cs="Arial"/>
          <w:sz w:val="24"/>
          <w:szCs w:val="24"/>
        </w:rPr>
        <w:t xml:space="preserve">Evaluate the value/strength of Miss Davies’ claims and how this impacts upon Miss Jones’ case. </w:t>
      </w:r>
    </w:p>
    <w:p w14:paraId="455E5228" w14:textId="77777777" w:rsidR="00C22C9E" w:rsidRDefault="00C22C9E" w:rsidP="00C22C9E">
      <w:pPr>
        <w:pStyle w:val="ListParagraph"/>
        <w:numPr>
          <w:ilvl w:val="0"/>
          <w:numId w:val="2"/>
        </w:numPr>
        <w:rPr>
          <w:rFonts w:ascii="Arial" w:hAnsi="Arial" w:cs="Arial"/>
          <w:sz w:val="24"/>
          <w:szCs w:val="24"/>
        </w:rPr>
      </w:pPr>
      <w:r>
        <w:rPr>
          <w:rFonts w:ascii="Arial" w:hAnsi="Arial" w:cs="Arial"/>
          <w:sz w:val="24"/>
          <w:szCs w:val="24"/>
        </w:rPr>
        <w:t>Explain the advantages and disadvantages in advising the client to remain silent during the police interview.</w:t>
      </w:r>
    </w:p>
    <w:p w14:paraId="4E829662" w14:textId="43D8CE06" w:rsidR="00C22C9E" w:rsidRDefault="00C22C9E" w:rsidP="00C22C9E">
      <w:pPr>
        <w:pStyle w:val="ListParagraph"/>
        <w:numPr>
          <w:ilvl w:val="0"/>
          <w:numId w:val="2"/>
        </w:numPr>
        <w:spacing w:after="160" w:line="256" w:lineRule="auto"/>
        <w:rPr>
          <w:rFonts w:ascii="Arial" w:hAnsi="Arial" w:cs="Arial"/>
          <w:sz w:val="24"/>
          <w:szCs w:val="24"/>
        </w:rPr>
      </w:pPr>
      <w:r>
        <w:rPr>
          <w:rFonts w:ascii="Arial" w:hAnsi="Arial" w:cs="Arial"/>
          <w:sz w:val="24"/>
          <w:szCs w:val="24"/>
        </w:rPr>
        <w:t>Discuss what factors the court will take into account when allocating Miss Jones’ case for trial.</w:t>
      </w:r>
    </w:p>
    <w:p w14:paraId="6F64A35A" w14:textId="060156AA" w:rsidR="00F431D0" w:rsidRDefault="00F431D0" w:rsidP="00F431D0">
      <w:pPr>
        <w:spacing w:after="160" w:line="256" w:lineRule="auto"/>
        <w:rPr>
          <w:rFonts w:ascii="Arial" w:hAnsi="Arial" w:cs="Arial"/>
          <w:sz w:val="24"/>
          <w:szCs w:val="24"/>
        </w:rPr>
      </w:pPr>
    </w:p>
    <w:p w14:paraId="7C667186" w14:textId="011E239C" w:rsidR="00F431D0" w:rsidRDefault="00F431D0" w:rsidP="00F431D0">
      <w:pPr>
        <w:spacing w:after="160" w:line="256" w:lineRule="auto"/>
        <w:rPr>
          <w:rFonts w:ascii="Arial" w:hAnsi="Arial" w:cs="Arial"/>
          <w:sz w:val="24"/>
          <w:szCs w:val="24"/>
        </w:rPr>
      </w:pPr>
    </w:p>
    <w:p w14:paraId="7C48C9F2" w14:textId="0F78448D" w:rsidR="00F431D0" w:rsidRDefault="00F431D0" w:rsidP="00F431D0">
      <w:pPr>
        <w:spacing w:after="160" w:line="256" w:lineRule="auto"/>
        <w:rPr>
          <w:rFonts w:ascii="Arial" w:hAnsi="Arial" w:cs="Arial"/>
          <w:sz w:val="24"/>
          <w:szCs w:val="24"/>
        </w:rPr>
      </w:pPr>
    </w:p>
    <w:p w14:paraId="13EA8900" w14:textId="27968C2F" w:rsidR="00F431D0" w:rsidRDefault="00F431D0" w:rsidP="00F431D0">
      <w:pPr>
        <w:spacing w:after="160" w:line="256" w:lineRule="auto"/>
        <w:rPr>
          <w:rFonts w:ascii="Arial" w:hAnsi="Arial" w:cs="Arial"/>
          <w:sz w:val="24"/>
          <w:szCs w:val="24"/>
        </w:rPr>
      </w:pPr>
    </w:p>
    <w:p w14:paraId="558CAFFA" w14:textId="1147FFE9" w:rsidR="00F431D0" w:rsidRDefault="00F431D0" w:rsidP="00F431D0">
      <w:pPr>
        <w:spacing w:after="160" w:line="256" w:lineRule="auto"/>
        <w:rPr>
          <w:rFonts w:ascii="Arial" w:hAnsi="Arial" w:cs="Arial"/>
          <w:sz w:val="24"/>
          <w:szCs w:val="24"/>
        </w:rPr>
      </w:pPr>
    </w:p>
    <w:p w14:paraId="12314B50" w14:textId="08230259" w:rsidR="00F431D0" w:rsidRDefault="00F431D0" w:rsidP="00F431D0">
      <w:pPr>
        <w:spacing w:after="160" w:line="256" w:lineRule="auto"/>
        <w:rPr>
          <w:rFonts w:ascii="Arial" w:hAnsi="Arial" w:cs="Arial"/>
          <w:sz w:val="24"/>
          <w:szCs w:val="24"/>
        </w:rPr>
      </w:pPr>
    </w:p>
    <w:p w14:paraId="421DD258" w14:textId="0D1B54C9" w:rsidR="00F431D0" w:rsidRDefault="00F431D0" w:rsidP="00F431D0">
      <w:pPr>
        <w:spacing w:after="160" w:line="256" w:lineRule="auto"/>
        <w:rPr>
          <w:rFonts w:ascii="Arial" w:hAnsi="Arial" w:cs="Arial"/>
          <w:sz w:val="24"/>
          <w:szCs w:val="24"/>
        </w:rPr>
      </w:pPr>
    </w:p>
    <w:p w14:paraId="6C905C30" w14:textId="792D8DFA" w:rsidR="00F431D0" w:rsidRDefault="00F431D0" w:rsidP="00F431D0">
      <w:pPr>
        <w:spacing w:after="160" w:line="256" w:lineRule="auto"/>
        <w:rPr>
          <w:rFonts w:ascii="Arial" w:hAnsi="Arial" w:cs="Arial"/>
          <w:sz w:val="24"/>
          <w:szCs w:val="24"/>
        </w:rPr>
      </w:pPr>
    </w:p>
    <w:p w14:paraId="63ACA96D" w14:textId="71ECB34E" w:rsidR="00F431D0" w:rsidRDefault="00F431D0" w:rsidP="00F431D0">
      <w:pPr>
        <w:spacing w:after="160" w:line="256" w:lineRule="auto"/>
        <w:rPr>
          <w:rFonts w:ascii="Arial" w:hAnsi="Arial" w:cs="Arial"/>
          <w:sz w:val="24"/>
          <w:szCs w:val="24"/>
        </w:rPr>
      </w:pPr>
    </w:p>
    <w:p w14:paraId="20A7A914" w14:textId="5B0E33EA" w:rsidR="00F431D0" w:rsidRDefault="00F431D0" w:rsidP="00F431D0">
      <w:pPr>
        <w:spacing w:after="160" w:line="256" w:lineRule="auto"/>
        <w:rPr>
          <w:rFonts w:ascii="Arial" w:hAnsi="Arial" w:cs="Arial"/>
          <w:sz w:val="24"/>
          <w:szCs w:val="24"/>
        </w:rPr>
      </w:pPr>
    </w:p>
    <w:p w14:paraId="4AEA7512" w14:textId="1F99FDF2" w:rsidR="00F431D0" w:rsidRDefault="00F431D0" w:rsidP="00F431D0">
      <w:pPr>
        <w:spacing w:after="160" w:line="256" w:lineRule="auto"/>
        <w:rPr>
          <w:rFonts w:ascii="Arial" w:hAnsi="Arial" w:cs="Arial"/>
          <w:sz w:val="24"/>
          <w:szCs w:val="24"/>
        </w:rPr>
      </w:pPr>
    </w:p>
    <w:p w14:paraId="71AFEE8C" w14:textId="055F7590" w:rsidR="00F431D0" w:rsidRDefault="00F431D0" w:rsidP="00F431D0">
      <w:pPr>
        <w:spacing w:after="160" w:line="256" w:lineRule="auto"/>
        <w:rPr>
          <w:rFonts w:ascii="Arial" w:hAnsi="Arial" w:cs="Arial"/>
          <w:sz w:val="24"/>
          <w:szCs w:val="24"/>
        </w:rPr>
      </w:pPr>
    </w:p>
    <w:p w14:paraId="3A2DBCCD" w14:textId="07B0D3C0" w:rsidR="00F431D0" w:rsidRDefault="00F431D0" w:rsidP="00F431D0">
      <w:pPr>
        <w:spacing w:after="160" w:line="256" w:lineRule="auto"/>
        <w:rPr>
          <w:rFonts w:ascii="Arial" w:hAnsi="Arial" w:cs="Arial"/>
          <w:sz w:val="24"/>
          <w:szCs w:val="24"/>
        </w:rPr>
      </w:pPr>
    </w:p>
    <w:p w14:paraId="25B826F9" w14:textId="24BBD71B" w:rsidR="00F431D0" w:rsidRDefault="00F431D0" w:rsidP="00F431D0">
      <w:pPr>
        <w:spacing w:after="160" w:line="256" w:lineRule="auto"/>
        <w:rPr>
          <w:rFonts w:ascii="Arial" w:hAnsi="Arial" w:cs="Arial"/>
          <w:sz w:val="24"/>
          <w:szCs w:val="24"/>
        </w:rPr>
      </w:pPr>
    </w:p>
    <w:p w14:paraId="5537E692" w14:textId="77777777" w:rsidR="00F431D0" w:rsidRPr="00F431D0" w:rsidRDefault="00F431D0" w:rsidP="00F431D0">
      <w:pPr>
        <w:spacing w:after="160" w:line="256" w:lineRule="auto"/>
        <w:rPr>
          <w:rFonts w:ascii="Arial" w:hAnsi="Arial" w:cs="Arial"/>
          <w:sz w:val="24"/>
          <w:szCs w:val="24"/>
        </w:rPr>
      </w:pPr>
    </w:p>
    <w:p w14:paraId="02CFFCE1" w14:textId="77777777" w:rsidR="00C22C9E" w:rsidRDefault="00C22C9E" w:rsidP="00C22C9E">
      <w:pPr>
        <w:spacing w:after="160" w:line="256" w:lineRule="auto"/>
        <w:ind w:left="360"/>
        <w:rPr>
          <w:rFonts w:ascii="Arial" w:hAnsi="Arial" w:cs="Arial"/>
          <w:sz w:val="24"/>
          <w:szCs w:val="24"/>
        </w:rPr>
      </w:pPr>
    </w:p>
    <w:p w14:paraId="0024FDF6" w14:textId="31308476" w:rsidR="00C22C9E" w:rsidRDefault="00C22C9E" w:rsidP="00C22C9E">
      <w:pPr>
        <w:rPr>
          <w:rFonts w:ascii="Arial" w:hAnsi="Arial" w:cs="Arial"/>
          <w:b/>
          <w:bCs/>
          <w:sz w:val="24"/>
          <w:szCs w:val="24"/>
          <w:u w:val="single"/>
        </w:rPr>
      </w:pPr>
      <w:r>
        <w:rPr>
          <w:rFonts w:ascii="Arial" w:hAnsi="Arial" w:cs="Arial"/>
          <w:b/>
          <w:bCs/>
          <w:sz w:val="24"/>
          <w:szCs w:val="24"/>
          <w:u w:val="single"/>
        </w:rPr>
        <w:t>INTERNAL MEMORANDUM</w:t>
      </w:r>
    </w:p>
    <w:p w14:paraId="2D566927" w14:textId="77777777" w:rsidR="00C33378" w:rsidRDefault="00C33378" w:rsidP="00C22C9E">
      <w:pPr>
        <w:rPr>
          <w:rFonts w:ascii="Arial" w:hAnsi="Arial" w:cs="Arial"/>
          <w:b/>
          <w:bCs/>
          <w:sz w:val="24"/>
          <w:szCs w:val="24"/>
          <w:u w:val="single"/>
        </w:rPr>
      </w:pPr>
    </w:p>
    <w:p w14:paraId="5CB4570A" w14:textId="0D7C113F" w:rsidR="00C33378" w:rsidRDefault="00C33378" w:rsidP="00C22C9E">
      <w:pPr>
        <w:rPr>
          <w:rFonts w:ascii="Arial" w:hAnsi="Arial" w:cs="Arial"/>
          <w:b/>
          <w:bCs/>
          <w:sz w:val="24"/>
          <w:szCs w:val="24"/>
          <w:u w:val="single"/>
        </w:rPr>
      </w:pPr>
    </w:p>
    <w:p w14:paraId="420CC5A4" w14:textId="7F070C33" w:rsidR="00C33378" w:rsidRDefault="00C33378" w:rsidP="00C22C9E">
      <w:pPr>
        <w:rPr>
          <w:rFonts w:ascii="Arial" w:hAnsi="Arial" w:cs="Arial"/>
          <w:b/>
          <w:bCs/>
          <w:sz w:val="24"/>
          <w:szCs w:val="24"/>
          <w:u w:val="single"/>
        </w:rPr>
      </w:pPr>
    </w:p>
    <w:p w14:paraId="4C6C08BF" w14:textId="679869EA" w:rsidR="00C33378" w:rsidRDefault="00C33378" w:rsidP="00C22C9E">
      <w:pPr>
        <w:rPr>
          <w:rFonts w:ascii="Arial" w:hAnsi="Arial" w:cs="Arial"/>
          <w:b/>
          <w:bCs/>
          <w:sz w:val="24"/>
          <w:szCs w:val="24"/>
          <w:u w:val="single"/>
        </w:rPr>
      </w:pPr>
    </w:p>
    <w:p w14:paraId="5D2430BD" w14:textId="506EB0BB" w:rsidR="00C33378" w:rsidRDefault="00C33378" w:rsidP="00C22C9E">
      <w:pPr>
        <w:rPr>
          <w:rFonts w:ascii="Arial" w:hAnsi="Arial" w:cs="Arial"/>
          <w:b/>
          <w:bCs/>
          <w:sz w:val="24"/>
          <w:szCs w:val="24"/>
          <w:u w:val="single"/>
        </w:rPr>
      </w:pPr>
    </w:p>
    <w:p w14:paraId="417EC941" w14:textId="37FB9BDB" w:rsidR="00C33378" w:rsidRDefault="00C33378" w:rsidP="00C22C9E">
      <w:pPr>
        <w:rPr>
          <w:rFonts w:ascii="Arial" w:hAnsi="Arial" w:cs="Arial"/>
          <w:b/>
          <w:bCs/>
          <w:sz w:val="24"/>
          <w:szCs w:val="24"/>
          <w:u w:val="single"/>
        </w:rPr>
      </w:pPr>
    </w:p>
    <w:p w14:paraId="262F7F04" w14:textId="193CB8D4" w:rsidR="00C22C9E" w:rsidRDefault="00C22C9E" w:rsidP="00C22C9E">
      <w:pPr>
        <w:rPr>
          <w:rFonts w:ascii="Arial" w:hAnsi="Arial" w:cs="Arial"/>
          <w:b/>
          <w:bCs/>
          <w:sz w:val="24"/>
          <w:szCs w:val="24"/>
          <w:u w:val="single"/>
        </w:rPr>
      </w:pPr>
    </w:p>
    <w:p w14:paraId="498B683E" w14:textId="042AFA74" w:rsidR="00C33378" w:rsidRDefault="00C33378" w:rsidP="00C22C9E">
      <w:pPr>
        <w:rPr>
          <w:rFonts w:ascii="Arial" w:hAnsi="Arial" w:cs="Arial"/>
          <w:b/>
          <w:bCs/>
          <w:sz w:val="24"/>
          <w:szCs w:val="24"/>
          <w:u w:val="single"/>
        </w:rPr>
      </w:pPr>
    </w:p>
    <w:p w14:paraId="7FD6E524" w14:textId="72218E56" w:rsidR="00C33378" w:rsidRDefault="00C33378" w:rsidP="00C22C9E">
      <w:pPr>
        <w:rPr>
          <w:rFonts w:ascii="Arial" w:hAnsi="Arial" w:cs="Arial"/>
          <w:b/>
          <w:bCs/>
          <w:sz w:val="24"/>
          <w:szCs w:val="24"/>
          <w:u w:val="single"/>
        </w:rPr>
      </w:pPr>
    </w:p>
    <w:p w14:paraId="0C5E679D" w14:textId="77777777" w:rsidR="00C33378" w:rsidRDefault="00C33378" w:rsidP="00C22C9E">
      <w:pPr>
        <w:rPr>
          <w:rFonts w:ascii="Arial" w:hAnsi="Arial" w:cs="Arial"/>
          <w:b/>
          <w:bCs/>
          <w:sz w:val="24"/>
          <w:szCs w:val="24"/>
          <w:u w:val="single"/>
        </w:rPr>
      </w:pPr>
    </w:p>
    <w:p w14:paraId="07289338" w14:textId="77777777" w:rsidR="00C22C9E" w:rsidRDefault="00C22C9E" w:rsidP="00C22C9E">
      <w:pPr>
        <w:rPr>
          <w:rFonts w:ascii="Arial" w:hAnsi="Arial" w:cs="Arial"/>
          <w:b/>
          <w:bCs/>
          <w:sz w:val="24"/>
          <w:szCs w:val="24"/>
        </w:rPr>
      </w:pPr>
      <w:r>
        <w:rPr>
          <w:rFonts w:ascii="Arial" w:hAnsi="Arial" w:cs="Arial"/>
          <w:b/>
          <w:bCs/>
          <w:sz w:val="24"/>
          <w:szCs w:val="24"/>
        </w:rPr>
        <w:t>TO: Thomas Trinity</w:t>
      </w:r>
    </w:p>
    <w:p w14:paraId="3AA47B99" w14:textId="77777777" w:rsidR="00C22C9E" w:rsidRDefault="00C22C9E" w:rsidP="00C22C9E">
      <w:pPr>
        <w:rPr>
          <w:rFonts w:ascii="Arial" w:hAnsi="Arial" w:cs="Arial"/>
          <w:b/>
          <w:bCs/>
          <w:sz w:val="24"/>
          <w:szCs w:val="24"/>
        </w:rPr>
      </w:pPr>
    </w:p>
    <w:p w14:paraId="53267585" w14:textId="72330707" w:rsidR="00C22C9E" w:rsidRDefault="00C22C9E" w:rsidP="00C22C9E">
      <w:pPr>
        <w:rPr>
          <w:rFonts w:ascii="Arial" w:hAnsi="Arial" w:cs="Arial"/>
          <w:b/>
          <w:bCs/>
          <w:sz w:val="24"/>
          <w:szCs w:val="24"/>
        </w:rPr>
      </w:pPr>
      <w:r>
        <w:rPr>
          <w:rFonts w:ascii="Arial" w:hAnsi="Arial" w:cs="Arial"/>
          <w:b/>
          <w:bCs/>
          <w:sz w:val="24"/>
          <w:szCs w:val="24"/>
        </w:rPr>
        <w:t>FROM:</w:t>
      </w:r>
      <w:r>
        <w:rPr>
          <w:rFonts w:ascii="Arial" w:hAnsi="Arial" w:cs="Arial"/>
          <w:b/>
          <w:bCs/>
          <w:sz w:val="24"/>
          <w:szCs w:val="24"/>
        </w:rPr>
        <w:t xml:space="preserve"> Iuliana Violeta Vlasceanu</w:t>
      </w:r>
    </w:p>
    <w:p w14:paraId="05776076" w14:textId="77777777" w:rsidR="00C22C9E" w:rsidRDefault="00C22C9E" w:rsidP="00C22C9E">
      <w:pPr>
        <w:rPr>
          <w:rFonts w:ascii="Arial" w:hAnsi="Arial" w:cs="Arial"/>
          <w:b/>
          <w:bCs/>
          <w:sz w:val="24"/>
          <w:szCs w:val="24"/>
        </w:rPr>
      </w:pPr>
    </w:p>
    <w:p w14:paraId="4FBC4CFB" w14:textId="77777777" w:rsidR="00C22C9E" w:rsidRDefault="00C22C9E" w:rsidP="00C22C9E">
      <w:pPr>
        <w:rPr>
          <w:rFonts w:ascii="Arial" w:hAnsi="Arial" w:cs="Arial"/>
          <w:b/>
          <w:bCs/>
          <w:sz w:val="24"/>
          <w:szCs w:val="24"/>
        </w:rPr>
      </w:pPr>
      <w:r>
        <w:rPr>
          <w:rFonts w:ascii="Arial" w:hAnsi="Arial" w:cs="Arial"/>
          <w:b/>
          <w:bCs/>
          <w:sz w:val="24"/>
          <w:szCs w:val="24"/>
        </w:rPr>
        <w:t>MATTER: The case of SARAH JONES</w:t>
      </w:r>
    </w:p>
    <w:p w14:paraId="05E22948" w14:textId="77777777" w:rsidR="00C22C9E" w:rsidRDefault="00C22C9E" w:rsidP="00C22C9E">
      <w:pPr>
        <w:rPr>
          <w:rFonts w:ascii="Arial" w:hAnsi="Arial" w:cs="Arial"/>
          <w:b/>
          <w:bCs/>
          <w:sz w:val="24"/>
          <w:szCs w:val="24"/>
        </w:rPr>
      </w:pPr>
    </w:p>
    <w:p w14:paraId="50565871" w14:textId="10F7EB6C" w:rsidR="00C22C9E" w:rsidRDefault="00C22C9E" w:rsidP="00C22C9E">
      <w:pPr>
        <w:rPr>
          <w:rFonts w:ascii="Arial" w:hAnsi="Arial" w:cs="Arial"/>
          <w:b/>
          <w:bCs/>
          <w:sz w:val="24"/>
          <w:szCs w:val="24"/>
        </w:rPr>
      </w:pPr>
      <w:r>
        <w:rPr>
          <w:rFonts w:ascii="Arial" w:hAnsi="Arial" w:cs="Arial"/>
          <w:b/>
          <w:bCs/>
          <w:sz w:val="24"/>
          <w:szCs w:val="24"/>
        </w:rPr>
        <w:t xml:space="preserve">DATE: </w:t>
      </w:r>
      <w:r>
        <w:rPr>
          <w:rFonts w:ascii="Arial" w:hAnsi="Arial" w:cs="Arial"/>
          <w:b/>
          <w:bCs/>
          <w:sz w:val="24"/>
          <w:szCs w:val="24"/>
        </w:rPr>
        <w:t>11.11.2022</w:t>
      </w:r>
    </w:p>
    <w:p w14:paraId="1B8BC41D" w14:textId="77777777" w:rsidR="00C22C9E" w:rsidRDefault="00C22C9E" w:rsidP="00C22C9E">
      <w:pPr>
        <w:rPr>
          <w:rFonts w:ascii="Arial" w:hAnsi="Arial" w:cs="Arial"/>
          <w:b/>
          <w:bCs/>
          <w:sz w:val="24"/>
          <w:szCs w:val="24"/>
        </w:rPr>
      </w:pPr>
    </w:p>
    <w:p w14:paraId="5BEF56F0" w14:textId="77777777" w:rsidR="00C22C9E" w:rsidRDefault="00C22C9E" w:rsidP="00C22C9E">
      <w:pPr>
        <w:rPr>
          <w:rFonts w:ascii="Arial" w:hAnsi="Arial" w:cs="Arial"/>
          <w:b/>
          <w:bCs/>
          <w:sz w:val="24"/>
          <w:szCs w:val="24"/>
        </w:rPr>
      </w:pPr>
    </w:p>
    <w:p w14:paraId="07E71D31" w14:textId="77777777" w:rsidR="00C22C9E" w:rsidRDefault="00C22C9E" w:rsidP="00C22C9E">
      <w:pPr>
        <w:rPr>
          <w:rFonts w:ascii="Arial" w:hAnsi="Arial" w:cs="Arial"/>
          <w:b/>
          <w:bCs/>
          <w:sz w:val="24"/>
          <w:szCs w:val="24"/>
        </w:rPr>
      </w:pPr>
      <w:r>
        <w:rPr>
          <w:rFonts w:ascii="Arial" w:hAnsi="Arial" w:cs="Arial"/>
          <w:b/>
          <w:bCs/>
          <w:sz w:val="24"/>
          <w:szCs w:val="24"/>
        </w:rPr>
        <w:t xml:space="preserve">This is the case of Miss Sarah Jones. </w:t>
      </w:r>
    </w:p>
    <w:p w14:paraId="485798C6" w14:textId="7F70C05B" w:rsidR="00C22C9E" w:rsidRDefault="00C22C9E" w:rsidP="00C22C9E">
      <w:pPr>
        <w:rPr>
          <w:rFonts w:ascii="Arial" w:hAnsi="Arial" w:cs="Arial"/>
          <w:b/>
          <w:bCs/>
          <w:sz w:val="24"/>
          <w:szCs w:val="24"/>
        </w:rPr>
      </w:pPr>
      <w:r>
        <w:rPr>
          <w:rFonts w:ascii="Arial" w:hAnsi="Arial" w:cs="Arial"/>
          <w:b/>
          <w:bCs/>
          <w:sz w:val="24"/>
          <w:szCs w:val="24"/>
        </w:rPr>
        <w:t>I will set out below the following….</w:t>
      </w:r>
    </w:p>
    <w:p w14:paraId="23905E78" w14:textId="77777777" w:rsidR="00C22C9E" w:rsidRDefault="00C22C9E" w:rsidP="00C22C9E">
      <w:pPr>
        <w:rPr>
          <w:rFonts w:ascii="Arial" w:hAnsi="Arial" w:cs="Arial"/>
          <w:b/>
          <w:bCs/>
          <w:sz w:val="24"/>
          <w:szCs w:val="24"/>
        </w:rPr>
      </w:pPr>
    </w:p>
    <w:p w14:paraId="638CB1B4" w14:textId="2D73833F" w:rsidR="00C22C9E" w:rsidRPr="00C33378" w:rsidRDefault="00C22C9E" w:rsidP="00C22C9E">
      <w:pPr>
        <w:ind w:left="720"/>
        <w:rPr>
          <w:sz w:val="28"/>
          <w:szCs w:val="28"/>
        </w:rPr>
      </w:pPr>
      <w:r w:rsidRPr="00C33378">
        <w:rPr>
          <w:sz w:val="28"/>
          <w:szCs w:val="28"/>
        </w:rPr>
        <w:t>Statement of the facts</w:t>
      </w:r>
    </w:p>
    <w:p w14:paraId="437ED3B7" w14:textId="7484DB5C" w:rsidR="00C22C9E" w:rsidRPr="00C33378" w:rsidRDefault="00C22C9E" w:rsidP="00C22C9E">
      <w:pPr>
        <w:ind w:left="720"/>
        <w:rPr>
          <w:sz w:val="28"/>
          <w:szCs w:val="28"/>
        </w:rPr>
      </w:pPr>
      <w:r w:rsidRPr="00C33378">
        <w:rPr>
          <w:sz w:val="28"/>
          <w:szCs w:val="28"/>
        </w:rPr>
        <w:t>Relevant Laws</w:t>
      </w:r>
    </w:p>
    <w:p w14:paraId="27E05A59" w14:textId="7531034A" w:rsidR="00C22C9E" w:rsidRPr="00C33378" w:rsidRDefault="00C22C9E" w:rsidP="00C22C9E">
      <w:pPr>
        <w:ind w:left="720"/>
        <w:rPr>
          <w:sz w:val="28"/>
          <w:szCs w:val="28"/>
        </w:rPr>
      </w:pPr>
      <w:r w:rsidRPr="00C33378">
        <w:rPr>
          <w:sz w:val="28"/>
          <w:szCs w:val="28"/>
        </w:rPr>
        <w:t>Range of possible sentence</w:t>
      </w:r>
    </w:p>
    <w:p w14:paraId="6BC0D32C" w14:textId="70A3419F" w:rsidR="00C22C9E" w:rsidRPr="00C33378" w:rsidRDefault="00C22C9E" w:rsidP="00C22C9E">
      <w:pPr>
        <w:ind w:left="720"/>
        <w:rPr>
          <w:rFonts w:ascii="Arial" w:hAnsi="Arial" w:cs="Arial"/>
          <w:sz w:val="24"/>
          <w:szCs w:val="24"/>
        </w:rPr>
      </w:pPr>
      <w:r w:rsidRPr="00C33378">
        <w:rPr>
          <w:sz w:val="28"/>
          <w:szCs w:val="28"/>
        </w:rPr>
        <w:t>Strength of Evidence against Miss Jones</w:t>
      </w:r>
    </w:p>
    <w:p w14:paraId="70169B47" w14:textId="757EA979" w:rsidR="00C22C9E" w:rsidRPr="00C33378" w:rsidRDefault="00C22C9E" w:rsidP="00C22C9E">
      <w:pPr>
        <w:ind w:left="720"/>
        <w:rPr>
          <w:rFonts w:ascii="Arial" w:hAnsi="Arial" w:cs="Arial"/>
          <w:sz w:val="24"/>
          <w:szCs w:val="24"/>
        </w:rPr>
      </w:pPr>
      <w:r w:rsidRPr="00C33378">
        <w:rPr>
          <w:sz w:val="28"/>
          <w:szCs w:val="28"/>
        </w:rPr>
        <w:t>Strength of Miss Davies' claims</w:t>
      </w:r>
    </w:p>
    <w:p w14:paraId="53355946" w14:textId="03518DC3" w:rsidR="00C33378" w:rsidRDefault="00C33378" w:rsidP="00C33378">
      <w:pPr>
        <w:jc w:val="both"/>
        <w:rPr>
          <w:sz w:val="28"/>
          <w:szCs w:val="28"/>
        </w:rPr>
      </w:pPr>
      <w:r w:rsidRPr="00C33378">
        <w:rPr>
          <w:sz w:val="28"/>
          <w:szCs w:val="28"/>
        </w:rPr>
        <w:t xml:space="preserve">          </w:t>
      </w:r>
      <w:r w:rsidRPr="00C33378">
        <w:rPr>
          <w:sz w:val="28"/>
          <w:szCs w:val="28"/>
        </w:rPr>
        <w:t xml:space="preserve">Advantages and disadvantages in advising the client to remain silent </w:t>
      </w:r>
      <w:r w:rsidRPr="00C33378">
        <w:rPr>
          <w:sz w:val="28"/>
          <w:szCs w:val="28"/>
        </w:rPr>
        <w:t xml:space="preserve">  </w:t>
      </w:r>
      <w:r w:rsidRPr="00C33378">
        <w:rPr>
          <w:sz w:val="28"/>
          <w:szCs w:val="28"/>
        </w:rPr>
        <w:t>during police interview</w:t>
      </w:r>
    </w:p>
    <w:p w14:paraId="6AB82F34" w14:textId="5FA7971D" w:rsidR="00C33378" w:rsidRPr="00C33378" w:rsidRDefault="00C33378" w:rsidP="00C33378">
      <w:pPr>
        <w:jc w:val="both"/>
        <w:rPr>
          <w:sz w:val="28"/>
          <w:szCs w:val="28"/>
        </w:rPr>
      </w:pPr>
      <w:r w:rsidRPr="00C33378">
        <w:rPr>
          <w:sz w:val="28"/>
          <w:szCs w:val="28"/>
        </w:rPr>
        <w:t xml:space="preserve">           </w:t>
      </w:r>
      <w:r w:rsidRPr="00C33378">
        <w:rPr>
          <w:sz w:val="28"/>
          <w:szCs w:val="28"/>
        </w:rPr>
        <w:t>Factors to be considered by the Court</w:t>
      </w:r>
    </w:p>
    <w:p w14:paraId="4E8F67CD" w14:textId="5F6131D6" w:rsidR="00C22C9E" w:rsidRPr="00C33378" w:rsidRDefault="00C33378" w:rsidP="00C22C9E">
      <w:pPr>
        <w:ind w:left="720"/>
        <w:rPr>
          <w:rFonts w:ascii="Arial" w:hAnsi="Arial" w:cs="Arial"/>
          <w:sz w:val="24"/>
          <w:szCs w:val="24"/>
        </w:rPr>
      </w:pPr>
      <w:r w:rsidRPr="00C33378">
        <w:rPr>
          <w:sz w:val="28"/>
          <w:szCs w:val="28"/>
        </w:rPr>
        <w:t>Conclusion</w:t>
      </w:r>
    </w:p>
    <w:p w14:paraId="6E8E0D32" w14:textId="77777777" w:rsidR="00C22C9E" w:rsidRDefault="00C22C9E" w:rsidP="00C22C9E">
      <w:pPr>
        <w:ind w:left="720"/>
        <w:rPr>
          <w:rFonts w:ascii="Arial" w:hAnsi="Arial" w:cs="Arial"/>
          <w:sz w:val="24"/>
          <w:szCs w:val="24"/>
        </w:rPr>
      </w:pPr>
    </w:p>
    <w:p w14:paraId="5A9D1C51" w14:textId="77777777" w:rsidR="00C22C9E" w:rsidRDefault="00C22C9E" w:rsidP="00C22C9E">
      <w:pPr>
        <w:ind w:left="720"/>
        <w:rPr>
          <w:rFonts w:ascii="Arial" w:hAnsi="Arial" w:cs="Arial"/>
          <w:sz w:val="24"/>
          <w:szCs w:val="24"/>
        </w:rPr>
      </w:pPr>
    </w:p>
    <w:p w14:paraId="36C1A60D" w14:textId="77777777" w:rsidR="00EE0781" w:rsidRDefault="00EE0781" w:rsidP="00C22C9E">
      <w:pPr>
        <w:ind w:left="720"/>
        <w:rPr>
          <w:rFonts w:ascii="Arial" w:hAnsi="Arial" w:cs="Arial"/>
          <w:sz w:val="24"/>
          <w:szCs w:val="24"/>
        </w:rPr>
      </w:pPr>
    </w:p>
    <w:p w14:paraId="224BBDB5" w14:textId="77777777" w:rsidR="00C33378" w:rsidRDefault="00C33378" w:rsidP="00C22C9E">
      <w:pPr>
        <w:ind w:left="720"/>
        <w:rPr>
          <w:rFonts w:ascii="Arial" w:hAnsi="Arial" w:cs="Arial"/>
          <w:sz w:val="24"/>
          <w:szCs w:val="24"/>
        </w:rPr>
      </w:pPr>
    </w:p>
    <w:p w14:paraId="747E40A3" w14:textId="77777777" w:rsidR="00C22C9E" w:rsidRDefault="00C22C9E" w:rsidP="00C22C9E">
      <w:pPr>
        <w:ind w:left="720"/>
        <w:rPr>
          <w:rFonts w:ascii="Arial" w:hAnsi="Arial" w:cs="Arial"/>
          <w:sz w:val="24"/>
          <w:szCs w:val="24"/>
        </w:rPr>
      </w:pPr>
    </w:p>
    <w:p w14:paraId="2A82948B" w14:textId="77777777" w:rsidR="00C22C9E" w:rsidRPr="00C33378" w:rsidRDefault="00C22C9E" w:rsidP="00C22C9E">
      <w:pPr>
        <w:ind w:left="720"/>
        <w:rPr>
          <w:rFonts w:ascii="Arial" w:hAnsi="Arial" w:cs="Arial"/>
          <w:sz w:val="24"/>
          <w:szCs w:val="24"/>
          <w:u w:val="single"/>
        </w:rPr>
      </w:pPr>
    </w:p>
    <w:p w14:paraId="6E895E8D" w14:textId="77777777" w:rsidR="00C22C9E" w:rsidRDefault="00C22C9E" w:rsidP="00C22C9E">
      <w:pPr>
        <w:ind w:left="720"/>
        <w:rPr>
          <w:rFonts w:ascii="Arial" w:hAnsi="Arial" w:cs="Arial"/>
          <w:sz w:val="24"/>
          <w:szCs w:val="24"/>
        </w:rPr>
      </w:pPr>
    </w:p>
    <w:p w14:paraId="0D62F323" w14:textId="77777777" w:rsidR="00C22C9E" w:rsidRPr="00C22C9E" w:rsidRDefault="00C22C9E" w:rsidP="00C22C9E">
      <w:pPr>
        <w:jc w:val="both"/>
        <w:rPr>
          <w:b/>
          <w:bCs/>
          <w:sz w:val="28"/>
          <w:szCs w:val="28"/>
        </w:rPr>
      </w:pPr>
      <w:r w:rsidRPr="00C22C9E">
        <w:rPr>
          <w:b/>
          <w:bCs/>
          <w:sz w:val="28"/>
          <w:szCs w:val="28"/>
        </w:rPr>
        <w:t>Statement of the facts:</w:t>
      </w:r>
    </w:p>
    <w:p w14:paraId="281635D2" w14:textId="4EB986B8" w:rsidR="00C22C9E" w:rsidRDefault="00C22C9E" w:rsidP="00C22C9E">
      <w:pPr>
        <w:jc w:val="both"/>
        <w:rPr>
          <w:sz w:val="28"/>
          <w:szCs w:val="28"/>
        </w:rPr>
      </w:pPr>
      <w:r w:rsidRPr="00C22C9E">
        <w:rPr>
          <w:sz w:val="28"/>
          <w:szCs w:val="28"/>
        </w:rPr>
        <w:t>Miss Sarah Jones has been charged with the commission of theft of a Gucci handbag valued at £5000 and one count of assault. Her claim is that she found the handbag in a lane just off the Wind Street and it was not an act of theft. When she got the handbag, Miss Nora Davies claimed that the handbag belonged to her and thereafter they take part in a scuffle between them over the possession of the handbag. Miss Jones now has been arrested for committing theft and assault and waiting for the police interview.</w:t>
      </w:r>
    </w:p>
    <w:p w14:paraId="3E722300" w14:textId="77777777" w:rsidR="00C33378" w:rsidRPr="00C22C9E" w:rsidRDefault="00C33378" w:rsidP="00C22C9E">
      <w:pPr>
        <w:jc w:val="both"/>
        <w:rPr>
          <w:b/>
          <w:bCs/>
          <w:sz w:val="28"/>
          <w:szCs w:val="28"/>
        </w:rPr>
      </w:pPr>
    </w:p>
    <w:p w14:paraId="771B844A" w14:textId="77777777" w:rsidR="00C22C9E" w:rsidRPr="00C22C9E" w:rsidRDefault="00C22C9E" w:rsidP="00C22C9E">
      <w:pPr>
        <w:jc w:val="both"/>
        <w:rPr>
          <w:sz w:val="28"/>
          <w:szCs w:val="28"/>
        </w:rPr>
      </w:pPr>
      <w:r w:rsidRPr="00C22C9E">
        <w:rPr>
          <w:b/>
          <w:bCs/>
          <w:sz w:val="28"/>
          <w:szCs w:val="28"/>
        </w:rPr>
        <w:t>Relevant Laws:</w:t>
      </w:r>
    </w:p>
    <w:p w14:paraId="559922AC" w14:textId="77777777" w:rsidR="00EE0781" w:rsidRDefault="00C22C9E" w:rsidP="00C22C9E">
      <w:pPr>
        <w:jc w:val="both"/>
        <w:rPr>
          <w:sz w:val="28"/>
          <w:szCs w:val="28"/>
        </w:rPr>
      </w:pPr>
      <w:r w:rsidRPr="00C22C9E">
        <w:rPr>
          <w:sz w:val="28"/>
          <w:szCs w:val="28"/>
        </w:rPr>
        <w:t>The definition of theft can be found in section 1 of the Theft Act from 1968. (TA 1968).</w:t>
      </w:r>
    </w:p>
    <w:p w14:paraId="506D2F5E" w14:textId="77777777" w:rsidR="00EE0781" w:rsidRDefault="00C22C9E" w:rsidP="00C22C9E">
      <w:pPr>
        <w:jc w:val="both"/>
        <w:rPr>
          <w:sz w:val="28"/>
          <w:szCs w:val="28"/>
        </w:rPr>
      </w:pPr>
      <w:r w:rsidRPr="00C22C9E">
        <w:rPr>
          <w:sz w:val="28"/>
          <w:szCs w:val="28"/>
        </w:rPr>
        <w:t xml:space="preserve"> The act of dishonestly stealing something that belongs to another person with the goal of permanently depriving the other person of it is the criminal act known as theft (The Theft Act 1968, Section 1). The description of what constitutes theft may be found in Sections 2-6 of the Theft Act of 1968. The accused person's dishonesty is evaluated based on his real state of knowledge or opinion about the facts, as well as the norms and expectations of average, decent individuals in society (Ivey v Genting Casinos, R v Barton and Booth). </w:t>
      </w:r>
    </w:p>
    <w:p w14:paraId="476963FE" w14:textId="77777777" w:rsidR="00EE0781" w:rsidRDefault="00C22C9E" w:rsidP="00C22C9E">
      <w:pPr>
        <w:jc w:val="both"/>
        <w:rPr>
          <w:sz w:val="28"/>
          <w:szCs w:val="28"/>
        </w:rPr>
      </w:pPr>
      <w:r w:rsidRPr="00C22C9E">
        <w:rPr>
          <w:sz w:val="28"/>
          <w:szCs w:val="28"/>
        </w:rPr>
        <w:t>"Appropriation" does not always imply "misappropriation" (Lawrence v. Metropolitan Police Commissioner), and as a result, there is no need to establish that the owner's rights were usurped in any way (DPP v Gomez). To constitute theft, the stolen item must be of an intangible character and must have been in the hands of another person at the time the crime was committed (R v Turner, TA 1968, section 4 &amp; 5).</w:t>
      </w:r>
    </w:p>
    <w:p w14:paraId="054BD582" w14:textId="77777777" w:rsidR="00EE0781" w:rsidRDefault="00C22C9E" w:rsidP="00C22C9E">
      <w:pPr>
        <w:jc w:val="both"/>
        <w:rPr>
          <w:sz w:val="28"/>
          <w:szCs w:val="28"/>
        </w:rPr>
      </w:pPr>
      <w:r w:rsidRPr="00C22C9E">
        <w:rPr>
          <w:sz w:val="28"/>
          <w:szCs w:val="28"/>
        </w:rPr>
        <w:t xml:space="preserve"> Even if the defendant does not want the victim to "lose the thing itself," they may be seen as having the intent to permanently deprive the victim if they intend to treat the item as their own and dispose of it without regard to the victim's rights. This can be the case if they intend to treat the item as their own and dispose of it without regard to the victim's rights (R v </w:t>
      </w:r>
      <w:proofErr w:type="spellStart"/>
      <w:r w:rsidRPr="00C22C9E">
        <w:rPr>
          <w:sz w:val="28"/>
          <w:szCs w:val="28"/>
        </w:rPr>
        <w:t>Vinall</w:t>
      </w:r>
      <w:proofErr w:type="spellEnd"/>
      <w:r w:rsidRPr="00C22C9E">
        <w:rPr>
          <w:sz w:val="28"/>
          <w:szCs w:val="28"/>
        </w:rPr>
        <w:t xml:space="preserve">). An act must have both an actus reus and a </w:t>
      </w:r>
      <w:proofErr w:type="spellStart"/>
      <w:r w:rsidRPr="00C22C9E">
        <w:rPr>
          <w:sz w:val="28"/>
          <w:szCs w:val="28"/>
        </w:rPr>
        <w:t>mens</w:t>
      </w:r>
      <w:proofErr w:type="spellEnd"/>
      <w:r w:rsidRPr="00C22C9E">
        <w:rPr>
          <w:sz w:val="28"/>
          <w:szCs w:val="28"/>
        </w:rPr>
        <w:t xml:space="preserve"> rea in order for it to be considered a criminal offence. The actual act of committing a crime is referred to as the "actus reus," which </w:t>
      </w:r>
      <w:r w:rsidR="00EE0781">
        <w:rPr>
          <w:sz w:val="28"/>
          <w:szCs w:val="28"/>
        </w:rPr>
        <w:t>means</w:t>
      </w:r>
      <w:r w:rsidRPr="00C22C9E">
        <w:rPr>
          <w:sz w:val="28"/>
          <w:szCs w:val="28"/>
        </w:rPr>
        <w:t xml:space="preserve"> "guilty act."</w:t>
      </w:r>
    </w:p>
    <w:p w14:paraId="75AF0444" w14:textId="49816D53" w:rsidR="00C22C9E" w:rsidRDefault="00C22C9E" w:rsidP="00C22C9E">
      <w:pPr>
        <w:jc w:val="both"/>
        <w:rPr>
          <w:sz w:val="28"/>
          <w:szCs w:val="28"/>
        </w:rPr>
      </w:pPr>
      <w:r w:rsidRPr="00C22C9E">
        <w:rPr>
          <w:sz w:val="28"/>
          <w:szCs w:val="28"/>
        </w:rPr>
        <w:t xml:space="preserve"> In most cases, the commission of a crime requires the actual use of illegal force or the threat to use such force; nevertheless, in exceptional cases, the failure to act might result in criminal responsibility. </w:t>
      </w:r>
      <w:proofErr w:type="spellStart"/>
      <w:r w:rsidRPr="00C22C9E">
        <w:rPr>
          <w:sz w:val="28"/>
          <w:szCs w:val="28"/>
        </w:rPr>
        <w:t>Mens</w:t>
      </w:r>
      <w:proofErr w:type="spellEnd"/>
      <w:r w:rsidRPr="00C22C9E">
        <w:rPr>
          <w:sz w:val="28"/>
          <w:szCs w:val="28"/>
        </w:rPr>
        <w:t xml:space="preserve"> rea, often known as the mental aspect of committing a crime, is what establishes the element of intent in a criminal act. As Miss Jones' act of appropriation was continuing one, and as a result, she became involved in a scuffle with Miss Nora Davies while claiming </w:t>
      </w:r>
      <w:r w:rsidRPr="00C22C9E">
        <w:rPr>
          <w:sz w:val="28"/>
          <w:szCs w:val="28"/>
        </w:rPr>
        <w:lastRenderedPageBreak/>
        <w:t>the property of herself, it is possible that she is guilty of theft accompanied by assault that leads to the constitution of robbery. As Miss Jones' act of appropriation was continuing one, and as a result, she became involved in a scuffle with Miss Nora (R v Hale).</w:t>
      </w:r>
    </w:p>
    <w:p w14:paraId="3F379D24" w14:textId="77777777" w:rsidR="00C33378" w:rsidRPr="00C22C9E" w:rsidRDefault="00C33378" w:rsidP="00C22C9E">
      <w:pPr>
        <w:jc w:val="both"/>
        <w:rPr>
          <w:sz w:val="28"/>
          <w:szCs w:val="28"/>
        </w:rPr>
      </w:pPr>
    </w:p>
    <w:p w14:paraId="5643886F" w14:textId="77777777" w:rsidR="00C22C9E" w:rsidRPr="00C22C9E" w:rsidRDefault="00C22C9E" w:rsidP="00C22C9E">
      <w:pPr>
        <w:jc w:val="both"/>
        <w:rPr>
          <w:b/>
          <w:bCs/>
          <w:sz w:val="28"/>
          <w:szCs w:val="28"/>
        </w:rPr>
      </w:pPr>
      <w:r w:rsidRPr="00C22C9E">
        <w:rPr>
          <w:b/>
          <w:bCs/>
          <w:sz w:val="28"/>
          <w:szCs w:val="28"/>
        </w:rPr>
        <w:t>Range of possible sentence:</w:t>
      </w:r>
    </w:p>
    <w:p w14:paraId="77D5DB2B" w14:textId="53943F86" w:rsidR="00C22C9E" w:rsidRDefault="00C22C9E" w:rsidP="00C22C9E">
      <w:pPr>
        <w:jc w:val="both"/>
        <w:rPr>
          <w:sz w:val="28"/>
          <w:szCs w:val="28"/>
        </w:rPr>
      </w:pPr>
      <w:r w:rsidRPr="00C22C9E">
        <w:rPr>
          <w:sz w:val="28"/>
          <w:szCs w:val="28"/>
        </w:rPr>
        <w:t>Because the offensive conduct committed by Miss Jones comprises both stealing and assaulting a victim, it is covered under section 8 of TA 1968, which outlines the penalties for the crime of committing robbery. This crime has a potential sentence that may go as high as life in prison for the offender. In a situation like this, the court has the power of discretion, and the fact that Miss Jones has a prior conviction will count as an aggravating element for whatever penalty that is handed down to her. In addition to this, she has violated the terms of her parole, which makes it very difficult for her to negotiate a lesser sentence if she is sentenced to the same penalty as before.</w:t>
      </w:r>
    </w:p>
    <w:p w14:paraId="7955E286" w14:textId="77777777" w:rsidR="00C33378" w:rsidRPr="00C22C9E" w:rsidRDefault="00C33378" w:rsidP="00C22C9E">
      <w:pPr>
        <w:jc w:val="both"/>
        <w:rPr>
          <w:sz w:val="28"/>
          <w:szCs w:val="28"/>
        </w:rPr>
      </w:pPr>
    </w:p>
    <w:p w14:paraId="62460072" w14:textId="77777777" w:rsidR="00C22C9E" w:rsidRPr="00C22C9E" w:rsidRDefault="00C22C9E" w:rsidP="00C22C9E">
      <w:pPr>
        <w:jc w:val="both"/>
        <w:rPr>
          <w:b/>
          <w:bCs/>
          <w:sz w:val="28"/>
          <w:szCs w:val="28"/>
        </w:rPr>
      </w:pPr>
      <w:r w:rsidRPr="00C22C9E">
        <w:rPr>
          <w:b/>
          <w:bCs/>
          <w:sz w:val="28"/>
          <w:szCs w:val="28"/>
        </w:rPr>
        <w:t>Strength of Evidence against Miss Jones:</w:t>
      </w:r>
    </w:p>
    <w:p w14:paraId="72EDA644" w14:textId="77777777" w:rsidR="00EE0781" w:rsidRDefault="00C22C9E" w:rsidP="00C22C9E">
      <w:pPr>
        <w:jc w:val="both"/>
        <w:rPr>
          <w:sz w:val="28"/>
          <w:szCs w:val="28"/>
        </w:rPr>
      </w:pPr>
      <w:r w:rsidRPr="00C22C9E">
        <w:rPr>
          <w:sz w:val="28"/>
          <w:szCs w:val="28"/>
        </w:rPr>
        <w:t xml:space="preserve">The main evidence is the statement of the Miss Davies and that of PC Norman Jenkins. The accusation is brought by Miss Davies on claiming the handbag to of her own. Mr. Jenkins saw Miss Jones using force while trying to snatch away the handbag. Such snatching and even the scuffing may amount to force used to commit the crime of theft (P v DPP). </w:t>
      </w:r>
    </w:p>
    <w:p w14:paraId="328C111F" w14:textId="3E0C24D4" w:rsidR="00C22C9E" w:rsidRDefault="00C22C9E" w:rsidP="00C22C9E">
      <w:pPr>
        <w:jc w:val="both"/>
        <w:rPr>
          <w:sz w:val="28"/>
          <w:szCs w:val="28"/>
        </w:rPr>
      </w:pPr>
      <w:r w:rsidRPr="00C22C9E">
        <w:rPr>
          <w:sz w:val="28"/>
          <w:szCs w:val="28"/>
        </w:rPr>
        <w:t>However, there is no other eyewitness of the fact. But Miss Jones was previously sentenced for a crime and the police have a profile of that. This has been an established strategy of the policing tactics to find out the criminal on the basis of past crimes (Braga et al. 2012). Most of the time, this profile may determine the accusation of an offender (Sherman 2013).</w:t>
      </w:r>
    </w:p>
    <w:p w14:paraId="2990248F" w14:textId="77777777" w:rsidR="00C33378" w:rsidRPr="00C22C9E" w:rsidRDefault="00C33378" w:rsidP="00C22C9E">
      <w:pPr>
        <w:jc w:val="both"/>
        <w:rPr>
          <w:sz w:val="28"/>
          <w:szCs w:val="28"/>
        </w:rPr>
      </w:pPr>
    </w:p>
    <w:p w14:paraId="4279A7D4" w14:textId="77777777" w:rsidR="00C22C9E" w:rsidRPr="00C22C9E" w:rsidRDefault="00C22C9E" w:rsidP="00C22C9E">
      <w:pPr>
        <w:jc w:val="both"/>
        <w:rPr>
          <w:b/>
          <w:bCs/>
          <w:sz w:val="28"/>
          <w:szCs w:val="28"/>
        </w:rPr>
      </w:pPr>
      <w:r w:rsidRPr="00C22C9E">
        <w:rPr>
          <w:b/>
          <w:bCs/>
          <w:sz w:val="28"/>
          <w:szCs w:val="28"/>
        </w:rPr>
        <w:t>Strength of Miss Davies' claims:</w:t>
      </w:r>
    </w:p>
    <w:p w14:paraId="50285A7D" w14:textId="221062F6" w:rsidR="00C22C9E" w:rsidRDefault="00C22C9E" w:rsidP="00C22C9E">
      <w:pPr>
        <w:jc w:val="both"/>
        <w:rPr>
          <w:sz w:val="28"/>
          <w:szCs w:val="28"/>
        </w:rPr>
      </w:pPr>
      <w:r w:rsidRPr="00C22C9E">
        <w:rPr>
          <w:sz w:val="28"/>
          <w:szCs w:val="28"/>
        </w:rPr>
        <w:t>Miss Davies claims the handbag to be of her own and as per her claim this handbag was gifted to her by her grandmother. But she could not produce any document in support of this and as her grandmother has died, it is also not possible for her to produce her grandmother before the court. Without any such document, her claim will lose strength. The rule of best evidence also requires a content of a document to be proved by the production of the original document (Ford 2014). At least, she must produce some secondary evidence in support of her document or must present some witness in support of her claim of ownership over the property in question.</w:t>
      </w:r>
    </w:p>
    <w:p w14:paraId="69B12C57" w14:textId="4CFEEF8E" w:rsidR="00EE0781" w:rsidRDefault="00EE0781" w:rsidP="00C22C9E">
      <w:pPr>
        <w:jc w:val="both"/>
        <w:rPr>
          <w:sz w:val="28"/>
          <w:szCs w:val="28"/>
        </w:rPr>
      </w:pPr>
    </w:p>
    <w:p w14:paraId="6B38EE47" w14:textId="021A15E1" w:rsidR="00EE0781" w:rsidRDefault="00EE0781" w:rsidP="00C22C9E">
      <w:pPr>
        <w:jc w:val="both"/>
        <w:rPr>
          <w:sz w:val="28"/>
          <w:szCs w:val="28"/>
        </w:rPr>
      </w:pPr>
    </w:p>
    <w:p w14:paraId="3DC6046C" w14:textId="77777777" w:rsidR="00EE0781" w:rsidRDefault="00EE0781" w:rsidP="00C22C9E">
      <w:pPr>
        <w:jc w:val="both"/>
        <w:rPr>
          <w:sz w:val="28"/>
          <w:szCs w:val="28"/>
        </w:rPr>
      </w:pPr>
    </w:p>
    <w:p w14:paraId="70B921CD" w14:textId="77777777" w:rsidR="00C33378" w:rsidRPr="00C22C9E" w:rsidRDefault="00C33378" w:rsidP="00C22C9E">
      <w:pPr>
        <w:jc w:val="both"/>
        <w:rPr>
          <w:sz w:val="28"/>
          <w:szCs w:val="28"/>
        </w:rPr>
      </w:pPr>
    </w:p>
    <w:p w14:paraId="37244B85" w14:textId="77777777" w:rsidR="00C22C9E" w:rsidRPr="00C22C9E" w:rsidRDefault="00C22C9E" w:rsidP="00C22C9E">
      <w:pPr>
        <w:jc w:val="both"/>
        <w:rPr>
          <w:b/>
          <w:bCs/>
          <w:sz w:val="28"/>
          <w:szCs w:val="28"/>
        </w:rPr>
      </w:pPr>
      <w:r w:rsidRPr="00C22C9E">
        <w:rPr>
          <w:b/>
          <w:bCs/>
          <w:sz w:val="28"/>
          <w:szCs w:val="28"/>
        </w:rPr>
        <w:lastRenderedPageBreak/>
        <w:t>Advantages and disadvantages in advising the client to remain silent during police interview:</w:t>
      </w:r>
    </w:p>
    <w:p w14:paraId="6E98AEE9" w14:textId="77777777" w:rsidR="00C33378" w:rsidRDefault="00C22C9E" w:rsidP="00C22C9E">
      <w:pPr>
        <w:jc w:val="both"/>
        <w:rPr>
          <w:sz w:val="28"/>
          <w:szCs w:val="28"/>
        </w:rPr>
      </w:pPr>
      <w:r w:rsidRPr="00C22C9E">
        <w:rPr>
          <w:sz w:val="28"/>
          <w:szCs w:val="28"/>
        </w:rPr>
        <w:t xml:space="preserve">Because a person has the right to stay quiet, it follows that </w:t>
      </w:r>
      <w:r w:rsidR="00C33378">
        <w:rPr>
          <w:sz w:val="28"/>
          <w:szCs w:val="28"/>
        </w:rPr>
        <w:t>first</w:t>
      </w:r>
      <w:r w:rsidRPr="00C22C9E">
        <w:rPr>
          <w:sz w:val="28"/>
          <w:szCs w:val="28"/>
        </w:rPr>
        <w:t xml:space="preserve"> she is not forced to reply to questions from law enforcement</w:t>
      </w:r>
      <w:r w:rsidR="00C33378">
        <w:rPr>
          <w:sz w:val="28"/>
          <w:szCs w:val="28"/>
        </w:rPr>
        <w:t>, secondly</w:t>
      </w:r>
      <w:r w:rsidRPr="00C22C9E">
        <w:rPr>
          <w:sz w:val="28"/>
          <w:szCs w:val="28"/>
        </w:rPr>
        <w:t xml:space="preserve"> she is not required to testify in court, though she may do so and </w:t>
      </w:r>
      <w:r w:rsidR="00C33378">
        <w:rPr>
          <w:sz w:val="28"/>
          <w:szCs w:val="28"/>
        </w:rPr>
        <w:t>thirdly</w:t>
      </w:r>
      <w:r w:rsidRPr="00C22C9E">
        <w:rPr>
          <w:sz w:val="28"/>
          <w:szCs w:val="28"/>
        </w:rPr>
        <w:t xml:space="preserve"> probably most crucially, no adverse inferences may be drawn as a consequence of her silence (</w:t>
      </w:r>
      <w:proofErr w:type="spellStart"/>
      <w:r w:rsidRPr="00C22C9E">
        <w:rPr>
          <w:sz w:val="28"/>
          <w:szCs w:val="28"/>
        </w:rPr>
        <w:t>Belloni</w:t>
      </w:r>
      <w:proofErr w:type="spellEnd"/>
      <w:r w:rsidRPr="00C22C9E">
        <w:rPr>
          <w:sz w:val="28"/>
          <w:szCs w:val="28"/>
        </w:rPr>
        <w:t xml:space="preserve"> &amp; Hodgson 2000).</w:t>
      </w:r>
      <w:r w:rsidR="00C33378">
        <w:rPr>
          <w:sz w:val="28"/>
          <w:szCs w:val="28"/>
        </w:rPr>
        <w:t xml:space="preserve"> </w:t>
      </w:r>
    </w:p>
    <w:p w14:paraId="700A124C" w14:textId="77777777" w:rsidR="00F431D0" w:rsidRDefault="00C22C9E" w:rsidP="00C22C9E">
      <w:pPr>
        <w:jc w:val="both"/>
        <w:rPr>
          <w:sz w:val="28"/>
          <w:szCs w:val="28"/>
        </w:rPr>
      </w:pPr>
      <w:r w:rsidRPr="00C22C9E">
        <w:rPr>
          <w:sz w:val="28"/>
          <w:szCs w:val="28"/>
        </w:rPr>
        <w:t xml:space="preserve"> Consequently, Miss Jones is within her rights to maintain her silence while being questioned by the police. The prosecution has the burden of evidence, and it is their responsibility to demonstrate their case beyond a shadow of a doubt while safeguarding the accused's right not to incriminate themselves. However, there are a few important exceptions to this rule.</w:t>
      </w:r>
    </w:p>
    <w:p w14:paraId="06720C8E" w14:textId="330F6107" w:rsidR="00C22C9E" w:rsidRDefault="00C22C9E" w:rsidP="00C22C9E">
      <w:pPr>
        <w:jc w:val="both"/>
        <w:rPr>
          <w:sz w:val="28"/>
          <w:szCs w:val="28"/>
        </w:rPr>
      </w:pPr>
      <w:r w:rsidRPr="00C22C9E">
        <w:rPr>
          <w:sz w:val="28"/>
          <w:szCs w:val="28"/>
        </w:rPr>
        <w:t xml:space="preserve"> Nevertheless, there is an issue if the accused individual does not speak out when they are being questioned about the crime. In cases where a suspect refuses to testify in court or brings up a topic in her </w:t>
      </w:r>
      <w:proofErr w:type="spellStart"/>
      <w:r w:rsidRPr="00C22C9E">
        <w:rPr>
          <w:sz w:val="28"/>
          <w:szCs w:val="28"/>
        </w:rPr>
        <w:t>defense</w:t>
      </w:r>
      <w:proofErr w:type="spellEnd"/>
      <w:r w:rsidRPr="00C22C9E">
        <w:rPr>
          <w:sz w:val="28"/>
          <w:szCs w:val="28"/>
        </w:rPr>
        <w:t xml:space="preserve"> for the first time during the trial that she should have brought up during interrogation, the Criminal Justice and Public Order Act of 1994 (CJPOA) now permits </w:t>
      </w:r>
      <w:proofErr w:type="spellStart"/>
      <w:r w:rsidRPr="00C22C9E">
        <w:rPr>
          <w:sz w:val="28"/>
          <w:szCs w:val="28"/>
        </w:rPr>
        <w:t>unfavorable</w:t>
      </w:r>
      <w:proofErr w:type="spellEnd"/>
      <w:r w:rsidRPr="00C22C9E">
        <w:rPr>
          <w:sz w:val="28"/>
          <w:szCs w:val="28"/>
        </w:rPr>
        <w:t xml:space="preserve"> inferences to be made about the suspect's silence. These inferences can be drawn because the </w:t>
      </w:r>
      <w:r w:rsidR="00C33378">
        <w:rPr>
          <w:sz w:val="28"/>
          <w:szCs w:val="28"/>
        </w:rPr>
        <w:t>CJPOA</w:t>
      </w:r>
      <w:r w:rsidRPr="00C22C9E">
        <w:rPr>
          <w:sz w:val="28"/>
          <w:szCs w:val="28"/>
        </w:rPr>
        <w:t xml:space="preserve"> now allows for such inferences (ibid).</w:t>
      </w:r>
    </w:p>
    <w:p w14:paraId="3D44CFDF" w14:textId="13E77AC7" w:rsidR="00C33378" w:rsidRDefault="00C33378" w:rsidP="00C22C9E">
      <w:pPr>
        <w:jc w:val="both"/>
        <w:rPr>
          <w:sz w:val="28"/>
          <w:szCs w:val="28"/>
        </w:rPr>
      </w:pPr>
    </w:p>
    <w:p w14:paraId="325DD2D3" w14:textId="77777777" w:rsidR="00C33378" w:rsidRDefault="00C33378" w:rsidP="00C22C9E">
      <w:pPr>
        <w:jc w:val="both"/>
        <w:rPr>
          <w:sz w:val="28"/>
          <w:szCs w:val="28"/>
        </w:rPr>
      </w:pPr>
    </w:p>
    <w:p w14:paraId="42DD18F1" w14:textId="77777777" w:rsidR="00C33378" w:rsidRPr="00C22C9E" w:rsidRDefault="00C33378" w:rsidP="00C22C9E">
      <w:pPr>
        <w:jc w:val="both"/>
        <w:rPr>
          <w:sz w:val="28"/>
          <w:szCs w:val="28"/>
        </w:rPr>
      </w:pPr>
    </w:p>
    <w:p w14:paraId="605851E4" w14:textId="3712B802" w:rsidR="00C22C9E" w:rsidRDefault="00C22C9E" w:rsidP="00C22C9E">
      <w:pPr>
        <w:jc w:val="both"/>
        <w:rPr>
          <w:b/>
          <w:bCs/>
          <w:sz w:val="28"/>
          <w:szCs w:val="28"/>
        </w:rPr>
      </w:pPr>
      <w:r w:rsidRPr="00C22C9E">
        <w:rPr>
          <w:b/>
          <w:bCs/>
          <w:sz w:val="28"/>
          <w:szCs w:val="28"/>
        </w:rPr>
        <w:t>Factors to be considered by the Court:</w:t>
      </w:r>
    </w:p>
    <w:p w14:paraId="6429F220" w14:textId="77777777" w:rsidR="00C33378" w:rsidRPr="00C22C9E" w:rsidRDefault="00C33378" w:rsidP="00C22C9E">
      <w:pPr>
        <w:jc w:val="both"/>
        <w:rPr>
          <w:b/>
          <w:bCs/>
          <w:sz w:val="28"/>
          <w:szCs w:val="28"/>
        </w:rPr>
      </w:pPr>
    </w:p>
    <w:p w14:paraId="7C3CDB2D" w14:textId="77777777" w:rsidR="00F431D0" w:rsidRDefault="00C22C9E" w:rsidP="00C22C9E">
      <w:pPr>
        <w:jc w:val="both"/>
        <w:rPr>
          <w:sz w:val="28"/>
          <w:szCs w:val="28"/>
        </w:rPr>
      </w:pPr>
      <w:r w:rsidRPr="00C22C9E">
        <w:rPr>
          <w:sz w:val="28"/>
          <w:szCs w:val="28"/>
        </w:rPr>
        <w:t>According to Rule 9.13(6)c of the Criminal Procedure Rules of 2020, the court's first order of business is to consider both the nature of the crime that was committed and the surrounding circumstances. This will cover the aspects of the crime that are in dispute as well as the conditions that the accused was operating under when they committed the crime.</w:t>
      </w:r>
    </w:p>
    <w:p w14:paraId="3BFF02BB" w14:textId="77777777" w:rsidR="00F431D0" w:rsidRDefault="00C22C9E" w:rsidP="00C22C9E">
      <w:pPr>
        <w:jc w:val="both"/>
        <w:rPr>
          <w:sz w:val="28"/>
          <w:szCs w:val="28"/>
        </w:rPr>
      </w:pPr>
      <w:r w:rsidRPr="00C22C9E">
        <w:rPr>
          <w:sz w:val="28"/>
          <w:szCs w:val="28"/>
        </w:rPr>
        <w:t xml:space="preserve"> As part of her defence against the charge, the defendant will have the opportunity to submit her case to the court, and the judge will take her arguments into account (ibid). In addition, the judge will consider if the defendant kept her mouth shut throughout the investigation and is now presenting her defence in court.</w:t>
      </w:r>
    </w:p>
    <w:p w14:paraId="0FD7FB50" w14:textId="6BD0D50C" w:rsidR="00F431D0" w:rsidRDefault="00C22C9E" w:rsidP="00C22C9E">
      <w:pPr>
        <w:jc w:val="both"/>
        <w:rPr>
          <w:sz w:val="28"/>
          <w:szCs w:val="28"/>
        </w:rPr>
      </w:pPr>
      <w:r w:rsidRPr="00C22C9E">
        <w:rPr>
          <w:sz w:val="28"/>
          <w:szCs w:val="28"/>
        </w:rPr>
        <w:t xml:space="preserve"> As an additional aggravating element in determining the appropriate sentence for the offender, the court will take into consideration Miss Jones's prior conviction</w:t>
      </w:r>
      <w:r w:rsidR="00F431D0">
        <w:rPr>
          <w:sz w:val="28"/>
          <w:szCs w:val="28"/>
        </w:rPr>
        <w:t>.</w:t>
      </w:r>
    </w:p>
    <w:p w14:paraId="374A7B69" w14:textId="165D53E3" w:rsidR="00C22C9E" w:rsidRDefault="00C22C9E" w:rsidP="00C22C9E">
      <w:pPr>
        <w:jc w:val="both"/>
        <w:rPr>
          <w:sz w:val="28"/>
          <w:szCs w:val="28"/>
        </w:rPr>
      </w:pPr>
      <w:r w:rsidRPr="00C22C9E">
        <w:rPr>
          <w:sz w:val="28"/>
          <w:szCs w:val="28"/>
        </w:rPr>
        <w:t>In addition, the court will take into account Miss Jones's lifestyle, which may include her work as well as other aspects of her life and the circumstances surrounding it.</w:t>
      </w:r>
    </w:p>
    <w:p w14:paraId="1567E6BC" w14:textId="4E0B87C6" w:rsidR="00EE0781" w:rsidRDefault="00EE0781" w:rsidP="00C22C9E">
      <w:pPr>
        <w:jc w:val="both"/>
        <w:rPr>
          <w:sz w:val="28"/>
          <w:szCs w:val="28"/>
        </w:rPr>
      </w:pPr>
    </w:p>
    <w:p w14:paraId="2B6489BA" w14:textId="4B047365" w:rsidR="00EE0781" w:rsidRDefault="00EE0781" w:rsidP="00C22C9E">
      <w:pPr>
        <w:jc w:val="both"/>
        <w:rPr>
          <w:sz w:val="28"/>
          <w:szCs w:val="28"/>
        </w:rPr>
      </w:pPr>
    </w:p>
    <w:p w14:paraId="04CBC6D5" w14:textId="18978464" w:rsidR="00EE0781" w:rsidRDefault="00EE0781" w:rsidP="00C22C9E">
      <w:pPr>
        <w:jc w:val="both"/>
        <w:rPr>
          <w:sz w:val="28"/>
          <w:szCs w:val="28"/>
        </w:rPr>
      </w:pPr>
    </w:p>
    <w:p w14:paraId="07BEADD9" w14:textId="77777777" w:rsidR="00EE0781" w:rsidRDefault="00EE0781" w:rsidP="00C22C9E">
      <w:pPr>
        <w:jc w:val="both"/>
        <w:rPr>
          <w:sz w:val="28"/>
          <w:szCs w:val="28"/>
        </w:rPr>
      </w:pPr>
    </w:p>
    <w:p w14:paraId="63515FE5" w14:textId="77777777" w:rsidR="00F431D0" w:rsidRPr="00C22C9E" w:rsidRDefault="00F431D0" w:rsidP="00C22C9E">
      <w:pPr>
        <w:jc w:val="both"/>
        <w:rPr>
          <w:sz w:val="28"/>
          <w:szCs w:val="28"/>
        </w:rPr>
      </w:pPr>
    </w:p>
    <w:p w14:paraId="3F6D2DFB" w14:textId="70A4791A" w:rsidR="00C22C9E" w:rsidRDefault="00C22C9E" w:rsidP="00C22C9E">
      <w:pPr>
        <w:jc w:val="both"/>
        <w:rPr>
          <w:b/>
          <w:bCs/>
          <w:sz w:val="28"/>
          <w:szCs w:val="28"/>
        </w:rPr>
      </w:pPr>
      <w:r w:rsidRPr="00C22C9E">
        <w:rPr>
          <w:b/>
          <w:bCs/>
          <w:sz w:val="28"/>
          <w:szCs w:val="28"/>
        </w:rPr>
        <w:lastRenderedPageBreak/>
        <w:t>Conclusion:</w:t>
      </w:r>
    </w:p>
    <w:p w14:paraId="70C6D16E" w14:textId="77777777" w:rsidR="00EE0781" w:rsidRDefault="00EE0781" w:rsidP="00C22C9E">
      <w:pPr>
        <w:jc w:val="both"/>
        <w:rPr>
          <w:b/>
          <w:bCs/>
          <w:sz w:val="28"/>
          <w:szCs w:val="28"/>
        </w:rPr>
      </w:pPr>
    </w:p>
    <w:p w14:paraId="4CDAC2B4" w14:textId="77777777" w:rsidR="00F431D0" w:rsidRPr="00C22C9E" w:rsidRDefault="00F431D0" w:rsidP="00C22C9E">
      <w:pPr>
        <w:jc w:val="both"/>
        <w:rPr>
          <w:b/>
          <w:bCs/>
          <w:sz w:val="28"/>
          <w:szCs w:val="28"/>
        </w:rPr>
      </w:pPr>
    </w:p>
    <w:p w14:paraId="08ED4CA7" w14:textId="77777777" w:rsidR="00F431D0" w:rsidRDefault="00C22C9E" w:rsidP="00C22C9E">
      <w:pPr>
        <w:jc w:val="both"/>
        <w:rPr>
          <w:sz w:val="28"/>
          <w:szCs w:val="28"/>
        </w:rPr>
      </w:pPr>
      <w:r w:rsidRPr="00C22C9E">
        <w:rPr>
          <w:sz w:val="28"/>
          <w:szCs w:val="28"/>
        </w:rPr>
        <w:t>As the client has been charged with the commission of such crime as can lead her to suffer imprisonment up to her lifetime, she needs to have proper legal advice in relation to her case.</w:t>
      </w:r>
    </w:p>
    <w:p w14:paraId="306ADBD0" w14:textId="5D5109AE" w:rsidR="00F431D0" w:rsidRDefault="00C22C9E" w:rsidP="00C22C9E">
      <w:pPr>
        <w:jc w:val="both"/>
        <w:rPr>
          <w:sz w:val="28"/>
          <w:szCs w:val="28"/>
        </w:rPr>
      </w:pPr>
      <w:r w:rsidRPr="00C22C9E">
        <w:rPr>
          <w:sz w:val="28"/>
          <w:szCs w:val="28"/>
        </w:rPr>
        <w:t xml:space="preserve"> She must be cautious while facing the interrogation as well as the trial. As the evidence against her is the combination of both strong and weak elements, the strengths of the evidence are to be defended with strong defensive evidence and the weak points of evidence must be attacked well.</w:t>
      </w:r>
    </w:p>
    <w:p w14:paraId="6969AB42" w14:textId="15DBE848" w:rsidR="00F431D0" w:rsidRDefault="00C22C9E" w:rsidP="00C22C9E">
      <w:pPr>
        <w:jc w:val="both"/>
        <w:rPr>
          <w:sz w:val="28"/>
          <w:szCs w:val="28"/>
        </w:rPr>
      </w:pPr>
      <w:r w:rsidRPr="00C22C9E">
        <w:rPr>
          <w:sz w:val="28"/>
          <w:szCs w:val="28"/>
        </w:rPr>
        <w:t xml:space="preserve"> Miss Jones' previous conviction, the claim of Miss Davies and the statement of the police officer who arrested Miss Jones will be the prime evidence in comparison to any other evidence that might be used against her. </w:t>
      </w:r>
    </w:p>
    <w:p w14:paraId="5A89D0EC" w14:textId="5C955EFB" w:rsidR="00C22C9E" w:rsidRPr="00C22C9E" w:rsidRDefault="00C22C9E" w:rsidP="00C22C9E">
      <w:pPr>
        <w:jc w:val="both"/>
        <w:rPr>
          <w:sz w:val="28"/>
          <w:szCs w:val="28"/>
        </w:rPr>
      </w:pPr>
      <w:r w:rsidRPr="00C22C9E">
        <w:rPr>
          <w:sz w:val="28"/>
          <w:szCs w:val="28"/>
        </w:rPr>
        <w:t xml:space="preserve">The client therefore needs a well-organized advice and legal assistance in order to achieve the benefit of doubt in her case. </w:t>
      </w:r>
    </w:p>
    <w:p w14:paraId="7420C64C" w14:textId="77777777" w:rsidR="00C22C9E" w:rsidRPr="00C22C9E" w:rsidRDefault="00C22C9E" w:rsidP="00C22C9E">
      <w:pPr>
        <w:jc w:val="both"/>
        <w:rPr>
          <w:b/>
          <w:bCs/>
          <w:sz w:val="28"/>
          <w:szCs w:val="28"/>
        </w:rPr>
      </w:pPr>
    </w:p>
    <w:p w14:paraId="28644646" w14:textId="77777777" w:rsidR="00C22C9E" w:rsidRPr="00C22C9E" w:rsidRDefault="00C22C9E" w:rsidP="00C22C9E">
      <w:pPr>
        <w:jc w:val="both"/>
        <w:rPr>
          <w:b/>
          <w:bCs/>
          <w:sz w:val="28"/>
          <w:szCs w:val="28"/>
        </w:rPr>
      </w:pPr>
    </w:p>
    <w:p w14:paraId="29E8BE3A" w14:textId="77777777" w:rsidR="00C22C9E" w:rsidRPr="00C22C9E" w:rsidRDefault="00C22C9E" w:rsidP="00C22C9E">
      <w:pPr>
        <w:jc w:val="both"/>
        <w:rPr>
          <w:b/>
          <w:bCs/>
          <w:sz w:val="28"/>
          <w:szCs w:val="28"/>
        </w:rPr>
      </w:pPr>
    </w:p>
    <w:p w14:paraId="60D685E5" w14:textId="77777777" w:rsidR="00C22C9E" w:rsidRPr="00C22C9E" w:rsidRDefault="00C22C9E" w:rsidP="00C22C9E">
      <w:pPr>
        <w:jc w:val="both"/>
        <w:rPr>
          <w:b/>
          <w:bCs/>
          <w:sz w:val="28"/>
          <w:szCs w:val="28"/>
        </w:rPr>
      </w:pPr>
    </w:p>
    <w:p w14:paraId="20DB7F54" w14:textId="77777777" w:rsidR="00C22C9E" w:rsidRPr="00C22C9E" w:rsidRDefault="00C22C9E" w:rsidP="00C22C9E">
      <w:pPr>
        <w:jc w:val="both"/>
        <w:rPr>
          <w:b/>
          <w:bCs/>
          <w:sz w:val="28"/>
          <w:szCs w:val="28"/>
        </w:rPr>
      </w:pPr>
    </w:p>
    <w:p w14:paraId="1FB08AE4" w14:textId="77777777" w:rsidR="00C22C9E" w:rsidRPr="00C22C9E" w:rsidRDefault="00C22C9E" w:rsidP="00C22C9E">
      <w:pPr>
        <w:jc w:val="both"/>
        <w:rPr>
          <w:b/>
          <w:bCs/>
          <w:sz w:val="28"/>
          <w:szCs w:val="28"/>
        </w:rPr>
      </w:pPr>
    </w:p>
    <w:p w14:paraId="52CD0A58" w14:textId="77777777" w:rsidR="00C22C9E" w:rsidRPr="00C22C9E" w:rsidRDefault="00C22C9E" w:rsidP="00C22C9E">
      <w:pPr>
        <w:jc w:val="both"/>
        <w:rPr>
          <w:b/>
          <w:bCs/>
          <w:sz w:val="28"/>
          <w:szCs w:val="28"/>
        </w:rPr>
      </w:pPr>
      <w:r w:rsidRPr="00C22C9E">
        <w:rPr>
          <w:b/>
          <w:bCs/>
          <w:sz w:val="28"/>
          <w:szCs w:val="28"/>
        </w:rPr>
        <w:br w:type="page"/>
      </w:r>
      <w:r w:rsidRPr="00C22C9E">
        <w:rPr>
          <w:b/>
          <w:bCs/>
          <w:sz w:val="28"/>
          <w:szCs w:val="28"/>
        </w:rPr>
        <w:lastRenderedPageBreak/>
        <w:t>Bibliography:</w:t>
      </w:r>
    </w:p>
    <w:p w14:paraId="1F12B0AE" w14:textId="77777777" w:rsidR="00C22C9E" w:rsidRPr="00C22C9E" w:rsidRDefault="00C22C9E" w:rsidP="00C22C9E">
      <w:pPr>
        <w:jc w:val="both"/>
        <w:rPr>
          <w:sz w:val="28"/>
          <w:szCs w:val="28"/>
        </w:rPr>
      </w:pPr>
      <w:proofErr w:type="spellStart"/>
      <w:r w:rsidRPr="00C22C9E">
        <w:rPr>
          <w:sz w:val="28"/>
          <w:szCs w:val="28"/>
        </w:rPr>
        <w:t>Belloni</w:t>
      </w:r>
      <w:proofErr w:type="spellEnd"/>
      <w:r w:rsidRPr="00C22C9E">
        <w:rPr>
          <w:sz w:val="28"/>
          <w:szCs w:val="28"/>
        </w:rPr>
        <w:t>, F. and Hodgson, J. (2000) “The Right to Silence,”</w:t>
      </w:r>
      <w:r w:rsidRPr="00C22C9E">
        <w:rPr>
          <w:i/>
          <w:iCs/>
          <w:sz w:val="28"/>
          <w:szCs w:val="28"/>
        </w:rPr>
        <w:t xml:space="preserve"> in Criminal Injustice</w:t>
      </w:r>
      <w:r w:rsidRPr="00C22C9E">
        <w:rPr>
          <w:sz w:val="28"/>
          <w:szCs w:val="28"/>
        </w:rPr>
        <w:t xml:space="preserve"> . 1st </w:t>
      </w:r>
      <w:proofErr w:type="spellStart"/>
      <w:r w:rsidRPr="00C22C9E">
        <w:rPr>
          <w:sz w:val="28"/>
          <w:szCs w:val="28"/>
        </w:rPr>
        <w:t>edn</w:t>
      </w:r>
      <w:proofErr w:type="spellEnd"/>
      <w:r w:rsidRPr="00C22C9E">
        <w:rPr>
          <w:sz w:val="28"/>
          <w:szCs w:val="28"/>
        </w:rPr>
        <w:t xml:space="preserve">. London : Palgrave Macmillan. </w:t>
      </w:r>
    </w:p>
    <w:p w14:paraId="2B10CD77" w14:textId="77777777" w:rsidR="00C22C9E" w:rsidRPr="00C22C9E" w:rsidRDefault="00C22C9E" w:rsidP="00C22C9E">
      <w:pPr>
        <w:jc w:val="both"/>
        <w:rPr>
          <w:sz w:val="28"/>
          <w:szCs w:val="28"/>
        </w:rPr>
      </w:pPr>
      <w:r w:rsidRPr="00C22C9E">
        <w:rPr>
          <w:sz w:val="28"/>
          <w:szCs w:val="28"/>
        </w:rPr>
        <w:t xml:space="preserve">Braga, A., Hureau, D.M. and </w:t>
      </w:r>
      <w:proofErr w:type="spellStart"/>
      <w:r w:rsidRPr="00C22C9E">
        <w:rPr>
          <w:sz w:val="28"/>
          <w:szCs w:val="28"/>
        </w:rPr>
        <w:t>Papachristos</w:t>
      </w:r>
      <w:proofErr w:type="spellEnd"/>
      <w:r w:rsidRPr="00C22C9E">
        <w:rPr>
          <w:sz w:val="28"/>
          <w:szCs w:val="28"/>
        </w:rPr>
        <w:t>, A.V. (2012) “ An ex post facto evaluation framework for place-based police interventions,”</w:t>
      </w:r>
      <w:r w:rsidRPr="00C22C9E">
        <w:rPr>
          <w:i/>
          <w:iCs/>
          <w:sz w:val="28"/>
          <w:szCs w:val="28"/>
        </w:rPr>
        <w:t xml:space="preserve"> Evaluation Review</w:t>
      </w:r>
      <w:r w:rsidRPr="00C22C9E">
        <w:rPr>
          <w:sz w:val="28"/>
          <w:szCs w:val="28"/>
        </w:rPr>
        <w:t xml:space="preserve"> , 35(6), pp. 592–626. </w:t>
      </w:r>
    </w:p>
    <w:p w14:paraId="3EA7284B" w14:textId="77777777" w:rsidR="00C22C9E" w:rsidRPr="00C22C9E" w:rsidRDefault="00C22C9E" w:rsidP="00C22C9E">
      <w:pPr>
        <w:jc w:val="both"/>
        <w:rPr>
          <w:sz w:val="28"/>
          <w:szCs w:val="28"/>
        </w:rPr>
      </w:pPr>
      <w:r w:rsidRPr="00C22C9E">
        <w:rPr>
          <w:sz w:val="28"/>
          <w:szCs w:val="28"/>
        </w:rPr>
        <w:t xml:space="preserve">Ford, C. (2014) What the Best Evidence Rule is - and what it isn't. Montana Law. Available at: https://www.umt.edu/law/students/scholarships/default.php (Accessed: November 8, 2022). </w:t>
      </w:r>
    </w:p>
    <w:p w14:paraId="2DC1ABD3" w14:textId="77777777" w:rsidR="00C22C9E" w:rsidRPr="00C22C9E" w:rsidRDefault="00C22C9E" w:rsidP="00C22C9E">
      <w:pPr>
        <w:jc w:val="both"/>
        <w:rPr>
          <w:sz w:val="28"/>
          <w:szCs w:val="28"/>
        </w:rPr>
      </w:pPr>
      <w:r w:rsidRPr="00C22C9E">
        <w:rPr>
          <w:sz w:val="28"/>
          <w:szCs w:val="28"/>
        </w:rPr>
        <w:t xml:space="preserve"> Sentencing Academy. Previous conviction. Available at: https://sentencingacademy.org.uk/about-sentencing/sentencing-explained/previous-convictions/ (Accessed: November 8, 2022). </w:t>
      </w:r>
    </w:p>
    <w:p w14:paraId="79E98AAD" w14:textId="77777777" w:rsidR="00C22C9E" w:rsidRPr="00C22C9E" w:rsidRDefault="00C22C9E" w:rsidP="00C22C9E">
      <w:pPr>
        <w:jc w:val="both"/>
        <w:rPr>
          <w:sz w:val="28"/>
          <w:szCs w:val="28"/>
        </w:rPr>
      </w:pPr>
      <w:r w:rsidRPr="00C22C9E">
        <w:rPr>
          <w:sz w:val="28"/>
          <w:szCs w:val="28"/>
        </w:rPr>
        <w:t xml:space="preserve">Sherman, L. (2013). "The rise of evidence- based policing: Targeting, testing and tracking",  In </w:t>
      </w:r>
      <w:r w:rsidRPr="00C22C9E">
        <w:rPr>
          <w:i/>
          <w:iCs/>
          <w:sz w:val="28"/>
          <w:szCs w:val="28"/>
        </w:rPr>
        <w:t>Crime and Justice in America, 1975–2025, crime and justice: A review of research</w:t>
      </w:r>
      <w:r w:rsidRPr="00C22C9E">
        <w:rPr>
          <w:sz w:val="28"/>
          <w:szCs w:val="28"/>
        </w:rPr>
        <w:t>. Chicago: University of Chicago Press.</w:t>
      </w:r>
    </w:p>
    <w:p w14:paraId="0F7A0490" w14:textId="77777777" w:rsidR="00C22C9E" w:rsidRPr="00C22C9E" w:rsidRDefault="00C22C9E" w:rsidP="00C22C9E">
      <w:pPr>
        <w:jc w:val="both"/>
        <w:rPr>
          <w:sz w:val="28"/>
          <w:szCs w:val="28"/>
        </w:rPr>
      </w:pPr>
      <w:r w:rsidRPr="00C22C9E">
        <w:rPr>
          <w:sz w:val="28"/>
          <w:szCs w:val="28"/>
        </w:rPr>
        <w:t>DPP v Gomez (1993) 96 Cr App R 359</w:t>
      </w:r>
    </w:p>
    <w:p w14:paraId="570DC993" w14:textId="77777777" w:rsidR="00C22C9E" w:rsidRPr="00C22C9E" w:rsidRDefault="00C22C9E" w:rsidP="00C22C9E">
      <w:pPr>
        <w:jc w:val="both"/>
        <w:rPr>
          <w:sz w:val="28"/>
          <w:szCs w:val="28"/>
        </w:rPr>
      </w:pPr>
      <w:r w:rsidRPr="00C22C9E">
        <w:rPr>
          <w:sz w:val="28"/>
          <w:szCs w:val="28"/>
        </w:rPr>
        <w:t> Ivey v Genting Casinos [2018] AC 391</w:t>
      </w:r>
    </w:p>
    <w:p w14:paraId="46FAEE42" w14:textId="77777777" w:rsidR="00C22C9E" w:rsidRPr="00C22C9E" w:rsidRDefault="00C22C9E" w:rsidP="00C22C9E">
      <w:pPr>
        <w:jc w:val="both"/>
        <w:rPr>
          <w:sz w:val="28"/>
          <w:szCs w:val="28"/>
        </w:rPr>
      </w:pPr>
      <w:r w:rsidRPr="00C22C9E">
        <w:rPr>
          <w:sz w:val="28"/>
          <w:szCs w:val="28"/>
        </w:rPr>
        <w:t>Lawrence v Metropolitan Police Commissioner (1971) Cr App R 471</w:t>
      </w:r>
    </w:p>
    <w:p w14:paraId="23933C5C" w14:textId="77777777" w:rsidR="00C22C9E" w:rsidRPr="00C22C9E" w:rsidRDefault="00C22C9E" w:rsidP="00C22C9E">
      <w:pPr>
        <w:jc w:val="both"/>
        <w:rPr>
          <w:sz w:val="28"/>
          <w:szCs w:val="28"/>
        </w:rPr>
      </w:pPr>
      <w:r w:rsidRPr="00C22C9E">
        <w:rPr>
          <w:sz w:val="28"/>
          <w:szCs w:val="28"/>
        </w:rPr>
        <w:t> P v DPP [2012] EWHC 1657 (Admin)</w:t>
      </w:r>
    </w:p>
    <w:p w14:paraId="627F5BDA" w14:textId="77777777" w:rsidR="00C22C9E" w:rsidRPr="00C22C9E" w:rsidRDefault="00C22C9E" w:rsidP="00C22C9E">
      <w:pPr>
        <w:jc w:val="both"/>
        <w:rPr>
          <w:sz w:val="28"/>
          <w:szCs w:val="28"/>
        </w:rPr>
      </w:pPr>
      <w:r w:rsidRPr="00C22C9E">
        <w:rPr>
          <w:sz w:val="28"/>
          <w:szCs w:val="28"/>
        </w:rPr>
        <w:t>R v Barton and Booth [2020] EWCA Crim 575</w:t>
      </w:r>
    </w:p>
    <w:p w14:paraId="4AF3B082" w14:textId="77777777" w:rsidR="00C22C9E" w:rsidRPr="00C22C9E" w:rsidRDefault="00C22C9E" w:rsidP="00C22C9E">
      <w:pPr>
        <w:jc w:val="both"/>
        <w:rPr>
          <w:sz w:val="28"/>
          <w:szCs w:val="28"/>
        </w:rPr>
      </w:pPr>
      <w:r w:rsidRPr="00C22C9E">
        <w:rPr>
          <w:sz w:val="28"/>
          <w:szCs w:val="28"/>
        </w:rPr>
        <w:t>R v Hale (1979) 68 Cr. App. R. 415</w:t>
      </w:r>
    </w:p>
    <w:p w14:paraId="01C73DCD" w14:textId="77777777" w:rsidR="00C22C9E" w:rsidRPr="00C22C9E" w:rsidRDefault="00C22C9E" w:rsidP="00C22C9E">
      <w:pPr>
        <w:jc w:val="both"/>
        <w:rPr>
          <w:sz w:val="28"/>
          <w:szCs w:val="28"/>
        </w:rPr>
      </w:pPr>
      <w:r w:rsidRPr="00C22C9E">
        <w:rPr>
          <w:sz w:val="28"/>
          <w:szCs w:val="28"/>
        </w:rPr>
        <w:t> R v Turner (1971) 55 Cr App R 336</w:t>
      </w:r>
    </w:p>
    <w:p w14:paraId="539A9B64" w14:textId="77777777" w:rsidR="00C22C9E" w:rsidRPr="00C22C9E" w:rsidRDefault="00C22C9E" w:rsidP="00C22C9E">
      <w:pPr>
        <w:jc w:val="both"/>
        <w:rPr>
          <w:sz w:val="28"/>
          <w:szCs w:val="28"/>
        </w:rPr>
      </w:pPr>
      <w:r w:rsidRPr="00C22C9E">
        <w:rPr>
          <w:sz w:val="28"/>
          <w:szCs w:val="28"/>
        </w:rPr>
        <w:t xml:space="preserve">R v </w:t>
      </w:r>
      <w:proofErr w:type="spellStart"/>
      <w:r w:rsidRPr="00C22C9E">
        <w:rPr>
          <w:sz w:val="28"/>
          <w:szCs w:val="28"/>
        </w:rPr>
        <w:t>Vinall</w:t>
      </w:r>
      <w:proofErr w:type="spellEnd"/>
      <w:r w:rsidRPr="00C22C9E">
        <w:rPr>
          <w:sz w:val="28"/>
          <w:szCs w:val="28"/>
        </w:rPr>
        <w:t xml:space="preserve"> [2012] 1 Cr App R 29</w:t>
      </w:r>
    </w:p>
    <w:p w14:paraId="6D4834D4" w14:textId="77777777" w:rsidR="00C22C9E" w:rsidRPr="00C22C9E" w:rsidRDefault="00C22C9E" w:rsidP="00C22C9E">
      <w:pPr>
        <w:jc w:val="both"/>
        <w:rPr>
          <w:sz w:val="28"/>
          <w:szCs w:val="28"/>
        </w:rPr>
      </w:pPr>
      <w:r w:rsidRPr="00C22C9E">
        <w:rPr>
          <w:sz w:val="28"/>
          <w:szCs w:val="28"/>
        </w:rPr>
        <w:t>The Criminal Justice and Public Order Act of 1994 (UK)</w:t>
      </w:r>
    </w:p>
    <w:p w14:paraId="061F9045" w14:textId="77777777" w:rsidR="00C22C9E" w:rsidRPr="00C22C9E" w:rsidRDefault="00C22C9E" w:rsidP="00C22C9E">
      <w:pPr>
        <w:jc w:val="both"/>
        <w:rPr>
          <w:sz w:val="28"/>
          <w:szCs w:val="28"/>
        </w:rPr>
      </w:pPr>
      <w:r w:rsidRPr="00C22C9E">
        <w:rPr>
          <w:sz w:val="28"/>
          <w:szCs w:val="28"/>
        </w:rPr>
        <w:t>The Criminal Procedure Rules 2020 (UK)</w:t>
      </w:r>
    </w:p>
    <w:p w14:paraId="03EE663C" w14:textId="77777777" w:rsidR="00C22C9E" w:rsidRPr="00C22C9E" w:rsidRDefault="00C22C9E" w:rsidP="00C22C9E">
      <w:pPr>
        <w:jc w:val="both"/>
        <w:rPr>
          <w:sz w:val="28"/>
          <w:szCs w:val="28"/>
        </w:rPr>
      </w:pPr>
      <w:r w:rsidRPr="00C22C9E">
        <w:rPr>
          <w:sz w:val="28"/>
          <w:szCs w:val="28"/>
        </w:rPr>
        <w:t>The Theft Act 1968 (UK)</w:t>
      </w:r>
    </w:p>
    <w:p w14:paraId="26FD410F" w14:textId="77777777" w:rsidR="00C22C9E" w:rsidRPr="00C22C9E" w:rsidRDefault="00C22C9E" w:rsidP="00C22C9E">
      <w:pPr>
        <w:ind w:left="720"/>
        <w:rPr>
          <w:rFonts w:ascii="Arial" w:hAnsi="Arial" w:cs="Arial"/>
          <w:sz w:val="28"/>
          <w:szCs w:val="28"/>
        </w:rPr>
      </w:pPr>
    </w:p>
    <w:p w14:paraId="5CB59D69" w14:textId="77777777" w:rsidR="00C22C9E" w:rsidRPr="00C22C9E" w:rsidRDefault="00C22C9E" w:rsidP="00C22C9E">
      <w:pPr>
        <w:ind w:left="720"/>
        <w:rPr>
          <w:rFonts w:ascii="Arial" w:hAnsi="Arial" w:cs="Arial"/>
          <w:sz w:val="28"/>
          <w:szCs w:val="28"/>
        </w:rPr>
      </w:pPr>
    </w:p>
    <w:p w14:paraId="3E64B17E" w14:textId="77777777" w:rsidR="00C22C9E" w:rsidRPr="00C22C9E" w:rsidRDefault="00C22C9E" w:rsidP="00C22C9E">
      <w:pPr>
        <w:jc w:val="both"/>
        <w:rPr>
          <w:rFonts w:ascii="Arial" w:hAnsi="Arial" w:cs="Arial"/>
          <w:sz w:val="28"/>
          <w:szCs w:val="28"/>
        </w:rPr>
      </w:pPr>
    </w:p>
    <w:p w14:paraId="37F9FB47" w14:textId="77777777" w:rsidR="00C22C9E" w:rsidRPr="00C22C9E" w:rsidRDefault="00C22C9E" w:rsidP="00C22C9E">
      <w:pPr>
        <w:jc w:val="both"/>
        <w:rPr>
          <w:rFonts w:ascii="Arial" w:hAnsi="Arial" w:cs="Arial"/>
          <w:sz w:val="28"/>
          <w:szCs w:val="28"/>
        </w:rPr>
      </w:pPr>
      <w:r w:rsidRPr="00C22C9E">
        <w:rPr>
          <w:rFonts w:ascii="Arial" w:hAnsi="Arial" w:cs="Arial"/>
          <w:sz w:val="28"/>
          <w:szCs w:val="28"/>
        </w:rPr>
        <w:br/>
      </w:r>
      <w:r w:rsidRPr="00C22C9E">
        <w:rPr>
          <w:rFonts w:ascii="Arial" w:hAnsi="Arial" w:cs="Arial"/>
          <w:sz w:val="28"/>
          <w:szCs w:val="28"/>
        </w:rPr>
        <w:br/>
      </w:r>
    </w:p>
    <w:p w14:paraId="0C2997BB" w14:textId="77777777" w:rsidR="00C22C9E" w:rsidRPr="00C22C9E" w:rsidRDefault="00C22C9E" w:rsidP="00C22C9E">
      <w:pPr>
        <w:jc w:val="both"/>
        <w:rPr>
          <w:rFonts w:ascii="Arial" w:hAnsi="Arial" w:cs="Arial"/>
          <w:sz w:val="28"/>
          <w:szCs w:val="28"/>
        </w:rPr>
      </w:pPr>
    </w:p>
    <w:p w14:paraId="32AE989B" w14:textId="77777777" w:rsidR="00C22C9E" w:rsidRPr="00C22C9E" w:rsidRDefault="00C22C9E" w:rsidP="00C22C9E">
      <w:pPr>
        <w:jc w:val="both"/>
        <w:rPr>
          <w:rFonts w:ascii="Arial" w:hAnsi="Arial" w:cs="Arial"/>
          <w:sz w:val="28"/>
          <w:szCs w:val="28"/>
        </w:rPr>
      </w:pPr>
    </w:p>
    <w:p w14:paraId="6F214A92" w14:textId="77777777" w:rsidR="00C22C9E" w:rsidRPr="00C22C9E" w:rsidRDefault="00C22C9E" w:rsidP="00C22C9E">
      <w:pPr>
        <w:jc w:val="both"/>
        <w:rPr>
          <w:rFonts w:ascii="Arial" w:hAnsi="Arial" w:cs="Arial"/>
          <w:sz w:val="28"/>
          <w:szCs w:val="28"/>
        </w:rPr>
      </w:pPr>
    </w:p>
    <w:p w14:paraId="6A79BB17" w14:textId="77777777" w:rsidR="00C22C9E" w:rsidRPr="00C22C9E" w:rsidRDefault="00C22C9E">
      <w:pPr>
        <w:rPr>
          <w:sz w:val="28"/>
          <w:szCs w:val="28"/>
        </w:rPr>
      </w:pPr>
    </w:p>
    <w:sectPr w:rsidR="00C22C9E" w:rsidRPr="00C22C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87BF0" w14:textId="77777777" w:rsidR="00C22C9E" w:rsidRDefault="00C22C9E" w:rsidP="00C22C9E">
      <w:r>
        <w:separator/>
      </w:r>
    </w:p>
  </w:endnote>
  <w:endnote w:type="continuationSeparator" w:id="0">
    <w:p w14:paraId="762B8A4F" w14:textId="77777777" w:rsidR="00C22C9E" w:rsidRDefault="00C22C9E" w:rsidP="00C22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DCEA7" w14:textId="77777777" w:rsidR="00C22C9E" w:rsidRDefault="00C22C9E" w:rsidP="00C22C9E">
      <w:r>
        <w:separator/>
      </w:r>
    </w:p>
  </w:footnote>
  <w:footnote w:type="continuationSeparator" w:id="0">
    <w:p w14:paraId="578D940C" w14:textId="77777777" w:rsidR="00C22C9E" w:rsidRDefault="00C22C9E" w:rsidP="00C22C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10195451">
    <w:abstractNumId w:val="1"/>
    <w:lvlOverride w:ilvl="0"/>
    <w:lvlOverride w:ilvl="1"/>
    <w:lvlOverride w:ilvl="2"/>
    <w:lvlOverride w:ilvl="3"/>
    <w:lvlOverride w:ilvl="4"/>
    <w:lvlOverride w:ilvl="5"/>
    <w:lvlOverride w:ilvl="6"/>
    <w:lvlOverride w:ilvl="7"/>
    <w:lvlOverride w:ilvl="8"/>
  </w:num>
  <w:num w:numId="2" w16cid:durableId="158479767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C9E"/>
    <w:rsid w:val="00C22C9E"/>
    <w:rsid w:val="00C33378"/>
    <w:rsid w:val="00EE0781"/>
    <w:rsid w:val="00F43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2410BD"/>
  <w15:chartTrackingRefBased/>
  <w15:docId w15:val="{E2C1BC68-7DB7-4DEE-A06B-AF17BEBE6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C9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C22C9E"/>
    <w:pPr>
      <w:keepNext/>
      <w:jc w:val="both"/>
      <w:outlineLvl w:val="1"/>
    </w:pPr>
    <w:rPr>
      <w:b/>
      <w:sz w:val="24"/>
    </w:rPr>
  </w:style>
  <w:style w:type="paragraph" w:styleId="Heading4">
    <w:name w:val="heading 4"/>
    <w:basedOn w:val="Normal"/>
    <w:next w:val="Normal"/>
    <w:link w:val="Heading4Char"/>
    <w:semiHidden/>
    <w:unhideWhenUsed/>
    <w:qFormat/>
    <w:rsid w:val="00C22C9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C22C9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C22C9E"/>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C22C9E"/>
    <w:pPr>
      <w:tabs>
        <w:tab w:val="center" w:pos="4153"/>
        <w:tab w:val="right" w:pos="8306"/>
      </w:tabs>
    </w:pPr>
  </w:style>
  <w:style w:type="character" w:customStyle="1" w:styleId="HeaderChar">
    <w:name w:val="Header Char"/>
    <w:basedOn w:val="DefaultParagraphFont"/>
    <w:link w:val="Header"/>
    <w:rsid w:val="00C22C9E"/>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C22C9E"/>
    <w:rPr>
      <w:lang w:eastAsia="en-GB"/>
    </w:rPr>
  </w:style>
  <w:style w:type="paragraph" w:styleId="ListParagraph">
    <w:name w:val="List Paragraph"/>
    <w:basedOn w:val="Normal"/>
    <w:link w:val="ListParagraphChar"/>
    <w:uiPriority w:val="34"/>
    <w:qFormat/>
    <w:rsid w:val="00C22C9E"/>
    <w:pPr>
      <w:ind w:left="720"/>
      <w:contextualSpacing/>
    </w:pPr>
    <w:rPr>
      <w:rFonts w:asciiTheme="minorHAnsi" w:eastAsiaTheme="minorHAnsi" w:hAnsiTheme="minorHAnsi" w:cstheme="minorBidi"/>
      <w:sz w:val="22"/>
      <w:szCs w:val="22"/>
    </w:rPr>
  </w:style>
  <w:style w:type="paragraph" w:styleId="Footer">
    <w:name w:val="footer"/>
    <w:basedOn w:val="Normal"/>
    <w:link w:val="FooterChar"/>
    <w:uiPriority w:val="99"/>
    <w:unhideWhenUsed/>
    <w:rsid w:val="00C22C9E"/>
    <w:pPr>
      <w:tabs>
        <w:tab w:val="center" w:pos="4513"/>
        <w:tab w:val="right" w:pos="9026"/>
      </w:tabs>
    </w:pPr>
  </w:style>
  <w:style w:type="character" w:customStyle="1" w:styleId="FooterChar">
    <w:name w:val="Footer Char"/>
    <w:basedOn w:val="DefaultParagraphFont"/>
    <w:link w:val="Footer"/>
    <w:uiPriority w:val="99"/>
    <w:rsid w:val="00C22C9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513282">
      <w:bodyDiv w:val="1"/>
      <w:marLeft w:val="0"/>
      <w:marRight w:val="0"/>
      <w:marTop w:val="0"/>
      <w:marBottom w:val="0"/>
      <w:divBdr>
        <w:top w:val="none" w:sz="0" w:space="0" w:color="auto"/>
        <w:left w:val="none" w:sz="0" w:space="0" w:color="auto"/>
        <w:bottom w:val="none" w:sz="0" w:space="0" w:color="auto"/>
        <w:right w:val="none" w:sz="0" w:space="0" w:color="auto"/>
      </w:divBdr>
    </w:div>
    <w:div w:id="1187450276">
      <w:bodyDiv w:val="1"/>
      <w:marLeft w:val="0"/>
      <w:marRight w:val="0"/>
      <w:marTop w:val="0"/>
      <w:marBottom w:val="0"/>
      <w:divBdr>
        <w:top w:val="none" w:sz="0" w:space="0" w:color="auto"/>
        <w:left w:val="none" w:sz="0" w:space="0" w:color="auto"/>
        <w:bottom w:val="none" w:sz="0" w:space="0" w:color="auto"/>
        <w:right w:val="none" w:sz="0" w:space="0" w:color="auto"/>
      </w:divBdr>
    </w:div>
    <w:div w:id="1772698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Vlasceanu</dc:creator>
  <cp:keywords/>
  <dc:description/>
  <cp:lastModifiedBy>Iuliana Vlasceanu</cp:lastModifiedBy>
  <cp:revision>1</cp:revision>
  <dcterms:created xsi:type="dcterms:W3CDTF">2022-11-11T17:57:00Z</dcterms:created>
  <dcterms:modified xsi:type="dcterms:W3CDTF">2022-11-11T18:37:00Z</dcterms:modified>
</cp:coreProperties>
</file>