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2DDA" w:rsidRDefault="009E2DDA" w:rsidP="009E2DDA">
      <w:pPr>
        <w:jc w:val="center"/>
      </w:pPr>
      <w:r>
        <w:t xml:space="preserve">Student number - 2023713 </w:t>
      </w:r>
    </w:p>
    <w:p w:rsidR="009E2DDA" w:rsidRDefault="009E2DDA" w:rsidP="009E2DDA">
      <w:pPr>
        <w:jc w:val="center"/>
      </w:pPr>
      <w:r>
        <w:t xml:space="preserve">Force number – 6821 </w:t>
      </w:r>
    </w:p>
    <w:p w:rsidR="00526C43" w:rsidRDefault="009E2DDA" w:rsidP="009E2DDA">
      <w:pPr>
        <w:jc w:val="center"/>
      </w:pPr>
      <w:r>
        <w:t>Brandon Conlon</w:t>
      </w:r>
    </w:p>
    <w:p w:rsidR="009E2DDA" w:rsidRDefault="009E2DDA" w:rsidP="009E2DDA">
      <w:pPr>
        <w:jc w:val="center"/>
      </w:pPr>
      <w:r>
        <w:t>Cohort - 1.21</w:t>
      </w:r>
    </w:p>
    <w:p w:rsidR="009E2DDA" w:rsidRDefault="009E2DDA" w:rsidP="009E2DDA">
      <w:pPr>
        <w:jc w:val="center"/>
      </w:pPr>
      <w:r>
        <w:t>Exam 2 Answer Sheet</w:t>
      </w:r>
    </w:p>
    <w:p w:rsidR="009E2DDA" w:rsidRDefault="007F5E1D" w:rsidP="009E2DDA">
      <w:pPr>
        <w:pStyle w:val="ListParagraph"/>
        <w:numPr>
          <w:ilvl w:val="0"/>
          <w:numId w:val="3"/>
        </w:numPr>
      </w:pPr>
      <w:r>
        <w:t>Section 163 of the road traffic act gives a police constable the power to stop any vehicle as long as they are in uniform.</w:t>
      </w:r>
      <w:r w:rsidR="00465F94">
        <w:t xml:space="preserve"> Section 164 provides the constable with the power to request a driver’s license while section 165 provides the constable with the power to request the name, address and proof of insurance of the driver.</w:t>
      </w:r>
    </w:p>
    <w:p w:rsidR="009E2DDA" w:rsidRDefault="007F5E1D" w:rsidP="009E2DDA">
      <w:pPr>
        <w:pStyle w:val="ListParagraph"/>
        <w:numPr>
          <w:ilvl w:val="0"/>
          <w:numId w:val="3"/>
        </w:numPr>
      </w:pPr>
      <w:r>
        <w:t>Section 6 (4) of the road traffic act involves the requirement for somebody to take a preliminary test if they have committed an offence whilst their vehicle was in motion and they were in control of it.</w:t>
      </w:r>
      <w:r w:rsidR="00465F94">
        <w:t xml:space="preserve"> This power provides the power to request a preliminary test as an offence has been committed to determine if this was because the driver was unfit to drive through drink or drugs.</w:t>
      </w:r>
    </w:p>
    <w:p w:rsidR="009E2DDA" w:rsidRDefault="007F5E1D" w:rsidP="009E2DDA">
      <w:pPr>
        <w:pStyle w:val="ListParagraph"/>
        <w:numPr>
          <w:ilvl w:val="0"/>
          <w:numId w:val="3"/>
        </w:numPr>
      </w:pPr>
      <w:r>
        <w:t>A person who drives a mechanically propelled vehicle on a road or public place without due care and attention or reasonable consideration for any other persons using the road or place is guilty of an offence.</w:t>
      </w:r>
    </w:p>
    <w:p w:rsidR="009E2DDA" w:rsidRDefault="007F5E1D" w:rsidP="009E2DDA">
      <w:pPr>
        <w:pStyle w:val="ListParagraph"/>
        <w:numPr>
          <w:ilvl w:val="0"/>
          <w:numId w:val="3"/>
        </w:numPr>
      </w:pPr>
      <w:r>
        <w:t>Duress</w:t>
      </w:r>
      <w:r w:rsidR="00465F94">
        <w:t>, medical</w:t>
      </w:r>
      <w:r>
        <w:t xml:space="preserve"> episode i.e. stroke, medical/family emergency, unconsciousness</w:t>
      </w:r>
      <w:r w:rsidR="00465F94">
        <w:t>, anxiety or depression, stress.</w:t>
      </w:r>
    </w:p>
    <w:p w:rsidR="009E2DDA" w:rsidRDefault="007F5E1D" w:rsidP="009E2DDA">
      <w:pPr>
        <w:pStyle w:val="ListParagraph"/>
        <w:numPr>
          <w:ilvl w:val="0"/>
          <w:numId w:val="3"/>
        </w:numPr>
      </w:pPr>
      <w:r>
        <w:t>Section 165a involves the power to seize any vehicle if it has been involved in a serious collision where you believe that the driver was driving without due care and attention or reasonable consideration or that they were driving whilst unfit through drink or drugs. You also have the power to request proof of insurance, the name and address of any drivers.</w:t>
      </w:r>
      <w:r w:rsidR="00465F94">
        <w:t xml:space="preserve"> It could be necessary if an offence has already been committed or you reasonably believe that doing so would prevent any further offences from being committed.</w:t>
      </w:r>
    </w:p>
    <w:p w:rsidR="009E2DDA" w:rsidRDefault="007F5E1D" w:rsidP="009E2DDA">
      <w:pPr>
        <w:pStyle w:val="ListParagraph"/>
        <w:numPr>
          <w:ilvl w:val="0"/>
          <w:numId w:val="3"/>
        </w:numPr>
      </w:pPr>
      <w:r>
        <w:t xml:space="preserve">A reportable road traffic collision is one that either causes physical harm to a person or causes damage to property where someone not involved in the collision may need to be notified. </w:t>
      </w:r>
      <w:r w:rsidR="003D1337">
        <w:t>If the collision is obstructing traffic then this will also need to be reported.</w:t>
      </w:r>
    </w:p>
    <w:p w:rsidR="009E2DDA" w:rsidRDefault="007F5E1D" w:rsidP="009E2DDA">
      <w:pPr>
        <w:pStyle w:val="ListParagraph"/>
        <w:numPr>
          <w:ilvl w:val="0"/>
          <w:numId w:val="3"/>
        </w:numPr>
      </w:pPr>
      <w:r>
        <w:t xml:space="preserve">A road is any highway, street or bridge that enables the access of a mechanically propelled vehicle to be driven on. A public place is anywhere that the public has access to. A mechanically propelled vehicle is any vehicle that is designed to be used on a road. An animal is </w:t>
      </w:r>
      <w:r w:rsidR="00793FEF">
        <w:t>a living being that is not a person and can habit either in the wild or at a dwelling.</w:t>
      </w:r>
      <w:r w:rsidR="00465F94">
        <w:t xml:space="preserve"> An animal within the RTA can be a dog, sheep, cattle, horse, goat, ass, mule or pig.</w:t>
      </w:r>
    </w:p>
    <w:p w:rsidR="009E2DDA" w:rsidRDefault="00793FEF" w:rsidP="009E2DDA">
      <w:pPr>
        <w:pStyle w:val="ListParagraph"/>
        <w:numPr>
          <w:ilvl w:val="0"/>
          <w:numId w:val="3"/>
        </w:numPr>
      </w:pPr>
      <w:r>
        <w:t>The driver has a responsibility to report the collision to a police officer or at a police station. The driver also has a responsibility to report the crash to their insurance providers and to seek medical attention if somebody is injured.</w:t>
      </w:r>
      <w:r w:rsidR="003D1337">
        <w:t xml:space="preserve"> The driver also has a responsibility if the collision is obstructing the flow of traffic or if a vehicle needs to be recovered.</w:t>
      </w:r>
    </w:p>
    <w:p w:rsidR="009E2DDA" w:rsidRDefault="00793FEF" w:rsidP="009E2DDA">
      <w:pPr>
        <w:pStyle w:val="ListParagraph"/>
        <w:numPr>
          <w:ilvl w:val="0"/>
          <w:numId w:val="3"/>
        </w:numPr>
      </w:pPr>
      <w:r>
        <w:t>Section 6e of the RTA coincided with section 17 of pace where a constable has the power to enter a house to either make an arrest if the person has refused to provide a specimen of breath or to issue the test if there is reasonable grounds to believe that the person was driving on a road or public place whilst over the prescribed limit for alcohol or drugs.</w:t>
      </w:r>
    </w:p>
    <w:p w:rsidR="009E2DDA" w:rsidRDefault="00793FEF" w:rsidP="009E2DDA">
      <w:pPr>
        <w:pStyle w:val="ListParagraph"/>
        <w:numPr>
          <w:ilvl w:val="0"/>
          <w:numId w:val="3"/>
        </w:numPr>
      </w:pPr>
      <w:r>
        <w:t>A person who causes the death of another by driving a mechanically propelled vehicle dangerously on a road or public place is guilty of an offence.</w:t>
      </w:r>
    </w:p>
    <w:p w:rsidR="009E2DDA" w:rsidRDefault="00793FEF" w:rsidP="009E2DDA">
      <w:pPr>
        <w:pStyle w:val="ListParagraph"/>
        <w:numPr>
          <w:ilvl w:val="0"/>
          <w:numId w:val="3"/>
        </w:numPr>
      </w:pPr>
      <w:r>
        <w:t>The prescribed limit for breath is 35mg of alcohol in 100ml of blood. The prescribed limit for blood is 80mg of blood in 100ml of blood and 107mg of urine in 100ml of blood.</w:t>
      </w:r>
    </w:p>
    <w:p w:rsidR="009E2DDA" w:rsidRDefault="00793FEF" w:rsidP="009E2DDA">
      <w:pPr>
        <w:pStyle w:val="ListParagraph"/>
        <w:numPr>
          <w:ilvl w:val="0"/>
          <w:numId w:val="3"/>
        </w:numPr>
      </w:pPr>
      <w:r>
        <w:lastRenderedPageBreak/>
        <w:t>During a suspect interview a second jockey to the officer in charge could be present to ensure that the interview runs smoothly and to aid the lead officer in ensuring that they do not miss anything out. A solicitor for the suspect could be present and their job is to give legal advice to their cl</w:t>
      </w:r>
      <w:r w:rsidR="008F5AD6">
        <w:t xml:space="preserve">ient and to ensure that the interview is fair and coincides with PACE. An appropriate adult might be present if the suspect has difficulties with understanding questions and retaining information or if the person is a juvenile. Their role is to ensure the interview runs fairly and to facilitate communication between the officers and the suspect. A interpreter might be present if the suspect is not fluent in English and their job is to facilitate communication between the suspect and the officers. </w:t>
      </w:r>
    </w:p>
    <w:p w:rsidR="009E2DDA" w:rsidRDefault="008F5AD6" w:rsidP="009E2DDA">
      <w:pPr>
        <w:pStyle w:val="ListParagraph"/>
        <w:numPr>
          <w:ilvl w:val="0"/>
          <w:numId w:val="3"/>
        </w:numPr>
      </w:pPr>
      <w:r>
        <w:t>The national police interviewing model is PEACE and this stands for planning and preparation, engage and explain, account, challenge and confirm and evaluate. During the planning and preparation stage the suspect/victims needs must be taking into account and any protected characteristics identified. A line of questioning should be prepared with a focus placed on ADVOKATE and preparing any exhibits, ensuring that any appropriate adults, interpreters, solicitors are present. During the engage and explain stage, it is important to build a rapport with the person to help encourage communication and start developing a trusting relationship. Introduce yourself with your first name and offer the individual a drink (if appropriate) and once the recording has begun explain the process slowly while constantly making sure the person understands what is being said. During the account stage this is the chance for the victim/suspect to give their own account of what happened and is their chance to prove or disprove the offence. In this stage the person should not be interrupted to ensure that they do not miss anything out unless what they are talking about is not relevant. During the closure</w:t>
      </w:r>
      <w:r w:rsidR="00F62A9E">
        <w:t xml:space="preserve"> and challenge</w:t>
      </w:r>
      <w:r>
        <w:t xml:space="preserve"> stage, this is the chance to ensure that the individual has not left anything out and </w:t>
      </w:r>
      <w:r w:rsidR="00F62A9E">
        <w:t>challenge any inconsistencies in their account before explaining</w:t>
      </w:r>
      <w:r>
        <w:t xml:space="preserve"> what will happen next. During the evaluate stage, the informat</w:t>
      </w:r>
      <w:r w:rsidR="00F62A9E">
        <w:t>ion gained will be evaluated along with the interview itself to identify both positive and negative aspects of it to improve the process next time.</w:t>
      </w:r>
    </w:p>
    <w:p w:rsidR="00F62A9E" w:rsidRDefault="00F62A9E" w:rsidP="00F62A9E">
      <w:pPr>
        <w:pStyle w:val="ListParagraph"/>
        <w:numPr>
          <w:ilvl w:val="0"/>
          <w:numId w:val="3"/>
        </w:numPr>
      </w:pPr>
      <w:r>
        <w:t>Coercive control is when a person (A) controls the behaviour and life of another person (B) and this control has a serious effect on person (B). The two persons must be in a personal relationship and Person (A) either knows or ought to know that this control is having a serious effect on Person (B). This control must be on more than two occasions.</w:t>
      </w:r>
    </w:p>
    <w:p w:rsidR="009E2DDA" w:rsidRDefault="00F62A9E" w:rsidP="009E2DDA">
      <w:pPr>
        <w:pStyle w:val="ListParagraph"/>
        <w:numPr>
          <w:ilvl w:val="0"/>
          <w:numId w:val="3"/>
        </w:numPr>
      </w:pPr>
      <w:r>
        <w:t xml:space="preserve">This offence is important because often victims of coercive control suffer in silence while their relationships with friends and family might have been cut off. It is difficult to identify if an offence beforehand has not been committed and is also important because the victim is considered as a repeat victim while other vulnerable people such as children might be present in the home. </w:t>
      </w:r>
      <w:r w:rsidR="00A95E12">
        <w:t>The offence is also important as it stems from other offences such as domestic violence.</w:t>
      </w:r>
    </w:p>
    <w:p w:rsidR="009E2DDA" w:rsidRDefault="00F62A9E" w:rsidP="009E2DDA">
      <w:pPr>
        <w:pStyle w:val="ListParagraph"/>
        <w:numPr>
          <w:ilvl w:val="0"/>
          <w:numId w:val="3"/>
        </w:numPr>
      </w:pPr>
      <w:r>
        <w:t xml:space="preserve">If you believe that a child could suffer significant physical, neglect, sexual or emotional harm if left in the presence of a parent or responsible adult then a public protection order can be carried out to remove the child from the care of this adult and take them to a place of safety. If in hospital this ensures that the parent/adult cannot take the child home from hospital and </w:t>
      </w:r>
      <w:r w:rsidR="00F35A68">
        <w:t>places the responsibility of the child on a more appropriate adult.</w:t>
      </w:r>
    </w:p>
    <w:p w:rsidR="009E2DDA" w:rsidRDefault="00702A08" w:rsidP="009E2DDA">
      <w:pPr>
        <w:pStyle w:val="ListParagraph"/>
        <w:numPr>
          <w:ilvl w:val="0"/>
          <w:numId w:val="3"/>
        </w:numPr>
      </w:pPr>
      <w:r>
        <w:t>Child cruelty involves an adult over the age of 18 who has responsibility for a child either physically, emotionally, sexually or neglectfully treating the child. If the adult is not providing the child with basic human rights such as the right to eat and the right to education then child cruelty could be deemed to be prevalent.</w:t>
      </w:r>
      <w:r w:rsidR="003D1337">
        <w:t xml:space="preserve"> The neglectful treatment of the child from the adult is having a serious effect on the life of the child then child cruelty is prevalent.</w:t>
      </w:r>
    </w:p>
    <w:p w:rsidR="009E2DDA" w:rsidRDefault="00702A08" w:rsidP="009E2DDA">
      <w:pPr>
        <w:pStyle w:val="ListParagraph"/>
        <w:numPr>
          <w:ilvl w:val="0"/>
          <w:numId w:val="3"/>
        </w:numPr>
      </w:pPr>
      <w:r>
        <w:lastRenderedPageBreak/>
        <w:t xml:space="preserve">When dealing with cases of domestic abuse, the </w:t>
      </w:r>
      <w:r w:rsidR="00F35A68">
        <w:t>DASH model</w:t>
      </w:r>
      <w:r w:rsidR="00AF10ED">
        <w:t xml:space="preserve"> (domestic violence stalking and harassment)</w:t>
      </w:r>
      <w:r w:rsidR="008A266A">
        <w:t xml:space="preserve"> </w:t>
      </w:r>
      <w:r>
        <w:t xml:space="preserve">should be used. This model </w:t>
      </w:r>
      <w:r w:rsidR="00AF10ED">
        <w:t>is formed</w:t>
      </w:r>
      <w:r>
        <w:t xml:space="preserve"> of </w:t>
      </w:r>
      <w:r w:rsidR="008A266A">
        <w:t>29 questions</w:t>
      </w:r>
      <w:r>
        <w:t xml:space="preserve"> that should be asked by officers to victims of this and there are</w:t>
      </w:r>
      <w:r w:rsidR="008A266A">
        <w:t xml:space="preserve"> 18 high risk questions asked to victims of domestic abuse to establish a risk assessment and discover what action is needed and is most appropriate. PPN must be submitted for the victim here. </w:t>
      </w:r>
      <w:r w:rsidR="00AF10ED">
        <w:t>If a victim answers yes to the high risk questions then they should be considered as an extremely vulnerable victim and appropriate action should be taken immediately.</w:t>
      </w:r>
    </w:p>
    <w:p w:rsidR="009E2DDA" w:rsidRDefault="008A266A" w:rsidP="009E2DDA">
      <w:pPr>
        <w:pStyle w:val="ListParagraph"/>
        <w:numPr>
          <w:ilvl w:val="0"/>
          <w:numId w:val="3"/>
        </w:numPr>
      </w:pPr>
      <w:r>
        <w:t>The</w:t>
      </w:r>
      <w:r w:rsidR="00775399">
        <w:t xml:space="preserve"> submission of a public protection notification involves identifying the vulnerability of a person and puts measures in place to act as a protection for a vulnerable person. To meet the requirements for a PPN, the person must be considered vulnerable due to an offence committed against them for example, victims of domestic abuse. This process allows individuals to be identified not only within the police but also partner organisations such as the health service and social services to ensure that the needs of these people are met and they are treated with extra caution.</w:t>
      </w:r>
    </w:p>
    <w:p w:rsidR="009E2DDA" w:rsidRDefault="008A4996" w:rsidP="009E2DDA">
      <w:pPr>
        <w:pStyle w:val="ListParagraph"/>
        <w:numPr>
          <w:ilvl w:val="0"/>
          <w:numId w:val="3"/>
        </w:numPr>
      </w:pPr>
      <w:r>
        <w:t>A  DVPN (domestic violence protection notice) is an order that evicts the perpetrator of the violence from the home and makes any attempt to contact the victim in 48 hours of the notice being issued an offence. This process is often used to give the court time to issue a DVPO (domestic violence protection order) which extends this period for up to 28 days. This process is designed to give victims of domestic violence some breathing space in order for them to assess the decision they wish to make while also providing them with the opportunity to confide in friends or family for a safe place for refuge. The consent of the victim here is not necessary and the aim is to ensure the immediate protection of them from any further violence.</w:t>
      </w:r>
      <w:r w:rsidR="00887C1D">
        <w:t xml:space="preserve"> While the perpetrator cannot contact the victim, they are unable to control or influence their decision so this period ensures that the victim is making decisions on their own and gives the opportunity for partnership agencies to intervene and provide help and support for the vulnerable victim.</w:t>
      </w:r>
    </w:p>
    <w:p w:rsidR="009E2DDA" w:rsidRDefault="00775399" w:rsidP="009E2DDA">
      <w:pPr>
        <w:pStyle w:val="ListParagraph"/>
        <w:numPr>
          <w:ilvl w:val="0"/>
          <w:numId w:val="3"/>
        </w:numPr>
      </w:pPr>
      <w:r>
        <w:t xml:space="preserve">Child sexual exploitation involves an adult using their power to exploit a child in a sexual way. There are a variety of ways that this can be </w:t>
      </w:r>
      <w:r w:rsidR="00702A08">
        <w:t>achieved such as through a financial gain, gender, property, material items and work. For example, a teacher suggesting to a child that if they give sexual favours to them, then they might receive a better grade for their work.</w:t>
      </w:r>
      <w:r w:rsidR="00887C1D">
        <w:t xml:space="preserve"> This involves the exploitation of a child for their own personal gain, the person themselves does not have to engage in sexual activity with the child for this to occur but rather they could be selling their services to other people in order to make a financial gain. </w:t>
      </w:r>
      <w:r w:rsidR="00702A08">
        <w:t xml:space="preserve"> </w:t>
      </w:r>
    </w:p>
    <w:p w:rsidR="009E2DDA" w:rsidRDefault="00F35A68" w:rsidP="009E2DDA">
      <w:pPr>
        <w:pStyle w:val="ListParagraph"/>
        <w:numPr>
          <w:ilvl w:val="0"/>
          <w:numId w:val="3"/>
        </w:numPr>
      </w:pPr>
      <w:r>
        <w:t>If person (A) intentionally penetrates the anus, mouth or vagina of person (B) and person (B) does not consent and person (A) does not reasonably believe that person (B) gave consent then person (A) is guilty of this offence.</w:t>
      </w:r>
    </w:p>
    <w:p w:rsidR="009E2DDA" w:rsidRDefault="008A4996" w:rsidP="009E2DDA">
      <w:pPr>
        <w:pStyle w:val="ListParagraph"/>
        <w:numPr>
          <w:ilvl w:val="0"/>
          <w:numId w:val="3"/>
        </w:numPr>
      </w:pPr>
      <w:r>
        <w:t xml:space="preserve">The evidential presumptions prevalent within the sexual offences act involve the analysing of evidence to help formulate the conclusion around consent. Evidential presumptions are linked to consent and </w:t>
      </w:r>
      <w:r w:rsidR="00887C1D">
        <w:t>suggest that if the evidence provided was present at the time of the offence, then consent may or may not have been given. This is used in court to prove whe</w:t>
      </w:r>
      <w:r w:rsidR="003D1337">
        <w:t xml:space="preserve">ther consent was present or not and aids in </w:t>
      </w:r>
      <w:bookmarkStart w:id="0" w:name="_GoBack"/>
      <w:bookmarkEnd w:id="0"/>
      <w:r w:rsidR="003D1337">
        <w:t>proving or disproving accounts where it is one word against the other,</w:t>
      </w:r>
    </w:p>
    <w:p w:rsidR="009E2DDA" w:rsidRDefault="00F35A68" w:rsidP="009E2DDA">
      <w:pPr>
        <w:pStyle w:val="ListParagraph"/>
        <w:numPr>
          <w:ilvl w:val="0"/>
          <w:numId w:val="3"/>
        </w:numPr>
      </w:pPr>
      <w:r>
        <w:t xml:space="preserve">Section 18 </w:t>
      </w:r>
      <w:r w:rsidR="00887C1D">
        <w:t xml:space="preserve">(1) </w:t>
      </w:r>
      <w:r>
        <w:t xml:space="preserve">of PACE </w:t>
      </w:r>
      <w:r w:rsidR="00887C1D">
        <w:t>is the power to search any person after they have been arrested. The person is searched to ensure that they do not have any weapons or implements on them or any evidence on them. It is a requirement for every person that has been arrested to be searched prior to transportation to custody.</w:t>
      </w:r>
    </w:p>
    <w:p w:rsidR="009E2DDA" w:rsidRDefault="00887C1D" w:rsidP="009E2DDA">
      <w:pPr>
        <w:pStyle w:val="ListParagraph"/>
        <w:numPr>
          <w:ilvl w:val="0"/>
          <w:numId w:val="3"/>
        </w:numPr>
      </w:pPr>
      <w:r>
        <w:t xml:space="preserve">The power to seize any property found when a search power is lawfully executed is section 24 of PACE. A police officer can seize any item from someone who has been arrested if they </w:t>
      </w:r>
      <w:r>
        <w:lastRenderedPageBreak/>
        <w:t>suspect that it is of evidential value, can be used as an implement for an escape or could be used to cause physical harm to either the person themselves or anyone else.</w:t>
      </w:r>
    </w:p>
    <w:p w:rsidR="009E2DDA" w:rsidRDefault="009E2DDA"/>
    <w:p w:rsidR="009E2DDA" w:rsidRDefault="009E2DDA"/>
    <w:sectPr w:rsidR="009E2DDA" w:rsidSect="009E2DD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2DDA" w:rsidRDefault="009E2DDA" w:rsidP="009E2DDA">
      <w:pPr>
        <w:spacing w:after="0" w:line="240" w:lineRule="auto"/>
      </w:pPr>
      <w:r>
        <w:separator/>
      </w:r>
    </w:p>
  </w:endnote>
  <w:endnote w:type="continuationSeparator" w:id="0">
    <w:p w:rsidR="009E2DDA" w:rsidRDefault="009E2DDA" w:rsidP="009E2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ED" w:rsidRDefault="003D1337" w:rsidP="003D1337">
    <w:pPr>
      <w:pStyle w:val="Footer"/>
      <w:rPr>
        <w:color w:val="000000"/>
        <w:sz w:val="17"/>
      </w:rPr>
    </w:pPr>
    <w:bookmarkStart w:id="3" w:name="TITUS1FooterEvenPages"/>
    <w:r>
      <w:rPr>
        <w:color w:val="000000"/>
        <w:sz w:val="17"/>
      </w:rPr>
      <w:t> </w:t>
    </w:r>
  </w:p>
  <w:bookmarkEnd w:id="3"/>
  <w:p w:rsidR="00AF10ED" w:rsidRDefault="00AF10ED" w:rsidP="00AF10ED">
    <w:pPr>
      <w:pStyle w:val="Footer"/>
    </w:pPr>
  </w:p>
  <w:p w:rsidR="009E2DDA" w:rsidRDefault="009E2D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DDA" w:rsidRDefault="003D1337" w:rsidP="003D1337">
    <w:pPr>
      <w:pStyle w:val="Footer"/>
      <w:rPr>
        <w:color w:val="000000"/>
        <w:sz w:val="17"/>
      </w:rPr>
    </w:pPr>
    <w:bookmarkStart w:id="4" w:name="TITUS1FooterPrimary"/>
    <w:r>
      <w:rPr>
        <w:color w:val="000000"/>
        <w:sz w:val="17"/>
      </w:rPr>
      <w:t> </w:t>
    </w:r>
  </w:p>
  <w:bookmarkEnd w:id="4"/>
  <w:p w:rsidR="009E2DDA" w:rsidRDefault="009E2D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DDA" w:rsidRDefault="003D1337" w:rsidP="003D1337">
    <w:pPr>
      <w:pStyle w:val="Footer"/>
      <w:rPr>
        <w:color w:val="000000"/>
        <w:sz w:val="17"/>
      </w:rPr>
    </w:pPr>
    <w:bookmarkStart w:id="6" w:name="TITUS1FooterFirstPage"/>
    <w:r>
      <w:rPr>
        <w:color w:val="000000"/>
        <w:sz w:val="17"/>
      </w:rPr>
      <w:t> </w:t>
    </w:r>
  </w:p>
  <w:bookmarkEnd w:id="6"/>
  <w:p w:rsidR="009E2DDA" w:rsidRDefault="009E2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2DDA" w:rsidRDefault="009E2DDA" w:rsidP="009E2DDA">
      <w:pPr>
        <w:spacing w:after="0" w:line="240" w:lineRule="auto"/>
      </w:pPr>
      <w:r>
        <w:separator/>
      </w:r>
    </w:p>
  </w:footnote>
  <w:footnote w:type="continuationSeparator" w:id="0">
    <w:p w:rsidR="009E2DDA" w:rsidRDefault="009E2DDA" w:rsidP="009E2D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10ED" w:rsidRDefault="003D1337" w:rsidP="003D1337">
    <w:pPr>
      <w:pStyle w:val="Header"/>
      <w:rPr>
        <w:color w:val="000000"/>
        <w:sz w:val="17"/>
      </w:rPr>
    </w:pPr>
    <w:bookmarkStart w:id="1" w:name="TITUS1HeaderEvenPages"/>
    <w:r>
      <w:rPr>
        <w:color w:val="000000"/>
        <w:sz w:val="17"/>
      </w:rPr>
      <w:t> </w:t>
    </w:r>
  </w:p>
  <w:bookmarkEnd w:id="1"/>
  <w:p w:rsidR="00AF10ED" w:rsidRDefault="00AF10ED" w:rsidP="00AF10ED">
    <w:pPr>
      <w:pStyle w:val="Header"/>
    </w:pPr>
  </w:p>
  <w:p w:rsidR="009E2DDA" w:rsidRDefault="009E2D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DDA" w:rsidRDefault="003D1337" w:rsidP="003D1337">
    <w:pPr>
      <w:pStyle w:val="Header"/>
      <w:rPr>
        <w:color w:val="000000"/>
        <w:sz w:val="17"/>
      </w:rPr>
    </w:pPr>
    <w:bookmarkStart w:id="2" w:name="TITUS1HeaderPrimary"/>
    <w:r>
      <w:rPr>
        <w:color w:val="000000"/>
        <w:sz w:val="17"/>
      </w:rPr>
      <w:t> </w:t>
    </w:r>
  </w:p>
  <w:bookmarkEnd w:id="2"/>
  <w:p w:rsidR="009E2DDA" w:rsidRDefault="009E2D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E2DDA" w:rsidRDefault="003D1337" w:rsidP="003D1337">
    <w:pPr>
      <w:pStyle w:val="Header"/>
      <w:rPr>
        <w:color w:val="000000"/>
        <w:sz w:val="17"/>
      </w:rPr>
    </w:pPr>
    <w:bookmarkStart w:id="5" w:name="TITUS1HeaderFirstPage"/>
    <w:r>
      <w:rPr>
        <w:color w:val="000000"/>
        <w:sz w:val="17"/>
      </w:rPr>
      <w:t> </w:t>
    </w:r>
  </w:p>
  <w:bookmarkEnd w:id="5"/>
  <w:p w:rsidR="009E2DDA" w:rsidRDefault="009E2D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832E4A"/>
    <w:multiLevelType w:val="hybridMultilevel"/>
    <w:tmpl w:val="EE749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2F0331"/>
    <w:multiLevelType w:val="hybridMultilevel"/>
    <w:tmpl w:val="4D10F7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0342A8"/>
    <w:multiLevelType w:val="hybridMultilevel"/>
    <w:tmpl w:val="D084E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DDA"/>
    <w:rsid w:val="003D1337"/>
    <w:rsid w:val="00465F94"/>
    <w:rsid w:val="00526C43"/>
    <w:rsid w:val="00702A08"/>
    <w:rsid w:val="00775399"/>
    <w:rsid w:val="00793FEF"/>
    <w:rsid w:val="007F5E1D"/>
    <w:rsid w:val="00887C1D"/>
    <w:rsid w:val="008A266A"/>
    <w:rsid w:val="008A4996"/>
    <w:rsid w:val="008F5AD6"/>
    <w:rsid w:val="009E2DDA"/>
    <w:rsid w:val="00A95E12"/>
    <w:rsid w:val="00AF10ED"/>
    <w:rsid w:val="00F35A68"/>
    <w:rsid w:val="00F62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30D45"/>
  <w15:chartTrackingRefBased/>
  <w15:docId w15:val="{D0E24765-359C-4724-8A7E-041CEC196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DDA"/>
    <w:pPr>
      <w:ind w:left="720"/>
      <w:contextualSpacing/>
    </w:pPr>
  </w:style>
  <w:style w:type="paragraph" w:styleId="Header">
    <w:name w:val="header"/>
    <w:basedOn w:val="Normal"/>
    <w:link w:val="HeaderChar"/>
    <w:uiPriority w:val="99"/>
    <w:unhideWhenUsed/>
    <w:rsid w:val="009E2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DDA"/>
  </w:style>
  <w:style w:type="paragraph" w:styleId="Footer">
    <w:name w:val="footer"/>
    <w:basedOn w:val="Normal"/>
    <w:link w:val="FooterChar"/>
    <w:uiPriority w:val="99"/>
    <w:unhideWhenUsed/>
    <w:rsid w:val="009E2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DDA"/>
  </w:style>
  <w:style w:type="character" w:styleId="CommentReference">
    <w:name w:val="annotation reference"/>
    <w:basedOn w:val="DefaultParagraphFont"/>
    <w:uiPriority w:val="99"/>
    <w:semiHidden/>
    <w:unhideWhenUsed/>
    <w:rsid w:val="003D1337"/>
    <w:rPr>
      <w:sz w:val="16"/>
      <w:szCs w:val="16"/>
    </w:rPr>
  </w:style>
  <w:style w:type="paragraph" w:styleId="CommentText">
    <w:name w:val="annotation text"/>
    <w:basedOn w:val="Normal"/>
    <w:link w:val="CommentTextChar"/>
    <w:uiPriority w:val="99"/>
    <w:semiHidden/>
    <w:unhideWhenUsed/>
    <w:rsid w:val="003D1337"/>
    <w:pPr>
      <w:spacing w:line="240" w:lineRule="auto"/>
    </w:pPr>
    <w:rPr>
      <w:sz w:val="20"/>
      <w:szCs w:val="20"/>
    </w:rPr>
  </w:style>
  <w:style w:type="character" w:customStyle="1" w:styleId="CommentTextChar">
    <w:name w:val="Comment Text Char"/>
    <w:basedOn w:val="DefaultParagraphFont"/>
    <w:link w:val="CommentText"/>
    <w:uiPriority w:val="99"/>
    <w:semiHidden/>
    <w:rsid w:val="003D1337"/>
    <w:rPr>
      <w:sz w:val="20"/>
      <w:szCs w:val="20"/>
    </w:rPr>
  </w:style>
  <w:style w:type="paragraph" w:styleId="CommentSubject">
    <w:name w:val="annotation subject"/>
    <w:basedOn w:val="CommentText"/>
    <w:next w:val="CommentText"/>
    <w:link w:val="CommentSubjectChar"/>
    <w:uiPriority w:val="99"/>
    <w:semiHidden/>
    <w:unhideWhenUsed/>
    <w:rsid w:val="003D1337"/>
    <w:rPr>
      <w:b/>
      <w:bCs/>
    </w:rPr>
  </w:style>
  <w:style w:type="character" w:customStyle="1" w:styleId="CommentSubjectChar">
    <w:name w:val="Comment Subject Char"/>
    <w:basedOn w:val="CommentTextChar"/>
    <w:link w:val="CommentSubject"/>
    <w:uiPriority w:val="99"/>
    <w:semiHidden/>
    <w:rsid w:val="003D1337"/>
    <w:rPr>
      <w:b/>
      <w:bCs/>
      <w:sz w:val="20"/>
      <w:szCs w:val="20"/>
    </w:rPr>
  </w:style>
  <w:style w:type="paragraph" w:styleId="BalloonText">
    <w:name w:val="Balloon Text"/>
    <w:basedOn w:val="Normal"/>
    <w:link w:val="BalloonTextChar"/>
    <w:uiPriority w:val="99"/>
    <w:semiHidden/>
    <w:unhideWhenUsed/>
    <w:rsid w:val="003D13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133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4</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Conlon,Brandon swp6821</dc:creator>
  <cp:keywords/>
  <dc:description/>
  <cp:lastModifiedBy>Conlon,Brandon swp6821</cp:lastModifiedBy>
  <cp:revision>4</cp:revision>
  <dcterms:created xsi:type="dcterms:W3CDTF">2021-06-01T06:52:00Z</dcterms:created>
  <dcterms:modified xsi:type="dcterms:W3CDTF">2021-06-01T10:04:00Z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b4343871-4d3c-4569-b06d-ff38512fcedd</vt:lpwstr>
  </property>
  <property fmtid="{D5CDD505-2E9C-101B-9397-08002B2CF9AE}" pid="3" name="Classification">
    <vt:lpwstr>OFFICIAL</vt:lpwstr>
  </property>
  <property fmtid="{D5CDD505-2E9C-101B-9397-08002B2CF9AE}" pid="4" name="Visibility">
    <vt:lpwstr>NOT VISIBLE</vt:lpwstr>
  </property>
</Properties>
</file>