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97D52" w14:textId="51306080" w:rsidR="005E71F4" w:rsidRDefault="0098410C">
      <w:r>
        <w:t xml:space="preserve">The Tyranny of King Xerxes in the Book of Esther: Chapter </w:t>
      </w:r>
      <w:r w:rsidR="00702D68">
        <w:t>One</w:t>
      </w:r>
    </w:p>
    <w:p w14:paraId="78499F33" w14:textId="77777777" w:rsidR="00786A31" w:rsidRDefault="00786A31"/>
    <w:p w14:paraId="537BDC63" w14:textId="788DBF56" w:rsidR="00786A31" w:rsidRDefault="00786A31">
      <w:r>
        <w:t>When confronted with the book of Esther, it is very often viewed as a story of empowerment, and whilst this is true, it is equally, if not more so, a book that is full of oppression and subjugation</w:t>
      </w:r>
      <w:r>
        <w:t xml:space="preserve">, </w:t>
      </w:r>
      <w:r w:rsidRPr="00EE3617">
        <w:t>from the hands of tyrannical leadership</w:t>
      </w:r>
      <w:r w:rsidRPr="00EE3617">
        <w:t xml:space="preserve">. </w:t>
      </w:r>
      <w:r w:rsidRPr="00EE3617">
        <w:t>One of</w:t>
      </w:r>
      <w:r>
        <w:rPr>
          <w:b/>
          <w:bCs/>
        </w:rPr>
        <w:t xml:space="preserve"> </w:t>
      </w:r>
      <w:r>
        <w:t xml:space="preserve">the primary oppressors in this story is King Xerxes, who </w:t>
      </w:r>
      <w:r w:rsidRPr="00EE3617">
        <w:t>is often overshadowed by Haman</w:t>
      </w:r>
      <w:r w:rsidR="00762B21" w:rsidRPr="00EE3617">
        <w:t>,</w:t>
      </w:r>
      <w:r w:rsidRPr="00EE3617">
        <w:t xml:space="preserve"> the </w:t>
      </w:r>
      <w:r w:rsidR="00702D68" w:rsidRPr="00EE3617">
        <w:t>antagonist</w:t>
      </w:r>
      <w:r w:rsidRPr="00EE3617">
        <w:t xml:space="preserve"> of the story</w:t>
      </w:r>
      <w:r w:rsidR="00762B21" w:rsidRPr="00EE3617">
        <w:t>,</w:t>
      </w:r>
      <w:r w:rsidRPr="00EE3617">
        <w:t xml:space="preserve"> </w:t>
      </w:r>
      <w:r w:rsidR="00762B21" w:rsidRPr="00EE3617">
        <w:t>a</w:t>
      </w:r>
      <w:r w:rsidRPr="00EE3617">
        <w:t xml:space="preserve">nd while it is true that Haman was the </w:t>
      </w:r>
      <w:r w:rsidR="00702D68" w:rsidRPr="00EE3617">
        <w:t>antagonist</w:t>
      </w:r>
      <w:r w:rsidRPr="00EE3617">
        <w:t>, King Xerxes himself</w:t>
      </w:r>
      <w:r>
        <w:t xml:space="preserve"> was certainly not innocent.</w:t>
      </w:r>
    </w:p>
    <w:p w14:paraId="195C0607" w14:textId="77777777" w:rsidR="00E168AC" w:rsidRPr="003152F7" w:rsidRDefault="00786A31">
      <w:r>
        <w:t xml:space="preserve">If we take a look at the definition of a tyrant and the characteristics of one, we see many alignments </w:t>
      </w:r>
      <w:r w:rsidR="00762B21">
        <w:t>between those and</w:t>
      </w:r>
      <w:r>
        <w:t xml:space="preserve"> the characteristics King Xerxes. These include, </w:t>
      </w:r>
      <w:r w:rsidRPr="003152F7">
        <w:t>but are not limited to greed for power and influence, public displays of power</w:t>
      </w:r>
      <w:r w:rsidR="00845E42" w:rsidRPr="003152F7">
        <w:t>, pretence of benevolence, power over bodies and bodily autonomy, unpredictable mood swings, fragile ego and the act of making others complicit.</w:t>
      </w:r>
      <w:r w:rsidR="00EE3617" w:rsidRPr="003152F7">
        <w:rPr>
          <w:rStyle w:val="FootnoteReference"/>
        </w:rPr>
        <w:footnoteReference w:id="1"/>
      </w:r>
      <w:r w:rsidR="00C11BAB" w:rsidRPr="003152F7">
        <w:t xml:space="preserve"> The first example that we are able to view in the text is found in chapter 1, verses 3-5 which says: </w:t>
      </w:r>
    </w:p>
    <w:p w14:paraId="50E6FD33" w14:textId="1A78210D" w:rsidR="00E168AC" w:rsidRDefault="00C11BAB" w:rsidP="00B25E94">
      <w:pPr>
        <w:ind w:left="720"/>
        <w:rPr>
          <w:b/>
          <w:bCs/>
        </w:rPr>
      </w:pPr>
      <w:r w:rsidRPr="003152F7">
        <w:t xml:space="preserve">In the third year of his reign, he gave a banquet for all his nobles and officials. He invited all the military officers of Persia and Media as well as the princes and nobles of the provinces. The celebration lasted 180 days- a tremendous display of the opulent wealth of his empire and the pomp and </w:t>
      </w:r>
      <w:proofErr w:type="spellStart"/>
      <w:r w:rsidRPr="003152F7">
        <w:t>splendor</w:t>
      </w:r>
      <w:proofErr w:type="spellEnd"/>
      <w:r w:rsidRPr="003152F7">
        <w:t xml:space="preserve"> of his majesty. When it was all over, the king gave a banquet for all the people, from the greatest to least, who were in the fortress of Susa. It lasted for seven days and was held in the courtyard of the palace garden.</w:t>
      </w:r>
      <w:r w:rsidR="00B25E94" w:rsidRPr="003152F7">
        <w:rPr>
          <w:rStyle w:val="FootnoteReference"/>
        </w:rPr>
        <w:footnoteReference w:id="2"/>
      </w:r>
      <w:r w:rsidR="00845E42">
        <w:rPr>
          <w:b/>
          <w:bCs/>
        </w:rPr>
        <w:t xml:space="preserve"> </w:t>
      </w:r>
    </w:p>
    <w:p w14:paraId="7822D6B5" w14:textId="101FEC5E" w:rsidR="006A77CE" w:rsidRPr="003152F7" w:rsidRDefault="00AD602C">
      <w:r>
        <w:t>It was through this great display of his wealth that he was able to reaffirm and exert his power, his dominance over the people</w:t>
      </w:r>
      <w:r w:rsidRPr="003152F7">
        <w:t>. Because after all, in a time like this</w:t>
      </w:r>
      <w:r w:rsidR="00762B21" w:rsidRPr="003152F7">
        <w:t>,</w:t>
      </w:r>
      <w:r w:rsidRPr="003152F7">
        <w:t xml:space="preserve"> money equated to power, which it continues to, to this day. </w:t>
      </w:r>
      <w:r w:rsidR="0059741A" w:rsidRPr="003152F7">
        <w:t>Tyrants give, in order to gain loyalty, in order to establish a debt</w:t>
      </w:r>
      <w:r w:rsidR="004B6267" w:rsidRPr="003152F7">
        <w:rPr>
          <w:rStyle w:val="FootnoteReference"/>
        </w:rPr>
        <w:footnoteReference w:id="3"/>
      </w:r>
      <w:r w:rsidR="0059741A" w:rsidRPr="003152F7">
        <w:t>. They give in order to receive. Because it is not generosity, it is m</w:t>
      </w:r>
      <w:r w:rsidR="006A77CE" w:rsidRPr="003152F7">
        <w:t>erely a pretence of generosity</w:t>
      </w:r>
      <w:r w:rsidR="0059741A" w:rsidRPr="003152F7">
        <w:t>.</w:t>
      </w:r>
      <w:r w:rsidR="006A77CE" w:rsidRPr="003152F7">
        <w:t xml:space="preserve"> It is manipulation.</w:t>
      </w:r>
      <w:r w:rsidR="0059741A" w:rsidRPr="003152F7">
        <w:t xml:space="preserve"> And it’s such “generosity” that </w:t>
      </w:r>
      <w:r w:rsidR="00762B21" w:rsidRPr="003152F7">
        <w:t xml:space="preserve">would allow King Xerxes </w:t>
      </w:r>
      <w:r w:rsidR="0059741A" w:rsidRPr="003152F7">
        <w:t xml:space="preserve">to hold something over </w:t>
      </w:r>
      <w:r w:rsidR="00762B21" w:rsidRPr="003152F7">
        <w:t>his</w:t>
      </w:r>
      <w:r w:rsidR="0059741A" w:rsidRPr="003152F7">
        <w:t xml:space="preserve"> </w:t>
      </w:r>
      <w:r w:rsidR="00762B21" w:rsidRPr="003152F7">
        <w:t>people’s</w:t>
      </w:r>
      <w:r w:rsidR="0059741A" w:rsidRPr="003152F7">
        <w:t xml:space="preserve"> head</w:t>
      </w:r>
      <w:r w:rsidR="00762B21" w:rsidRPr="003152F7">
        <w:t>s</w:t>
      </w:r>
      <w:r w:rsidR="007015EA" w:rsidRPr="003152F7">
        <w:t xml:space="preserve"> when </w:t>
      </w:r>
      <w:r w:rsidR="00762B21" w:rsidRPr="003152F7">
        <w:t>he did</w:t>
      </w:r>
      <w:r w:rsidR="007015EA" w:rsidRPr="003152F7">
        <w:t xml:space="preserve"> wrong.</w:t>
      </w:r>
      <w:r w:rsidR="006A77CE" w:rsidRPr="003152F7">
        <w:t xml:space="preserve"> </w:t>
      </w:r>
      <w:r w:rsidR="00702D68" w:rsidRPr="003152F7">
        <w:t xml:space="preserve">To quote Dr Rev Helen Paynter </w:t>
      </w:r>
      <w:r w:rsidR="004B6267" w:rsidRPr="003152F7">
        <w:t>‘</w:t>
      </w:r>
      <w:r w:rsidR="00702D68" w:rsidRPr="003152F7">
        <w:t>a tyrant takes by the bucket-full and gives back in thimbles</w:t>
      </w:r>
      <w:r w:rsidR="004B6267" w:rsidRPr="003152F7">
        <w:t>’</w:t>
      </w:r>
      <w:r w:rsidR="00702D68" w:rsidRPr="003152F7">
        <w:t>.</w:t>
      </w:r>
      <w:r w:rsidR="004B6267" w:rsidRPr="003152F7">
        <w:rPr>
          <w:rStyle w:val="FootnoteReference"/>
        </w:rPr>
        <w:footnoteReference w:id="4"/>
      </w:r>
    </w:p>
    <w:p w14:paraId="4B8D57DA" w14:textId="562953BB" w:rsidR="002C67D9" w:rsidRPr="003152F7" w:rsidRDefault="006A77CE">
      <w:r w:rsidRPr="003152F7">
        <w:t xml:space="preserve">Throughout the book of </w:t>
      </w:r>
      <w:r w:rsidR="00714B34" w:rsidRPr="003152F7">
        <w:t>Esther,</w:t>
      </w:r>
      <w:r w:rsidRPr="003152F7">
        <w:t xml:space="preserve"> we are able to see that King Xerxes’ primary motivation is power and </w:t>
      </w:r>
      <w:r w:rsidR="00714B34" w:rsidRPr="003152F7">
        <w:t>lording</w:t>
      </w:r>
      <w:r w:rsidRPr="003152F7">
        <w:t xml:space="preserve"> that over his people’s heads.</w:t>
      </w:r>
      <w:r w:rsidR="00774CFC" w:rsidRPr="003152F7">
        <w:t xml:space="preserve"> Only a little further in the chapter are we able to see another example of this, with plenty to be unpacked.</w:t>
      </w:r>
      <w:r w:rsidR="00F4117E" w:rsidRPr="003152F7">
        <w:t xml:space="preserve"> The King commands his eunuchs to bring his wife</w:t>
      </w:r>
      <w:r w:rsidR="002C67D9" w:rsidRPr="003152F7">
        <w:t xml:space="preserve"> </w:t>
      </w:r>
      <w:r w:rsidR="00F4117E" w:rsidRPr="003152F7">
        <w:t xml:space="preserve">Queen Vashti </w:t>
      </w:r>
      <w:r w:rsidR="002C67D9" w:rsidRPr="003152F7">
        <w:t>(</w:t>
      </w:r>
      <w:r w:rsidR="002C67D9" w:rsidRPr="003152F7">
        <w:t xml:space="preserve">implicating his eunuchs), </w:t>
      </w:r>
      <w:r w:rsidR="00F4117E" w:rsidRPr="003152F7">
        <w:t>to him and his nobles, “with the royal crown on her head”</w:t>
      </w:r>
      <w:r w:rsidR="00490404" w:rsidRPr="003152F7">
        <w:rPr>
          <w:rStyle w:val="FootnoteReference"/>
        </w:rPr>
        <w:footnoteReference w:id="5"/>
      </w:r>
      <w:r w:rsidR="00F4117E" w:rsidRPr="003152F7">
        <w:t>.</w:t>
      </w:r>
      <w:r w:rsidR="00774CFC" w:rsidRPr="003152F7">
        <w:t xml:space="preserve"> </w:t>
      </w:r>
      <w:r w:rsidR="00F4117E" w:rsidRPr="003152F7">
        <w:t xml:space="preserve">It is possible to infer that when the King requested Vashti’s presence, he wished for her to only wear the crown and nothing more, stripping her clothes and dignity away from her. </w:t>
      </w:r>
      <w:r w:rsidR="00F4117E" w:rsidRPr="003152F7">
        <w:t>Whether this was the case or not, he was t</w:t>
      </w:r>
      <w:r w:rsidR="00F4117E" w:rsidRPr="003152F7">
        <w:t>reating her as an object to be shown off and not a human being he respected</w:t>
      </w:r>
      <w:r w:rsidR="002C67D9" w:rsidRPr="003152F7">
        <w:t>,</w:t>
      </w:r>
      <w:r w:rsidR="00F4117E" w:rsidRPr="003152F7">
        <w:t xml:space="preserve"> and when she chose to keep her dignity in refusing his command, he allowed his true colours to show</w:t>
      </w:r>
      <w:r w:rsidR="00F4117E" w:rsidRPr="003152F7">
        <w:t xml:space="preserve"> through an abrupt </w:t>
      </w:r>
      <w:r w:rsidR="00762B21" w:rsidRPr="003152F7">
        <w:t>change of moods</w:t>
      </w:r>
      <w:r w:rsidR="00702D68" w:rsidRPr="003152F7">
        <w:t xml:space="preserve">, despite </w:t>
      </w:r>
      <w:r w:rsidR="00F4117E" w:rsidRPr="003152F7">
        <w:t>having previously been “in high spirits because of the wine”.</w:t>
      </w:r>
      <w:r w:rsidR="003152F7" w:rsidRPr="003152F7">
        <w:rPr>
          <w:rStyle w:val="FootnoteReference"/>
        </w:rPr>
        <w:footnoteReference w:id="6"/>
      </w:r>
      <w:r w:rsidR="00F4117E" w:rsidRPr="003152F7">
        <w:t xml:space="preserve"> </w:t>
      </w:r>
    </w:p>
    <w:p w14:paraId="26C3727C" w14:textId="60D7BF90" w:rsidR="00774CFC" w:rsidRPr="003152F7" w:rsidRDefault="00F4117E">
      <w:r w:rsidRPr="003152F7">
        <w:t>This resul</w:t>
      </w:r>
      <w:r w:rsidR="00714B34" w:rsidRPr="003152F7">
        <w:t>t</w:t>
      </w:r>
      <w:r w:rsidR="002C67D9" w:rsidRPr="003152F7">
        <w:t>ed</w:t>
      </w:r>
      <w:r w:rsidR="00714B34" w:rsidRPr="003152F7">
        <w:t xml:space="preserve"> </w:t>
      </w:r>
      <w:r w:rsidRPr="003152F7">
        <w:t xml:space="preserve">in the deposition of Queen Vashti and the royal decree that was not allowed to be revoked, proclaiming that every man should be ‘the ruler in his own home and should say whatever </w:t>
      </w:r>
      <w:r w:rsidRPr="003152F7">
        <w:lastRenderedPageBreak/>
        <w:t>he pleases’</w:t>
      </w:r>
      <w:r w:rsidR="003152F7" w:rsidRPr="003152F7">
        <w:rPr>
          <w:rStyle w:val="FootnoteReference"/>
        </w:rPr>
        <w:footnoteReference w:id="7"/>
      </w:r>
      <w:r w:rsidRPr="003152F7">
        <w:t>.</w:t>
      </w:r>
      <w:r w:rsidR="00714B34" w:rsidRPr="003152F7">
        <w:t xml:space="preserve"> </w:t>
      </w:r>
      <w:r w:rsidR="008365F5" w:rsidRPr="003152F7">
        <w:t>However, this decree was not a lone choice or decision. The situation was consulted with his advisors, who were knowledgeable in all the law. These men were made complicit in his tyranny</w:t>
      </w:r>
      <w:r w:rsidR="00762B21" w:rsidRPr="003152F7">
        <w:t>, in addition to all the men who subjected their wives to this law.</w:t>
      </w:r>
      <w:r w:rsidR="008365F5" w:rsidRPr="003152F7">
        <w:t xml:space="preserve"> </w:t>
      </w:r>
      <w:r w:rsidR="00762B21" w:rsidRPr="003152F7">
        <w:t>It allowed oppression of women and even encouraged it. Him being the king</w:t>
      </w:r>
      <w:r w:rsidR="00702D68" w:rsidRPr="003152F7">
        <w:t xml:space="preserve">, </w:t>
      </w:r>
      <w:r w:rsidR="00762B21" w:rsidRPr="003152F7">
        <w:t>would</w:t>
      </w:r>
      <w:r w:rsidR="00702D68" w:rsidRPr="003152F7">
        <w:t xml:space="preserve"> allow the assumption to be made that</w:t>
      </w:r>
      <w:r w:rsidR="00762B21" w:rsidRPr="003152F7">
        <w:t xml:space="preserve"> he was correct about all things and was not to be questioned.</w:t>
      </w:r>
      <w:r w:rsidR="00702D68" w:rsidRPr="003152F7">
        <w:t xml:space="preserve"> </w:t>
      </w:r>
    </w:p>
    <w:p w14:paraId="56B24319" w14:textId="77777777" w:rsidR="008365F5" w:rsidRDefault="008365F5"/>
    <w:p w14:paraId="4475EBCE" w14:textId="77777777" w:rsidR="00EE3617" w:rsidRDefault="00EE3617"/>
    <w:p w14:paraId="387EB796" w14:textId="30113360" w:rsidR="003152F7" w:rsidRDefault="003152F7"/>
    <w:p w14:paraId="1EECAC6A" w14:textId="77777777" w:rsidR="003152F7" w:rsidRDefault="003152F7">
      <w:r>
        <w:br w:type="page"/>
      </w:r>
    </w:p>
    <w:p w14:paraId="3BC5D88B" w14:textId="6A2C8583" w:rsidR="00EE3617" w:rsidRDefault="003152F7">
      <w:r>
        <w:lastRenderedPageBreak/>
        <w:t>Bibliography:</w:t>
      </w:r>
    </w:p>
    <w:p w14:paraId="44D1A2FD" w14:textId="092C0D61" w:rsidR="003152F7" w:rsidRDefault="003152F7">
      <w:r>
        <w:t>Riverbank Women’s Conference 2024, held at University of Warwick, 31 May – 1 June, 2024, ed. by Helen Paynter and others (Salvation Army UKI, 2024)</w:t>
      </w:r>
    </w:p>
    <w:p w14:paraId="6C43B238" w14:textId="2378AF4A" w:rsidR="003152F7" w:rsidRDefault="003152F7">
      <w:r w:rsidRPr="003152F7">
        <w:rPr>
          <w:i/>
          <w:iCs/>
        </w:rPr>
        <w:t>Holy Bible</w:t>
      </w:r>
      <w:r>
        <w:t xml:space="preserve">, </w:t>
      </w:r>
      <w:r w:rsidRPr="003152F7">
        <w:rPr>
          <w:i/>
          <w:iCs/>
        </w:rPr>
        <w:t>New Living Translation</w:t>
      </w:r>
      <w:r>
        <w:t xml:space="preserve">, </w:t>
      </w:r>
      <w:proofErr w:type="gramStart"/>
      <w:r>
        <w:rPr>
          <w:i/>
          <w:iCs/>
        </w:rPr>
        <w:t xml:space="preserve">Esther </w:t>
      </w:r>
      <w:r>
        <w:t xml:space="preserve"> (</w:t>
      </w:r>
      <w:proofErr w:type="gramEnd"/>
      <w:r>
        <w:t xml:space="preserve">Tyndale House Publishers Inc. 2015) </w:t>
      </w:r>
    </w:p>
    <w:p w14:paraId="76413E3F" w14:textId="77777777" w:rsidR="00F4117E" w:rsidRDefault="00F4117E"/>
    <w:p w14:paraId="08B8D144" w14:textId="77777777" w:rsidR="00774CFC" w:rsidRDefault="00774CFC"/>
    <w:p w14:paraId="10893BB3" w14:textId="77777777" w:rsidR="00774CFC" w:rsidRDefault="00774CFC"/>
    <w:p w14:paraId="0AF444F2" w14:textId="4A690F60" w:rsidR="006A77CE" w:rsidRPr="007015EA" w:rsidRDefault="006A77CE"/>
    <w:sectPr w:rsidR="006A77CE" w:rsidRPr="007015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7F64C8" w14:textId="77777777" w:rsidR="00F86B12" w:rsidRDefault="00F86B12" w:rsidP="00EE3617">
      <w:pPr>
        <w:spacing w:after="0" w:line="240" w:lineRule="auto"/>
      </w:pPr>
      <w:r>
        <w:separator/>
      </w:r>
    </w:p>
  </w:endnote>
  <w:endnote w:type="continuationSeparator" w:id="0">
    <w:p w14:paraId="5AA5CAFC" w14:textId="77777777" w:rsidR="00F86B12" w:rsidRDefault="00F86B12" w:rsidP="00EE3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ECEB9" w14:textId="77777777" w:rsidR="00F86B12" w:rsidRDefault="00F86B12" w:rsidP="00EE3617">
      <w:pPr>
        <w:spacing w:after="0" w:line="240" w:lineRule="auto"/>
      </w:pPr>
      <w:r>
        <w:separator/>
      </w:r>
    </w:p>
  </w:footnote>
  <w:footnote w:type="continuationSeparator" w:id="0">
    <w:p w14:paraId="05DA459F" w14:textId="77777777" w:rsidR="00F86B12" w:rsidRDefault="00F86B12" w:rsidP="00EE3617">
      <w:pPr>
        <w:spacing w:after="0" w:line="240" w:lineRule="auto"/>
      </w:pPr>
      <w:r>
        <w:continuationSeparator/>
      </w:r>
    </w:p>
  </w:footnote>
  <w:footnote w:id="1">
    <w:p w14:paraId="004F3868" w14:textId="4FCA6DA9" w:rsidR="00EE3617" w:rsidRPr="00EE3617" w:rsidRDefault="00EE3617">
      <w:pPr>
        <w:pStyle w:val="FootnoteText"/>
        <w:rPr>
          <w:i/>
          <w:iCs/>
        </w:rPr>
      </w:pPr>
      <w:r>
        <w:rPr>
          <w:rStyle w:val="FootnoteReference"/>
        </w:rPr>
        <w:footnoteRef/>
      </w:r>
      <w:r>
        <w:t xml:space="preserve"> </w:t>
      </w:r>
      <w:r>
        <w:rPr>
          <w:i/>
          <w:iCs/>
        </w:rPr>
        <w:t>Riverbank Women’s Conference 2024, held at University of Warwick</w:t>
      </w:r>
      <w:r w:rsidR="00E168AC">
        <w:rPr>
          <w:i/>
          <w:iCs/>
        </w:rPr>
        <w:t xml:space="preserve">, 31 May – 2 June, ed. </w:t>
      </w:r>
      <w:r w:rsidR="00E168AC" w:rsidRPr="00E168AC">
        <w:t>by Helen Paynter</w:t>
      </w:r>
      <w:r w:rsidR="00E168AC">
        <w:rPr>
          <w:i/>
          <w:iCs/>
        </w:rPr>
        <w:t xml:space="preserve"> </w:t>
      </w:r>
      <w:r w:rsidR="00E168AC" w:rsidRPr="00E168AC">
        <w:t>and others</w:t>
      </w:r>
      <w:r w:rsidR="00E168AC">
        <w:t xml:space="preserve"> (Salvation Army UKI, 2024)</w:t>
      </w:r>
    </w:p>
  </w:footnote>
  <w:footnote w:id="2">
    <w:p w14:paraId="0D98B748" w14:textId="2E793D34" w:rsidR="00B25E94" w:rsidRPr="00B25E94" w:rsidRDefault="00B25E94">
      <w:pPr>
        <w:pStyle w:val="FootnoteText"/>
        <w:rPr>
          <w:i/>
          <w:iCs/>
        </w:rPr>
      </w:pPr>
      <w:r>
        <w:rPr>
          <w:rStyle w:val="FootnoteReference"/>
        </w:rPr>
        <w:footnoteRef/>
      </w:r>
      <w:r>
        <w:t xml:space="preserve"> </w:t>
      </w:r>
      <w:r>
        <w:rPr>
          <w:i/>
          <w:iCs/>
        </w:rPr>
        <w:t xml:space="preserve">Holy Bible, New Living Translation </w:t>
      </w:r>
      <w:r>
        <w:t>(T</w:t>
      </w:r>
      <w:r w:rsidRPr="00B25E94">
        <w:t>yndale House Publishers Inc</w:t>
      </w:r>
      <w:r>
        <w:t>.</w:t>
      </w:r>
      <w:r w:rsidR="004B6267">
        <w:t>,</w:t>
      </w:r>
      <w:r w:rsidRPr="00B25E94">
        <w:t xml:space="preserve"> 2015</w:t>
      </w:r>
      <w:r w:rsidR="004B6267">
        <w:t>) Esther 1.3-5)</w:t>
      </w:r>
    </w:p>
  </w:footnote>
  <w:footnote w:id="3">
    <w:p w14:paraId="7F944625" w14:textId="0B86B6D2" w:rsidR="004B6267" w:rsidRPr="004B6267" w:rsidRDefault="004B6267">
      <w:pPr>
        <w:pStyle w:val="FootnoteText"/>
        <w:rPr>
          <w:i/>
          <w:iCs/>
        </w:rPr>
      </w:pPr>
      <w:r>
        <w:rPr>
          <w:rStyle w:val="FootnoteReference"/>
        </w:rPr>
        <w:footnoteRef/>
      </w:r>
      <w:r>
        <w:t xml:space="preserve"> </w:t>
      </w:r>
      <w:r>
        <w:rPr>
          <w:i/>
          <w:iCs/>
        </w:rPr>
        <w:t>Riverbank Women’s Conference</w:t>
      </w:r>
    </w:p>
  </w:footnote>
  <w:footnote w:id="4">
    <w:p w14:paraId="6E69C855" w14:textId="513F921D" w:rsidR="004B6267" w:rsidRPr="004B6267" w:rsidRDefault="004B6267">
      <w:pPr>
        <w:pStyle w:val="FootnoteText"/>
        <w:rPr>
          <w:i/>
          <w:iCs/>
        </w:rPr>
      </w:pPr>
      <w:r>
        <w:rPr>
          <w:rStyle w:val="FootnoteReference"/>
        </w:rPr>
        <w:footnoteRef/>
      </w:r>
      <w:r>
        <w:t xml:space="preserve"> </w:t>
      </w:r>
      <w:r>
        <w:rPr>
          <w:i/>
          <w:iCs/>
        </w:rPr>
        <w:t>Riverbank Women’s Conference</w:t>
      </w:r>
    </w:p>
  </w:footnote>
  <w:footnote w:id="5">
    <w:p w14:paraId="65357DD2" w14:textId="2D0B63F8" w:rsidR="00490404" w:rsidRDefault="00490404">
      <w:pPr>
        <w:pStyle w:val="FootnoteText"/>
      </w:pPr>
      <w:r>
        <w:rPr>
          <w:rStyle w:val="FootnoteReference"/>
        </w:rPr>
        <w:footnoteRef/>
      </w:r>
      <w:r>
        <w:t xml:space="preserve"> </w:t>
      </w:r>
      <w:r w:rsidR="003152F7">
        <w:t>Esther 1.11</w:t>
      </w:r>
    </w:p>
  </w:footnote>
  <w:footnote w:id="6">
    <w:p w14:paraId="0A7E2173" w14:textId="56003400" w:rsidR="003152F7" w:rsidRDefault="003152F7">
      <w:pPr>
        <w:pStyle w:val="FootnoteText"/>
      </w:pPr>
      <w:r>
        <w:rPr>
          <w:rStyle w:val="FootnoteReference"/>
        </w:rPr>
        <w:footnoteRef/>
      </w:r>
      <w:r>
        <w:t xml:space="preserve"> Esther 1.10</w:t>
      </w:r>
    </w:p>
  </w:footnote>
  <w:footnote w:id="7">
    <w:p w14:paraId="4FDCCFCD" w14:textId="151D34C7" w:rsidR="003152F7" w:rsidRDefault="003152F7">
      <w:pPr>
        <w:pStyle w:val="FootnoteText"/>
      </w:pPr>
      <w:r>
        <w:rPr>
          <w:rStyle w:val="FootnoteReference"/>
        </w:rPr>
        <w:footnoteRef/>
      </w:r>
      <w:r>
        <w:t xml:space="preserve"> Esther 1.22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A31"/>
    <w:rsid w:val="00225A8A"/>
    <w:rsid w:val="002C67D9"/>
    <w:rsid w:val="003152F7"/>
    <w:rsid w:val="004518BB"/>
    <w:rsid w:val="00490404"/>
    <w:rsid w:val="004B6267"/>
    <w:rsid w:val="0059741A"/>
    <w:rsid w:val="005E71F4"/>
    <w:rsid w:val="006A77CE"/>
    <w:rsid w:val="007015EA"/>
    <w:rsid w:val="00702D68"/>
    <w:rsid w:val="00714B34"/>
    <w:rsid w:val="00762B21"/>
    <w:rsid w:val="00774CFC"/>
    <w:rsid w:val="00786A31"/>
    <w:rsid w:val="0083492B"/>
    <w:rsid w:val="008365F5"/>
    <w:rsid w:val="00845E42"/>
    <w:rsid w:val="0098410C"/>
    <w:rsid w:val="00984D6F"/>
    <w:rsid w:val="00AD602C"/>
    <w:rsid w:val="00B25E94"/>
    <w:rsid w:val="00C11BAB"/>
    <w:rsid w:val="00E05870"/>
    <w:rsid w:val="00E168AC"/>
    <w:rsid w:val="00EE3617"/>
    <w:rsid w:val="00F04DC9"/>
    <w:rsid w:val="00F4117E"/>
    <w:rsid w:val="00F86B12"/>
    <w:rsid w:val="00F92CC9"/>
    <w:rsid w:val="00FC2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EECED"/>
  <w15:chartTrackingRefBased/>
  <w15:docId w15:val="{7E0574BD-1A0F-44F1-8942-95A55062E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A3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86A3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6A3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6A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6A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6A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A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A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A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A3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86A3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6A3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6A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6A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6A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A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A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A31"/>
    <w:rPr>
      <w:rFonts w:eastAsiaTheme="majorEastAsia" w:cstheme="majorBidi"/>
      <w:color w:val="272727" w:themeColor="text1" w:themeTint="D8"/>
    </w:rPr>
  </w:style>
  <w:style w:type="paragraph" w:styleId="Title">
    <w:name w:val="Title"/>
    <w:basedOn w:val="Normal"/>
    <w:next w:val="Normal"/>
    <w:link w:val="TitleChar"/>
    <w:uiPriority w:val="10"/>
    <w:qFormat/>
    <w:rsid w:val="00786A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A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A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A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A31"/>
    <w:pPr>
      <w:spacing w:before="160"/>
      <w:jc w:val="center"/>
    </w:pPr>
    <w:rPr>
      <w:i/>
      <w:iCs/>
      <w:color w:val="404040" w:themeColor="text1" w:themeTint="BF"/>
    </w:rPr>
  </w:style>
  <w:style w:type="character" w:customStyle="1" w:styleId="QuoteChar">
    <w:name w:val="Quote Char"/>
    <w:basedOn w:val="DefaultParagraphFont"/>
    <w:link w:val="Quote"/>
    <w:uiPriority w:val="29"/>
    <w:rsid w:val="00786A31"/>
    <w:rPr>
      <w:i/>
      <w:iCs/>
      <w:color w:val="404040" w:themeColor="text1" w:themeTint="BF"/>
    </w:rPr>
  </w:style>
  <w:style w:type="paragraph" w:styleId="ListParagraph">
    <w:name w:val="List Paragraph"/>
    <w:basedOn w:val="Normal"/>
    <w:uiPriority w:val="34"/>
    <w:qFormat/>
    <w:rsid w:val="00786A31"/>
    <w:pPr>
      <w:ind w:left="720"/>
      <w:contextualSpacing/>
    </w:pPr>
  </w:style>
  <w:style w:type="character" w:styleId="IntenseEmphasis">
    <w:name w:val="Intense Emphasis"/>
    <w:basedOn w:val="DefaultParagraphFont"/>
    <w:uiPriority w:val="21"/>
    <w:qFormat/>
    <w:rsid w:val="00786A31"/>
    <w:rPr>
      <w:i/>
      <w:iCs/>
      <w:color w:val="2F5496" w:themeColor="accent1" w:themeShade="BF"/>
    </w:rPr>
  </w:style>
  <w:style w:type="paragraph" w:styleId="IntenseQuote">
    <w:name w:val="Intense Quote"/>
    <w:basedOn w:val="Normal"/>
    <w:next w:val="Normal"/>
    <w:link w:val="IntenseQuoteChar"/>
    <w:uiPriority w:val="30"/>
    <w:qFormat/>
    <w:rsid w:val="00786A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6A31"/>
    <w:rPr>
      <w:i/>
      <w:iCs/>
      <w:color w:val="2F5496" w:themeColor="accent1" w:themeShade="BF"/>
    </w:rPr>
  </w:style>
  <w:style w:type="character" w:styleId="IntenseReference">
    <w:name w:val="Intense Reference"/>
    <w:basedOn w:val="DefaultParagraphFont"/>
    <w:uiPriority w:val="32"/>
    <w:qFormat/>
    <w:rsid w:val="00786A31"/>
    <w:rPr>
      <w:b/>
      <w:bCs/>
      <w:smallCaps/>
      <w:color w:val="2F5496" w:themeColor="accent1" w:themeShade="BF"/>
      <w:spacing w:val="5"/>
    </w:rPr>
  </w:style>
  <w:style w:type="paragraph" w:styleId="FootnoteText">
    <w:name w:val="footnote text"/>
    <w:basedOn w:val="Normal"/>
    <w:link w:val="FootnoteTextChar"/>
    <w:uiPriority w:val="99"/>
    <w:semiHidden/>
    <w:unhideWhenUsed/>
    <w:rsid w:val="00EE36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3617"/>
    <w:rPr>
      <w:sz w:val="20"/>
      <w:szCs w:val="20"/>
    </w:rPr>
  </w:style>
  <w:style w:type="character" w:styleId="FootnoteReference">
    <w:name w:val="footnote reference"/>
    <w:basedOn w:val="DefaultParagraphFont"/>
    <w:uiPriority w:val="99"/>
    <w:semiHidden/>
    <w:unhideWhenUsed/>
    <w:rsid w:val="00EE3617"/>
    <w:rPr>
      <w:vertAlign w:val="superscript"/>
    </w:rPr>
  </w:style>
  <w:style w:type="paragraph" w:styleId="EndnoteText">
    <w:name w:val="endnote text"/>
    <w:basedOn w:val="Normal"/>
    <w:link w:val="EndnoteTextChar"/>
    <w:uiPriority w:val="99"/>
    <w:semiHidden/>
    <w:unhideWhenUsed/>
    <w:rsid w:val="00B25E9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25E94"/>
    <w:rPr>
      <w:sz w:val="20"/>
      <w:szCs w:val="20"/>
    </w:rPr>
  </w:style>
  <w:style w:type="character" w:styleId="EndnoteReference">
    <w:name w:val="endnote reference"/>
    <w:basedOn w:val="DefaultParagraphFont"/>
    <w:uiPriority w:val="99"/>
    <w:semiHidden/>
    <w:unhideWhenUsed/>
    <w:rsid w:val="00B25E9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FACED-CCEC-4B91-B2FA-9416B4454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594</Words>
  <Characters>3389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Stewart</dc:creator>
  <cp:keywords/>
  <dc:description/>
  <cp:lastModifiedBy>Hannah Stewart</cp:lastModifiedBy>
  <cp:revision>2</cp:revision>
  <dcterms:created xsi:type="dcterms:W3CDTF">2025-11-19T23:57:00Z</dcterms:created>
  <dcterms:modified xsi:type="dcterms:W3CDTF">2025-11-19T23:57:00Z</dcterms:modified>
</cp:coreProperties>
</file>