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15D3E942" w14:textId="70D4AD3D" w:rsidR="009F09D9" w:rsidRDefault="009F09D9" w:rsidP="00B50438">
      <w:pPr>
        <w:rPr>
          <w:noProof/>
        </w:rPr>
      </w:pPr>
    </w:p>
    <w:p w14:paraId="3420CD5E" w14:textId="77777777" w:rsidR="009F09D9" w:rsidRDefault="009F09D9" w:rsidP="00B50438">
      <w:pPr>
        <w:rPr>
          <w:noProof/>
        </w:rPr>
      </w:pPr>
    </w:p>
    <w:p w14:paraId="69736DC8" w14:textId="2D523D86" w:rsidR="009F09D9" w:rsidRDefault="009F09D9" w:rsidP="00B50438">
      <w:pPr>
        <w:rPr>
          <w:noProof/>
        </w:rPr>
      </w:pPr>
      <w:r>
        <w:rPr>
          <w:noProof/>
        </w:rPr>
        <w:drawing>
          <wp:anchor distT="0" distB="0" distL="114300" distR="114300" simplePos="0" relativeHeight="251659264" behindDoc="0" locked="0" layoutInCell="1" allowOverlap="1" wp14:anchorId="470EFD85" wp14:editId="2520A7DE">
            <wp:simplePos x="0" y="0"/>
            <wp:positionH relativeFrom="column">
              <wp:posOffset>304800</wp:posOffset>
            </wp:positionH>
            <wp:positionV relativeFrom="paragraph">
              <wp:posOffset>106680</wp:posOffset>
            </wp:positionV>
            <wp:extent cx="4752975" cy="1895475"/>
            <wp:effectExtent l="0" t="0" r="9525" b="0"/>
            <wp:wrapTopAndBottom/>
            <wp:docPr id="3" name="image1.png"/>
            <wp:cNvGraphicFramePr/>
            <a:graphic xmlns:a="http://schemas.openxmlformats.org/drawingml/2006/main">
              <a:graphicData uri="http://schemas.openxmlformats.org/drawingml/2006/picture">
                <pic:pic xmlns:pic="http://schemas.openxmlformats.org/drawingml/2006/picture">
                  <pic:nvPicPr>
                    <pic:cNvPr id="3" name="image1.png"/>
                    <pic:cNvPicPr/>
                  </pic:nvPicPr>
                  <pic:blipFill>
                    <a:blip r:embed="rId9">
                      <a:extLst>
                        <a:ext uri="{28A0092B-C50C-407E-A947-70E740481C1C}">
                          <a14:useLocalDpi xmlns:a14="http://schemas.microsoft.com/office/drawing/2010/main" val="0"/>
                        </a:ext>
                      </a:extLst>
                    </a:blip>
                    <a:srcRect/>
                    <a:stretch>
                      <a:fillRect/>
                    </a:stretch>
                  </pic:blipFill>
                  <pic:spPr>
                    <a:xfrm>
                      <a:off x="0" y="0"/>
                      <a:ext cx="4752975" cy="1895475"/>
                    </a:xfrm>
                    <a:prstGeom prst="rect">
                      <a:avLst/>
                    </a:prstGeom>
                    <a:ln/>
                  </pic:spPr>
                </pic:pic>
              </a:graphicData>
            </a:graphic>
            <wp14:sizeRelH relativeFrom="page">
              <wp14:pctWidth>0</wp14:pctWidth>
            </wp14:sizeRelH>
            <wp14:sizeRelV relativeFrom="page">
              <wp14:pctHeight>0</wp14:pctHeight>
            </wp14:sizeRelV>
          </wp:anchor>
        </w:drawing>
      </w:r>
    </w:p>
    <w:p w14:paraId="531BBB40" w14:textId="77777777" w:rsidR="009F09D9" w:rsidRDefault="009F09D9" w:rsidP="00B50438"/>
    <w:p w14:paraId="40DC84DF" w14:textId="35B40BD3" w:rsidR="009F09D9" w:rsidRPr="00A029EE" w:rsidRDefault="009F09D9" w:rsidP="00B50438">
      <w:pPr>
        <w:rPr>
          <w:b/>
        </w:rPr>
      </w:pPr>
      <w:r w:rsidRPr="00A029EE">
        <w:rPr>
          <w:b/>
        </w:rPr>
        <w:t>Financial Management (LCMB7002)</w:t>
      </w:r>
    </w:p>
    <w:p w14:paraId="57367FE2" w14:textId="61A0B88E" w:rsidR="009F09D9" w:rsidRPr="009F09D9" w:rsidRDefault="009F09D9" w:rsidP="00B50438">
      <w:r>
        <w:rPr>
          <w:noProof/>
        </w:rPr>
        <mc:AlternateContent>
          <mc:Choice Requires="wps">
            <w:drawing>
              <wp:anchor distT="0" distB="0" distL="114300" distR="114300" simplePos="0" relativeHeight="251660288" behindDoc="0" locked="0" layoutInCell="1" allowOverlap="1" wp14:anchorId="6DD517C5" wp14:editId="17D117E5">
                <wp:simplePos x="0" y="0"/>
                <wp:positionH relativeFrom="column">
                  <wp:posOffset>28575</wp:posOffset>
                </wp:positionH>
                <wp:positionV relativeFrom="paragraph">
                  <wp:posOffset>-4445</wp:posOffset>
                </wp:positionV>
                <wp:extent cx="6019800" cy="0"/>
                <wp:effectExtent l="38100" t="38100" r="57150" b="95250"/>
                <wp:wrapNone/>
                <wp:docPr id="6" name="Straight Connector 6"/>
                <wp:cNvGraphicFramePr/>
                <a:graphic xmlns:a="http://schemas.openxmlformats.org/drawingml/2006/main">
                  <a:graphicData uri="http://schemas.microsoft.com/office/word/2010/wordprocessingShape">
                    <wps:wsp>
                      <wps:cNvCnPr/>
                      <wps:spPr>
                        <a:xfrm>
                          <a:off x="0" y="0"/>
                          <a:ext cx="6019800" cy="0"/>
                        </a:xfrm>
                        <a:prstGeom prst="line">
                          <a:avLst/>
                        </a:prstGeom>
                        <a:ln w="12700">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5pt,-.35pt" to="476.2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" strokecolor="black [3213]" strokeweight="1pt">
                <v:shadow on="t" color="black" opacity="24903f" origin=",.5" offset="0,.55556mm"/>
              </v:line>
            </w:pict>
          </mc:Fallback>
        </mc:AlternateContent>
      </w:r>
    </w:p>
    <w:p w14:paraId="7673F6B1" w14:textId="7D9F9F51" w:rsidR="00A029EE" w:rsidRPr="00A029EE" w:rsidRDefault="009F09D9" w:rsidP="00A029EE">
      <w:pPr>
        <w:tabs>
          <w:tab w:val="left" w:pos="7200"/>
        </w:tabs>
        <w:spacing w:after="0" w:line="276" w:lineRule="auto"/>
        <w:rPr>
          <w:b/>
        </w:rPr>
      </w:pPr>
      <w:r w:rsidRPr="00A029EE">
        <w:rPr>
          <w:b/>
        </w:rPr>
        <w:t>Submitted By:</w:t>
      </w:r>
      <w:r w:rsidR="00A029EE">
        <w:rPr>
          <w:b/>
        </w:rPr>
        <w:tab/>
        <w:t>Submitted To:</w:t>
      </w:r>
    </w:p>
    <w:p w14:paraId="0D337153" w14:textId="16A9AA53" w:rsidR="009F09D9" w:rsidRPr="00A029EE" w:rsidRDefault="009F09D9" w:rsidP="00A029EE">
      <w:pPr>
        <w:tabs>
          <w:tab w:val="left" w:pos="6390"/>
        </w:tabs>
        <w:spacing w:after="0" w:line="276" w:lineRule="auto"/>
      </w:pPr>
      <w:r w:rsidRPr="009F09D9">
        <w:t xml:space="preserve">Mohammad </w:t>
      </w:r>
      <w:proofErr w:type="spellStart"/>
      <w:r w:rsidRPr="009F09D9">
        <w:t>Rashed</w:t>
      </w:r>
      <w:proofErr w:type="spellEnd"/>
      <w:r w:rsidRPr="009F09D9">
        <w:t xml:space="preserve"> </w:t>
      </w:r>
      <w:proofErr w:type="spellStart"/>
      <w:r w:rsidRPr="009F09D9">
        <w:t>Hossain</w:t>
      </w:r>
      <w:proofErr w:type="spellEnd"/>
      <w:r w:rsidR="00A029EE">
        <w:tab/>
        <w:t xml:space="preserve">        </w:t>
      </w:r>
      <w:r w:rsidR="00A029EE" w:rsidRPr="00A029EE">
        <w:rPr>
          <w:b/>
        </w:rPr>
        <w:t>Lecturer:</w:t>
      </w:r>
      <w:r w:rsidR="00A029EE">
        <w:rPr>
          <w:b/>
        </w:rPr>
        <w:t xml:space="preserve"> </w:t>
      </w:r>
      <w:proofErr w:type="spellStart"/>
      <w:r w:rsidR="00A029EE" w:rsidRPr="00A029EE">
        <w:t>Jia</w:t>
      </w:r>
      <w:proofErr w:type="spellEnd"/>
      <w:r w:rsidR="00A029EE" w:rsidRPr="00A029EE">
        <w:t xml:space="preserve"> Miao </w:t>
      </w:r>
    </w:p>
    <w:p w14:paraId="098F2218" w14:textId="77777777" w:rsidR="009F09D9" w:rsidRPr="009F09D9" w:rsidRDefault="009F09D9" w:rsidP="00A029EE">
      <w:pPr>
        <w:spacing w:after="0" w:line="276" w:lineRule="auto"/>
      </w:pPr>
      <w:r w:rsidRPr="009F09D9">
        <w:t xml:space="preserve"> </w:t>
      </w:r>
      <w:r w:rsidRPr="009F09D9">
        <w:rPr>
          <w:b/>
        </w:rPr>
        <w:t xml:space="preserve">Id: </w:t>
      </w:r>
      <w:r w:rsidRPr="009F09D9">
        <w:t>2330895</w:t>
      </w:r>
    </w:p>
    <w:p w14:paraId="1E180A52" w14:textId="6AC1084C" w:rsidR="009F09D9" w:rsidRPr="009F09D9" w:rsidRDefault="009F09D9" w:rsidP="00B50438"/>
    <w:p w14:paraId="59E213AF" w14:textId="77777777" w:rsidR="009F09D9" w:rsidRDefault="009F09D9" w:rsidP="00B50438">
      <w:r>
        <w:br w:type="page"/>
      </w:r>
    </w:p>
    <w:sdt>
      <w:sdtPr>
        <w:rPr>
          <w:rFonts w:eastAsia="Arial" w:cstheme="majorHAnsi"/>
          <w:b w:val="0"/>
          <w:bCs w:val="0"/>
          <w:color w:val="auto"/>
          <w:sz w:val="24"/>
          <w:szCs w:val="24"/>
        </w:rPr>
        <w:id w:val="-519549709"/>
        <w:docPartObj>
          <w:docPartGallery w:val="Table of Contents"/>
          <w:docPartUnique/>
        </w:docPartObj>
      </w:sdtPr>
      <w:sdtEndPr>
        <w:rPr>
          <w:noProof/>
        </w:rPr>
      </w:sdtEndPr>
      <w:sdtContent>
        <w:p w14:paraId="5F6F60A5" w14:textId="0195F27E" w:rsidR="009F09D9" w:rsidRDefault="009F09D9" w:rsidP="00B50438">
          <w:pPr>
            <w:pStyle w:val="TOCHeading"/>
          </w:pPr>
          <w:r>
            <w:t>Contents</w:t>
          </w:r>
        </w:p>
        <w:p w14:paraId="423BEFBE" w14:textId="77777777" w:rsidR="00197F21" w:rsidRDefault="009F09D9">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175148995" w:history="1">
            <w:r w:rsidR="00197F21" w:rsidRPr="00CA06F2">
              <w:rPr>
                <w:rStyle w:val="Hyperlink"/>
                <w:noProof/>
              </w:rPr>
              <w:t>Part A: Introduction</w:t>
            </w:r>
            <w:r w:rsidR="00197F21">
              <w:rPr>
                <w:noProof/>
                <w:webHidden/>
              </w:rPr>
              <w:tab/>
            </w:r>
            <w:r w:rsidR="00197F21">
              <w:rPr>
                <w:noProof/>
                <w:webHidden/>
              </w:rPr>
              <w:fldChar w:fldCharType="begin"/>
            </w:r>
            <w:r w:rsidR="00197F21">
              <w:rPr>
                <w:noProof/>
                <w:webHidden/>
              </w:rPr>
              <w:instrText xml:space="preserve"> PAGEREF _Toc175148995 \h </w:instrText>
            </w:r>
            <w:r w:rsidR="00197F21">
              <w:rPr>
                <w:noProof/>
                <w:webHidden/>
              </w:rPr>
            </w:r>
            <w:r w:rsidR="00197F21">
              <w:rPr>
                <w:noProof/>
                <w:webHidden/>
              </w:rPr>
              <w:fldChar w:fldCharType="separate"/>
            </w:r>
            <w:r w:rsidR="00197F21">
              <w:rPr>
                <w:noProof/>
                <w:webHidden/>
              </w:rPr>
              <w:t>1</w:t>
            </w:r>
            <w:r w:rsidR="00197F21">
              <w:rPr>
                <w:noProof/>
                <w:webHidden/>
              </w:rPr>
              <w:fldChar w:fldCharType="end"/>
            </w:r>
          </w:hyperlink>
        </w:p>
        <w:p w14:paraId="10691861" w14:textId="77777777" w:rsidR="00197F21" w:rsidRDefault="00CE31FC">
          <w:pPr>
            <w:pStyle w:val="TOC2"/>
            <w:tabs>
              <w:tab w:val="right" w:leader="dot" w:pos="9016"/>
            </w:tabs>
            <w:rPr>
              <w:rFonts w:asciiTheme="minorHAnsi" w:eastAsiaTheme="minorEastAsia" w:hAnsiTheme="minorHAnsi" w:cstheme="minorBidi"/>
              <w:noProof/>
              <w:sz w:val="22"/>
              <w:szCs w:val="22"/>
            </w:rPr>
          </w:pPr>
          <w:hyperlink w:anchor="_Toc175148996" w:history="1">
            <w:r w:rsidR="00197F21" w:rsidRPr="00CA06F2">
              <w:rPr>
                <w:rStyle w:val="Hyperlink"/>
                <w:noProof/>
              </w:rPr>
              <w:t>Background</w:t>
            </w:r>
            <w:r w:rsidR="00197F21">
              <w:rPr>
                <w:noProof/>
                <w:webHidden/>
              </w:rPr>
              <w:tab/>
            </w:r>
            <w:r w:rsidR="00197F21">
              <w:rPr>
                <w:noProof/>
                <w:webHidden/>
              </w:rPr>
              <w:fldChar w:fldCharType="begin"/>
            </w:r>
            <w:r w:rsidR="00197F21">
              <w:rPr>
                <w:noProof/>
                <w:webHidden/>
              </w:rPr>
              <w:instrText xml:space="preserve"> PAGEREF _Toc175148996 \h </w:instrText>
            </w:r>
            <w:r w:rsidR="00197F21">
              <w:rPr>
                <w:noProof/>
                <w:webHidden/>
              </w:rPr>
            </w:r>
            <w:r w:rsidR="00197F21">
              <w:rPr>
                <w:noProof/>
                <w:webHidden/>
              </w:rPr>
              <w:fldChar w:fldCharType="separate"/>
            </w:r>
            <w:r w:rsidR="00197F21">
              <w:rPr>
                <w:noProof/>
                <w:webHidden/>
              </w:rPr>
              <w:t>1</w:t>
            </w:r>
            <w:r w:rsidR="00197F21">
              <w:rPr>
                <w:noProof/>
                <w:webHidden/>
              </w:rPr>
              <w:fldChar w:fldCharType="end"/>
            </w:r>
          </w:hyperlink>
        </w:p>
        <w:p w14:paraId="2AD8F83D" w14:textId="77777777" w:rsidR="00197F21" w:rsidRDefault="00CE31FC">
          <w:pPr>
            <w:pStyle w:val="TOC2"/>
            <w:tabs>
              <w:tab w:val="right" w:leader="dot" w:pos="9016"/>
            </w:tabs>
            <w:rPr>
              <w:rFonts w:asciiTheme="minorHAnsi" w:eastAsiaTheme="minorEastAsia" w:hAnsiTheme="minorHAnsi" w:cstheme="minorBidi"/>
              <w:noProof/>
              <w:sz w:val="22"/>
              <w:szCs w:val="22"/>
            </w:rPr>
          </w:pPr>
          <w:hyperlink w:anchor="_Toc175148997" w:history="1">
            <w:r w:rsidR="00197F21" w:rsidRPr="00CA06F2">
              <w:rPr>
                <w:rStyle w:val="Hyperlink"/>
                <w:noProof/>
              </w:rPr>
              <w:t>Business Model</w:t>
            </w:r>
            <w:r w:rsidR="00197F21">
              <w:rPr>
                <w:noProof/>
                <w:webHidden/>
              </w:rPr>
              <w:tab/>
            </w:r>
            <w:r w:rsidR="00197F21">
              <w:rPr>
                <w:noProof/>
                <w:webHidden/>
              </w:rPr>
              <w:fldChar w:fldCharType="begin"/>
            </w:r>
            <w:r w:rsidR="00197F21">
              <w:rPr>
                <w:noProof/>
                <w:webHidden/>
              </w:rPr>
              <w:instrText xml:space="preserve"> PAGEREF _Toc175148997 \h </w:instrText>
            </w:r>
            <w:r w:rsidR="00197F21">
              <w:rPr>
                <w:noProof/>
                <w:webHidden/>
              </w:rPr>
            </w:r>
            <w:r w:rsidR="00197F21">
              <w:rPr>
                <w:noProof/>
                <w:webHidden/>
              </w:rPr>
              <w:fldChar w:fldCharType="separate"/>
            </w:r>
            <w:r w:rsidR="00197F21">
              <w:rPr>
                <w:noProof/>
                <w:webHidden/>
              </w:rPr>
              <w:t>2</w:t>
            </w:r>
            <w:r w:rsidR="00197F21">
              <w:rPr>
                <w:noProof/>
                <w:webHidden/>
              </w:rPr>
              <w:fldChar w:fldCharType="end"/>
            </w:r>
          </w:hyperlink>
        </w:p>
        <w:p w14:paraId="60B7FC13" w14:textId="77777777" w:rsidR="00197F21" w:rsidRDefault="00CE31FC">
          <w:pPr>
            <w:pStyle w:val="TOC2"/>
            <w:tabs>
              <w:tab w:val="right" w:leader="dot" w:pos="9016"/>
            </w:tabs>
            <w:rPr>
              <w:rFonts w:asciiTheme="minorHAnsi" w:eastAsiaTheme="minorEastAsia" w:hAnsiTheme="minorHAnsi" w:cstheme="minorBidi"/>
              <w:noProof/>
              <w:sz w:val="22"/>
              <w:szCs w:val="22"/>
            </w:rPr>
          </w:pPr>
          <w:hyperlink w:anchor="_Toc175148998" w:history="1">
            <w:r w:rsidR="00197F21" w:rsidRPr="00CA06F2">
              <w:rPr>
                <w:rStyle w:val="Hyperlink"/>
                <w:noProof/>
              </w:rPr>
              <w:t>Marketplace and Major Competitors</w:t>
            </w:r>
            <w:r w:rsidR="00197F21">
              <w:rPr>
                <w:noProof/>
                <w:webHidden/>
              </w:rPr>
              <w:tab/>
            </w:r>
            <w:r w:rsidR="00197F21">
              <w:rPr>
                <w:noProof/>
                <w:webHidden/>
              </w:rPr>
              <w:fldChar w:fldCharType="begin"/>
            </w:r>
            <w:r w:rsidR="00197F21">
              <w:rPr>
                <w:noProof/>
                <w:webHidden/>
              </w:rPr>
              <w:instrText xml:space="preserve"> PAGEREF _Toc175148998 \h </w:instrText>
            </w:r>
            <w:r w:rsidR="00197F21">
              <w:rPr>
                <w:noProof/>
                <w:webHidden/>
              </w:rPr>
            </w:r>
            <w:r w:rsidR="00197F21">
              <w:rPr>
                <w:noProof/>
                <w:webHidden/>
              </w:rPr>
              <w:fldChar w:fldCharType="separate"/>
            </w:r>
            <w:r w:rsidR="00197F21">
              <w:rPr>
                <w:noProof/>
                <w:webHidden/>
              </w:rPr>
              <w:t>3</w:t>
            </w:r>
            <w:r w:rsidR="00197F21">
              <w:rPr>
                <w:noProof/>
                <w:webHidden/>
              </w:rPr>
              <w:fldChar w:fldCharType="end"/>
            </w:r>
          </w:hyperlink>
        </w:p>
        <w:p w14:paraId="0D4E3C6C" w14:textId="77777777" w:rsidR="00197F21" w:rsidRDefault="00CE31FC">
          <w:pPr>
            <w:pStyle w:val="TOC2"/>
            <w:tabs>
              <w:tab w:val="right" w:leader="dot" w:pos="9016"/>
            </w:tabs>
            <w:rPr>
              <w:rFonts w:asciiTheme="minorHAnsi" w:eastAsiaTheme="minorEastAsia" w:hAnsiTheme="minorHAnsi" w:cstheme="minorBidi"/>
              <w:noProof/>
              <w:sz w:val="22"/>
              <w:szCs w:val="22"/>
            </w:rPr>
          </w:pPr>
          <w:hyperlink w:anchor="_Toc175148999" w:history="1">
            <w:r w:rsidR="00197F21" w:rsidRPr="00CA06F2">
              <w:rPr>
                <w:rStyle w:val="Hyperlink"/>
                <w:noProof/>
              </w:rPr>
              <w:t>Recent Events (2018-2023)</w:t>
            </w:r>
            <w:r w:rsidR="00197F21">
              <w:rPr>
                <w:noProof/>
                <w:webHidden/>
              </w:rPr>
              <w:tab/>
            </w:r>
            <w:r w:rsidR="00197F21">
              <w:rPr>
                <w:noProof/>
                <w:webHidden/>
              </w:rPr>
              <w:fldChar w:fldCharType="begin"/>
            </w:r>
            <w:r w:rsidR="00197F21">
              <w:rPr>
                <w:noProof/>
                <w:webHidden/>
              </w:rPr>
              <w:instrText xml:space="preserve"> PAGEREF _Toc175148999 \h </w:instrText>
            </w:r>
            <w:r w:rsidR="00197F21">
              <w:rPr>
                <w:noProof/>
                <w:webHidden/>
              </w:rPr>
            </w:r>
            <w:r w:rsidR="00197F21">
              <w:rPr>
                <w:noProof/>
                <w:webHidden/>
              </w:rPr>
              <w:fldChar w:fldCharType="separate"/>
            </w:r>
            <w:r w:rsidR="00197F21">
              <w:rPr>
                <w:noProof/>
                <w:webHidden/>
              </w:rPr>
              <w:t>4</w:t>
            </w:r>
            <w:r w:rsidR="00197F21">
              <w:rPr>
                <w:noProof/>
                <w:webHidden/>
              </w:rPr>
              <w:fldChar w:fldCharType="end"/>
            </w:r>
          </w:hyperlink>
        </w:p>
        <w:p w14:paraId="0D70B4B5" w14:textId="77777777" w:rsidR="00197F21" w:rsidRDefault="00CE31FC">
          <w:pPr>
            <w:pStyle w:val="TOC1"/>
            <w:tabs>
              <w:tab w:val="right" w:leader="dot" w:pos="9016"/>
            </w:tabs>
            <w:rPr>
              <w:rFonts w:asciiTheme="minorHAnsi" w:eastAsiaTheme="minorEastAsia" w:hAnsiTheme="minorHAnsi" w:cstheme="minorBidi"/>
              <w:noProof/>
              <w:sz w:val="22"/>
              <w:szCs w:val="22"/>
            </w:rPr>
          </w:pPr>
          <w:hyperlink w:anchor="_Toc175149000" w:history="1">
            <w:r w:rsidR="00197F21" w:rsidRPr="00CA06F2">
              <w:rPr>
                <w:rStyle w:val="Hyperlink"/>
                <w:noProof/>
              </w:rPr>
              <w:t>Part B: Financial Performance Review</w:t>
            </w:r>
            <w:r w:rsidR="00197F21">
              <w:rPr>
                <w:noProof/>
                <w:webHidden/>
              </w:rPr>
              <w:tab/>
            </w:r>
            <w:r w:rsidR="00197F21">
              <w:rPr>
                <w:noProof/>
                <w:webHidden/>
              </w:rPr>
              <w:fldChar w:fldCharType="begin"/>
            </w:r>
            <w:r w:rsidR="00197F21">
              <w:rPr>
                <w:noProof/>
                <w:webHidden/>
              </w:rPr>
              <w:instrText xml:space="preserve"> PAGEREF _Toc175149000 \h </w:instrText>
            </w:r>
            <w:r w:rsidR="00197F21">
              <w:rPr>
                <w:noProof/>
                <w:webHidden/>
              </w:rPr>
            </w:r>
            <w:r w:rsidR="00197F21">
              <w:rPr>
                <w:noProof/>
                <w:webHidden/>
              </w:rPr>
              <w:fldChar w:fldCharType="separate"/>
            </w:r>
            <w:r w:rsidR="00197F21">
              <w:rPr>
                <w:noProof/>
                <w:webHidden/>
              </w:rPr>
              <w:t>4</w:t>
            </w:r>
            <w:r w:rsidR="00197F21">
              <w:rPr>
                <w:noProof/>
                <w:webHidden/>
              </w:rPr>
              <w:fldChar w:fldCharType="end"/>
            </w:r>
          </w:hyperlink>
        </w:p>
        <w:p w14:paraId="37D14372" w14:textId="77777777" w:rsidR="00197F21" w:rsidRDefault="00CE31FC">
          <w:pPr>
            <w:pStyle w:val="TOC1"/>
            <w:tabs>
              <w:tab w:val="right" w:leader="dot" w:pos="9016"/>
            </w:tabs>
            <w:rPr>
              <w:rFonts w:asciiTheme="minorHAnsi" w:eastAsiaTheme="minorEastAsia" w:hAnsiTheme="minorHAnsi" w:cstheme="minorBidi"/>
              <w:noProof/>
              <w:sz w:val="22"/>
              <w:szCs w:val="22"/>
            </w:rPr>
          </w:pPr>
          <w:hyperlink w:anchor="_Toc175149001" w:history="1">
            <w:r w:rsidR="00197F21" w:rsidRPr="00CA06F2">
              <w:rPr>
                <w:rStyle w:val="Hyperlink"/>
                <w:noProof/>
              </w:rPr>
              <w:t>Part B: Financial Performance Review</w:t>
            </w:r>
            <w:r w:rsidR="00197F21">
              <w:rPr>
                <w:noProof/>
                <w:webHidden/>
              </w:rPr>
              <w:tab/>
            </w:r>
            <w:r w:rsidR="00197F21">
              <w:rPr>
                <w:noProof/>
                <w:webHidden/>
              </w:rPr>
              <w:fldChar w:fldCharType="begin"/>
            </w:r>
            <w:r w:rsidR="00197F21">
              <w:rPr>
                <w:noProof/>
                <w:webHidden/>
              </w:rPr>
              <w:instrText xml:space="preserve"> PAGEREF _Toc175149001 \h </w:instrText>
            </w:r>
            <w:r w:rsidR="00197F21">
              <w:rPr>
                <w:noProof/>
                <w:webHidden/>
              </w:rPr>
            </w:r>
            <w:r w:rsidR="00197F21">
              <w:rPr>
                <w:noProof/>
                <w:webHidden/>
              </w:rPr>
              <w:fldChar w:fldCharType="separate"/>
            </w:r>
            <w:r w:rsidR="00197F21">
              <w:rPr>
                <w:noProof/>
                <w:webHidden/>
              </w:rPr>
              <w:t>6</w:t>
            </w:r>
            <w:r w:rsidR="00197F21">
              <w:rPr>
                <w:noProof/>
                <w:webHidden/>
              </w:rPr>
              <w:fldChar w:fldCharType="end"/>
            </w:r>
          </w:hyperlink>
        </w:p>
        <w:p w14:paraId="72152F06" w14:textId="77777777" w:rsidR="00197F21" w:rsidRDefault="00CE31FC">
          <w:pPr>
            <w:pStyle w:val="TOC2"/>
            <w:tabs>
              <w:tab w:val="right" w:leader="dot" w:pos="9016"/>
            </w:tabs>
            <w:rPr>
              <w:rFonts w:asciiTheme="minorHAnsi" w:eastAsiaTheme="minorEastAsia" w:hAnsiTheme="minorHAnsi" w:cstheme="minorBidi"/>
              <w:noProof/>
              <w:sz w:val="22"/>
              <w:szCs w:val="22"/>
            </w:rPr>
          </w:pPr>
          <w:hyperlink w:anchor="_Toc175149002" w:history="1">
            <w:r w:rsidR="00197F21" w:rsidRPr="00CA06F2">
              <w:rPr>
                <w:rStyle w:val="Hyperlink"/>
                <w:noProof/>
              </w:rPr>
              <w:t>Calculation of Key Financial Ratios</w:t>
            </w:r>
            <w:r w:rsidR="00197F21">
              <w:rPr>
                <w:noProof/>
                <w:webHidden/>
              </w:rPr>
              <w:tab/>
            </w:r>
            <w:r w:rsidR="00197F21">
              <w:rPr>
                <w:noProof/>
                <w:webHidden/>
              </w:rPr>
              <w:fldChar w:fldCharType="begin"/>
            </w:r>
            <w:r w:rsidR="00197F21">
              <w:rPr>
                <w:noProof/>
                <w:webHidden/>
              </w:rPr>
              <w:instrText xml:space="preserve"> PAGEREF _Toc175149002 \h </w:instrText>
            </w:r>
            <w:r w:rsidR="00197F21">
              <w:rPr>
                <w:noProof/>
                <w:webHidden/>
              </w:rPr>
            </w:r>
            <w:r w:rsidR="00197F21">
              <w:rPr>
                <w:noProof/>
                <w:webHidden/>
              </w:rPr>
              <w:fldChar w:fldCharType="separate"/>
            </w:r>
            <w:r w:rsidR="00197F21">
              <w:rPr>
                <w:noProof/>
                <w:webHidden/>
              </w:rPr>
              <w:t>6</w:t>
            </w:r>
            <w:r w:rsidR="00197F21">
              <w:rPr>
                <w:noProof/>
                <w:webHidden/>
              </w:rPr>
              <w:fldChar w:fldCharType="end"/>
            </w:r>
          </w:hyperlink>
        </w:p>
        <w:p w14:paraId="31B9E561" w14:textId="77777777" w:rsidR="00197F21" w:rsidRDefault="00CE31FC">
          <w:pPr>
            <w:pStyle w:val="TOC3"/>
            <w:tabs>
              <w:tab w:val="right" w:leader="dot" w:pos="9016"/>
            </w:tabs>
            <w:rPr>
              <w:rFonts w:asciiTheme="minorHAnsi" w:eastAsiaTheme="minorEastAsia" w:hAnsiTheme="minorHAnsi" w:cstheme="minorBidi"/>
              <w:noProof/>
              <w:sz w:val="22"/>
              <w:szCs w:val="22"/>
            </w:rPr>
          </w:pPr>
          <w:hyperlink w:anchor="_Toc175149003" w:history="1">
            <w:r w:rsidR="00197F21" w:rsidRPr="00CA06F2">
              <w:rPr>
                <w:rStyle w:val="Hyperlink"/>
                <w:noProof/>
              </w:rPr>
              <w:t>Liquidity Ratios</w:t>
            </w:r>
            <w:r w:rsidR="00197F21">
              <w:rPr>
                <w:noProof/>
                <w:webHidden/>
              </w:rPr>
              <w:tab/>
            </w:r>
            <w:r w:rsidR="00197F21">
              <w:rPr>
                <w:noProof/>
                <w:webHidden/>
              </w:rPr>
              <w:fldChar w:fldCharType="begin"/>
            </w:r>
            <w:r w:rsidR="00197F21">
              <w:rPr>
                <w:noProof/>
                <w:webHidden/>
              </w:rPr>
              <w:instrText xml:space="preserve"> PAGEREF _Toc175149003 \h </w:instrText>
            </w:r>
            <w:r w:rsidR="00197F21">
              <w:rPr>
                <w:noProof/>
                <w:webHidden/>
              </w:rPr>
            </w:r>
            <w:r w:rsidR="00197F21">
              <w:rPr>
                <w:noProof/>
                <w:webHidden/>
              </w:rPr>
              <w:fldChar w:fldCharType="separate"/>
            </w:r>
            <w:r w:rsidR="00197F21">
              <w:rPr>
                <w:noProof/>
                <w:webHidden/>
              </w:rPr>
              <w:t>6</w:t>
            </w:r>
            <w:r w:rsidR="00197F21">
              <w:rPr>
                <w:noProof/>
                <w:webHidden/>
              </w:rPr>
              <w:fldChar w:fldCharType="end"/>
            </w:r>
          </w:hyperlink>
        </w:p>
        <w:p w14:paraId="43A178CE" w14:textId="77777777" w:rsidR="00197F21" w:rsidRDefault="00CE31FC">
          <w:pPr>
            <w:pStyle w:val="TOC3"/>
            <w:tabs>
              <w:tab w:val="right" w:leader="dot" w:pos="9016"/>
            </w:tabs>
            <w:rPr>
              <w:rFonts w:asciiTheme="minorHAnsi" w:eastAsiaTheme="minorEastAsia" w:hAnsiTheme="minorHAnsi" w:cstheme="minorBidi"/>
              <w:noProof/>
              <w:sz w:val="22"/>
              <w:szCs w:val="22"/>
            </w:rPr>
          </w:pPr>
          <w:hyperlink w:anchor="_Toc175149004" w:history="1">
            <w:r w:rsidR="00197F21" w:rsidRPr="00CA06F2">
              <w:rPr>
                <w:rStyle w:val="Hyperlink"/>
                <w:noProof/>
              </w:rPr>
              <w:t>Profitability Ratios</w:t>
            </w:r>
            <w:r w:rsidR="00197F21">
              <w:rPr>
                <w:noProof/>
                <w:webHidden/>
              </w:rPr>
              <w:tab/>
            </w:r>
            <w:r w:rsidR="00197F21">
              <w:rPr>
                <w:noProof/>
                <w:webHidden/>
              </w:rPr>
              <w:fldChar w:fldCharType="begin"/>
            </w:r>
            <w:r w:rsidR="00197F21">
              <w:rPr>
                <w:noProof/>
                <w:webHidden/>
              </w:rPr>
              <w:instrText xml:space="preserve"> PAGEREF _Toc175149004 \h </w:instrText>
            </w:r>
            <w:r w:rsidR="00197F21">
              <w:rPr>
                <w:noProof/>
                <w:webHidden/>
              </w:rPr>
            </w:r>
            <w:r w:rsidR="00197F21">
              <w:rPr>
                <w:noProof/>
                <w:webHidden/>
              </w:rPr>
              <w:fldChar w:fldCharType="separate"/>
            </w:r>
            <w:r w:rsidR="00197F21">
              <w:rPr>
                <w:noProof/>
                <w:webHidden/>
              </w:rPr>
              <w:t>9</w:t>
            </w:r>
            <w:r w:rsidR="00197F21">
              <w:rPr>
                <w:noProof/>
                <w:webHidden/>
              </w:rPr>
              <w:fldChar w:fldCharType="end"/>
            </w:r>
          </w:hyperlink>
        </w:p>
        <w:p w14:paraId="24A44404" w14:textId="77777777" w:rsidR="00197F21" w:rsidRDefault="00CE31FC">
          <w:pPr>
            <w:pStyle w:val="TOC3"/>
            <w:tabs>
              <w:tab w:val="right" w:leader="dot" w:pos="9016"/>
            </w:tabs>
            <w:rPr>
              <w:rFonts w:asciiTheme="minorHAnsi" w:eastAsiaTheme="minorEastAsia" w:hAnsiTheme="minorHAnsi" w:cstheme="minorBidi"/>
              <w:noProof/>
              <w:sz w:val="22"/>
              <w:szCs w:val="22"/>
            </w:rPr>
          </w:pPr>
          <w:hyperlink w:anchor="_Toc175149005" w:history="1">
            <w:r w:rsidR="00197F21" w:rsidRPr="00CA06F2">
              <w:rPr>
                <w:rStyle w:val="Hyperlink"/>
                <w:noProof/>
              </w:rPr>
              <w:t>Efficiency Ratios</w:t>
            </w:r>
            <w:r w:rsidR="00197F21">
              <w:rPr>
                <w:noProof/>
                <w:webHidden/>
              </w:rPr>
              <w:tab/>
            </w:r>
            <w:r w:rsidR="00197F21">
              <w:rPr>
                <w:noProof/>
                <w:webHidden/>
              </w:rPr>
              <w:fldChar w:fldCharType="begin"/>
            </w:r>
            <w:r w:rsidR="00197F21">
              <w:rPr>
                <w:noProof/>
                <w:webHidden/>
              </w:rPr>
              <w:instrText xml:space="preserve"> PAGEREF _Toc175149005 \h </w:instrText>
            </w:r>
            <w:r w:rsidR="00197F21">
              <w:rPr>
                <w:noProof/>
                <w:webHidden/>
              </w:rPr>
            </w:r>
            <w:r w:rsidR="00197F21">
              <w:rPr>
                <w:noProof/>
                <w:webHidden/>
              </w:rPr>
              <w:fldChar w:fldCharType="separate"/>
            </w:r>
            <w:r w:rsidR="00197F21">
              <w:rPr>
                <w:noProof/>
                <w:webHidden/>
              </w:rPr>
              <w:t>12</w:t>
            </w:r>
            <w:r w:rsidR="00197F21">
              <w:rPr>
                <w:noProof/>
                <w:webHidden/>
              </w:rPr>
              <w:fldChar w:fldCharType="end"/>
            </w:r>
          </w:hyperlink>
        </w:p>
        <w:p w14:paraId="4CD20460" w14:textId="77777777" w:rsidR="00197F21" w:rsidRDefault="00CE31FC">
          <w:pPr>
            <w:pStyle w:val="TOC3"/>
            <w:tabs>
              <w:tab w:val="right" w:leader="dot" w:pos="9016"/>
            </w:tabs>
            <w:rPr>
              <w:rFonts w:asciiTheme="minorHAnsi" w:eastAsiaTheme="minorEastAsia" w:hAnsiTheme="minorHAnsi" w:cstheme="minorBidi"/>
              <w:noProof/>
              <w:sz w:val="22"/>
              <w:szCs w:val="22"/>
            </w:rPr>
          </w:pPr>
          <w:hyperlink w:anchor="_Toc175149006" w:history="1">
            <w:r w:rsidR="00197F21" w:rsidRPr="00CA06F2">
              <w:rPr>
                <w:rStyle w:val="Hyperlink"/>
                <w:noProof/>
              </w:rPr>
              <w:t>Gearing (Leverage) Ratios</w:t>
            </w:r>
            <w:r w:rsidR="00197F21">
              <w:rPr>
                <w:noProof/>
                <w:webHidden/>
              </w:rPr>
              <w:tab/>
            </w:r>
            <w:r w:rsidR="00197F21">
              <w:rPr>
                <w:noProof/>
                <w:webHidden/>
              </w:rPr>
              <w:fldChar w:fldCharType="begin"/>
            </w:r>
            <w:r w:rsidR="00197F21">
              <w:rPr>
                <w:noProof/>
                <w:webHidden/>
              </w:rPr>
              <w:instrText xml:space="preserve"> PAGEREF _Toc175149006 \h </w:instrText>
            </w:r>
            <w:r w:rsidR="00197F21">
              <w:rPr>
                <w:noProof/>
                <w:webHidden/>
              </w:rPr>
            </w:r>
            <w:r w:rsidR="00197F21">
              <w:rPr>
                <w:noProof/>
                <w:webHidden/>
              </w:rPr>
              <w:fldChar w:fldCharType="separate"/>
            </w:r>
            <w:r w:rsidR="00197F21">
              <w:rPr>
                <w:noProof/>
                <w:webHidden/>
              </w:rPr>
              <w:t>14</w:t>
            </w:r>
            <w:r w:rsidR="00197F21">
              <w:rPr>
                <w:noProof/>
                <w:webHidden/>
              </w:rPr>
              <w:fldChar w:fldCharType="end"/>
            </w:r>
          </w:hyperlink>
        </w:p>
        <w:p w14:paraId="2FFEB62F" w14:textId="77777777" w:rsidR="00197F21" w:rsidRDefault="00CE31FC">
          <w:pPr>
            <w:pStyle w:val="TOC2"/>
            <w:tabs>
              <w:tab w:val="right" w:leader="dot" w:pos="9016"/>
            </w:tabs>
            <w:rPr>
              <w:rFonts w:asciiTheme="minorHAnsi" w:eastAsiaTheme="minorEastAsia" w:hAnsiTheme="minorHAnsi" w:cstheme="minorBidi"/>
              <w:noProof/>
              <w:sz w:val="22"/>
              <w:szCs w:val="22"/>
            </w:rPr>
          </w:pPr>
          <w:hyperlink w:anchor="_Toc175149007" w:history="1">
            <w:r w:rsidR="00197F21" w:rsidRPr="00CA06F2">
              <w:rPr>
                <w:rStyle w:val="Hyperlink"/>
                <w:noProof/>
              </w:rPr>
              <w:t>Comparison with Competitor</w:t>
            </w:r>
            <w:r w:rsidR="00197F21">
              <w:rPr>
                <w:noProof/>
                <w:webHidden/>
              </w:rPr>
              <w:tab/>
            </w:r>
            <w:r w:rsidR="00197F21">
              <w:rPr>
                <w:noProof/>
                <w:webHidden/>
              </w:rPr>
              <w:fldChar w:fldCharType="begin"/>
            </w:r>
            <w:r w:rsidR="00197F21">
              <w:rPr>
                <w:noProof/>
                <w:webHidden/>
              </w:rPr>
              <w:instrText xml:space="preserve"> PAGEREF _Toc175149007 \h </w:instrText>
            </w:r>
            <w:r w:rsidR="00197F21">
              <w:rPr>
                <w:noProof/>
                <w:webHidden/>
              </w:rPr>
            </w:r>
            <w:r w:rsidR="00197F21">
              <w:rPr>
                <w:noProof/>
                <w:webHidden/>
              </w:rPr>
              <w:fldChar w:fldCharType="separate"/>
            </w:r>
            <w:r w:rsidR="00197F21">
              <w:rPr>
                <w:noProof/>
                <w:webHidden/>
              </w:rPr>
              <w:t>17</w:t>
            </w:r>
            <w:r w:rsidR="00197F21">
              <w:rPr>
                <w:noProof/>
                <w:webHidden/>
              </w:rPr>
              <w:fldChar w:fldCharType="end"/>
            </w:r>
          </w:hyperlink>
        </w:p>
        <w:p w14:paraId="59A004B6" w14:textId="77777777" w:rsidR="00197F21" w:rsidRDefault="00CE31FC">
          <w:pPr>
            <w:pStyle w:val="TOC2"/>
            <w:tabs>
              <w:tab w:val="right" w:leader="dot" w:pos="9016"/>
            </w:tabs>
            <w:rPr>
              <w:rFonts w:asciiTheme="minorHAnsi" w:eastAsiaTheme="minorEastAsia" w:hAnsiTheme="minorHAnsi" w:cstheme="minorBidi"/>
              <w:noProof/>
              <w:sz w:val="22"/>
              <w:szCs w:val="22"/>
            </w:rPr>
          </w:pPr>
          <w:hyperlink w:anchor="_Toc175149008" w:history="1">
            <w:r w:rsidR="00197F21" w:rsidRPr="00CA06F2">
              <w:rPr>
                <w:rStyle w:val="Hyperlink"/>
                <w:noProof/>
              </w:rPr>
              <w:t>Recommendations</w:t>
            </w:r>
            <w:r w:rsidR="00197F21">
              <w:rPr>
                <w:noProof/>
                <w:webHidden/>
              </w:rPr>
              <w:tab/>
            </w:r>
            <w:r w:rsidR="00197F21">
              <w:rPr>
                <w:noProof/>
                <w:webHidden/>
              </w:rPr>
              <w:fldChar w:fldCharType="begin"/>
            </w:r>
            <w:r w:rsidR="00197F21">
              <w:rPr>
                <w:noProof/>
                <w:webHidden/>
              </w:rPr>
              <w:instrText xml:space="preserve"> PAGEREF _Toc175149008 \h </w:instrText>
            </w:r>
            <w:r w:rsidR="00197F21">
              <w:rPr>
                <w:noProof/>
                <w:webHidden/>
              </w:rPr>
            </w:r>
            <w:r w:rsidR="00197F21">
              <w:rPr>
                <w:noProof/>
                <w:webHidden/>
              </w:rPr>
              <w:fldChar w:fldCharType="separate"/>
            </w:r>
            <w:r w:rsidR="00197F21">
              <w:rPr>
                <w:noProof/>
                <w:webHidden/>
              </w:rPr>
              <w:t>20</w:t>
            </w:r>
            <w:r w:rsidR="00197F21">
              <w:rPr>
                <w:noProof/>
                <w:webHidden/>
              </w:rPr>
              <w:fldChar w:fldCharType="end"/>
            </w:r>
          </w:hyperlink>
        </w:p>
        <w:p w14:paraId="6AE19993" w14:textId="77777777" w:rsidR="00197F21" w:rsidRDefault="00CE31FC">
          <w:pPr>
            <w:pStyle w:val="TOC1"/>
            <w:tabs>
              <w:tab w:val="right" w:leader="dot" w:pos="9016"/>
            </w:tabs>
            <w:rPr>
              <w:rFonts w:asciiTheme="minorHAnsi" w:eastAsiaTheme="minorEastAsia" w:hAnsiTheme="minorHAnsi" w:cstheme="minorBidi"/>
              <w:noProof/>
              <w:sz w:val="22"/>
              <w:szCs w:val="22"/>
            </w:rPr>
          </w:pPr>
          <w:hyperlink w:anchor="_Toc175149009" w:history="1">
            <w:r w:rsidR="00197F21" w:rsidRPr="00CA06F2">
              <w:rPr>
                <w:rStyle w:val="Hyperlink"/>
                <w:noProof/>
              </w:rPr>
              <w:t>Part C: Investment Appraisal</w:t>
            </w:r>
            <w:r w:rsidR="00197F21">
              <w:rPr>
                <w:noProof/>
                <w:webHidden/>
              </w:rPr>
              <w:tab/>
            </w:r>
            <w:r w:rsidR="00197F21">
              <w:rPr>
                <w:noProof/>
                <w:webHidden/>
              </w:rPr>
              <w:fldChar w:fldCharType="begin"/>
            </w:r>
            <w:r w:rsidR="00197F21">
              <w:rPr>
                <w:noProof/>
                <w:webHidden/>
              </w:rPr>
              <w:instrText xml:space="preserve"> PAGEREF _Toc175149009 \h </w:instrText>
            </w:r>
            <w:r w:rsidR="00197F21">
              <w:rPr>
                <w:noProof/>
                <w:webHidden/>
              </w:rPr>
            </w:r>
            <w:r w:rsidR="00197F21">
              <w:rPr>
                <w:noProof/>
                <w:webHidden/>
              </w:rPr>
              <w:fldChar w:fldCharType="separate"/>
            </w:r>
            <w:r w:rsidR="00197F21">
              <w:rPr>
                <w:noProof/>
                <w:webHidden/>
              </w:rPr>
              <w:t>22</w:t>
            </w:r>
            <w:r w:rsidR="00197F21">
              <w:rPr>
                <w:noProof/>
                <w:webHidden/>
              </w:rPr>
              <w:fldChar w:fldCharType="end"/>
            </w:r>
          </w:hyperlink>
        </w:p>
        <w:p w14:paraId="6BCD85F9" w14:textId="77777777" w:rsidR="00197F21" w:rsidRDefault="00CE31FC">
          <w:pPr>
            <w:pStyle w:val="TOC2"/>
            <w:tabs>
              <w:tab w:val="right" w:leader="dot" w:pos="9016"/>
            </w:tabs>
            <w:rPr>
              <w:rFonts w:asciiTheme="minorHAnsi" w:eastAsiaTheme="minorEastAsia" w:hAnsiTheme="minorHAnsi" w:cstheme="minorBidi"/>
              <w:noProof/>
              <w:sz w:val="22"/>
              <w:szCs w:val="22"/>
            </w:rPr>
          </w:pPr>
          <w:hyperlink w:anchor="_Toc175149010" w:history="1">
            <w:r w:rsidR="00197F21" w:rsidRPr="00CA06F2">
              <w:rPr>
                <w:rStyle w:val="Hyperlink"/>
                <w:noProof/>
              </w:rPr>
              <w:t>Evaluation</w:t>
            </w:r>
            <w:r w:rsidR="00197F21">
              <w:rPr>
                <w:noProof/>
                <w:webHidden/>
              </w:rPr>
              <w:tab/>
            </w:r>
            <w:r w:rsidR="00197F21">
              <w:rPr>
                <w:noProof/>
                <w:webHidden/>
              </w:rPr>
              <w:fldChar w:fldCharType="begin"/>
            </w:r>
            <w:r w:rsidR="00197F21">
              <w:rPr>
                <w:noProof/>
                <w:webHidden/>
              </w:rPr>
              <w:instrText xml:space="preserve"> PAGEREF _Toc175149010 \h </w:instrText>
            </w:r>
            <w:r w:rsidR="00197F21">
              <w:rPr>
                <w:noProof/>
                <w:webHidden/>
              </w:rPr>
            </w:r>
            <w:r w:rsidR="00197F21">
              <w:rPr>
                <w:noProof/>
                <w:webHidden/>
              </w:rPr>
              <w:fldChar w:fldCharType="separate"/>
            </w:r>
            <w:r w:rsidR="00197F21">
              <w:rPr>
                <w:noProof/>
                <w:webHidden/>
              </w:rPr>
              <w:t>22</w:t>
            </w:r>
            <w:r w:rsidR="00197F21">
              <w:rPr>
                <w:noProof/>
                <w:webHidden/>
              </w:rPr>
              <w:fldChar w:fldCharType="end"/>
            </w:r>
          </w:hyperlink>
        </w:p>
        <w:p w14:paraId="46999F1D" w14:textId="77777777" w:rsidR="00197F21" w:rsidRDefault="00CE31FC">
          <w:pPr>
            <w:pStyle w:val="TOC3"/>
            <w:tabs>
              <w:tab w:val="right" w:leader="dot" w:pos="9016"/>
            </w:tabs>
            <w:rPr>
              <w:rFonts w:asciiTheme="minorHAnsi" w:eastAsiaTheme="minorEastAsia" w:hAnsiTheme="minorHAnsi" w:cstheme="minorBidi"/>
              <w:noProof/>
              <w:sz w:val="22"/>
              <w:szCs w:val="22"/>
            </w:rPr>
          </w:pPr>
          <w:hyperlink w:anchor="_Toc175149011" w:history="1">
            <w:r w:rsidR="00197F21" w:rsidRPr="00CA06F2">
              <w:rPr>
                <w:rStyle w:val="Hyperlink"/>
                <w:noProof/>
              </w:rPr>
              <w:t>Payback Period (PBP)</w:t>
            </w:r>
            <w:r w:rsidR="00197F21">
              <w:rPr>
                <w:noProof/>
                <w:webHidden/>
              </w:rPr>
              <w:tab/>
            </w:r>
            <w:r w:rsidR="00197F21">
              <w:rPr>
                <w:noProof/>
                <w:webHidden/>
              </w:rPr>
              <w:fldChar w:fldCharType="begin"/>
            </w:r>
            <w:r w:rsidR="00197F21">
              <w:rPr>
                <w:noProof/>
                <w:webHidden/>
              </w:rPr>
              <w:instrText xml:space="preserve"> PAGEREF _Toc175149011 \h </w:instrText>
            </w:r>
            <w:r w:rsidR="00197F21">
              <w:rPr>
                <w:noProof/>
                <w:webHidden/>
              </w:rPr>
            </w:r>
            <w:r w:rsidR="00197F21">
              <w:rPr>
                <w:noProof/>
                <w:webHidden/>
              </w:rPr>
              <w:fldChar w:fldCharType="separate"/>
            </w:r>
            <w:r w:rsidR="00197F21">
              <w:rPr>
                <w:noProof/>
                <w:webHidden/>
              </w:rPr>
              <w:t>22</w:t>
            </w:r>
            <w:r w:rsidR="00197F21">
              <w:rPr>
                <w:noProof/>
                <w:webHidden/>
              </w:rPr>
              <w:fldChar w:fldCharType="end"/>
            </w:r>
          </w:hyperlink>
        </w:p>
        <w:p w14:paraId="0E79E68B" w14:textId="77777777" w:rsidR="00197F21" w:rsidRDefault="00CE31FC">
          <w:pPr>
            <w:pStyle w:val="TOC3"/>
            <w:tabs>
              <w:tab w:val="right" w:leader="dot" w:pos="9016"/>
            </w:tabs>
            <w:rPr>
              <w:rFonts w:asciiTheme="minorHAnsi" w:eastAsiaTheme="minorEastAsia" w:hAnsiTheme="minorHAnsi" w:cstheme="minorBidi"/>
              <w:noProof/>
              <w:sz w:val="22"/>
              <w:szCs w:val="22"/>
            </w:rPr>
          </w:pPr>
          <w:hyperlink w:anchor="_Toc175149012" w:history="1">
            <w:r w:rsidR="00197F21" w:rsidRPr="00CA06F2">
              <w:rPr>
                <w:rStyle w:val="Hyperlink"/>
                <w:noProof/>
              </w:rPr>
              <w:t>Accounting Rate of Return (ARR)</w:t>
            </w:r>
            <w:r w:rsidR="00197F21">
              <w:rPr>
                <w:noProof/>
                <w:webHidden/>
              </w:rPr>
              <w:tab/>
            </w:r>
            <w:r w:rsidR="00197F21">
              <w:rPr>
                <w:noProof/>
                <w:webHidden/>
              </w:rPr>
              <w:fldChar w:fldCharType="begin"/>
            </w:r>
            <w:r w:rsidR="00197F21">
              <w:rPr>
                <w:noProof/>
                <w:webHidden/>
              </w:rPr>
              <w:instrText xml:space="preserve"> PAGEREF _Toc175149012 \h </w:instrText>
            </w:r>
            <w:r w:rsidR="00197F21">
              <w:rPr>
                <w:noProof/>
                <w:webHidden/>
              </w:rPr>
            </w:r>
            <w:r w:rsidR="00197F21">
              <w:rPr>
                <w:noProof/>
                <w:webHidden/>
              </w:rPr>
              <w:fldChar w:fldCharType="separate"/>
            </w:r>
            <w:r w:rsidR="00197F21">
              <w:rPr>
                <w:noProof/>
                <w:webHidden/>
              </w:rPr>
              <w:t>23</w:t>
            </w:r>
            <w:r w:rsidR="00197F21">
              <w:rPr>
                <w:noProof/>
                <w:webHidden/>
              </w:rPr>
              <w:fldChar w:fldCharType="end"/>
            </w:r>
          </w:hyperlink>
        </w:p>
        <w:p w14:paraId="758E0F27" w14:textId="77777777" w:rsidR="00197F21" w:rsidRDefault="00CE31FC">
          <w:pPr>
            <w:pStyle w:val="TOC3"/>
            <w:tabs>
              <w:tab w:val="right" w:leader="dot" w:pos="9016"/>
            </w:tabs>
            <w:rPr>
              <w:rFonts w:asciiTheme="minorHAnsi" w:eastAsiaTheme="minorEastAsia" w:hAnsiTheme="minorHAnsi" w:cstheme="minorBidi"/>
              <w:noProof/>
              <w:sz w:val="22"/>
              <w:szCs w:val="22"/>
            </w:rPr>
          </w:pPr>
          <w:hyperlink w:anchor="_Toc175149013" w:history="1">
            <w:r w:rsidR="00197F21" w:rsidRPr="00CA06F2">
              <w:rPr>
                <w:rStyle w:val="Hyperlink"/>
                <w:noProof/>
              </w:rPr>
              <w:t>Net Present Value (NPV)</w:t>
            </w:r>
            <w:r w:rsidR="00197F21">
              <w:rPr>
                <w:noProof/>
                <w:webHidden/>
              </w:rPr>
              <w:tab/>
            </w:r>
            <w:r w:rsidR="00197F21">
              <w:rPr>
                <w:noProof/>
                <w:webHidden/>
              </w:rPr>
              <w:fldChar w:fldCharType="begin"/>
            </w:r>
            <w:r w:rsidR="00197F21">
              <w:rPr>
                <w:noProof/>
                <w:webHidden/>
              </w:rPr>
              <w:instrText xml:space="preserve"> PAGEREF _Toc175149013 \h </w:instrText>
            </w:r>
            <w:r w:rsidR="00197F21">
              <w:rPr>
                <w:noProof/>
                <w:webHidden/>
              </w:rPr>
            </w:r>
            <w:r w:rsidR="00197F21">
              <w:rPr>
                <w:noProof/>
                <w:webHidden/>
              </w:rPr>
              <w:fldChar w:fldCharType="separate"/>
            </w:r>
            <w:r w:rsidR="00197F21">
              <w:rPr>
                <w:noProof/>
                <w:webHidden/>
              </w:rPr>
              <w:t>24</w:t>
            </w:r>
            <w:r w:rsidR="00197F21">
              <w:rPr>
                <w:noProof/>
                <w:webHidden/>
              </w:rPr>
              <w:fldChar w:fldCharType="end"/>
            </w:r>
          </w:hyperlink>
        </w:p>
        <w:p w14:paraId="65E82EE5" w14:textId="77777777" w:rsidR="00197F21" w:rsidRDefault="00CE31FC">
          <w:pPr>
            <w:pStyle w:val="TOC3"/>
            <w:tabs>
              <w:tab w:val="right" w:leader="dot" w:pos="9016"/>
            </w:tabs>
            <w:rPr>
              <w:rFonts w:asciiTheme="minorHAnsi" w:eastAsiaTheme="minorEastAsia" w:hAnsiTheme="minorHAnsi" w:cstheme="minorBidi"/>
              <w:noProof/>
              <w:sz w:val="22"/>
              <w:szCs w:val="22"/>
            </w:rPr>
          </w:pPr>
          <w:hyperlink w:anchor="_Toc175149014" w:history="1">
            <w:r w:rsidR="00197F21" w:rsidRPr="00CA06F2">
              <w:rPr>
                <w:rStyle w:val="Hyperlink"/>
                <w:noProof/>
              </w:rPr>
              <w:t>Discussion</w:t>
            </w:r>
            <w:r w:rsidR="00197F21">
              <w:rPr>
                <w:noProof/>
                <w:webHidden/>
              </w:rPr>
              <w:tab/>
            </w:r>
            <w:r w:rsidR="00197F21">
              <w:rPr>
                <w:noProof/>
                <w:webHidden/>
              </w:rPr>
              <w:fldChar w:fldCharType="begin"/>
            </w:r>
            <w:r w:rsidR="00197F21">
              <w:rPr>
                <w:noProof/>
                <w:webHidden/>
              </w:rPr>
              <w:instrText xml:space="preserve"> PAGEREF _Toc175149014 \h </w:instrText>
            </w:r>
            <w:r w:rsidR="00197F21">
              <w:rPr>
                <w:noProof/>
                <w:webHidden/>
              </w:rPr>
            </w:r>
            <w:r w:rsidR="00197F21">
              <w:rPr>
                <w:noProof/>
                <w:webHidden/>
              </w:rPr>
              <w:fldChar w:fldCharType="separate"/>
            </w:r>
            <w:r w:rsidR="00197F21">
              <w:rPr>
                <w:noProof/>
                <w:webHidden/>
              </w:rPr>
              <w:t>25</w:t>
            </w:r>
            <w:r w:rsidR="00197F21">
              <w:rPr>
                <w:noProof/>
                <w:webHidden/>
              </w:rPr>
              <w:fldChar w:fldCharType="end"/>
            </w:r>
          </w:hyperlink>
        </w:p>
        <w:p w14:paraId="175BFE68" w14:textId="77777777" w:rsidR="00197F21" w:rsidRDefault="00CE31FC">
          <w:pPr>
            <w:pStyle w:val="TOC2"/>
            <w:tabs>
              <w:tab w:val="right" w:leader="dot" w:pos="9016"/>
            </w:tabs>
            <w:rPr>
              <w:rFonts w:asciiTheme="minorHAnsi" w:eastAsiaTheme="minorEastAsia" w:hAnsiTheme="minorHAnsi" w:cstheme="minorBidi"/>
              <w:noProof/>
              <w:sz w:val="22"/>
              <w:szCs w:val="22"/>
            </w:rPr>
          </w:pPr>
          <w:hyperlink w:anchor="_Toc175149015" w:history="1">
            <w:r w:rsidR="00197F21" w:rsidRPr="00CA06F2">
              <w:rPr>
                <w:rStyle w:val="Hyperlink"/>
                <w:noProof/>
              </w:rPr>
              <w:t>Comparing PBP, NPV and ARR</w:t>
            </w:r>
            <w:r w:rsidR="00197F21">
              <w:rPr>
                <w:noProof/>
                <w:webHidden/>
              </w:rPr>
              <w:tab/>
            </w:r>
            <w:r w:rsidR="00197F21">
              <w:rPr>
                <w:noProof/>
                <w:webHidden/>
              </w:rPr>
              <w:fldChar w:fldCharType="begin"/>
            </w:r>
            <w:r w:rsidR="00197F21">
              <w:rPr>
                <w:noProof/>
                <w:webHidden/>
              </w:rPr>
              <w:instrText xml:space="preserve"> PAGEREF _Toc175149015 \h </w:instrText>
            </w:r>
            <w:r w:rsidR="00197F21">
              <w:rPr>
                <w:noProof/>
                <w:webHidden/>
              </w:rPr>
            </w:r>
            <w:r w:rsidR="00197F21">
              <w:rPr>
                <w:noProof/>
                <w:webHidden/>
              </w:rPr>
              <w:fldChar w:fldCharType="separate"/>
            </w:r>
            <w:r w:rsidR="00197F21">
              <w:rPr>
                <w:noProof/>
                <w:webHidden/>
              </w:rPr>
              <w:t>26</w:t>
            </w:r>
            <w:r w:rsidR="00197F21">
              <w:rPr>
                <w:noProof/>
                <w:webHidden/>
              </w:rPr>
              <w:fldChar w:fldCharType="end"/>
            </w:r>
          </w:hyperlink>
        </w:p>
        <w:p w14:paraId="3F3B8EE2" w14:textId="77777777" w:rsidR="00197F21" w:rsidRDefault="00CE31FC">
          <w:pPr>
            <w:pStyle w:val="TOC3"/>
            <w:tabs>
              <w:tab w:val="right" w:leader="dot" w:pos="9016"/>
            </w:tabs>
            <w:rPr>
              <w:rFonts w:asciiTheme="minorHAnsi" w:eastAsiaTheme="minorEastAsia" w:hAnsiTheme="minorHAnsi" w:cstheme="minorBidi"/>
              <w:noProof/>
              <w:sz w:val="22"/>
              <w:szCs w:val="22"/>
            </w:rPr>
          </w:pPr>
          <w:hyperlink w:anchor="_Toc175149016" w:history="1">
            <w:r w:rsidR="00197F21" w:rsidRPr="00CA06F2">
              <w:rPr>
                <w:rStyle w:val="Hyperlink"/>
                <w:noProof/>
              </w:rPr>
              <w:t>Payback Period (PBP)</w:t>
            </w:r>
            <w:r w:rsidR="00197F21">
              <w:rPr>
                <w:noProof/>
                <w:webHidden/>
              </w:rPr>
              <w:tab/>
            </w:r>
            <w:r w:rsidR="00197F21">
              <w:rPr>
                <w:noProof/>
                <w:webHidden/>
              </w:rPr>
              <w:fldChar w:fldCharType="begin"/>
            </w:r>
            <w:r w:rsidR="00197F21">
              <w:rPr>
                <w:noProof/>
                <w:webHidden/>
              </w:rPr>
              <w:instrText xml:space="preserve"> PAGEREF _Toc175149016 \h </w:instrText>
            </w:r>
            <w:r w:rsidR="00197F21">
              <w:rPr>
                <w:noProof/>
                <w:webHidden/>
              </w:rPr>
            </w:r>
            <w:r w:rsidR="00197F21">
              <w:rPr>
                <w:noProof/>
                <w:webHidden/>
              </w:rPr>
              <w:fldChar w:fldCharType="separate"/>
            </w:r>
            <w:r w:rsidR="00197F21">
              <w:rPr>
                <w:noProof/>
                <w:webHidden/>
              </w:rPr>
              <w:t>26</w:t>
            </w:r>
            <w:r w:rsidR="00197F21">
              <w:rPr>
                <w:noProof/>
                <w:webHidden/>
              </w:rPr>
              <w:fldChar w:fldCharType="end"/>
            </w:r>
          </w:hyperlink>
        </w:p>
        <w:p w14:paraId="6AE5494B" w14:textId="77777777" w:rsidR="00197F21" w:rsidRDefault="00CE31FC">
          <w:pPr>
            <w:pStyle w:val="TOC3"/>
            <w:tabs>
              <w:tab w:val="right" w:leader="dot" w:pos="9016"/>
            </w:tabs>
            <w:rPr>
              <w:rFonts w:asciiTheme="minorHAnsi" w:eastAsiaTheme="minorEastAsia" w:hAnsiTheme="minorHAnsi" w:cstheme="minorBidi"/>
              <w:noProof/>
              <w:sz w:val="22"/>
              <w:szCs w:val="22"/>
            </w:rPr>
          </w:pPr>
          <w:hyperlink w:anchor="_Toc175149017" w:history="1">
            <w:r w:rsidR="00197F21" w:rsidRPr="00CA06F2">
              <w:rPr>
                <w:rStyle w:val="Hyperlink"/>
                <w:noProof/>
              </w:rPr>
              <w:t>Accounting Rate of Return (ARR)</w:t>
            </w:r>
            <w:r w:rsidR="00197F21">
              <w:rPr>
                <w:noProof/>
                <w:webHidden/>
              </w:rPr>
              <w:tab/>
            </w:r>
            <w:r w:rsidR="00197F21">
              <w:rPr>
                <w:noProof/>
                <w:webHidden/>
              </w:rPr>
              <w:fldChar w:fldCharType="begin"/>
            </w:r>
            <w:r w:rsidR="00197F21">
              <w:rPr>
                <w:noProof/>
                <w:webHidden/>
              </w:rPr>
              <w:instrText xml:space="preserve"> PAGEREF _Toc175149017 \h </w:instrText>
            </w:r>
            <w:r w:rsidR="00197F21">
              <w:rPr>
                <w:noProof/>
                <w:webHidden/>
              </w:rPr>
            </w:r>
            <w:r w:rsidR="00197F21">
              <w:rPr>
                <w:noProof/>
                <w:webHidden/>
              </w:rPr>
              <w:fldChar w:fldCharType="separate"/>
            </w:r>
            <w:r w:rsidR="00197F21">
              <w:rPr>
                <w:noProof/>
                <w:webHidden/>
              </w:rPr>
              <w:t>27</w:t>
            </w:r>
            <w:r w:rsidR="00197F21">
              <w:rPr>
                <w:noProof/>
                <w:webHidden/>
              </w:rPr>
              <w:fldChar w:fldCharType="end"/>
            </w:r>
          </w:hyperlink>
        </w:p>
        <w:p w14:paraId="7939B03D" w14:textId="77777777" w:rsidR="00197F21" w:rsidRDefault="00CE31FC">
          <w:pPr>
            <w:pStyle w:val="TOC3"/>
            <w:tabs>
              <w:tab w:val="right" w:leader="dot" w:pos="9016"/>
            </w:tabs>
            <w:rPr>
              <w:rFonts w:asciiTheme="minorHAnsi" w:eastAsiaTheme="minorEastAsia" w:hAnsiTheme="minorHAnsi" w:cstheme="minorBidi"/>
              <w:noProof/>
              <w:sz w:val="22"/>
              <w:szCs w:val="22"/>
            </w:rPr>
          </w:pPr>
          <w:hyperlink w:anchor="_Toc175149018" w:history="1">
            <w:r w:rsidR="00197F21" w:rsidRPr="00CA06F2">
              <w:rPr>
                <w:rStyle w:val="Hyperlink"/>
                <w:noProof/>
              </w:rPr>
              <w:t>Net Present Value (NPV)</w:t>
            </w:r>
            <w:r w:rsidR="00197F21">
              <w:rPr>
                <w:noProof/>
                <w:webHidden/>
              </w:rPr>
              <w:tab/>
            </w:r>
            <w:r w:rsidR="00197F21">
              <w:rPr>
                <w:noProof/>
                <w:webHidden/>
              </w:rPr>
              <w:fldChar w:fldCharType="begin"/>
            </w:r>
            <w:r w:rsidR="00197F21">
              <w:rPr>
                <w:noProof/>
                <w:webHidden/>
              </w:rPr>
              <w:instrText xml:space="preserve"> PAGEREF _Toc175149018 \h </w:instrText>
            </w:r>
            <w:r w:rsidR="00197F21">
              <w:rPr>
                <w:noProof/>
                <w:webHidden/>
              </w:rPr>
            </w:r>
            <w:r w:rsidR="00197F21">
              <w:rPr>
                <w:noProof/>
                <w:webHidden/>
              </w:rPr>
              <w:fldChar w:fldCharType="separate"/>
            </w:r>
            <w:r w:rsidR="00197F21">
              <w:rPr>
                <w:noProof/>
                <w:webHidden/>
              </w:rPr>
              <w:t>27</w:t>
            </w:r>
            <w:r w:rsidR="00197F21">
              <w:rPr>
                <w:noProof/>
                <w:webHidden/>
              </w:rPr>
              <w:fldChar w:fldCharType="end"/>
            </w:r>
          </w:hyperlink>
        </w:p>
        <w:p w14:paraId="352B06E0" w14:textId="77777777" w:rsidR="00197F21" w:rsidRDefault="00CE31FC">
          <w:pPr>
            <w:pStyle w:val="TOC3"/>
            <w:tabs>
              <w:tab w:val="right" w:leader="dot" w:pos="9016"/>
            </w:tabs>
            <w:rPr>
              <w:rFonts w:asciiTheme="minorHAnsi" w:eastAsiaTheme="minorEastAsia" w:hAnsiTheme="minorHAnsi" w:cstheme="minorBidi"/>
              <w:noProof/>
              <w:sz w:val="22"/>
              <w:szCs w:val="22"/>
            </w:rPr>
          </w:pPr>
          <w:hyperlink w:anchor="_Toc175149019" w:history="1">
            <w:r w:rsidR="00197F21" w:rsidRPr="00CA06F2">
              <w:rPr>
                <w:rStyle w:val="Hyperlink"/>
                <w:noProof/>
              </w:rPr>
              <w:t>Non-Financial Factors in Capital Project Evaluation</w:t>
            </w:r>
            <w:r w:rsidR="00197F21">
              <w:rPr>
                <w:noProof/>
                <w:webHidden/>
              </w:rPr>
              <w:tab/>
            </w:r>
            <w:r w:rsidR="00197F21">
              <w:rPr>
                <w:noProof/>
                <w:webHidden/>
              </w:rPr>
              <w:fldChar w:fldCharType="begin"/>
            </w:r>
            <w:r w:rsidR="00197F21">
              <w:rPr>
                <w:noProof/>
                <w:webHidden/>
              </w:rPr>
              <w:instrText xml:space="preserve"> PAGEREF _Toc175149019 \h </w:instrText>
            </w:r>
            <w:r w:rsidR="00197F21">
              <w:rPr>
                <w:noProof/>
                <w:webHidden/>
              </w:rPr>
            </w:r>
            <w:r w:rsidR="00197F21">
              <w:rPr>
                <w:noProof/>
                <w:webHidden/>
              </w:rPr>
              <w:fldChar w:fldCharType="separate"/>
            </w:r>
            <w:r w:rsidR="00197F21">
              <w:rPr>
                <w:noProof/>
                <w:webHidden/>
              </w:rPr>
              <w:t>28</w:t>
            </w:r>
            <w:r w:rsidR="00197F21">
              <w:rPr>
                <w:noProof/>
                <w:webHidden/>
              </w:rPr>
              <w:fldChar w:fldCharType="end"/>
            </w:r>
          </w:hyperlink>
        </w:p>
        <w:p w14:paraId="4EB39CCF" w14:textId="77777777" w:rsidR="00197F21" w:rsidRDefault="00CE31FC">
          <w:pPr>
            <w:pStyle w:val="TOC3"/>
            <w:tabs>
              <w:tab w:val="right" w:leader="dot" w:pos="9016"/>
            </w:tabs>
            <w:rPr>
              <w:rFonts w:asciiTheme="minorHAnsi" w:eastAsiaTheme="minorEastAsia" w:hAnsiTheme="minorHAnsi" w:cstheme="minorBidi"/>
              <w:noProof/>
              <w:sz w:val="22"/>
              <w:szCs w:val="22"/>
            </w:rPr>
          </w:pPr>
          <w:hyperlink w:anchor="_Toc175149020" w:history="1">
            <w:r w:rsidR="00197F21" w:rsidRPr="00CA06F2">
              <w:rPr>
                <w:rStyle w:val="Hyperlink"/>
                <w:noProof/>
              </w:rPr>
              <w:t>Conclusion</w:t>
            </w:r>
            <w:r w:rsidR="00197F21">
              <w:rPr>
                <w:noProof/>
                <w:webHidden/>
              </w:rPr>
              <w:tab/>
            </w:r>
            <w:r w:rsidR="00197F21">
              <w:rPr>
                <w:noProof/>
                <w:webHidden/>
              </w:rPr>
              <w:fldChar w:fldCharType="begin"/>
            </w:r>
            <w:r w:rsidR="00197F21">
              <w:rPr>
                <w:noProof/>
                <w:webHidden/>
              </w:rPr>
              <w:instrText xml:space="preserve"> PAGEREF _Toc175149020 \h </w:instrText>
            </w:r>
            <w:r w:rsidR="00197F21">
              <w:rPr>
                <w:noProof/>
                <w:webHidden/>
              </w:rPr>
            </w:r>
            <w:r w:rsidR="00197F21">
              <w:rPr>
                <w:noProof/>
                <w:webHidden/>
              </w:rPr>
              <w:fldChar w:fldCharType="separate"/>
            </w:r>
            <w:r w:rsidR="00197F21">
              <w:rPr>
                <w:noProof/>
                <w:webHidden/>
              </w:rPr>
              <w:t>29</w:t>
            </w:r>
            <w:r w:rsidR="00197F21">
              <w:rPr>
                <w:noProof/>
                <w:webHidden/>
              </w:rPr>
              <w:fldChar w:fldCharType="end"/>
            </w:r>
          </w:hyperlink>
        </w:p>
        <w:p w14:paraId="5B939E71" w14:textId="77777777" w:rsidR="00197F21" w:rsidRDefault="00CE31FC">
          <w:pPr>
            <w:pStyle w:val="TOC1"/>
            <w:tabs>
              <w:tab w:val="right" w:leader="dot" w:pos="9016"/>
            </w:tabs>
            <w:rPr>
              <w:rFonts w:asciiTheme="minorHAnsi" w:eastAsiaTheme="minorEastAsia" w:hAnsiTheme="minorHAnsi" w:cstheme="minorBidi"/>
              <w:noProof/>
              <w:sz w:val="22"/>
              <w:szCs w:val="22"/>
            </w:rPr>
          </w:pPr>
          <w:hyperlink w:anchor="_Toc175149021" w:history="1">
            <w:r w:rsidR="00197F21" w:rsidRPr="00CA06F2">
              <w:rPr>
                <w:rStyle w:val="Hyperlink"/>
                <w:noProof/>
              </w:rPr>
              <w:t>References</w:t>
            </w:r>
            <w:r w:rsidR="00197F21">
              <w:rPr>
                <w:noProof/>
                <w:webHidden/>
              </w:rPr>
              <w:tab/>
            </w:r>
            <w:r w:rsidR="00197F21">
              <w:rPr>
                <w:noProof/>
                <w:webHidden/>
              </w:rPr>
              <w:fldChar w:fldCharType="begin"/>
            </w:r>
            <w:r w:rsidR="00197F21">
              <w:rPr>
                <w:noProof/>
                <w:webHidden/>
              </w:rPr>
              <w:instrText xml:space="preserve"> PAGEREF _Toc175149021 \h </w:instrText>
            </w:r>
            <w:r w:rsidR="00197F21">
              <w:rPr>
                <w:noProof/>
                <w:webHidden/>
              </w:rPr>
            </w:r>
            <w:r w:rsidR="00197F21">
              <w:rPr>
                <w:noProof/>
                <w:webHidden/>
              </w:rPr>
              <w:fldChar w:fldCharType="separate"/>
            </w:r>
            <w:r w:rsidR="00197F21">
              <w:rPr>
                <w:noProof/>
                <w:webHidden/>
              </w:rPr>
              <w:t>30</w:t>
            </w:r>
            <w:r w:rsidR="00197F21">
              <w:rPr>
                <w:noProof/>
                <w:webHidden/>
              </w:rPr>
              <w:fldChar w:fldCharType="end"/>
            </w:r>
          </w:hyperlink>
        </w:p>
        <w:p w14:paraId="49324ECF" w14:textId="77777777" w:rsidR="00197F21" w:rsidRDefault="00CE31FC">
          <w:pPr>
            <w:pStyle w:val="TOC1"/>
            <w:tabs>
              <w:tab w:val="right" w:leader="dot" w:pos="9016"/>
            </w:tabs>
            <w:rPr>
              <w:rFonts w:asciiTheme="minorHAnsi" w:eastAsiaTheme="minorEastAsia" w:hAnsiTheme="minorHAnsi" w:cstheme="minorBidi"/>
              <w:noProof/>
              <w:sz w:val="22"/>
              <w:szCs w:val="22"/>
            </w:rPr>
          </w:pPr>
          <w:hyperlink w:anchor="_Toc175149022" w:history="1">
            <w:r w:rsidR="00197F21" w:rsidRPr="00CA06F2">
              <w:rPr>
                <w:rStyle w:val="Hyperlink"/>
                <w:noProof/>
              </w:rPr>
              <w:t>Appendix A</w:t>
            </w:r>
            <w:r w:rsidR="00197F21">
              <w:rPr>
                <w:noProof/>
                <w:webHidden/>
              </w:rPr>
              <w:tab/>
            </w:r>
            <w:r w:rsidR="00197F21">
              <w:rPr>
                <w:noProof/>
                <w:webHidden/>
              </w:rPr>
              <w:fldChar w:fldCharType="begin"/>
            </w:r>
            <w:r w:rsidR="00197F21">
              <w:rPr>
                <w:noProof/>
                <w:webHidden/>
              </w:rPr>
              <w:instrText xml:space="preserve"> PAGEREF _Toc175149022 \h </w:instrText>
            </w:r>
            <w:r w:rsidR="00197F21">
              <w:rPr>
                <w:noProof/>
                <w:webHidden/>
              </w:rPr>
            </w:r>
            <w:r w:rsidR="00197F21">
              <w:rPr>
                <w:noProof/>
                <w:webHidden/>
              </w:rPr>
              <w:fldChar w:fldCharType="separate"/>
            </w:r>
            <w:r w:rsidR="00197F21">
              <w:rPr>
                <w:noProof/>
                <w:webHidden/>
              </w:rPr>
              <w:t>32</w:t>
            </w:r>
            <w:r w:rsidR="00197F21">
              <w:rPr>
                <w:noProof/>
                <w:webHidden/>
              </w:rPr>
              <w:fldChar w:fldCharType="end"/>
            </w:r>
          </w:hyperlink>
        </w:p>
        <w:p w14:paraId="4EDB816B" w14:textId="62235C39" w:rsidR="009F09D9" w:rsidRDefault="009F09D9" w:rsidP="00B50438">
          <w:r>
            <w:rPr>
              <w:noProof/>
            </w:rPr>
            <w:fldChar w:fldCharType="end"/>
          </w:r>
        </w:p>
      </w:sdtContent>
    </w:sdt>
    <w:p w14:paraId="6FC8020A" w14:textId="77777777" w:rsidR="009F09D9" w:rsidRDefault="009F09D9" w:rsidP="00B50438">
      <w:pPr>
        <w:sectPr w:rsidR="009F09D9">
          <w:pgSz w:w="11906" w:h="16838"/>
          <w:pgMar w:top="1440" w:right="1440" w:bottom="1440" w:left="1440" w:header="720" w:footer="720" w:gutter="0"/>
          <w:pgNumType w:start="1"/>
          <w:cols w:space="720"/>
        </w:sectPr>
      </w:pPr>
    </w:p>
    <w:bookmarkStart w:id="0" w:name="_Toc175148995"/>
    <w:p w14:paraId="00000001" w14:textId="27CC5968" w:rsidR="00424676" w:rsidRPr="009F09D9" w:rsidRDefault="006C4055" w:rsidP="00B50438">
      <w:pPr>
        <w:pStyle w:val="Heading1"/>
      </w:pPr>
      <w:r>
        <w:rPr>
          <w:noProof/>
        </w:rPr>
        <w:lastRenderedPageBreak/>
        <mc:AlternateContent>
          <mc:Choice Requires="wps">
            <w:drawing>
              <wp:anchor distT="0" distB="0" distL="114300" distR="114300" simplePos="0" relativeHeight="251661312" behindDoc="0" locked="0" layoutInCell="1" allowOverlap="1" wp14:anchorId="658EA17A" wp14:editId="130244BD">
                <wp:simplePos x="0" y="0"/>
                <wp:positionH relativeFrom="column">
                  <wp:posOffset>-66675</wp:posOffset>
                </wp:positionH>
                <wp:positionV relativeFrom="paragraph">
                  <wp:posOffset>323850</wp:posOffset>
                </wp:positionV>
                <wp:extent cx="5695950" cy="0"/>
                <wp:effectExtent l="38100" t="38100" r="57150" b="95250"/>
                <wp:wrapNone/>
                <wp:docPr id="7" name="Straight Connector 7"/>
                <wp:cNvGraphicFramePr/>
                <a:graphic xmlns:a="http://schemas.openxmlformats.org/drawingml/2006/main">
                  <a:graphicData uri="http://schemas.microsoft.com/office/word/2010/wordprocessingShape">
                    <wps:wsp>
                      <wps:cNvCnPr/>
                      <wps:spPr>
                        <a:xfrm>
                          <a:off x="0" y="0"/>
                          <a:ext cx="5695950" cy="0"/>
                        </a:xfrm>
                        <a:prstGeom prst="line">
                          <a:avLst/>
                        </a:prstGeom>
                        <a:ln w="12700">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7"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5.25pt,25.5pt" to="443.25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" strokecolor="black [3213]" strokeweight="1pt">
                <v:shadow on="t" color="black" opacity="24903f" origin=",.5" offset="0,.55556mm"/>
              </v:line>
            </w:pict>
          </mc:Fallback>
        </mc:AlternateContent>
      </w:r>
      <w:r w:rsidR="006C7EF6" w:rsidRPr="009F09D9">
        <w:t>Part A: Introduction</w:t>
      </w:r>
      <w:bookmarkEnd w:id="0"/>
    </w:p>
    <w:p w14:paraId="5A34DAA3" w14:textId="00BF2960" w:rsidR="00F9490E" w:rsidRDefault="00F9490E" w:rsidP="006C4055">
      <w:pPr>
        <w:jc w:val="center"/>
      </w:pPr>
      <w:r>
        <w:rPr>
          <w:noProof/>
        </w:rPr>
        <w:drawing>
          <wp:inline distT="0" distB="0" distL="0" distR="0" wp14:anchorId="04FB40D6" wp14:editId="35F30033">
            <wp:extent cx="2857500" cy="904875"/>
            <wp:effectExtent l="0" t="0" r="0" b="9525"/>
            <wp:docPr id="4" name="Picture 4" descr="Kingfisher plc Logo PNG Vector (EPS, SVG) Free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Kingfisher plc Logo PNG Vector (EPS, SVG) Free Downloa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57500" cy="904875"/>
                    </a:xfrm>
                    <a:prstGeom prst="rect">
                      <a:avLst/>
                    </a:prstGeom>
                    <a:noFill/>
                    <a:ln>
                      <a:noFill/>
                    </a:ln>
                  </pic:spPr>
                </pic:pic>
              </a:graphicData>
            </a:graphic>
          </wp:inline>
        </w:drawing>
      </w:r>
    </w:p>
    <w:p w14:paraId="7B1B5B56" w14:textId="7C0DA763" w:rsidR="00F9490E" w:rsidRPr="00F9490E" w:rsidRDefault="00F9490E" w:rsidP="006C4055">
      <w:pPr>
        <w:jc w:val="center"/>
      </w:pPr>
      <w:r w:rsidRPr="00F9490E">
        <w:rPr>
          <w:b/>
        </w:rPr>
        <w:t xml:space="preserve">Figure: </w:t>
      </w:r>
      <w:r w:rsidRPr="00F9490E">
        <w:t>Kingfisher PLC. Logo</w:t>
      </w:r>
    </w:p>
    <w:p w14:paraId="00000005" w14:textId="04FB3C89" w:rsidR="00424676" w:rsidRPr="009F09D9" w:rsidRDefault="00F9490E" w:rsidP="00B50438">
      <w:pPr>
        <w:pStyle w:val="Heading2"/>
      </w:pPr>
      <w:bookmarkStart w:id="1" w:name="_Toc175148996"/>
      <w:r w:rsidRPr="009F09D9">
        <w:t>Background</w:t>
      </w:r>
      <w:bookmarkEnd w:id="1"/>
    </w:p>
    <w:p w14:paraId="3BD0E3D0" w14:textId="0E244354" w:rsidR="00C04818" w:rsidRDefault="006C7EF6" w:rsidP="00B50438">
      <w:r w:rsidRPr="00F9490E">
        <w:t>Kingfisher PLC is a</w:t>
      </w:r>
      <w:r w:rsidR="00A029EE">
        <w:t xml:space="preserve"> public limited company based in London, </w:t>
      </w:r>
      <w:proofErr w:type="gramStart"/>
      <w:r w:rsidR="00A029EE">
        <w:t>it  is</w:t>
      </w:r>
      <w:proofErr w:type="gramEnd"/>
      <w:r w:rsidR="00A029EE">
        <w:t xml:space="preserve"> l</w:t>
      </w:r>
      <w:r w:rsidR="00A029EE">
        <w:t xml:space="preserve">isted in the London Stock Exchange, trading under the symbol </w:t>
      </w:r>
      <w:r w:rsidR="00A029EE" w:rsidRPr="00286729">
        <w:rPr>
          <w:i/>
        </w:rPr>
        <w:t>KGF</w:t>
      </w:r>
      <w:r w:rsidR="00A029EE">
        <w:rPr>
          <w:i/>
        </w:rPr>
        <w:t>.</w:t>
      </w:r>
      <w:r w:rsidR="00A029EE">
        <w:rPr>
          <w:i/>
        </w:rPr>
        <w:t xml:space="preserve"> </w:t>
      </w:r>
      <w:r w:rsidR="00A029EE" w:rsidRPr="00A029EE">
        <w:t>This company</w:t>
      </w:r>
      <w:r w:rsidR="00A029EE">
        <w:t xml:space="preserve"> </w:t>
      </w:r>
      <w:r w:rsidR="00396BF4">
        <w:t xml:space="preserve">is a market leader </w:t>
      </w:r>
      <w:r w:rsidR="00A029EE">
        <w:t xml:space="preserve">in the home improvement products </w:t>
      </w:r>
      <w:r w:rsidR="00396BF4">
        <w:t xml:space="preserve">space </w:t>
      </w:r>
      <w:r w:rsidR="00A029EE">
        <w:t xml:space="preserve">which is dominates both the UK as well as the EU. </w:t>
      </w:r>
      <w:r w:rsidRPr="00F9490E">
        <w:t>The company was founded in 1982</w:t>
      </w:r>
      <w:r>
        <w:t xml:space="preserve"> </w:t>
      </w:r>
      <w:r w:rsidRPr="00F9490E">
        <w:t>as Woolworth Holdings PLC</w:t>
      </w:r>
      <w:r>
        <w:t xml:space="preserve"> after</w:t>
      </w:r>
      <w:r w:rsidRPr="00F9490E">
        <w:t xml:space="preserve"> a demerger from the original Woolworth Group. </w:t>
      </w:r>
      <w:r w:rsidR="009F09D9" w:rsidRPr="00F9490E">
        <w:t xml:space="preserve">The company </w:t>
      </w:r>
      <w:r w:rsidR="009F09D9">
        <w:t xml:space="preserve">was later </w:t>
      </w:r>
      <w:r w:rsidR="009F09D9" w:rsidRPr="00F9490E">
        <w:t xml:space="preserve">rebranded as Kingfisher PLC in 1989 to reflect its broader retail interests beyond the Woolworth name. </w:t>
      </w:r>
    </w:p>
    <w:p w14:paraId="54ABAD7C" w14:textId="3EA90F93" w:rsidR="00C04818" w:rsidRDefault="00811F75" w:rsidP="00B50438">
      <w:r>
        <w:t xml:space="preserve">Over the years, </w:t>
      </w:r>
      <w:r w:rsidR="006C7EF6" w:rsidRPr="00F9490E">
        <w:t>Kingfisher has evolved significantly</w:t>
      </w:r>
      <w:r>
        <w:t xml:space="preserve"> by</w:t>
      </w:r>
      <w:r w:rsidR="006C7EF6" w:rsidRPr="00F9490E">
        <w:t xml:space="preserve"> growing through a series of </w:t>
      </w:r>
      <w:r w:rsidR="009F09D9">
        <w:t xml:space="preserve">strategic </w:t>
      </w:r>
      <w:r w:rsidR="006C7EF6" w:rsidRPr="00F9490E">
        <w:t>acquisitions and divestitures to become one of Europe’s largest home improvement retailers.</w:t>
      </w:r>
      <w:r>
        <w:t xml:space="preserve"> This was reflected in multiple acquisitions by the company in the late 1990 and early 2000’s which include </w:t>
      </w:r>
      <w:r w:rsidRPr="00F9490E">
        <w:t xml:space="preserve">the French home improvement chain </w:t>
      </w:r>
      <w:proofErr w:type="spellStart"/>
      <w:r w:rsidRPr="00F9490E">
        <w:t>Castorama</w:t>
      </w:r>
      <w:proofErr w:type="spellEnd"/>
      <w:r w:rsidRPr="00F9490E">
        <w:t xml:space="preserve"> and the British DIY retailer B&amp;Q</w:t>
      </w:r>
      <w:r>
        <w:t xml:space="preserve">. </w:t>
      </w:r>
      <w:r w:rsidR="00B50438" w:rsidRPr="006C4055">
        <w:rPr>
          <w:rFonts w:ascii="Calibri" w:hAnsi="Calibri" w:cs="Calibri"/>
        </w:rPr>
        <w:t xml:space="preserve">One of its most successful acquisitions </w:t>
      </w:r>
      <w:r w:rsidR="00B50438" w:rsidRPr="006C4055">
        <w:rPr>
          <w:rFonts w:ascii="Calibri" w:hAnsi="Calibri" w:cs="Calibri"/>
          <w:color w:val="202122"/>
          <w:shd w:val="clear" w:color="auto" w:fill="FFFFFF"/>
        </w:rPr>
        <w:t xml:space="preserve">has been that of </w:t>
      </w:r>
      <w:proofErr w:type="spellStart"/>
      <w:r w:rsidR="00B50438" w:rsidRPr="006C4055">
        <w:rPr>
          <w:rFonts w:ascii="Calibri" w:hAnsi="Calibri" w:cs="Calibri"/>
          <w:color w:val="202122"/>
          <w:shd w:val="clear" w:color="auto" w:fill="FFFFFF"/>
        </w:rPr>
        <w:t>Screwfix</w:t>
      </w:r>
      <w:proofErr w:type="spellEnd"/>
      <w:r w:rsidR="00B50438" w:rsidRPr="006C4055">
        <w:rPr>
          <w:rFonts w:ascii="Calibri" w:hAnsi="Calibri" w:cs="Calibri"/>
          <w:color w:val="202122"/>
          <w:shd w:val="clear" w:color="auto" w:fill="FFFFFF"/>
        </w:rPr>
        <w:t xml:space="preserve"> in July 1999, which </w:t>
      </w:r>
      <w:r w:rsidR="00881381">
        <w:rPr>
          <w:rFonts w:ascii="Calibri" w:hAnsi="Calibri" w:cs="Calibri"/>
          <w:color w:val="202122"/>
          <w:shd w:val="clear" w:color="auto" w:fill="FFFFFF"/>
        </w:rPr>
        <w:t xml:space="preserve">was also a retailer of various home improvement and </w:t>
      </w:r>
      <w:proofErr w:type="spellStart"/>
      <w:r w:rsidR="00881381">
        <w:rPr>
          <w:rFonts w:ascii="Calibri" w:hAnsi="Calibri" w:cs="Calibri"/>
          <w:color w:val="202122"/>
          <w:shd w:val="clear" w:color="auto" w:fill="FFFFFF"/>
        </w:rPr>
        <w:t>constrction</w:t>
      </w:r>
      <w:proofErr w:type="spellEnd"/>
      <w:r w:rsidR="00881381">
        <w:rPr>
          <w:rFonts w:ascii="Calibri" w:hAnsi="Calibri" w:cs="Calibri"/>
          <w:color w:val="202122"/>
          <w:shd w:val="clear" w:color="auto" w:fill="FFFFFF"/>
        </w:rPr>
        <w:t xml:space="preserve"> tools. The company later </w:t>
      </w:r>
      <w:r w:rsidR="00B50438" w:rsidRPr="006C4055">
        <w:rPr>
          <w:rFonts w:ascii="Calibri" w:hAnsi="Calibri" w:cs="Calibri"/>
          <w:color w:val="202122"/>
          <w:shd w:val="clear" w:color="auto" w:fill="FFFFFF"/>
        </w:rPr>
        <w:t xml:space="preserve">went on to become </w:t>
      </w:r>
      <w:r w:rsidR="00881381">
        <w:rPr>
          <w:rFonts w:ascii="Calibri" w:hAnsi="Calibri" w:cs="Calibri"/>
          <w:color w:val="202122"/>
          <w:shd w:val="clear" w:color="auto" w:fill="FFFFFF"/>
        </w:rPr>
        <w:t>the largest of its kind in the UK alone.</w:t>
      </w:r>
      <w:r w:rsidR="00B50438" w:rsidRPr="006C4055">
        <w:rPr>
          <w:rFonts w:ascii="Calibri" w:hAnsi="Calibri" w:cs="Calibri"/>
          <w:color w:val="202122"/>
          <w:shd w:val="clear" w:color="auto" w:fill="FFFFFF"/>
        </w:rPr>
        <w:t xml:space="preserve"> </w:t>
      </w:r>
      <w:r w:rsidRPr="006C4055">
        <w:rPr>
          <w:rFonts w:ascii="Calibri" w:hAnsi="Calibri" w:cs="Calibri"/>
        </w:rPr>
        <w:t xml:space="preserve">These subsidiaries </w:t>
      </w:r>
      <w:r w:rsidR="006C7EF6" w:rsidRPr="006C4055">
        <w:rPr>
          <w:rFonts w:ascii="Calibri" w:hAnsi="Calibri" w:cs="Calibri"/>
        </w:rPr>
        <w:t xml:space="preserve">remain integral parts of </w:t>
      </w:r>
      <w:proofErr w:type="spellStart"/>
      <w:r w:rsidRPr="006C4055">
        <w:rPr>
          <w:rFonts w:ascii="Calibri" w:hAnsi="Calibri" w:cs="Calibri"/>
        </w:rPr>
        <w:t>Kinfisher’s</w:t>
      </w:r>
      <w:proofErr w:type="spellEnd"/>
      <w:r w:rsidRPr="006C4055">
        <w:rPr>
          <w:rFonts w:ascii="Calibri" w:hAnsi="Calibri" w:cs="Calibri"/>
        </w:rPr>
        <w:t xml:space="preserve"> operations and allow it to control a substantial market </w:t>
      </w:r>
      <w:r w:rsidRPr="006C4055">
        <w:rPr>
          <w:rFonts w:ascii="Calibri" w:hAnsi="Calibri" w:cs="Calibri"/>
        </w:rPr>
        <w:lastRenderedPageBreak/>
        <w:t xml:space="preserve">share in the industry. </w:t>
      </w:r>
      <w:r w:rsidR="006C7EF6" w:rsidRPr="006C4055">
        <w:rPr>
          <w:rFonts w:ascii="Calibri" w:hAnsi="Calibri" w:cs="Calibri"/>
        </w:rPr>
        <w:t xml:space="preserve">Kingfisher </w:t>
      </w:r>
      <w:r w:rsidR="009F09D9" w:rsidRPr="006C4055">
        <w:rPr>
          <w:rFonts w:ascii="Calibri" w:hAnsi="Calibri" w:cs="Calibri"/>
        </w:rPr>
        <w:t xml:space="preserve">currently </w:t>
      </w:r>
      <w:r w:rsidR="006C7EF6" w:rsidRPr="006C4055">
        <w:rPr>
          <w:rFonts w:ascii="Calibri" w:hAnsi="Calibri" w:cs="Calibri"/>
        </w:rPr>
        <w:t xml:space="preserve">operates </w:t>
      </w:r>
      <w:r w:rsidR="00C04818" w:rsidRPr="006C4055">
        <w:rPr>
          <w:rFonts w:ascii="Calibri" w:hAnsi="Calibri" w:cs="Calibri"/>
        </w:rPr>
        <w:t xml:space="preserve">around 1,300 stores </w:t>
      </w:r>
      <w:r w:rsidR="006C7EF6" w:rsidRPr="006C4055">
        <w:rPr>
          <w:rFonts w:ascii="Calibri" w:hAnsi="Calibri" w:cs="Calibri"/>
        </w:rPr>
        <w:t xml:space="preserve">across </w:t>
      </w:r>
      <w:r w:rsidR="00C04818" w:rsidRPr="006C4055">
        <w:rPr>
          <w:rFonts w:ascii="Calibri" w:hAnsi="Calibri" w:cs="Calibri"/>
        </w:rPr>
        <w:t xml:space="preserve">9 </w:t>
      </w:r>
      <w:r w:rsidR="006C7EF6" w:rsidRPr="006C4055">
        <w:rPr>
          <w:rFonts w:ascii="Calibri" w:hAnsi="Calibri" w:cs="Calibri"/>
        </w:rPr>
        <w:t>countries</w:t>
      </w:r>
      <w:r w:rsidR="00C04818" w:rsidRPr="006C4055">
        <w:rPr>
          <w:rFonts w:ascii="Calibri" w:hAnsi="Calibri" w:cs="Calibri"/>
        </w:rPr>
        <w:t xml:space="preserve"> employing more 75,000 personnel</w:t>
      </w:r>
      <w:r w:rsidR="00C50968">
        <w:rPr>
          <w:rFonts w:ascii="Calibri" w:hAnsi="Calibri" w:cs="Calibri"/>
        </w:rPr>
        <w:t xml:space="preserve"> </w:t>
      </w:r>
      <w:r w:rsidR="00C50968" w:rsidRPr="00C50968">
        <w:rPr>
          <w:rFonts w:ascii="Times New Roman" w:eastAsia="Times New Roman" w:hAnsi="Times New Roman" w:cs="Times New Roman"/>
        </w:rPr>
        <w:t>(</w:t>
      </w:r>
      <w:r w:rsidR="00C50968" w:rsidRPr="00C50968">
        <w:rPr>
          <w:rFonts w:ascii="Times New Roman" w:eastAsia="Times New Roman" w:hAnsi="Times New Roman" w:cs="Times New Roman"/>
          <w:i/>
          <w:iCs/>
        </w:rPr>
        <w:t>Kingfisher PLC</w:t>
      </w:r>
      <w:r w:rsidR="00C50968" w:rsidRPr="00C50968">
        <w:rPr>
          <w:rFonts w:ascii="Times New Roman" w:eastAsia="Times New Roman" w:hAnsi="Times New Roman" w:cs="Times New Roman"/>
        </w:rPr>
        <w:t>, 2024)</w:t>
      </w:r>
      <w:r w:rsidR="00C04818">
        <w:t xml:space="preserve">. </w:t>
      </w:r>
      <w:r w:rsidR="00B50438">
        <w:t xml:space="preserve"> </w:t>
      </w:r>
    </w:p>
    <w:p w14:paraId="0000000A" w14:textId="354DF68A" w:rsidR="00424676" w:rsidRPr="00F9490E" w:rsidRDefault="006C7EF6" w:rsidP="00B50438">
      <w:pPr>
        <w:pStyle w:val="Heading2"/>
      </w:pPr>
      <w:bookmarkStart w:id="2" w:name="_Toc175148997"/>
      <w:r w:rsidRPr="00F9490E">
        <w:t>Business Model</w:t>
      </w:r>
      <w:bookmarkEnd w:id="2"/>
    </w:p>
    <w:p w14:paraId="0000000C" w14:textId="2BD4921E" w:rsidR="00424676" w:rsidRDefault="006C7EF6" w:rsidP="00B50438">
      <w:r w:rsidRPr="00F9490E">
        <w:t xml:space="preserve">Kingfisher’s business model centers on providing a wide range of home improvement products to </w:t>
      </w:r>
      <w:r w:rsidR="00C04818">
        <w:t xml:space="preserve">retail </w:t>
      </w:r>
      <w:r w:rsidRPr="00F9490E">
        <w:t xml:space="preserve">and professional </w:t>
      </w:r>
      <w:r w:rsidR="00C04818">
        <w:t>consumers</w:t>
      </w:r>
      <w:r w:rsidRPr="00F9490E">
        <w:t>. The company operates through both physical stores and online platforms</w:t>
      </w:r>
      <w:r w:rsidR="00C04818">
        <w:t xml:space="preserve"> that enable it to offer a range of </w:t>
      </w:r>
      <w:r w:rsidRPr="00F9490E">
        <w:t xml:space="preserve">products </w:t>
      </w:r>
      <w:r w:rsidR="00C04818">
        <w:t>from</w:t>
      </w:r>
      <w:r w:rsidRPr="00F9490E">
        <w:t xml:space="preserve"> building materials, </w:t>
      </w:r>
      <w:r w:rsidR="00C04818" w:rsidRPr="00F9490E">
        <w:t>electrical</w:t>
      </w:r>
      <w:r w:rsidRPr="00F9490E">
        <w:t xml:space="preserve">, plumbing </w:t>
      </w:r>
      <w:r w:rsidR="00C04818">
        <w:t xml:space="preserve">to </w:t>
      </w:r>
      <w:r w:rsidRPr="00F9490E">
        <w:t>garden products.</w:t>
      </w:r>
      <w:r w:rsidR="00C04818">
        <w:t xml:space="preserve"> Moreover, </w:t>
      </w:r>
      <w:r w:rsidR="00C04818" w:rsidRPr="00F9490E">
        <w:t>Kingfisher</w:t>
      </w:r>
      <w:r w:rsidRPr="00F9490E">
        <w:t xml:space="preserve"> has adopted a “One Kingfisher” strategy </w:t>
      </w:r>
      <w:r w:rsidR="00C04818">
        <w:t xml:space="preserve">which is </w:t>
      </w:r>
      <w:r w:rsidRPr="00F9490E">
        <w:t>aimed at leveraging its scale and resources across different markets</w:t>
      </w:r>
      <w:r w:rsidR="00C04818">
        <w:t xml:space="preserve"> </w:t>
      </w:r>
      <w:r w:rsidRPr="00F9490E">
        <w:t>focus</w:t>
      </w:r>
      <w:r w:rsidR="00C04818">
        <w:t>ing</w:t>
      </w:r>
      <w:r w:rsidRPr="00F9490E">
        <w:t xml:space="preserve"> on simplifying its business</w:t>
      </w:r>
      <w:r w:rsidR="00C04818">
        <w:t xml:space="preserve"> by</w:t>
      </w:r>
      <w:r w:rsidRPr="00F9490E">
        <w:t xml:space="preserve"> unifying product ranges</w:t>
      </w:r>
      <w:r w:rsidR="00C04818">
        <w:t xml:space="preserve"> as well as </w:t>
      </w:r>
      <w:r w:rsidRPr="00F9490E">
        <w:t>investing in digital and e-commerce capabilities.</w:t>
      </w:r>
    </w:p>
    <w:p w14:paraId="317612FA" w14:textId="19C2C083" w:rsidR="00C04818" w:rsidRPr="00F9490E" w:rsidRDefault="00C04818" w:rsidP="006C4055">
      <w:pPr>
        <w:jc w:val="center"/>
      </w:pPr>
      <w:r w:rsidRPr="006C7EF6">
        <w:rPr>
          <w:noProof/>
        </w:rPr>
        <w:drawing>
          <wp:inline distT="0" distB="0" distL="0" distR="0" wp14:anchorId="5F602433" wp14:editId="4AFD0F05">
            <wp:extent cx="3752451" cy="3895725"/>
            <wp:effectExtent l="0" t="0" r="635" b="0"/>
            <wp:docPr id="5" name="Picture 5"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764861" cy="3908609"/>
                    </a:xfrm>
                    <a:prstGeom prst="rect">
                      <a:avLst/>
                    </a:prstGeom>
                    <a:noFill/>
                    <a:ln>
                      <a:noFill/>
                    </a:ln>
                  </pic:spPr>
                </pic:pic>
              </a:graphicData>
            </a:graphic>
          </wp:inline>
        </w:drawing>
      </w:r>
    </w:p>
    <w:p w14:paraId="04544C5D" w14:textId="4822EE52" w:rsidR="00C04818" w:rsidRPr="00C04818" w:rsidRDefault="00C04818" w:rsidP="006C4055">
      <w:pPr>
        <w:jc w:val="center"/>
      </w:pPr>
      <w:r w:rsidRPr="00C04818">
        <w:rPr>
          <w:b/>
        </w:rPr>
        <w:lastRenderedPageBreak/>
        <w:t>Figure:</w:t>
      </w:r>
      <w:r w:rsidRPr="00C04818">
        <w:t xml:space="preserve"> Kingfisher PLC and its Subsidiaries</w:t>
      </w:r>
    </w:p>
    <w:p w14:paraId="0000000E" w14:textId="789196D4" w:rsidR="00424676" w:rsidRPr="00F9490E" w:rsidRDefault="006C7EF6" w:rsidP="00B50438">
      <w:r w:rsidRPr="00F9490E">
        <w:t xml:space="preserve">The company's model </w:t>
      </w:r>
      <w:r w:rsidR="00C04818">
        <w:t xml:space="preserve">also </w:t>
      </w:r>
      <w:r w:rsidRPr="00F9490E">
        <w:t>emphasizes cost control, efficient supply chain management</w:t>
      </w:r>
      <w:r w:rsidR="00C04818">
        <w:t xml:space="preserve"> along with </w:t>
      </w:r>
      <w:r w:rsidRPr="00F9490E">
        <w:t xml:space="preserve">customer service to drive profitability. A significant part of Kingfisher’s strategy includes developing and selling </w:t>
      </w:r>
      <w:r w:rsidR="00C04818">
        <w:t xml:space="preserve">its </w:t>
      </w:r>
      <w:r w:rsidRPr="00F9490E">
        <w:t>own-brand products</w:t>
      </w:r>
      <w:r w:rsidR="00C04818">
        <w:t xml:space="preserve"> that allows the company to get</w:t>
      </w:r>
      <w:r w:rsidRPr="00F9490E">
        <w:t xml:space="preserve"> higher margins than third-party products. </w:t>
      </w:r>
      <w:r w:rsidR="00C04818">
        <w:t xml:space="preserve">In addition to that, </w:t>
      </w:r>
      <w:r w:rsidRPr="00F9490E">
        <w:t xml:space="preserve">Kingfisher has </w:t>
      </w:r>
      <w:r w:rsidR="00C04818">
        <w:t xml:space="preserve">also </w:t>
      </w:r>
      <w:r w:rsidRPr="00F9490E">
        <w:t>been focusing on sustainability initiatives</w:t>
      </w:r>
      <w:r w:rsidR="00C04818">
        <w:t xml:space="preserve"> by</w:t>
      </w:r>
      <w:r w:rsidRPr="00F9490E">
        <w:t xml:space="preserve"> recognizing the growing consumer demand for eco-friendly products.</w:t>
      </w:r>
    </w:p>
    <w:p w14:paraId="00000010" w14:textId="0E6C9EA4" w:rsidR="00424676" w:rsidRPr="00F9490E" w:rsidRDefault="006C7EF6" w:rsidP="00B50438">
      <w:pPr>
        <w:pStyle w:val="Heading2"/>
      </w:pPr>
      <w:bookmarkStart w:id="3" w:name="_Toc175148998"/>
      <w:r w:rsidRPr="00F9490E">
        <w:t>Marketplace and Major Competitors</w:t>
      </w:r>
      <w:bookmarkEnd w:id="3"/>
    </w:p>
    <w:p w14:paraId="00000016" w14:textId="7C648AAA" w:rsidR="00424676" w:rsidRDefault="006C7EF6" w:rsidP="00B50438">
      <w:r w:rsidRPr="00F9490E">
        <w:t>Kingfisher operates in a highly competitive home improvement retail market</w:t>
      </w:r>
      <w:r w:rsidR="00C04818">
        <w:t xml:space="preserve"> mainly in the UK and the EU</w:t>
      </w:r>
      <w:r w:rsidRPr="00F9490E">
        <w:t>.</w:t>
      </w:r>
      <w:r w:rsidR="00C04818">
        <w:t xml:space="preserve"> </w:t>
      </w:r>
      <w:r w:rsidR="00B50438">
        <w:t xml:space="preserve">Within UK, one of </w:t>
      </w:r>
      <w:r w:rsidRPr="00F9490E">
        <w:t xml:space="preserve">its main </w:t>
      </w:r>
      <w:r w:rsidR="00B50438" w:rsidRPr="00F9490E">
        <w:t>competitors</w:t>
      </w:r>
      <w:r w:rsidRPr="00F9490E">
        <w:t xml:space="preserve"> is Travis Perkins, which </w:t>
      </w:r>
      <w:r w:rsidR="00B50438">
        <w:t xml:space="preserve">also </w:t>
      </w:r>
      <w:r w:rsidRPr="00F9490E">
        <w:t xml:space="preserve">operates its own chain of home improvement and building materials stores. Travis Perkins is </w:t>
      </w:r>
      <w:r w:rsidRPr="00B50438">
        <w:t xml:space="preserve">particularly strong in the trade customer segment while Kingfisher’s B&amp;Q and </w:t>
      </w:r>
      <w:proofErr w:type="spellStart"/>
      <w:r w:rsidRPr="00B50438">
        <w:t>Screwfix</w:t>
      </w:r>
      <w:proofErr w:type="spellEnd"/>
      <w:r w:rsidRPr="00B50438">
        <w:t xml:space="preserve"> brands cater to both DIY enthusiasts and trade professionals.</w:t>
      </w:r>
      <w:r w:rsidR="00B50438" w:rsidRPr="00B50438">
        <w:t xml:space="preserve"> </w:t>
      </w:r>
      <w:r w:rsidRPr="00B50438">
        <w:t xml:space="preserve">In France, Kingfisher’s main competitors are Leroy Merlin and Mr. </w:t>
      </w:r>
      <w:proofErr w:type="spellStart"/>
      <w:r w:rsidRPr="00B50438">
        <w:t>Bricolage</w:t>
      </w:r>
      <w:proofErr w:type="spellEnd"/>
      <w:r w:rsidRPr="00B50438">
        <w:t>, both of which are significant players in the home improvement market.</w:t>
      </w:r>
      <w:r w:rsidR="00B50438" w:rsidRPr="00B50438">
        <w:t xml:space="preserve"> However, </w:t>
      </w:r>
      <w:r w:rsidRPr="00B50438">
        <w:t>Leroy Merlin</w:t>
      </w:r>
      <w:r w:rsidR="00B50438" w:rsidRPr="00B50438">
        <w:t xml:space="preserve"> </w:t>
      </w:r>
      <w:r w:rsidRPr="00B50438">
        <w:t>is a strong competitor with a well-established presence and a broad product offering.</w:t>
      </w:r>
      <w:r w:rsidR="00B50438" w:rsidRPr="00B50438">
        <w:t xml:space="preserve"> </w:t>
      </w:r>
      <w:r w:rsidRPr="00B50438">
        <w:t>The competitive landscape</w:t>
      </w:r>
      <w:r w:rsidR="00B50438" w:rsidRPr="00B50438">
        <w:t xml:space="preserve"> of this industry </w:t>
      </w:r>
      <w:r w:rsidRPr="00B50438">
        <w:t>is</w:t>
      </w:r>
      <w:r w:rsidR="00B50438" w:rsidRPr="00B50438">
        <w:t xml:space="preserve"> highly </w:t>
      </w:r>
      <w:r w:rsidRPr="00B50438">
        <w:t>characterized by price competition</w:t>
      </w:r>
      <w:r w:rsidR="00B50438" w:rsidRPr="00B50438">
        <w:t xml:space="preserve"> as well as product </w:t>
      </w:r>
      <w:r w:rsidRPr="00B50438">
        <w:t>range and availability</w:t>
      </w:r>
      <w:r w:rsidR="00B50438" w:rsidRPr="00B50438">
        <w:t>.</w:t>
      </w:r>
      <w:r w:rsidR="00B50438">
        <w:t xml:space="preserve"> </w:t>
      </w:r>
    </w:p>
    <w:tbl>
      <w:tblPr>
        <w:tblStyle w:val="TableGrid"/>
        <w:tblW w:w="0" w:type="auto"/>
        <w:tblLook w:val="04A0" w:firstRow="1" w:lastRow="0" w:firstColumn="1" w:lastColumn="0" w:noHBand="0" w:noVBand="1"/>
      </w:tblPr>
      <w:tblGrid>
        <w:gridCol w:w="5508"/>
        <w:gridCol w:w="2876"/>
      </w:tblGrid>
      <w:tr w:rsidR="006C4055" w14:paraId="57ED851E" w14:textId="77777777" w:rsidTr="006C4055">
        <w:tc>
          <w:tcPr>
            <w:tcW w:w="8384" w:type="dxa"/>
            <w:gridSpan w:val="2"/>
            <w:tcBorders>
              <w:top w:val="nil"/>
              <w:left w:val="nil"/>
              <w:bottom w:val="nil"/>
              <w:right w:val="nil"/>
            </w:tcBorders>
          </w:tcPr>
          <w:p w14:paraId="2EC508C0" w14:textId="48D3EC36" w:rsidR="006C4055" w:rsidRDefault="006C4055" w:rsidP="006C4055">
            <w:pPr>
              <w:jc w:val="center"/>
            </w:pPr>
            <w:r>
              <w:rPr>
                <w:noProof/>
              </w:rPr>
              <w:lastRenderedPageBreak/>
              <w:drawing>
                <wp:inline distT="0" distB="0" distL="0" distR="0" wp14:anchorId="75D75593" wp14:editId="150FF5FB">
                  <wp:extent cx="3903418" cy="1283039"/>
                  <wp:effectExtent l="0" t="0" r="1905" b="0"/>
                  <wp:docPr id="8" name="Picture 8" descr="File:Travisperkinstradinglogo.png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File:Travisperkinstradinglogo.png - Wikipedia"/>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912168" cy="1285915"/>
                          </a:xfrm>
                          <a:prstGeom prst="rect">
                            <a:avLst/>
                          </a:prstGeom>
                          <a:noFill/>
                          <a:ln>
                            <a:noFill/>
                          </a:ln>
                        </pic:spPr>
                      </pic:pic>
                    </a:graphicData>
                  </a:graphic>
                </wp:inline>
              </w:drawing>
            </w:r>
          </w:p>
        </w:tc>
      </w:tr>
      <w:tr w:rsidR="006C4055" w14:paraId="085D82DD" w14:textId="77777777" w:rsidTr="006C4055">
        <w:tc>
          <w:tcPr>
            <w:tcW w:w="5508" w:type="dxa"/>
            <w:tcBorders>
              <w:top w:val="nil"/>
              <w:left w:val="nil"/>
              <w:bottom w:val="nil"/>
              <w:right w:val="nil"/>
            </w:tcBorders>
          </w:tcPr>
          <w:p w14:paraId="4E18A1CB" w14:textId="71A68D69" w:rsidR="006C4055" w:rsidRDefault="006C4055" w:rsidP="006C4055">
            <w:r>
              <w:rPr>
                <w:noProof/>
              </w:rPr>
              <w:drawing>
                <wp:inline distT="0" distB="0" distL="0" distR="0" wp14:anchorId="20A5CA8F" wp14:editId="26510DDC">
                  <wp:extent cx="2527540" cy="815957"/>
                  <wp:effectExtent l="0" t="0" r="6350" b="3810"/>
                  <wp:docPr id="9" name="Picture 9" descr="Index of /wp-content/uploads/2020/05/logos partenaires/GS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Index of /wp-content/uploads/2020/05/logos partenaires/GSB"/>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530197" cy="816815"/>
                          </a:xfrm>
                          <a:prstGeom prst="rect">
                            <a:avLst/>
                          </a:prstGeom>
                          <a:noFill/>
                          <a:ln>
                            <a:noFill/>
                          </a:ln>
                        </pic:spPr>
                      </pic:pic>
                    </a:graphicData>
                  </a:graphic>
                </wp:inline>
              </w:drawing>
            </w:r>
          </w:p>
        </w:tc>
        <w:tc>
          <w:tcPr>
            <w:tcW w:w="2876" w:type="dxa"/>
            <w:tcBorders>
              <w:top w:val="nil"/>
              <w:left w:val="nil"/>
              <w:bottom w:val="nil"/>
              <w:right w:val="nil"/>
            </w:tcBorders>
          </w:tcPr>
          <w:p w14:paraId="2203D70B" w14:textId="1D8BE551" w:rsidR="006C4055" w:rsidRDefault="006C4055" w:rsidP="00B50438">
            <w:r>
              <w:rPr>
                <w:noProof/>
              </w:rPr>
              <w:drawing>
                <wp:inline distT="0" distB="0" distL="0" distR="0" wp14:anchorId="1AE904C2" wp14:editId="78684005">
                  <wp:extent cx="1361868" cy="819509"/>
                  <wp:effectExtent l="0" t="0" r="0" b="0"/>
                  <wp:docPr id="10" name="Picture 10" descr="Leroy Merlin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Leroy Merlin - Wikipedia"/>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361998" cy="819587"/>
                          </a:xfrm>
                          <a:prstGeom prst="rect">
                            <a:avLst/>
                          </a:prstGeom>
                          <a:noFill/>
                          <a:ln>
                            <a:noFill/>
                          </a:ln>
                        </pic:spPr>
                      </pic:pic>
                    </a:graphicData>
                  </a:graphic>
                </wp:inline>
              </w:drawing>
            </w:r>
          </w:p>
        </w:tc>
      </w:tr>
    </w:tbl>
    <w:p w14:paraId="3C0CDC2F" w14:textId="7D740579" w:rsidR="006C4055" w:rsidRPr="006C4055" w:rsidRDefault="006C4055" w:rsidP="006C4055">
      <w:pPr>
        <w:jc w:val="center"/>
        <w:rPr>
          <w:sz w:val="18"/>
        </w:rPr>
      </w:pPr>
      <w:r w:rsidRPr="006C4055">
        <w:rPr>
          <w:b/>
          <w:sz w:val="18"/>
        </w:rPr>
        <w:t>Figure:</w:t>
      </w:r>
      <w:r w:rsidRPr="006C4055">
        <w:rPr>
          <w:sz w:val="18"/>
        </w:rPr>
        <w:t xml:space="preserve"> Major Competitors of Kingfisher </w:t>
      </w:r>
    </w:p>
    <w:p w14:paraId="00000018" w14:textId="5D616286" w:rsidR="00424676" w:rsidRPr="00F9490E" w:rsidRDefault="006C7EF6" w:rsidP="00B50438">
      <w:pPr>
        <w:pStyle w:val="Heading2"/>
      </w:pPr>
      <w:bookmarkStart w:id="4" w:name="_Toc175148999"/>
      <w:r w:rsidRPr="00F9490E">
        <w:t>Recent Events (2018-2023)</w:t>
      </w:r>
      <w:bookmarkEnd w:id="4"/>
    </w:p>
    <w:tbl>
      <w:tblPr>
        <w:tblStyle w:val="TableGrid"/>
        <w:tblW w:w="0" w:type="auto"/>
        <w:tblLook w:val="04A0" w:firstRow="1" w:lastRow="0" w:firstColumn="1" w:lastColumn="0" w:noHBand="0" w:noVBand="1"/>
      </w:tblPr>
      <w:tblGrid>
        <w:gridCol w:w="1458"/>
        <w:gridCol w:w="3780"/>
        <w:gridCol w:w="4004"/>
      </w:tblGrid>
      <w:tr w:rsidR="00B50438" w14:paraId="78078318" w14:textId="77777777" w:rsidTr="006C4055">
        <w:trPr>
          <w:trHeight w:val="710"/>
        </w:trPr>
        <w:tc>
          <w:tcPr>
            <w:tcW w:w="1458" w:type="dxa"/>
          </w:tcPr>
          <w:p w14:paraId="2D1B0BE6" w14:textId="36D4573B" w:rsidR="00B50438" w:rsidRPr="00B50438" w:rsidRDefault="00B50438" w:rsidP="00B50438">
            <w:pPr>
              <w:spacing w:before="240" w:after="0"/>
              <w:jc w:val="center"/>
              <w:rPr>
                <w:b/>
              </w:rPr>
            </w:pPr>
            <w:r w:rsidRPr="00B50438">
              <w:rPr>
                <w:b/>
              </w:rPr>
              <w:t>Date</w:t>
            </w:r>
          </w:p>
        </w:tc>
        <w:tc>
          <w:tcPr>
            <w:tcW w:w="3780" w:type="dxa"/>
          </w:tcPr>
          <w:p w14:paraId="01A430EE" w14:textId="0B234815" w:rsidR="00B50438" w:rsidRPr="00B50438" w:rsidRDefault="00B50438" w:rsidP="00B50438">
            <w:pPr>
              <w:spacing w:before="240" w:after="0"/>
              <w:jc w:val="center"/>
              <w:rPr>
                <w:b/>
              </w:rPr>
            </w:pPr>
            <w:r w:rsidRPr="00B50438">
              <w:rPr>
                <w:b/>
              </w:rPr>
              <w:t>Event</w:t>
            </w:r>
          </w:p>
        </w:tc>
        <w:tc>
          <w:tcPr>
            <w:tcW w:w="4004" w:type="dxa"/>
          </w:tcPr>
          <w:p w14:paraId="12F5BAAF" w14:textId="62DE3B8E" w:rsidR="00B50438" w:rsidRPr="00B50438" w:rsidRDefault="00B50438" w:rsidP="00B50438">
            <w:pPr>
              <w:spacing w:before="240" w:after="0"/>
              <w:jc w:val="center"/>
              <w:rPr>
                <w:b/>
              </w:rPr>
            </w:pPr>
            <w:r w:rsidRPr="00B50438">
              <w:rPr>
                <w:b/>
              </w:rPr>
              <w:t>Impact</w:t>
            </w:r>
          </w:p>
        </w:tc>
      </w:tr>
      <w:tr w:rsidR="00B50438" w14:paraId="1A03FD76" w14:textId="77777777" w:rsidTr="006C4055">
        <w:tc>
          <w:tcPr>
            <w:tcW w:w="1458" w:type="dxa"/>
          </w:tcPr>
          <w:p w14:paraId="533D2BE9" w14:textId="6DA061AF" w:rsidR="00B50438" w:rsidRPr="006C4055" w:rsidRDefault="00B50438" w:rsidP="006C4055">
            <w:pPr>
              <w:spacing w:before="240" w:line="276" w:lineRule="auto"/>
              <w:jc w:val="left"/>
              <w:rPr>
                <w:b/>
              </w:rPr>
            </w:pPr>
            <w:r w:rsidRPr="006C4055">
              <w:rPr>
                <w:b/>
              </w:rPr>
              <w:t>Sep 2019</w:t>
            </w:r>
            <w:r w:rsidRPr="006C4055">
              <w:rPr>
                <w:b/>
              </w:rPr>
              <w:tab/>
            </w:r>
          </w:p>
        </w:tc>
        <w:tc>
          <w:tcPr>
            <w:tcW w:w="3780" w:type="dxa"/>
          </w:tcPr>
          <w:p w14:paraId="6CCA795C" w14:textId="3976DC34" w:rsidR="00B50438" w:rsidRDefault="00B50438" w:rsidP="006C4055">
            <w:pPr>
              <w:spacing w:before="240" w:line="276" w:lineRule="auto"/>
            </w:pPr>
            <w:r w:rsidRPr="00B50438">
              <w:t xml:space="preserve">Thierry </w:t>
            </w:r>
            <w:proofErr w:type="spellStart"/>
            <w:r w:rsidRPr="00B50438">
              <w:t>Garnier</w:t>
            </w:r>
            <w:proofErr w:type="spellEnd"/>
            <w:r w:rsidRPr="00B50438">
              <w:t xml:space="preserve"> appointed as CEO, replacing </w:t>
            </w:r>
            <w:proofErr w:type="spellStart"/>
            <w:r w:rsidRPr="00B50438">
              <w:t>Véronique</w:t>
            </w:r>
            <w:proofErr w:type="spellEnd"/>
            <w:r w:rsidRPr="00B50438">
              <w:t xml:space="preserve"> </w:t>
            </w:r>
            <w:proofErr w:type="spellStart"/>
            <w:r w:rsidRPr="00B50438">
              <w:t>Laury</w:t>
            </w:r>
            <w:proofErr w:type="spellEnd"/>
          </w:p>
        </w:tc>
        <w:tc>
          <w:tcPr>
            <w:tcW w:w="4004" w:type="dxa"/>
          </w:tcPr>
          <w:p w14:paraId="2E9EB7F5" w14:textId="31456DE0" w:rsidR="00B50438" w:rsidRDefault="00B50438" w:rsidP="006C4055">
            <w:pPr>
              <w:spacing w:before="240" w:line="276" w:lineRule="auto"/>
            </w:pPr>
            <w:r>
              <w:t>Initiated a strategic shift towards digital transformation and operational efficiency.</w:t>
            </w:r>
          </w:p>
        </w:tc>
      </w:tr>
      <w:tr w:rsidR="00B50438" w14:paraId="2CC45B32" w14:textId="77777777" w:rsidTr="006C4055">
        <w:tc>
          <w:tcPr>
            <w:tcW w:w="1458" w:type="dxa"/>
          </w:tcPr>
          <w:p w14:paraId="261F47F9" w14:textId="27362CBD" w:rsidR="00B50438" w:rsidRPr="006C4055" w:rsidRDefault="00B50438" w:rsidP="006C4055">
            <w:pPr>
              <w:spacing w:before="240" w:line="276" w:lineRule="auto"/>
              <w:rPr>
                <w:b/>
              </w:rPr>
            </w:pPr>
            <w:r w:rsidRPr="006C4055">
              <w:rPr>
                <w:b/>
              </w:rPr>
              <w:t>2019-2020</w:t>
            </w:r>
          </w:p>
        </w:tc>
        <w:tc>
          <w:tcPr>
            <w:tcW w:w="3780" w:type="dxa"/>
          </w:tcPr>
          <w:p w14:paraId="1918E677" w14:textId="5B0E5FC0" w:rsidR="00B50438" w:rsidRDefault="00B50438" w:rsidP="006C4055">
            <w:pPr>
              <w:spacing w:before="240" w:line="276" w:lineRule="auto"/>
            </w:pPr>
            <w:r>
              <w:t>Implementation of accelerated “One Kingfisher” strategy, including unifying product ranges, improving supply chain, and enhancing e-commerce</w:t>
            </w:r>
          </w:p>
        </w:tc>
        <w:tc>
          <w:tcPr>
            <w:tcW w:w="4004" w:type="dxa"/>
          </w:tcPr>
          <w:p w14:paraId="6B4E0FE3" w14:textId="063F5765" w:rsidR="00B50438" w:rsidRDefault="00B50438" w:rsidP="006C4055">
            <w:pPr>
              <w:spacing w:before="240" w:line="276" w:lineRule="auto"/>
            </w:pPr>
            <w:r>
              <w:t>Led to store closures, a stronger focus on e-commerce, and significant online sales growth.</w:t>
            </w:r>
          </w:p>
        </w:tc>
      </w:tr>
      <w:tr w:rsidR="00B50438" w14:paraId="384C6E5D" w14:textId="77777777" w:rsidTr="006C4055">
        <w:tc>
          <w:tcPr>
            <w:tcW w:w="1458" w:type="dxa"/>
          </w:tcPr>
          <w:p w14:paraId="03EB5E04" w14:textId="0DA5AA8D" w:rsidR="00B50438" w:rsidRPr="006C4055" w:rsidRDefault="00B50438" w:rsidP="006C4055">
            <w:pPr>
              <w:spacing w:before="240" w:line="276" w:lineRule="auto"/>
              <w:rPr>
                <w:b/>
              </w:rPr>
            </w:pPr>
            <w:r w:rsidRPr="006C4055">
              <w:rPr>
                <w:b/>
              </w:rPr>
              <w:t>2020</w:t>
            </w:r>
            <w:r w:rsidRPr="006C4055">
              <w:rPr>
                <w:b/>
              </w:rPr>
              <w:tab/>
            </w:r>
          </w:p>
        </w:tc>
        <w:tc>
          <w:tcPr>
            <w:tcW w:w="3780" w:type="dxa"/>
          </w:tcPr>
          <w:p w14:paraId="7782728D" w14:textId="230C6A81" w:rsidR="00B50438" w:rsidRDefault="000C7CA6" w:rsidP="000C7CA6">
            <w:pPr>
              <w:spacing w:before="240" w:line="276" w:lineRule="auto"/>
            </w:pPr>
            <w:r>
              <w:t>D</w:t>
            </w:r>
            <w:r w:rsidR="00B50438">
              <w:t>emand for home improvement products</w:t>
            </w:r>
            <w:r w:rsidR="006C4055">
              <w:t xml:space="preserve"> increased</w:t>
            </w:r>
            <w:r w:rsidR="00B50438">
              <w:t>, but faced supply chain disruptions and store closures</w:t>
            </w:r>
            <w:r>
              <w:t xml:space="preserve"> due to global pandemic</w:t>
            </w:r>
            <w:r w:rsidR="00B50438">
              <w:t>.</w:t>
            </w:r>
          </w:p>
        </w:tc>
        <w:tc>
          <w:tcPr>
            <w:tcW w:w="4004" w:type="dxa"/>
          </w:tcPr>
          <w:p w14:paraId="627186C7" w14:textId="1FC76B09" w:rsidR="00B50438" w:rsidRDefault="006C4055" w:rsidP="006C4055">
            <w:pPr>
              <w:spacing w:before="240" w:line="276" w:lineRule="auto"/>
            </w:pPr>
            <w:r w:rsidRPr="006C4055">
              <w:t>Boosted online sales but highlighted the need for enhanced digital capabilities.</w:t>
            </w:r>
          </w:p>
        </w:tc>
      </w:tr>
    </w:tbl>
    <w:p w14:paraId="3A5F30CA" w14:textId="77777777" w:rsidR="006C7EF6" w:rsidRDefault="006C7EF6" w:rsidP="00B50438"/>
    <w:p w14:paraId="563D327F" w14:textId="77777777" w:rsidR="0083034A" w:rsidRDefault="0083034A" w:rsidP="0069049D">
      <w:pPr>
        <w:pStyle w:val="Heading1"/>
      </w:pPr>
      <w:bookmarkStart w:id="5" w:name="_Toc175149000"/>
    </w:p>
    <w:p w14:paraId="04C7084F" w14:textId="77777777" w:rsidR="0083034A" w:rsidRDefault="0083034A" w:rsidP="0069049D">
      <w:pPr>
        <w:pStyle w:val="Heading1"/>
      </w:pPr>
    </w:p>
    <w:p w14:paraId="0000002C" w14:textId="77777777" w:rsidR="00424676" w:rsidRPr="00F9490E" w:rsidRDefault="006C7EF6" w:rsidP="0069049D">
      <w:pPr>
        <w:pStyle w:val="Heading1"/>
      </w:pPr>
      <w:r w:rsidRPr="00F9490E">
        <w:lastRenderedPageBreak/>
        <w:t>Part B: Financial Performance Review</w:t>
      </w:r>
      <w:bookmarkEnd w:id="5"/>
    </w:p>
    <w:p w14:paraId="27AC0713" w14:textId="745F55F5" w:rsidR="00286729" w:rsidRPr="00286729" w:rsidRDefault="0083034A" w:rsidP="00B50438">
      <w:r w:rsidRPr="0083034A">
        <w:t xml:space="preserve">Financial performance analysis is a very important process that looks at a business's financial records to see how healthy it is and how well it runs. </w:t>
      </w:r>
      <w:r w:rsidR="00286729" w:rsidRPr="00286729">
        <w:t xml:space="preserve">This analysis encompasses a range of metrics and ratios </w:t>
      </w:r>
      <w:r w:rsidRPr="0083034A">
        <w:t>obtained by analyzing the cash flow statement, balance sheet, and income statement of the company</w:t>
      </w:r>
      <w:r w:rsidR="004F438D">
        <w:t xml:space="preserve"> </w:t>
      </w:r>
      <w:r w:rsidR="004F438D" w:rsidRPr="004F438D">
        <w:rPr>
          <w:rFonts w:ascii="Times New Roman" w:eastAsia="Times New Roman" w:hAnsi="Times New Roman" w:cs="Times New Roman"/>
        </w:rPr>
        <w:t>(</w:t>
      </w:r>
      <w:proofErr w:type="spellStart"/>
      <w:r w:rsidR="004F438D" w:rsidRPr="004F438D">
        <w:rPr>
          <w:rFonts w:ascii="Times New Roman" w:eastAsia="Times New Roman" w:hAnsi="Times New Roman" w:cs="Times New Roman"/>
        </w:rPr>
        <w:t>Alarussi</w:t>
      </w:r>
      <w:proofErr w:type="spellEnd"/>
      <w:r w:rsidR="004F438D" w:rsidRPr="004F438D">
        <w:rPr>
          <w:rFonts w:ascii="Times New Roman" w:eastAsia="Times New Roman" w:hAnsi="Times New Roman" w:cs="Times New Roman"/>
        </w:rPr>
        <w:t>, 2021)</w:t>
      </w:r>
      <w:r w:rsidR="00286729" w:rsidRPr="00286729">
        <w:t xml:space="preserve">. </w:t>
      </w:r>
      <w:r w:rsidR="00790DD5" w:rsidRPr="00790DD5">
        <w:t>To have an understanding of how efficiently a company earns profits, how effectively it manages its resources, and how well it maintains its financial stability is the major objective.</w:t>
      </w:r>
      <w:r w:rsidR="00286729" w:rsidRPr="00286729">
        <w:t xml:space="preserve"> </w:t>
      </w:r>
    </w:p>
    <w:p w14:paraId="221E4F60" w14:textId="3F8DB296" w:rsidR="00286729" w:rsidRPr="00286729" w:rsidRDefault="009B39ED" w:rsidP="009B39ED">
      <w:r w:rsidRPr="009B39ED">
        <w:t xml:space="preserve">A corporation like Kingfisher PLC places a particular emphasis on the significance of conducting financial performance analysis. In terms of profitability, liquidity, efficiency, and solvency, it offers a holistic assessment of how well the organization is operating from a financial standpoint. This information is essential for a number of reasons, including the fact that it assists Kingfisher in evaluating the efficacy of its strategic efforts, such as its digital transformation and operational restructuring. By conducting an analysis of profitability ratios, Kingfisher is able to ascertain whether or not its investments are producing the anticipated returns and whether or not its methods for cost management are successful. </w:t>
      </w:r>
      <w:r>
        <w:t xml:space="preserve">The importance of doing financial performance analysis is something that is particularly emphasized by a firm such as Kingfisher PLC. It provides a comprehensive evaluation of the organization's financial operations, including profitability, liquidity, efficiency, and solvency, and it serves as a comprehensive review of how well the organization is working. When it comes to reviewing the effectiveness of Kingfisher's strategic efforts, such as its digital transformation and operational restructuring, this information is vital for a variety of reasons, one of which is that it helps Kingfisher evaluate the effectiveness of its efforts. By </w:t>
      </w:r>
      <w:r>
        <w:lastRenderedPageBreak/>
        <w:t>carrying out an examination of profitability ratios, Kingfisher is able to determine whether or not its investments are providing the returns that were anticipated and whether or not its procedures for cost management are operating effectively</w:t>
      </w:r>
      <w:r>
        <w:t xml:space="preserve"> </w:t>
      </w:r>
      <w:r w:rsidR="00C50968" w:rsidRPr="00C50968">
        <w:rPr>
          <w:rFonts w:ascii="Times New Roman" w:eastAsia="Times New Roman" w:hAnsi="Times New Roman" w:cs="Times New Roman"/>
        </w:rPr>
        <w:t>(</w:t>
      </w:r>
      <w:proofErr w:type="spellStart"/>
      <w:r w:rsidR="00C50968" w:rsidRPr="00C50968">
        <w:rPr>
          <w:rFonts w:ascii="Times New Roman" w:eastAsia="Times New Roman" w:hAnsi="Times New Roman" w:cs="Times New Roman"/>
        </w:rPr>
        <w:t>Cantaluppi</w:t>
      </w:r>
      <w:proofErr w:type="spellEnd"/>
      <w:r w:rsidR="00C50968" w:rsidRPr="00C50968">
        <w:rPr>
          <w:rFonts w:ascii="Times New Roman" w:eastAsia="Times New Roman" w:hAnsi="Times New Roman" w:cs="Times New Roman"/>
        </w:rPr>
        <w:t xml:space="preserve"> &amp; Hug, 2000)</w:t>
      </w:r>
      <w:r w:rsidR="00286729" w:rsidRPr="00286729">
        <w:t>.</w:t>
      </w:r>
    </w:p>
    <w:p w14:paraId="52E92736" w14:textId="0818CA16" w:rsidR="006C4055" w:rsidRDefault="00286729" w:rsidP="00A92BE8">
      <w:r>
        <w:t>F</w:t>
      </w:r>
      <w:r w:rsidRPr="00286729">
        <w:t xml:space="preserve">inancial performance analysis </w:t>
      </w:r>
      <w:r w:rsidR="00C50968">
        <w:t xml:space="preserve">can </w:t>
      </w:r>
      <w:r w:rsidRPr="00286729">
        <w:t>enable Kingfisher to make informed strategic decisions, enhance operational effectiveness, and build investor confidence. It supports the company in identifying areas for improvement, allocating resources efficiently, and sustaining long-term growth and profitability.</w:t>
      </w:r>
      <w:r w:rsidR="00A92BE8">
        <w:t xml:space="preserve"> </w:t>
      </w:r>
    </w:p>
    <w:p w14:paraId="2E5CBAD4" w14:textId="49F6A96D" w:rsidR="006C4055" w:rsidRDefault="006C4055" w:rsidP="006C4055">
      <w:pPr>
        <w:pStyle w:val="Heading1"/>
      </w:pPr>
      <w:bookmarkStart w:id="6" w:name="_Toc175149001"/>
      <w:r>
        <w:t>Part B: Financial Performance Review</w:t>
      </w:r>
      <w:bookmarkEnd w:id="6"/>
    </w:p>
    <w:bookmarkStart w:id="7" w:name="_Toc175149002"/>
    <w:p w14:paraId="06F8F2EF" w14:textId="5BEEBB2E" w:rsidR="00286729" w:rsidRDefault="006C4055" w:rsidP="006C4055">
      <w:pPr>
        <w:pStyle w:val="Heading2"/>
      </w:pPr>
      <w:r>
        <w:rPr>
          <w:noProof/>
        </w:rPr>
        <mc:AlternateContent>
          <mc:Choice Requires="wps">
            <w:drawing>
              <wp:anchor distT="0" distB="0" distL="114300" distR="114300" simplePos="0" relativeHeight="251663360" behindDoc="0" locked="0" layoutInCell="1" allowOverlap="1" wp14:anchorId="61DF0D0D" wp14:editId="450495AC">
                <wp:simplePos x="0" y="0"/>
                <wp:positionH relativeFrom="column">
                  <wp:posOffset>85725</wp:posOffset>
                </wp:positionH>
                <wp:positionV relativeFrom="paragraph">
                  <wp:posOffset>-172085</wp:posOffset>
                </wp:positionV>
                <wp:extent cx="5695950" cy="0"/>
                <wp:effectExtent l="38100" t="38100" r="57150" b="95250"/>
                <wp:wrapNone/>
                <wp:docPr id="11" name="Straight Connector 11"/>
                <wp:cNvGraphicFramePr/>
                <a:graphic xmlns:a="http://schemas.openxmlformats.org/drawingml/2006/main">
                  <a:graphicData uri="http://schemas.microsoft.com/office/word/2010/wordprocessingShape">
                    <wps:wsp>
                      <wps:cNvCnPr/>
                      <wps:spPr>
                        <a:xfrm>
                          <a:off x="0" y="0"/>
                          <a:ext cx="5695950" cy="0"/>
                        </a:xfrm>
                        <a:prstGeom prst="line">
                          <a:avLst/>
                        </a:prstGeom>
                        <a:ln w="12700">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11"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6.75pt,-13.55pt" to="455.25pt,-1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" strokecolor="black [3213]" strokeweight="1pt">
                <v:shadow on="t" color="black" opacity="24903f" origin=",.5" offset="0,.55556mm"/>
              </v:line>
            </w:pict>
          </mc:Fallback>
        </mc:AlternateContent>
      </w:r>
      <w:r w:rsidR="00DE4AA2">
        <w:t>Calculation of Key Financial Ratios</w:t>
      </w:r>
      <w:bookmarkEnd w:id="7"/>
    </w:p>
    <w:p w14:paraId="3A666C13" w14:textId="5E9753F6" w:rsidR="006C4055" w:rsidRDefault="00A92BE8" w:rsidP="006C4055">
      <w:r w:rsidRPr="00A92BE8">
        <w:t xml:space="preserve">It is vital to conduct a comprehensive study of a company's financial statements in order to evaluate all aspects of the company's operations, including its overall health and efficiency. In the same way that a financial analyst would perform their duties, this analysis takes into account a wide range of metrics and ratios that are derived from the income statement, balance sheet, and cash flow statement created by the organization. The primary objective of this type of study is to acquire a full understanding of the profitability, resource management, and financial stability of an organization. The overall financial performance study can be carried out by doing an analysis of important financial ratios. This analysis can provide useful insights into the operational success, financial resilience, and overall growth potential of a company. For organizations like Kingfisher PLC, this analysis is essential for evaluating performance and providing information that can be used to guide strategic decision-making. In addition, the study serves to provide investors, stakeholders, and </w:t>
      </w:r>
      <w:r w:rsidRPr="00A92BE8">
        <w:lastRenderedPageBreak/>
        <w:t>management with useful information that can assist them in effectively navigating market hurdles and achieving the financial goals of the organization.</w:t>
      </w:r>
    </w:p>
    <w:p w14:paraId="7900661E" w14:textId="2C709063" w:rsidR="00B0452D" w:rsidRPr="00B0452D" w:rsidRDefault="00B0452D" w:rsidP="00B0452D">
      <w:r w:rsidRPr="00B0452D">
        <w:t>This section presents the financial ratios for Kingfisher PLC over the past five years</w:t>
      </w:r>
      <w:r>
        <w:t xml:space="preserve"> from 2019-2023 </w:t>
      </w:r>
      <w:proofErr w:type="gramStart"/>
      <w:r>
        <w:t xml:space="preserve">containing </w:t>
      </w:r>
      <w:r w:rsidRPr="00B0452D">
        <w:t xml:space="preserve"> analysis</w:t>
      </w:r>
      <w:proofErr w:type="gramEnd"/>
      <w:r w:rsidRPr="00B0452D">
        <w:t xml:space="preserve"> </w:t>
      </w:r>
      <w:r>
        <w:t>of</w:t>
      </w:r>
      <w:r w:rsidRPr="00B0452D">
        <w:t xml:space="preserve"> profitability, liquidity, gearing, and efficiency ratios to evaluate the company’s financial performance. The ratios are calculated using the data from Kingfisher's annual reports.</w:t>
      </w:r>
      <w:r>
        <w:t xml:space="preserve"> </w:t>
      </w:r>
    </w:p>
    <w:p w14:paraId="0000002E" w14:textId="78CD596D" w:rsidR="00424676" w:rsidRDefault="00286729" w:rsidP="00B50438">
      <w:pPr>
        <w:pStyle w:val="Heading3"/>
      </w:pPr>
      <w:bookmarkStart w:id="8" w:name="_Toc175149003"/>
      <w:r w:rsidRPr="00286729">
        <w:t>L</w:t>
      </w:r>
      <w:r w:rsidR="006C7EF6" w:rsidRPr="00286729">
        <w:t>iquidity Ratios</w:t>
      </w:r>
      <w:bookmarkEnd w:id="8"/>
    </w:p>
    <w:p w14:paraId="755FFB75" w14:textId="1C34AF32" w:rsidR="00B0452D" w:rsidRDefault="00A92BE8" w:rsidP="00B50438">
      <w:r w:rsidRPr="00A92BE8">
        <w:t>The ability of a corporation to satisfy its short-term financial obligations can be determined by analyzing its liquidity ratios, which are essential indications. Using these ratios, one may determine whether or not a firm has sufficient liquid assets to satisfy its immediate liabilities. This is a key component of ensuring that the company's operations remain stable. In terms of liquidity, it is comprised of three primary measures that provide a more comprehensive picture of the company's financial health.</w:t>
      </w:r>
    </w:p>
    <w:tbl>
      <w:tblPr>
        <w:tblW w:w="9405" w:type="dxa"/>
        <w:tblBorders>
          <w:top w:val="single" w:sz="4" w:space="0" w:color="auto"/>
          <w:bottom w:val="single" w:sz="4" w:space="0" w:color="auto"/>
        </w:tblBorders>
        <w:tblCellMar>
          <w:left w:w="0" w:type="dxa"/>
          <w:right w:w="0" w:type="dxa"/>
        </w:tblCellMar>
        <w:tblLook w:val="04A0" w:firstRow="1" w:lastRow="0" w:firstColumn="1" w:lastColumn="0" w:noHBand="0" w:noVBand="1"/>
      </w:tblPr>
      <w:tblGrid>
        <w:gridCol w:w="2745"/>
        <w:gridCol w:w="3060"/>
        <w:gridCol w:w="720"/>
        <w:gridCol w:w="720"/>
        <w:gridCol w:w="720"/>
        <w:gridCol w:w="630"/>
        <w:gridCol w:w="810"/>
      </w:tblGrid>
      <w:tr w:rsidR="00B0452D" w:rsidRPr="00B0452D" w14:paraId="6920AA60" w14:textId="77777777" w:rsidTr="00B0452D">
        <w:trPr>
          <w:trHeight w:val="315"/>
        </w:trPr>
        <w:tc>
          <w:tcPr>
            <w:tcW w:w="2745" w:type="dxa"/>
            <w:vMerge w:val="restart"/>
            <w:tcBorders>
              <w:top w:val="single" w:sz="4" w:space="0" w:color="auto"/>
              <w:bottom w:val="nil"/>
            </w:tcBorders>
            <w:tcMar>
              <w:top w:w="30" w:type="dxa"/>
              <w:left w:w="45" w:type="dxa"/>
              <w:bottom w:w="30" w:type="dxa"/>
              <w:right w:w="45" w:type="dxa"/>
            </w:tcMar>
            <w:hideMark/>
          </w:tcPr>
          <w:p w14:paraId="2D78ECF0" w14:textId="77777777" w:rsidR="00B0452D" w:rsidRDefault="00B0452D" w:rsidP="00B0452D">
            <w:pPr>
              <w:spacing w:after="0" w:line="240" w:lineRule="auto"/>
              <w:jc w:val="center"/>
              <w:rPr>
                <w:rFonts w:ascii="Calibri" w:eastAsia="Times New Roman" w:hAnsi="Calibri" w:cs="Calibri"/>
                <w:b/>
              </w:rPr>
            </w:pPr>
          </w:p>
          <w:p w14:paraId="13266CBC" w14:textId="77777777" w:rsidR="00B0452D" w:rsidRPr="00B0452D" w:rsidRDefault="00B0452D" w:rsidP="00B0452D">
            <w:pPr>
              <w:spacing w:after="0" w:line="240" w:lineRule="auto"/>
              <w:jc w:val="center"/>
              <w:rPr>
                <w:rFonts w:ascii="Calibri" w:eastAsia="Times New Roman" w:hAnsi="Calibri" w:cs="Calibri"/>
                <w:b/>
              </w:rPr>
            </w:pPr>
            <w:r w:rsidRPr="00B0452D">
              <w:rPr>
                <w:rFonts w:ascii="Calibri" w:eastAsia="Times New Roman" w:hAnsi="Calibri" w:cs="Calibri"/>
                <w:b/>
                <w:sz w:val="22"/>
                <w:szCs w:val="22"/>
              </w:rPr>
              <w:t>Ratio Category</w:t>
            </w:r>
          </w:p>
        </w:tc>
        <w:tc>
          <w:tcPr>
            <w:tcW w:w="3060" w:type="dxa"/>
            <w:vMerge w:val="restart"/>
            <w:tcBorders>
              <w:top w:val="single" w:sz="4" w:space="0" w:color="auto"/>
              <w:bottom w:val="nil"/>
            </w:tcBorders>
            <w:tcMar>
              <w:top w:w="30" w:type="dxa"/>
              <w:left w:w="45" w:type="dxa"/>
              <w:bottom w:w="30" w:type="dxa"/>
              <w:right w:w="45" w:type="dxa"/>
            </w:tcMar>
            <w:hideMark/>
          </w:tcPr>
          <w:p w14:paraId="44262EF4" w14:textId="77777777" w:rsidR="00B0452D" w:rsidRDefault="00B0452D" w:rsidP="00B0452D">
            <w:pPr>
              <w:spacing w:after="0" w:line="240" w:lineRule="auto"/>
              <w:jc w:val="center"/>
              <w:rPr>
                <w:rFonts w:ascii="Calibri" w:eastAsia="Times New Roman" w:hAnsi="Calibri" w:cs="Calibri"/>
                <w:b/>
              </w:rPr>
            </w:pPr>
          </w:p>
          <w:p w14:paraId="07E42B7F" w14:textId="77777777" w:rsidR="00B0452D" w:rsidRPr="00B0452D" w:rsidRDefault="00B0452D" w:rsidP="00B0452D">
            <w:pPr>
              <w:spacing w:after="0" w:line="240" w:lineRule="auto"/>
              <w:jc w:val="center"/>
              <w:rPr>
                <w:rFonts w:ascii="Calibri" w:eastAsia="Times New Roman" w:hAnsi="Calibri" w:cs="Calibri"/>
                <w:b/>
              </w:rPr>
            </w:pPr>
            <w:r w:rsidRPr="00B0452D">
              <w:rPr>
                <w:rFonts w:ascii="Calibri" w:eastAsia="Times New Roman" w:hAnsi="Calibri" w:cs="Calibri"/>
                <w:b/>
                <w:sz w:val="22"/>
                <w:szCs w:val="22"/>
              </w:rPr>
              <w:t>Ratio</w:t>
            </w:r>
          </w:p>
        </w:tc>
        <w:tc>
          <w:tcPr>
            <w:tcW w:w="3600" w:type="dxa"/>
            <w:gridSpan w:val="5"/>
            <w:tcBorders>
              <w:top w:val="single" w:sz="4" w:space="0" w:color="auto"/>
              <w:bottom w:val="nil"/>
            </w:tcBorders>
            <w:tcMar>
              <w:top w:w="30" w:type="dxa"/>
              <w:left w:w="45" w:type="dxa"/>
              <w:bottom w:w="30" w:type="dxa"/>
              <w:right w:w="45" w:type="dxa"/>
            </w:tcMar>
            <w:vAlign w:val="bottom"/>
            <w:hideMark/>
          </w:tcPr>
          <w:p w14:paraId="57656D58" w14:textId="77777777" w:rsidR="00B0452D" w:rsidRPr="00B0452D" w:rsidRDefault="00B0452D" w:rsidP="00B0452D">
            <w:pPr>
              <w:spacing w:after="0" w:line="240" w:lineRule="auto"/>
              <w:jc w:val="center"/>
              <w:rPr>
                <w:rFonts w:ascii="Calibri" w:eastAsia="Times New Roman" w:hAnsi="Calibri" w:cs="Calibri"/>
                <w:b/>
                <w:bCs/>
              </w:rPr>
            </w:pPr>
            <w:r w:rsidRPr="00B0452D">
              <w:rPr>
                <w:rFonts w:ascii="Calibri" w:eastAsia="Times New Roman" w:hAnsi="Calibri" w:cs="Calibri"/>
                <w:b/>
                <w:bCs/>
                <w:sz w:val="22"/>
                <w:szCs w:val="22"/>
              </w:rPr>
              <w:t xml:space="preserve">Year </w:t>
            </w:r>
          </w:p>
        </w:tc>
      </w:tr>
      <w:tr w:rsidR="00B0452D" w:rsidRPr="00B0452D" w14:paraId="63313180" w14:textId="77777777" w:rsidTr="00B0452D">
        <w:trPr>
          <w:trHeight w:val="375"/>
        </w:trPr>
        <w:tc>
          <w:tcPr>
            <w:tcW w:w="2745" w:type="dxa"/>
            <w:vMerge/>
            <w:tcBorders>
              <w:top w:val="nil"/>
              <w:bottom w:val="single" w:sz="4" w:space="0" w:color="auto"/>
            </w:tcBorders>
            <w:vAlign w:val="center"/>
            <w:hideMark/>
          </w:tcPr>
          <w:p w14:paraId="253503D0" w14:textId="3D75F2ED" w:rsidR="00B0452D" w:rsidRPr="00B0452D" w:rsidRDefault="0034172B" w:rsidP="00B0452D">
            <w:pPr>
              <w:spacing w:after="0" w:line="240" w:lineRule="auto"/>
              <w:jc w:val="left"/>
              <w:rPr>
                <w:rFonts w:ascii="Calibri" w:eastAsia="Times New Roman" w:hAnsi="Calibri" w:cs="Calibri"/>
              </w:rPr>
            </w:pPr>
            <w:r>
              <w:rPr>
                <w:rFonts w:ascii="Calibri" w:eastAsia="Times New Roman" w:hAnsi="Calibri" w:cs="Calibri"/>
                <w:noProof/>
                <w:sz w:val="22"/>
                <w:szCs w:val="22"/>
              </w:rPr>
              <w:drawing>
                <wp:inline distT="0" distB="0" distL="0" distR="0" wp14:anchorId="70F54948" wp14:editId="166C99FA">
                  <wp:extent cx="5486400" cy="3200400"/>
                  <wp:effectExtent l="0" t="0" r="19050" b="1905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tc>
        <w:tc>
          <w:tcPr>
            <w:tcW w:w="3060" w:type="dxa"/>
            <w:vMerge/>
            <w:tcBorders>
              <w:top w:val="nil"/>
              <w:bottom w:val="single" w:sz="4" w:space="0" w:color="auto"/>
            </w:tcBorders>
            <w:vAlign w:val="center"/>
            <w:hideMark/>
          </w:tcPr>
          <w:p w14:paraId="7DDFFB5B" w14:textId="77777777" w:rsidR="00B0452D" w:rsidRPr="00B0452D" w:rsidRDefault="00B0452D" w:rsidP="00B0452D">
            <w:pPr>
              <w:spacing w:after="0" w:line="240" w:lineRule="auto"/>
              <w:jc w:val="left"/>
              <w:rPr>
                <w:rFonts w:ascii="Calibri" w:eastAsia="Times New Roman" w:hAnsi="Calibri" w:cs="Calibri"/>
              </w:rPr>
            </w:pPr>
          </w:p>
        </w:tc>
        <w:tc>
          <w:tcPr>
            <w:tcW w:w="720" w:type="dxa"/>
            <w:tcBorders>
              <w:top w:val="nil"/>
              <w:bottom w:val="single" w:sz="4" w:space="0" w:color="auto"/>
            </w:tcBorders>
            <w:tcMar>
              <w:top w:w="30" w:type="dxa"/>
              <w:left w:w="45" w:type="dxa"/>
              <w:bottom w:w="30" w:type="dxa"/>
              <w:right w:w="45" w:type="dxa"/>
            </w:tcMar>
            <w:vAlign w:val="bottom"/>
            <w:hideMark/>
          </w:tcPr>
          <w:p w14:paraId="14BAC620" w14:textId="11FC5AB1" w:rsidR="00B0452D" w:rsidRPr="00B0452D" w:rsidRDefault="0034172B" w:rsidP="00B0452D">
            <w:pPr>
              <w:spacing w:after="0" w:line="240" w:lineRule="auto"/>
              <w:jc w:val="center"/>
              <w:rPr>
                <w:rFonts w:ascii="Calibri" w:eastAsia="Times New Roman" w:hAnsi="Calibri" w:cs="Calibri"/>
                <w:b/>
                <w:bCs/>
              </w:rPr>
            </w:pPr>
            <w:r>
              <w:rPr>
                <w:rFonts w:ascii="Calibri" w:eastAsia="Times New Roman" w:hAnsi="Calibri" w:cs="Calibri"/>
                <w:b/>
                <w:bCs/>
                <w:sz w:val="22"/>
                <w:szCs w:val="22"/>
              </w:rPr>
              <w:t>2019</w:t>
            </w:r>
          </w:p>
        </w:tc>
        <w:tc>
          <w:tcPr>
            <w:tcW w:w="720" w:type="dxa"/>
            <w:tcBorders>
              <w:top w:val="nil"/>
              <w:bottom w:val="single" w:sz="4" w:space="0" w:color="auto"/>
            </w:tcBorders>
            <w:tcMar>
              <w:top w:w="30" w:type="dxa"/>
              <w:left w:w="45" w:type="dxa"/>
              <w:bottom w:w="30" w:type="dxa"/>
              <w:right w:w="45" w:type="dxa"/>
            </w:tcMar>
            <w:vAlign w:val="bottom"/>
            <w:hideMark/>
          </w:tcPr>
          <w:p w14:paraId="5C4F7B09" w14:textId="77777777" w:rsidR="00B0452D" w:rsidRPr="00B0452D" w:rsidRDefault="00B0452D" w:rsidP="00B0452D">
            <w:pPr>
              <w:spacing w:after="0" w:line="240" w:lineRule="auto"/>
              <w:jc w:val="center"/>
              <w:rPr>
                <w:rFonts w:ascii="Calibri" w:eastAsia="Times New Roman" w:hAnsi="Calibri" w:cs="Calibri"/>
                <w:b/>
                <w:bCs/>
              </w:rPr>
            </w:pPr>
            <w:r w:rsidRPr="00B0452D">
              <w:rPr>
                <w:rFonts w:ascii="Calibri" w:eastAsia="Times New Roman" w:hAnsi="Calibri" w:cs="Calibri"/>
                <w:b/>
                <w:bCs/>
                <w:sz w:val="22"/>
                <w:szCs w:val="22"/>
              </w:rPr>
              <w:t>2020</w:t>
            </w:r>
          </w:p>
        </w:tc>
        <w:tc>
          <w:tcPr>
            <w:tcW w:w="720" w:type="dxa"/>
            <w:tcBorders>
              <w:top w:val="nil"/>
              <w:bottom w:val="single" w:sz="4" w:space="0" w:color="auto"/>
            </w:tcBorders>
            <w:tcMar>
              <w:top w:w="30" w:type="dxa"/>
              <w:left w:w="45" w:type="dxa"/>
              <w:bottom w:w="30" w:type="dxa"/>
              <w:right w:w="45" w:type="dxa"/>
            </w:tcMar>
            <w:vAlign w:val="bottom"/>
            <w:hideMark/>
          </w:tcPr>
          <w:p w14:paraId="702FF80F" w14:textId="77777777" w:rsidR="00B0452D" w:rsidRPr="00B0452D" w:rsidRDefault="00B0452D" w:rsidP="00B0452D">
            <w:pPr>
              <w:spacing w:after="0" w:line="240" w:lineRule="auto"/>
              <w:jc w:val="center"/>
              <w:rPr>
                <w:rFonts w:ascii="Calibri" w:eastAsia="Times New Roman" w:hAnsi="Calibri" w:cs="Calibri"/>
                <w:b/>
                <w:bCs/>
              </w:rPr>
            </w:pPr>
            <w:r w:rsidRPr="00B0452D">
              <w:rPr>
                <w:rFonts w:ascii="Calibri" w:eastAsia="Times New Roman" w:hAnsi="Calibri" w:cs="Calibri"/>
                <w:b/>
                <w:bCs/>
                <w:sz w:val="22"/>
                <w:szCs w:val="22"/>
              </w:rPr>
              <w:t>2021</w:t>
            </w:r>
          </w:p>
        </w:tc>
        <w:tc>
          <w:tcPr>
            <w:tcW w:w="630" w:type="dxa"/>
            <w:tcBorders>
              <w:top w:val="nil"/>
              <w:bottom w:val="single" w:sz="4" w:space="0" w:color="auto"/>
            </w:tcBorders>
            <w:tcMar>
              <w:top w:w="30" w:type="dxa"/>
              <w:left w:w="45" w:type="dxa"/>
              <w:bottom w:w="30" w:type="dxa"/>
              <w:right w:w="45" w:type="dxa"/>
            </w:tcMar>
            <w:vAlign w:val="bottom"/>
            <w:hideMark/>
          </w:tcPr>
          <w:p w14:paraId="7B4C57F3" w14:textId="77777777" w:rsidR="00B0452D" w:rsidRPr="00B0452D" w:rsidRDefault="00B0452D" w:rsidP="00B0452D">
            <w:pPr>
              <w:spacing w:after="0" w:line="240" w:lineRule="auto"/>
              <w:jc w:val="center"/>
              <w:rPr>
                <w:rFonts w:ascii="Calibri" w:eastAsia="Times New Roman" w:hAnsi="Calibri" w:cs="Calibri"/>
                <w:b/>
                <w:bCs/>
              </w:rPr>
            </w:pPr>
            <w:r w:rsidRPr="00B0452D">
              <w:rPr>
                <w:rFonts w:ascii="Calibri" w:eastAsia="Times New Roman" w:hAnsi="Calibri" w:cs="Calibri"/>
                <w:b/>
                <w:bCs/>
                <w:sz w:val="22"/>
                <w:szCs w:val="22"/>
              </w:rPr>
              <w:t>2022</w:t>
            </w:r>
          </w:p>
        </w:tc>
        <w:tc>
          <w:tcPr>
            <w:tcW w:w="810" w:type="dxa"/>
            <w:tcBorders>
              <w:top w:val="nil"/>
              <w:bottom w:val="single" w:sz="4" w:space="0" w:color="auto"/>
            </w:tcBorders>
            <w:tcMar>
              <w:top w:w="30" w:type="dxa"/>
              <w:left w:w="45" w:type="dxa"/>
              <w:bottom w:w="30" w:type="dxa"/>
              <w:right w:w="45" w:type="dxa"/>
            </w:tcMar>
            <w:vAlign w:val="bottom"/>
            <w:hideMark/>
          </w:tcPr>
          <w:p w14:paraId="3AD6F2E6" w14:textId="77777777" w:rsidR="00B0452D" w:rsidRPr="00B0452D" w:rsidRDefault="00B0452D" w:rsidP="00B0452D">
            <w:pPr>
              <w:spacing w:after="0" w:line="240" w:lineRule="auto"/>
              <w:jc w:val="center"/>
              <w:rPr>
                <w:rFonts w:ascii="Calibri" w:eastAsia="Times New Roman" w:hAnsi="Calibri" w:cs="Calibri"/>
                <w:b/>
                <w:bCs/>
              </w:rPr>
            </w:pPr>
            <w:r w:rsidRPr="00B0452D">
              <w:rPr>
                <w:rFonts w:ascii="Calibri" w:eastAsia="Times New Roman" w:hAnsi="Calibri" w:cs="Calibri"/>
                <w:b/>
                <w:bCs/>
                <w:sz w:val="22"/>
                <w:szCs w:val="22"/>
              </w:rPr>
              <w:t>2023</w:t>
            </w:r>
          </w:p>
        </w:tc>
      </w:tr>
      <w:tr w:rsidR="00B0452D" w:rsidRPr="00B0452D" w14:paraId="7A5ED3C6" w14:textId="77777777" w:rsidTr="00B0452D">
        <w:trPr>
          <w:trHeight w:val="315"/>
        </w:trPr>
        <w:tc>
          <w:tcPr>
            <w:tcW w:w="2745" w:type="dxa"/>
            <w:vMerge w:val="restart"/>
            <w:tcBorders>
              <w:top w:val="single" w:sz="4" w:space="0" w:color="auto"/>
            </w:tcBorders>
            <w:tcMar>
              <w:top w:w="30" w:type="dxa"/>
              <w:left w:w="45" w:type="dxa"/>
              <w:bottom w:w="30" w:type="dxa"/>
              <w:right w:w="45" w:type="dxa"/>
            </w:tcMar>
            <w:vAlign w:val="bottom"/>
            <w:hideMark/>
          </w:tcPr>
          <w:p w14:paraId="53EDEA9E" w14:textId="77777777" w:rsidR="00B0452D" w:rsidRDefault="00B0452D" w:rsidP="00B0452D">
            <w:pPr>
              <w:spacing w:after="0" w:line="240" w:lineRule="auto"/>
              <w:jc w:val="center"/>
              <w:rPr>
                <w:rFonts w:ascii="Calibri" w:eastAsia="Times New Roman" w:hAnsi="Calibri" w:cs="Calibri"/>
                <w:b/>
                <w:bCs/>
              </w:rPr>
            </w:pPr>
            <w:r w:rsidRPr="00B0452D">
              <w:rPr>
                <w:rFonts w:ascii="Calibri" w:eastAsia="Times New Roman" w:hAnsi="Calibri" w:cs="Calibri"/>
                <w:b/>
                <w:bCs/>
                <w:sz w:val="22"/>
                <w:szCs w:val="22"/>
              </w:rPr>
              <w:t>Liquidity Ratios</w:t>
            </w:r>
          </w:p>
          <w:p w14:paraId="3105103F" w14:textId="77777777" w:rsidR="00B0452D" w:rsidRDefault="00B0452D" w:rsidP="00B0452D">
            <w:pPr>
              <w:spacing w:after="0" w:line="240" w:lineRule="auto"/>
              <w:jc w:val="center"/>
              <w:rPr>
                <w:rFonts w:ascii="Calibri" w:eastAsia="Times New Roman" w:hAnsi="Calibri" w:cs="Calibri"/>
                <w:b/>
                <w:bCs/>
              </w:rPr>
            </w:pPr>
          </w:p>
          <w:p w14:paraId="7144F46E" w14:textId="77777777" w:rsidR="00B0452D" w:rsidRPr="00B0452D" w:rsidRDefault="00B0452D" w:rsidP="00B0452D">
            <w:pPr>
              <w:spacing w:after="0" w:line="240" w:lineRule="auto"/>
              <w:jc w:val="center"/>
              <w:rPr>
                <w:rFonts w:ascii="Calibri" w:eastAsia="Times New Roman" w:hAnsi="Calibri" w:cs="Calibri"/>
                <w:b/>
                <w:bCs/>
              </w:rPr>
            </w:pPr>
          </w:p>
        </w:tc>
        <w:tc>
          <w:tcPr>
            <w:tcW w:w="3060" w:type="dxa"/>
            <w:tcBorders>
              <w:top w:val="single" w:sz="4" w:space="0" w:color="auto"/>
            </w:tcBorders>
            <w:tcMar>
              <w:top w:w="30" w:type="dxa"/>
              <w:left w:w="45" w:type="dxa"/>
              <w:bottom w:w="30" w:type="dxa"/>
              <w:right w:w="45" w:type="dxa"/>
            </w:tcMar>
            <w:vAlign w:val="bottom"/>
            <w:hideMark/>
          </w:tcPr>
          <w:p w14:paraId="7D62269B" w14:textId="77777777" w:rsidR="00B0452D" w:rsidRPr="00B0452D" w:rsidRDefault="00B0452D" w:rsidP="00B0452D">
            <w:pPr>
              <w:spacing w:after="0" w:line="240" w:lineRule="auto"/>
              <w:jc w:val="center"/>
              <w:rPr>
                <w:rFonts w:ascii="Calibri" w:eastAsia="Times New Roman" w:hAnsi="Calibri" w:cs="Calibri"/>
                <w:b/>
                <w:bCs/>
              </w:rPr>
            </w:pPr>
            <w:r w:rsidRPr="00B0452D">
              <w:rPr>
                <w:rFonts w:ascii="Calibri" w:eastAsia="Times New Roman" w:hAnsi="Calibri" w:cs="Calibri"/>
                <w:b/>
                <w:bCs/>
                <w:sz w:val="22"/>
                <w:szCs w:val="22"/>
              </w:rPr>
              <w:t>Current Ratio</w:t>
            </w:r>
          </w:p>
        </w:tc>
        <w:tc>
          <w:tcPr>
            <w:tcW w:w="720" w:type="dxa"/>
            <w:tcBorders>
              <w:top w:val="single" w:sz="4" w:space="0" w:color="auto"/>
            </w:tcBorders>
            <w:tcMar>
              <w:top w:w="30" w:type="dxa"/>
              <w:left w:w="45" w:type="dxa"/>
              <w:bottom w:w="30" w:type="dxa"/>
              <w:right w:w="45" w:type="dxa"/>
            </w:tcMar>
            <w:vAlign w:val="bottom"/>
            <w:hideMark/>
          </w:tcPr>
          <w:p w14:paraId="396FF1E2" w14:textId="77777777" w:rsidR="00B0452D" w:rsidRPr="00B0452D" w:rsidRDefault="00B0452D" w:rsidP="00B0452D">
            <w:pPr>
              <w:spacing w:after="0" w:line="240" w:lineRule="auto"/>
              <w:jc w:val="center"/>
              <w:rPr>
                <w:rFonts w:ascii="Calibri" w:eastAsia="Times New Roman" w:hAnsi="Calibri" w:cs="Calibri"/>
              </w:rPr>
            </w:pPr>
            <w:r w:rsidRPr="00B0452D">
              <w:rPr>
                <w:rFonts w:ascii="Calibri" w:eastAsia="Times New Roman" w:hAnsi="Calibri" w:cs="Calibri"/>
                <w:sz w:val="22"/>
                <w:szCs w:val="22"/>
              </w:rPr>
              <w:t>1.12</w:t>
            </w:r>
          </w:p>
        </w:tc>
        <w:tc>
          <w:tcPr>
            <w:tcW w:w="720" w:type="dxa"/>
            <w:tcBorders>
              <w:top w:val="single" w:sz="4" w:space="0" w:color="auto"/>
            </w:tcBorders>
            <w:tcMar>
              <w:top w:w="30" w:type="dxa"/>
              <w:left w:w="45" w:type="dxa"/>
              <w:bottom w:w="30" w:type="dxa"/>
              <w:right w:w="45" w:type="dxa"/>
            </w:tcMar>
            <w:vAlign w:val="bottom"/>
            <w:hideMark/>
          </w:tcPr>
          <w:p w14:paraId="169F4265" w14:textId="77777777" w:rsidR="00B0452D" w:rsidRPr="00B0452D" w:rsidRDefault="00B0452D" w:rsidP="00B0452D">
            <w:pPr>
              <w:spacing w:after="0" w:line="240" w:lineRule="auto"/>
              <w:jc w:val="center"/>
              <w:rPr>
                <w:rFonts w:ascii="Calibri" w:eastAsia="Times New Roman" w:hAnsi="Calibri" w:cs="Calibri"/>
              </w:rPr>
            </w:pPr>
            <w:r w:rsidRPr="00B0452D">
              <w:rPr>
                <w:rFonts w:ascii="Calibri" w:eastAsia="Times New Roman" w:hAnsi="Calibri" w:cs="Calibri"/>
                <w:sz w:val="22"/>
                <w:szCs w:val="22"/>
              </w:rPr>
              <w:t>1.24</w:t>
            </w:r>
          </w:p>
        </w:tc>
        <w:tc>
          <w:tcPr>
            <w:tcW w:w="720" w:type="dxa"/>
            <w:tcBorders>
              <w:top w:val="single" w:sz="4" w:space="0" w:color="auto"/>
            </w:tcBorders>
            <w:tcMar>
              <w:top w:w="30" w:type="dxa"/>
              <w:left w:w="45" w:type="dxa"/>
              <w:bottom w:w="30" w:type="dxa"/>
              <w:right w:w="45" w:type="dxa"/>
            </w:tcMar>
            <w:vAlign w:val="bottom"/>
            <w:hideMark/>
          </w:tcPr>
          <w:p w14:paraId="76C2E79E" w14:textId="77777777" w:rsidR="00B0452D" w:rsidRPr="00B0452D" w:rsidRDefault="00B0452D" w:rsidP="00B0452D">
            <w:pPr>
              <w:spacing w:after="0" w:line="240" w:lineRule="auto"/>
              <w:jc w:val="center"/>
              <w:rPr>
                <w:rFonts w:ascii="Calibri" w:eastAsia="Times New Roman" w:hAnsi="Calibri" w:cs="Calibri"/>
              </w:rPr>
            </w:pPr>
            <w:r w:rsidRPr="00B0452D">
              <w:rPr>
                <w:rFonts w:ascii="Calibri" w:eastAsia="Times New Roman" w:hAnsi="Calibri" w:cs="Calibri"/>
                <w:sz w:val="22"/>
                <w:szCs w:val="22"/>
              </w:rPr>
              <w:t>1.27</w:t>
            </w:r>
          </w:p>
        </w:tc>
        <w:tc>
          <w:tcPr>
            <w:tcW w:w="630" w:type="dxa"/>
            <w:tcBorders>
              <w:top w:val="single" w:sz="4" w:space="0" w:color="auto"/>
            </w:tcBorders>
            <w:tcMar>
              <w:top w:w="30" w:type="dxa"/>
              <w:left w:w="45" w:type="dxa"/>
              <w:bottom w:w="30" w:type="dxa"/>
              <w:right w:w="45" w:type="dxa"/>
            </w:tcMar>
            <w:vAlign w:val="bottom"/>
            <w:hideMark/>
          </w:tcPr>
          <w:p w14:paraId="2E3C8AD1" w14:textId="77777777" w:rsidR="00B0452D" w:rsidRPr="00B0452D" w:rsidRDefault="00B0452D" w:rsidP="00B0452D">
            <w:pPr>
              <w:spacing w:after="0" w:line="240" w:lineRule="auto"/>
              <w:jc w:val="center"/>
              <w:rPr>
                <w:rFonts w:ascii="Calibri" w:eastAsia="Times New Roman" w:hAnsi="Calibri" w:cs="Calibri"/>
              </w:rPr>
            </w:pPr>
            <w:r w:rsidRPr="00B0452D">
              <w:rPr>
                <w:rFonts w:ascii="Calibri" w:eastAsia="Times New Roman" w:hAnsi="Calibri" w:cs="Calibri"/>
                <w:sz w:val="22"/>
                <w:szCs w:val="22"/>
              </w:rPr>
              <w:t>1.30</w:t>
            </w:r>
          </w:p>
        </w:tc>
        <w:tc>
          <w:tcPr>
            <w:tcW w:w="810" w:type="dxa"/>
            <w:tcBorders>
              <w:top w:val="single" w:sz="4" w:space="0" w:color="auto"/>
            </w:tcBorders>
            <w:tcMar>
              <w:top w:w="30" w:type="dxa"/>
              <w:left w:w="45" w:type="dxa"/>
              <w:bottom w:w="30" w:type="dxa"/>
              <w:right w:w="45" w:type="dxa"/>
            </w:tcMar>
            <w:vAlign w:val="bottom"/>
            <w:hideMark/>
          </w:tcPr>
          <w:p w14:paraId="63A6357C" w14:textId="77777777" w:rsidR="00B0452D" w:rsidRPr="00B0452D" w:rsidRDefault="00B0452D" w:rsidP="00B0452D">
            <w:pPr>
              <w:spacing w:after="0" w:line="240" w:lineRule="auto"/>
              <w:jc w:val="center"/>
              <w:rPr>
                <w:rFonts w:ascii="Calibri" w:eastAsia="Times New Roman" w:hAnsi="Calibri" w:cs="Calibri"/>
              </w:rPr>
            </w:pPr>
            <w:r w:rsidRPr="00B0452D">
              <w:rPr>
                <w:rFonts w:ascii="Calibri" w:eastAsia="Times New Roman" w:hAnsi="Calibri" w:cs="Calibri"/>
                <w:sz w:val="22"/>
                <w:szCs w:val="22"/>
              </w:rPr>
              <w:t>1.29</w:t>
            </w:r>
          </w:p>
        </w:tc>
      </w:tr>
      <w:tr w:rsidR="00B0452D" w:rsidRPr="00B0452D" w14:paraId="7F1CF3B3" w14:textId="77777777" w:rsidTr="00B0452D">
        <w:trPr>
          <w:trHeight w:val="315"/>
        </w:trPr>
        <w:tc>
          <w:tcPr>
            <w:tcW w:w="2745" w:type="dxa"/>
            <w:vMerge/>
            <w:vAlign w:val="center"/>
            <w:hideMark/>
          </w:tcPr>
          <w:p w14:paraId="22EF4B31" w14:textId="77777777" w:rsidR="00B0452D" w:rsidRPr="00B0452D" w:rsidRDefault="00B0452D" w:rsidP="00B0452D">
            <w:pPr>
              <w:spacing w:after="0" w:line="240" w:lineRule="auto"/>
              <w:jc w:val="left"/>
              <w:rPr>
                <w:rFonts w:ascii="Calibri" w:eastAsia="Times New Roman" w:hAnsi="Calibri" w:cs="Calibri"/>
                <w:b/>
                <w:bCs/>
              </w:rPr>
            </w:pPr>
          </w:p>
        </w:tc>
        <w:tc>
          <w:tcPr>
            <w:tcW w:w="3060" w:type="dxa"/>
            <w:tcMar>
              <w:top w:w="30" w:type="dxa"/>
              <w:left w:w="45" w:type="dxa"/>
              <w:bottom w:w="30" w:type="dxa"/>
              <w:right w:w="45" w:type="dxa"/>
            </w:tcMar>
            <w:vAlign w:val="bottom"/>
            <w:hideMark/>
          </w:tcPr>
          <w:p w14:paraId="51245ECE" w14:textId="77777777" w:rsidR="00B0452D" w:rsidRPr="00B0452D" w:rsidRDefault="00B0452D" w:rsidP="00B0452D">
            <w:pPr>
              <w:spacing w:after="0" w:line="240" w:lineRule="auto"/>
              <w:jc w:val="center"/>
              <w:rPr>
                <w:rFonts w:ascii="Calibri" w:eastAsia="Times New Roman" w:hAnsi="Calibri" w:cs="Calibri"/>
                <w:b/>
                <w:bCs/>
              </w:rPr>
            </w:pPr>
            <w:r w:rsidRPr="00B0452D">
              <w:rPr>
                <w:rFonts w:ascii="Calibri" w:eastAsia="Times New Roman" w:hAnsi="Calibri" w:cs="Calibri"/>
                <w:b/>
                <w:bCs/>
                <w:sz w:val="22"/>
                <w:szCs w:val="22"/>
              </w:rPr>
              <w:t>Quick Ratio</w:t>
            </w:r>
          </w:p>
        </w:tc>
        <w:tc>
          <w:tcPr>
            <w:tcW w:w="720" w:type="dxa"/>
            <w:tcMar>
              <w:top w:w="30" w:type="dxa"/>
              <w:left w:w="45" w:type="dxa"/>
              <w:bottom w:w="30" w:type="dxa"/>
              <w:right w:w="45" w:type="dxa"/>
            </w:tcMar>
            <w:hideMark/>
          </w:tcPr>
          <w:p w14:paraId="7B55F407" w14:textId="77777777" w:rsidR="00B0452D" w:rsidRPr="00B0452D" w:rsidRDefault="00B0452D" w:rsidP="00B0452D">
            <w:pPr>
              <w:spacing w:after="0" w:line="240" w:lineRule="auto"/>
              <w:jc w:val="center"/>
              <w:rPr>
                <w:rFonts w:ascii="Calibri" w:eastAsia="Times New Roman" w:hAnsi="Calibri" w:cs="Calibri"/>
              </w:rPr>
            </w:pPr>
            <w:r w:rsidRPr="00B0452D">
              <w:rPr>
                <w:rFonts w:ascii="Calibri" w:eastAsia="Times New Roman" w:hAnsi="Calibri" w:cs="Calibri"/>
                <w:sz w:val="22"/>
                <w:szCs w:val="22"/>
              </w:rPr>
              <w:t>0.25</w:t>
            </w:r>
          </w:p>
        </w:tc>
        <w:tc>
          <w:tcPr>
            <w:tcW w:w="720" w:type="dxa"/>
            <w:tcMar>
              <w:top w:w="30" w:type="dxa"/>
              <w:left w:w="45" w:type="dxa"/>
              <w:bottom w:w="30" w:type="dxa"/>
              <w:right w:w="45" w:type="dxa"/>
            </w:tcMar>
            <w:hideMark/>
          </w:tcPr>
          <w:p w14:paraId="2B7F9FAA" w14:textId="77777777" w:rsidR="00B0452D" w:rsidRPr="00B0452D" w:rsidRDefault="00B0452D" w:rsidP="00B0452D">
            <w:pPr>
              <w:spacing w:after="0" w:line="240" w:lineRule="auto"/>
              <w:jc w:val="center"/>
              <w:rPr>
                <w:rFonts w:ascii="Calibri" w:eastAsia="Times New Roman" w:hAnsi="Calibri" w:cs="Calibri"/>
              </w:rPr>
            </w:pPr>
            <w:r w:rsidRPr="00B0452D">
              <w:rPr>
                <w:rFonts w:ascii="Calibri" w:eastAsia="Times New Roman" w:hAnsi="Calibri" w:cs="Calibri"/>
                <w:sz w:val="22"/>
                <w:szCs w:val="22"/>
              </w:rPr>
              <w:t>0.46</w:t>
            </w:r>
          </w:p>
        </w:tc>
        <w:tc>
          <w:tcPr>
            <w:tcW w:w="720" w:type="dxa"/>
            <w:tcMar>
              <w:top w:w="30" w:type="dxa"/>
              <w:left w:w="45" w:type="dxa"/>
              <w:bottom w:w="30" w:type="dxa"/>
              <w:right w:w="45" w:type="dxa"/>
            </w:tcMar>
            <w:hideMark/>
          </w:tcPr>
          <w:p w14:paraId="5A1CFE9E" w14:textId="77777777" w:rsidR="00B0452D" w:rsidRPr="00B0452D" w:rsidRDefault="00B0452D" w:rsidP="00B0452D">
            <w:pPr>
              <w:spacing w:after="0" w:line="240" w:lineRule="auto"/>
              <w:jc w:val="center"/>
              <w:rPr>
                <w:rFonts w:ascii="Calibri" w:eastAsia="Times New Roman" w:hAnsi="Calibri" w:cs="Calibri"/>
              </w:rPr>
            </w:pPr>
            <w:r w:rsidRPr="00B0452D">
              <w:rPr>
                <w:rFonts w:ascii="Calibri" w:eastAsia="Times New Roman" w:hAnsi="Calibri" w:cs="Calibri"/>
                <w:sz w:val="22"/>
                <w:szCs w:val="22"/>
              </w:rPr>
              <w:t>0.38</w:t>
            </w:r>
          </w:p>
        </w:tc>
        <w:tc>
          <w:tcPr>
            <w:tcW w:w="630" w:type="dxa"/>
            <w:tcMar>
              <w:top w:w="30" w:type="dxa"/>
              <w:left w:w="45" w:type="dxa"/>
              <w:bottom w:w="30" w:type="dxa"/>
              <w:right w:w="45" w:type="dxa"/>
            </w:tcMar>
            <w:hideMark/>
          </w:tcPr>
          <w:p w14:paraId="2560E6A4" w14:textId="77777777" w:rsidR="00B0452D" w:rsidRPr="00B0452D" w:rsidRDefault="00B0452D" w:rsidP="00B0452D">
            <w:pPr>
              <w:spacing w:after="0" w:line="240" w:lineRule="auto"/>
              <w:jc w:val="center"/>
              <w:rPr>
                <w:rFonts w:ascii="Calibri" w:eastAsia="Times New Roman" w:hAnsi="Calibri" w:cs="Calibri"/>
              </w:rPr>
            </w:pPr>
            <w:r w:rsidRPr="00B0452D">
              <w:rPr>
                <w:rFonts w:ascii="Calibri" w:eastAsia="Times New Roman" w:hAnsi="Calibri" w:cs="Calibri"/>
                <w:sz w:val="22"/>
                <w:szCs w:val="22"/>
              </w:rPr>
              <w:t>0.24</w:t>
            </w:r>
          </w:p>
        </w:tc>
        <w:tc>
          <w:tcPr>
            <w:tcW w:w="810" w:type="dxa"/>
            <w:tcMar>
              <w:top w:w="30" w:type="dxa"/>
              <w:left w:w="45" w:type="dxa"/>
              <w:bottom w:w="30" w:type="dxa"/>
              <w:right w:w="45" w:type="dxa"/>
            </w:tcMar>
            <w:hideMark/>
          </w:tcPr>
          <w:p w14:paraId="117CE2FE" w14:textId="77777777" w:rsidR="00B0452D" w:rsidRPr="00B0452D" w:rsidRDefault="00B0452D" w:rsidP="00B0452D">
            <w:pPr>
              <w:spacing w:after="0" w:line="240" w:lineRule="auto"/>
              <w:jc w:val="center"/>
              <w:rPr>
                <w:rFonts w:ascii="Calibri" w:eastAsia="Times New Roman" w:hAnsi="Calibri" w:cs="Calibri"/>
              </w:rPr>
            </w:pPr>
            <w:r w:rsidRPr="00B0452D">
              <w:rPr>
                <w:rFonts w:ascii="Calibri" w:eastAsia="Times New Roman" w:hAnsi="Calibri" w:cs="Calibri"/>
                <w:sz w:val="22"/>
                <w:szCs w:val="22"/>
              </w:rPr>
              <w:t>0.27</w:t>
            </w:r>
          </w:p>
        </w:tc>
      </w:tr>
      <w:tr w:rsidR="00B0452D" w:rsidRPr="00B0452D" w14:paraId="6F73FD17" w14:textId="77777777" w:rsidTr="00B0452D">
        <w:trPr>
          <w:trHeight w:val="315"/>
        </w:trPr>
        <w:tc>
          <w:tcPr>
            <w:tcW w:w="2745" w:type="dxa"/>
            <w:vMerge/>
            <w:vAlign w:val="center"/>
            <w:hideMark/>
          </w:tcPr>
          <w:p w14:paraId="14BE1A88" w14:textId="77777777" w:rsidR="00B0452D" w:rsidRPr="00B0452D" w:rsidRDefault="00B0452D" w:rsidP="00B0452D">
            <w:pPr>
              <w:spacing w:after="0" w:line="240" w:lineRule="auto"/>
              <w:jc w:val="left"/>
              <w:rPr>
                <w:rFonts w:ascii="Calibri" w:eastAsia="Times New Roman" w:hAnsi="Calibri" w:cs="Calibri"/>
                <w:b/>
                <w:bCs/>
              </w:rPr>
            </w:pPr>
          </w:p>
        </w:tc>
        <w:tc>
          <w:tcPr>
            <w:tcW w:w="3060" w:type="dxa"/>
            <w:tcMar>
              <w:top w:w="30" w:type="dxa"/>
              <w:left w:w="45" w:type="dxa"/>
              <w:bottom w:w="30" w:type="dxa"/>
              <w:right w:w="45" w:type="dxa"/>
            </w:tcMar>
            <w:vAlign w:val="bottom"/>
            <w:hideMark/>
          </w:tcPr>
          <w:p w14:paraId="5C0C9AA9" w14:textId="77777777" w:rsidR="00B0452D" w:rsidRPr="00B0452D" w:rsidRDefault="00B0452D" w:rsidP="00B0452D">
            <w:pPr>
              <w:spacing w:after="0" w:line="240" w:lineRule="auto"/>
              <w:jc w:val="center"/>
              <w:rPr>
                <w:rFonts w:ascii="Calibri" w:eastAsia="Times New Roman" w:hAnsi="Calibri" w:cs="Calibri"/>
                <w:b/>
                <w:bCs/>
              </w:rPr>
            </w:pPr>
            <w:r w:rsidRPr="00B0452D">
              <w:rPr>
                <w:rFonts w:ascii="Calibri" w:eastAsia="Times New Roman" w:hAnsi="Calibri" w:cs="Calibri"/>
                <w:b/>
                <w:bCs/>
                <w:sz w:val="22"/>
                <w:szCs w:val="22"/>
              </w:rPr>
              <w:t>Cash Ratio</w:t>
            </w:r>
          </w:p>
        </w:tc>
        <w:tc>
          <w:tcPr>
            <w:tcW w:w="720" w:type="dxa"/>
            <w:tcMar>
              <w:top w:w="30" w:type="dxa"/>
              <w:left w:w="45" w:type="dxa"/>
              <w:bottom w:w="30" w:type="dxa"/>
              <w:right w:w="45" w:type="dxa"/>
            </w:tcMar>
            <w:hideMark/>
          </w:tcPr>
          <w:p w14:paraId="6A963BA1" w14:textId="77777777" w:rsidR="00B0452D" w:rsidRPr="00B0452D" w:rsidRDefault="00B0452D" w:rsidP="00B0452D">
            <w:pPr>
              <w:spacing w:after="0" w:line="240" w:lineRule="auto"/>
              <w:jc w:val="center"/>
              <w:rPr>
                <w:rFonts w:ascii="Calibri" w:eastAsia="Times New Roman" w:hAnsi="Calibri" w:cs="Calibri"/>
              </w:rPr>
            </w:pPr>
            <w:r w:rsidRPr="00B0452D">
              <w:rPr>
                <w:rFonts w:ascii="Calibri" w:eastAsia="Times New Roman" w:hAnsi="Calibri" w:cs="Calibri"/>
                <w:sz w:val="22"/>
                <w:szCs w:val="22"/>
              </w:rPr>
              <w:t>0.07</w:t>
            </w:r>
          </w:p>
        </w:tc>
        <w:tc>
          <w:tcPr>
            <w:tcW w:w="720" w:type="dxa"/>
            <w:tcMar>
              <w:top w:w="30" w:type="dxa"/>
              <w:left w:w="45" w:type="dxa"/>
              <w:bottom w:w="30" w:type="dxa"/>
              <w:right w:w="45" w:type="dxa"/>
            </w:tcMar>
            <w:hideMark/>
          </w:tcPr>
          <w:p w14:paraId="207A8175" w14:textId="77777777" w:rsidR="00B0452D" w:rsidRPr="00B0452D" w:rsidRDefault="00B0452D" w:rsidP="00B0452D">
            <w:pPr>
              <w:spacing w:after="0" w:line="240" w:lineRule="auto"/>
              <w:jc w:val="center"/>
              <w:rPr>
                <w:rFonts w:ascii="Calibri" w:eastAsia="Times New Roman" w:hAnsi="Calibri" w:cs="Calibri"/>
              </w:rPr>
            </w:pPr>
            <w:r w:rsidRPr="00B0452D">
              <w:rPr>
                <w:rFonts w:ascii="Calibri" w:eastAsia="Times New Roman" w:hAnsi="Calibri" w:cs="Calibri"/>
                <w:sz w:val="22"/>
                <w:szCs w:val="22"/>
              </w:rPr>
              <w:t>0.36</w:t>
            </w:r>
          </w:p>
        </w:tc>
        <w:tc>
          <w:tcPr>
            <w:tcW w:w="720" w:type="dxa"/>
            <w:tcMar>
              <w:top w:w="30" w:type="dxa"/>
              <w:left w:w="45" w:type="dxa"/>
              <w:bottom w:w="30" w:type="dxa"/>
              <w:right w:w="45" w:type="dxa"/>
            </w:tcMar>
            <w:hideMark/>
          </w:tcPr>
          <w:p w14:paraId="16C5238C" w14:textId="77777777" w:rsidR="00B0452D" w:rsidRPr="00B0452D" w:rsidRDefault="00B0452D" w:rsidP="00B0452D">
            <w:pPr>
              <w:spacing w:after="0" w:line="240" w:lineRule="auto"/>
              <w:jc w:val="center"/>
              <w:rPr>
                <w:rFonts w:ascii="Calibri" w:eastAsia="Times New Roman" w:hAnsi="Calibri" w:cs="Calibri"/>
              </w:rPr>
            </w:pPr>
            <w:r w:rsidRPr="00B0452D">
              <w:rPr>
                <w:rFonts w:ascii="Calibri" w:eastAsia="Times New Roman" w:hAnsi="Calibri" w:cs="Calibri"/>
                <w:sz w:val="22"/>
                <w:szCs w:val="22"/>
              </w:rPr>
              <w:t>0.26</w:t>
            </w:r>
          </w:p>
        </w:tc>
        <w:tc>
          <w:tcPr>
            <w:tcW w:w="630" w:type="dxa"/>
            <w:tcMar>
              <w:top w:w="30" w:type="dxa"/>
              <w:left w:w="45" w:type="dxa"/>
              <w:bottom w:w="30" w:type="dxa"/>
              <w:right w:w="45" w:type="dxa"/>
            </w:tcMar>
            <w:hideMark/>
          </w:tcPr>
          <w:p w14:paraId="23F1749F" w14:textId="77777777" w:rsidR="00B0452D" w:rsidRPr="00B0452D" w:rsidRDefault="00B0452D" w:rsidP="00B0452D">
            <w:pPr>
              <w:spacing w:after="0" w:line="240" w:lineRule="auto"/>
              <w:jc w:val="center"/>
              <w:rPr>
                <w:rFonts w:ascii="Calibri" w:eastAsia="Times New Roman" w:hAnsi="Calibri" w:cs="Calibri"/>
              </w:rPr>
            </w:pPr>
            <w:r w:rsidRPr="00B0452D">
              <w:rPr>
                <w:rFonts w:ascii="Calibri" w:eastAsia="Times New Roman" w:hAnsi="Calibri" w:cs="Calibri"/>
                <w:sz w:val="22"/>
                <w:szCs w:val="22"/>
              </w:rPr>
              <w:t>0.10</w:t>
            </w:r>
          </w:p>
        </w:tc>
        <w:tc>
          <w:tcPr>
            <w:tcW w:w="810" w:type="dxa"/>
            <w:tcMar>
              <w:top w:w="30" w:type="dxa"/>
              <w:left w:w="45" w:type="dxa"/>
              <w:bottom w:w="30" w:type="dxa"/>
              <w:right w:w="45" w:type="dxa"/>
            </w:tcMar>
            <w:hideMark/>
          </w:tcPr>
          <w:p w14:paraId="0113CB89" w14:textId="77777777" w:rsidR="00B0452D" w:rsidRPr="00B0452D" w:rsidRDefault="00B0452D" w:rsidP="00B0452D">
            <w:pPr>
              <w:spacing w:after="0" w:line="240" w:lineRule="auto"/>
              <w:jc w:val="center"/>
              <w:rPr>
                <w:rFonts w:ascii="Calibri" w:eastAsia="Times New Roman" w:hAnsi="Calibri" w:cs="Calibri"/>
              </w:rPr>
            </w:pPr>
            <w:r w:rsidRPr="00B0452D">
              <w:rPr>
                <w:rFonts w:ascii="Calibri" w:eastAsia="Times New Roman" w:hAnsi="Calibri" w:cs="Calibri"/>
                <w:sz w:val="22"/>
                <w:szCs w:val="22"/>
              </w:rPr>
              <w:t>0.13</w:t>
            </w:r>
          </w:p>
        </w:tc>
      </w:tr>
    </w:tbl>
    <w:p w14:paraId="199F1BAC" w14:textId="49B06AD6" w:rsidR="00B0452D" w:rsidRPr="00B0452D" w:rsidRDefault="00B0452D" w:rsidP="00B0452D">
      <w:pPr>
        <w:jc w:val="center"/>
        <w:rPr>
          <w:sz w:val="18"/>
        </w:rPr>
      </w:pPr>
      <w:r w:rsidRPr="00B0452D">
        <w:rPr>
          <w:sz w:val="18"/>
        </w:rPr>
        <w:t>Refer to Appendix A for viewing Calculations</w:t>
      </w:r>
    </w:p>
    <w:p w14:paraId="24F36EE5" w14:textId="0A4C1B77" w:rsidR="0034172B" w:rsidRDefault="0034172B" w:rsidP="0034172B">
      <w:pPr>
        <w:pStyle w:val="Heading4"/>
        <w:jc w:val="center"/>
      </w:pPr>
      <w:r w:rsidRPr="0034172B">
        <w:rPr>
          <w:noProof/>
        </w:rPr>
        <w:lastRenderedPageBreak/>
        <w:drawing>
          <wp:inline distT="0" distB="0" distL="0" distR="0" wp14:anchorId="24C65863" wp14:editId="4876672C">
            <wp:extent cx="4862833" cy="28984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4866845" cy="2900867"/>
                    </a:xfrm>
                    <a:prstGeom prst="rect">
                      <a:avLst/>
                    </a:prstGeom>
                  </pic:spPr>
                </pic:pic>
              </a:graphicData>
            </a:graphic>
          </wp:inline>
        </w:drawing>
      </w:r>
    </w:p>
    <w:p w14:paraId="4C248924" w14:textId="5E340AAA" w:rsidR="00B0452D" w:rsidRDefault="00B0452D" w:rsidP="00B0452D">
      <w:pPr>
        <w:pStyle w:val="Heading4"/>
      </w:pPr>
      <w:r w:rsidRPr="00B0452D">
        <w:t>Current Ratio</w:t>
      </w:r>
    </w:p>
    <w:p w14:paraId="4DD9AA7C" w14:textId="3A8F9D8C" w:rsidR="00FF54D6" w:rsidRDefault="006C7EF6" w:rsidP="00B50438">
      <w:r w:rsidRPr="00F9490E">
        <w:t>Current Ratio</w:t>
      </w:r>
      <w:r w:rsidR="00AC5A06">
        <w:t xml:space="preserve">, a highly used financial ratio to measure liquidity </w:t>
      </w:r>
      <w:proofErr w:type="gramStart"/>
      <w:r w:rsidR="00AC5A06">
        <w:t>provide</w:t>
      </w:r>
      <w:proofErr w:type="gramEnd"/>
      <w:r w:rsidR="00AC5A06">
        <w:t xml:space="preserve"> a glimpse of the overall liquidity of the focal organization. The </w:t>
      </w:r>
      <w:proofErr w:type="spellStart"/>
      <w:r w:rsidR="00AC5A06">
        <w:t>evaluaion</w:t>
      </w:r>
      <w:proofErr w:type="spellEnd"/>
      <w:r w:rsidR="00AC5A06">
        <w:t xml:space="preserve"> mainly happens by calculating the current assets against the </w:t>
      </w:r>
      <w:r w:rsidRPr="00F9490E">
        <w:t>current liabilities</w:t>
      </w:r>
      <w:r w:rsidR="00AC5A06">
        <w:t xml:space="preserve"> of any </w:t>
      </w:r>
      <w:proofErr w:type="gramStart"/>
      <w:r w:rsidR="00AC5A06">
        <w:t xml:space="preserve">organization </w:t>
      </w:r>
      <w:r w:rsidRPr="00F9490E">
        <w:t>.</w:t>
      </w:r>
      <w:proofErr w:type="gramEnd"/>
      <w:r w:rsidRPr="00F9490E">
        <w:t xml:space="preserve"> </w:t>
      </w:r>
      <w:r w:rsidR="00AC5A06">
        <w:t xml:space="preserve">The evaluation is conducted based on the deviation from </w:t>
      </w:r>
      <w:proofErr w:type="gramStart"/>
      <w:r w:rsidRPr="00F9490E">
        <w:t>1</w:t>
      </w:r>
      <w:r w:rsidR="00AC5A06">
        <w:t xml:space="preserve">  .</w:t>
      </w:r>
      <w:proofErr w:type="gramEnd"/>
      <w:r w:rsidR="00AC5A06">
        <w:t xml:space="preserve"> Usually</w:t>
      </w:r>
      <w:r w:rsidRPr="00F9490E">
        <w:t xml:space="preserve"> </w:t>
      </w:r>
      <w:r w:rsidR="00AC5A06">
        <w:t>the output of 1 or above assures a</w:t>
      </w:r>
      <w:r w:rsidRPr="00F9490E">
        <w:t xml:space="preserve"> company has </w:t>
      </w:r>
      <w:r w:rsidR="00AC5A06">
        <w:t>current assets exceeding its current liabilities and the opposite if the value is less</w:t>
      </w:r>
      <w:r w:rsidRPr="00F9490E">
        <w:t xml:space="preserve">. </w:t>
      </w:r>
      <w:r w:rsidR="00FF54D6">
        <w:t>The formula for calculating Current Ratio is;</w:t>
      </w:r>
      <w:r w:rsidR="0034172B">
        <w:t xml:space="preserve"> </w:t>
      </w:r>
    </w:p>
    <w:p w14:paraId="243BCC98" w14:textId="568AA820" w:rsidR="00FF54D6" w:rsidRDefault="0034172B" w:rsidP="0034172B">
      <w:pPr>
        <w:jc w:val="center"/>
      </w:pPr>
      <w:r w:rsidRPr="0034172B">
        <w:rPr>
          <w:b/>
        </w:rPr>
        <w:t>Current Ratio</w:t>
      </w:r>
      <w:r>
        <w:t xml:space="preserve"> = </w:t>
      </w:r>
      <m:oMath>
        <m:f>
          <m:fPr>
            <m:ctrlPr>
              <w:rPr>
                <w:rFonts w:ascii="Cambria Math" w:hAnsi="Cambria Math"/>
                <w:i/>
              </w:rPr>
            </m:ctrlPr>
          </m:fPr>
          <m:num>
            <m:r>
              <w:rPr>
                <w:rFonts w:ascii="Cambria Math" w:hAnsi="Cambria Math"/>
              </w:rPr>
              <m:t>Current Assets</m:t>
            </m:r>
          </m:num>
          <m:den>
            <m:r>
              <w:rPr>
                <w:rFonts w:ascii="Cambria Math" w:hAnsi="Cambria Math"/>
              </w:rPr>
              <m:t>Current Liabilities</m:t>
            </m:r>
          </m:den>
        </m:f>
      </m:oMath>
    </w:p>
    <w:p w14:paraId="00000030" w14:textId="4A0C20A1" w:rsidR="00424676" w:rsidRDefault="006C7EF6" w:rsidP="00B50438">
      <w:r w:rsidRPr="00F9490E">
        <w:t xml:space="preserve">From 2019 to 2023, the current ratio for the company showed a steady improvement, increasing from 1.12 to 1.29. This gradual rise suggests </w:t>
      </w:r>
      <w:r w:rsidR="00657FC0">
        <w:t>the possibility of being able to pay off non-</w:t>
      </w:r>
      <w:proofErr w:type="gramStart"/>
      <w:r w:rsidR="00657FC0">
        <w:t>current  liabilities</w:t>
      </w:r>
      <w:proofErr w:type="gramEnd"/>
      <w:r w:rsidR="00657FC0">
        <w:t xml:space="preserve"> indicating a positive state of liquidity </w:t>
      </w:r>
      <w:r w:rsidRPr="00F9490E">
        <w:t>.</w:t>
      </w:r>
    </w:p>
    <w:p w14:paraId="4863CF23" w14:textId="3C36F401" w:rsidR="00527E5C" w:rsidRDefault="00527E5C" w:rsidP="00527E5C">
      <w:pPr>
        <w:pStyle w:val="Heading4"/>
      </w:pPr>
      <w:r>
        <w:t>Quick</w:t>
      </w:r>
      <w:r w:rsidRPr="00B0452D">
        <w:t xml:space="preserve"> Ratio</w:t>
      </w:r>
    </w:p>
    <w:p w14:paraId="7F23C4AB" w14:textId="77777777" w:rsidR="00A92BE8" w:rsidRDefault="00A92BE8" w:rsidP="00527E5C">
      <w:pPr>
        <w:spacing w:after="0"/>
        <w:jc w:val="center"/>
      </w:pPr>
      <w:r w:rsidRPr="00A92BE8">
        <w:lastRenderedPageBreak/>
        <w:t>Taking into consideration the possibility that inventory may not be easily converted into cash, the Quick Ratio, which is also often known as the acid-test ratio, provides a more stringent measure of liquidity. This is accomplished by omitting inventory from current assets. The fast ratio places an emphasis on the assets that are the most liquid, such as cash and receivables, because of this consideration. The formula for the Quick Ratio is as follows:</w:t>
      </w:r>
    </w:p>
    <w:p w14:paraId="4B8F7065" w14:textId="1A3CD35A" w:rsidR="00527E5C" w:rsidRDefault="00527E5C" w:rsidP="00527E5C">
      <w:pPr>
        <w:spacing w:after="0"/>
        <w:jc w:val="center"/>
      </w:pPr>
      <w:r>
        <w:rPr>
          <w:b/>
        </w:rPr>
        <w:t>Quick</w:t>
      </w:r>
      <w:r w:rsidRPr="0034172B">
        <w:rPr>
          <w:b/>
        </w:rPr>
        <w:t xml:space="preserve"> Ratio</w:t>
      </w:r>
      <w:r>
        <w:t xml:space="preserve"> = </w:t>
      </w:r>
      <m:oMath>
        <m:f>
          <m:fPr>
            <m:ctrlPr>
              <w:rPr>
                <w:rFonts w:ascii="Cambria Math" w:hAnsi="Cambria Math"/>
                <w:i/>
              </w:rPr>
            </m:ctrlPr>
          </m:fPr>
          <m:num>
            <m:r>
              <w:rPr>
                <w:rFonts w:ascii="Cambria Math" w:hAnsi="Cambria Math"/>
              </w:rPr>
              <m:t>Current Assets-Inventory</m:t>
            </m:r>
          </m:num>
          <m:den>
            <m:r>
              <w:rPr>
                <w:rFonts w:ascii="Cambria Math" w:hAnsi="Cambria Math"/>
              </w:rPr>
              <m:t>Current Liabilities</m:t>
            </m:r>
          </m:den>
        </m:f>
      </m:oMath>
    </w:p>
    <w:p w14:paraId="00000032" w14:textId="49535600" w:rsidR="00424676" w:rsidRPr="00F9490E" w:rsidRDefault="00527E5C" w:rsidP="00B50438">
      <w:r>
        <w:t>Based on the data, t</w:t>
      </w:r>
      <w:r w:rsidR="006C7EF6" w:rsidRPr="00F9490E">
        <w:t xml:space="preserve">he company’s quick ratio saw significant fluctuations over the years. In 2020, </w:t>
      </w:r>
      <w:r>
        <w:t>it</w:t>
      </w:r>
      <w:r w:rsidR="006C7EF6" w:rsidRPr="00F9490E">
        <w:t xml:space="preserve"> jumped to 0.46</w:t>
      </w:r>
      <w:r>
        <w:t xml:space="preserve"> </w:t>
      </w:r>
      <w:r w:rsidR="006C7EF6" w:rsidRPr="00F9490E">
        <w:t xml:space="preserve">indicating an increase in the company’s liquid assets relative to its short-term liabilities. However, </w:t>
      </w:r>
      <w:r>
        <w:t xml:space="preserve">the number </w:t>
      </w:r>
      <w:r w:rsidR="006C7EF6" w:rsidRPr="00F9490E">
        <w:t xml:space="preserve">dropped to 0.24 in 2022, showing a potential challenge in </w:t>
      </w:r>
      <w:proofErr w:type="gramStart"/>
      <w:r w:rsidR="007468DE">
        <w:t>tackling  current</w:t>
      </w:r>
      <w:proofErr w:type="gramEnd"/>
      <w:r w:rsidR="007468DE">
        <w:t xml:space="preserve"> liabilities </w:t>
      </w:r>
      <w:r w:rsidR="006C7EF6" w:rsidRPr="00F9490E">
        <w:t xml:space="preserve">without </w:t>
      </w:r>
      <w:r w:rsidR="007468DE">
        <w:t xml:space="preserve">having to liquidate any form of </w:t>
      </w:r>
      <w:r w:rsidR="006137B7">
        <w:t>product</w:t>
      </w:r>
      <w:r w:rsidR="007468DE">
        <w:t xml:space="preserve"> inventory </w:t>
      </w:r>
      <w:r w:rsidR="006C7EF6" w:rsidRPr="00F9490E">
        <w:t xml:space="preserve">. </w:t>
      </w:r>
      <w:r>
        <w:t>Although t</w:t>
      </w:r>
      <w:r w:rsidR="006C7EF6" w:rsidRPr="00F9490E">
        <w:t xml:space="preserve">he </w:t>
      </w:r>
      <w:r>
        <w:t xml:space="preserve">figures </w:t>
      </w:r>
      <w:r w:rsidR="006C7EF6" w:rsidRPr="00F9490E">
        <w:t>recovered slightly to 0.27 in 2023, the variability over these years highlights the company’s changing liquidity dynamics when excluding inventory.</w:t>
      </w:r>
      <w:r>
        <w:t xml:space="preserve"> </w:t>
      </w:r>
    </w:p>
    <w:p w14:paraId="0A94C733" w14:textId="77777777" w:rsidR="00527E5C" w:rsidRDefault="00527E5C" w:rsidP="00B50438"/>
    <w:p w14:paraId="08AAA8B4" w14:textId="063085B8" w:rsidR="00527E5C" w:rsidRDefault="00527E5C" w:rsidP="00527E5C">
      <w:pPr>
        <w:pStyle w:val="Heading4"/>
      </w:pPr>
      <w:r>
        <w:t>Cash Ratio</w:t>
      </w:r>
    </w:p>
    <w:p w14:paraId="0E86899C" w14:textId="5374ADA3" w:rsidR="00527E5C" w:rsidRDefault="00476931" w:rsidP="00B50438">
      <w:r>
        <w:t xml:space="preserve">Another liquidity ratio that is even more </w:t>
      </w:r>
      <w:r w:rsidR="006C7EF6" w:rsidRPr="00F9490E">
        <w:t>conservative liquidity measure, as it compares cash and cash equivalents directly to current liabilities</w:t>
      </w:r>
      <w:r>
        <w:t xml:space="preserve"> is cash ratio</w:t>
      </w:r>
      <w:r w:rsidR="006C7EF6" w:rsidRPr="00F9490E">
        <w:t xml:space="preserve">. This ratio is particularly important in assessing whether a company can immediately pay off its short-term debts with the cash it has on hand. </w:t>
      </w:r>
      <w:r w:rsidR="00527E5C">
        <w:t xml:space="preserve">The formula to calculate this ratio is,  </w:t>
      </w:r>
    </w:p>
    <w:p w14:paraId="7A0EEB18" w14:textId="20781744" w:rsidR="00527E5C" w:rsidRDefault="00527E5C" w:rsidP="00527E5C">
      <w:pPr>
        <w:spacing w:after="0"/>
        <w:jc w:val="center"/>
      </w:pPr>
      <w:r>
        <w:rPr>
          <w:b/>
        </w:rPr>
        <w:t>Cash</w:t>
      </w:r>
      <w:r w:rsidRPr="0034172B">
        <w:rPr>
          <w:b/>
        </w:rPr>
        <w:t xml:space="preserve"> Ratio</w:t>
      </w:r>
      <w:r>
        <w:t xml:space="preserve"> = </w:t>
      </w:r>
      <m:oMath>
        <m:f>
          <m:fPr>
            <m:ctrlPr>
              <w:rPr>
                <w:rFonts w:ascii="Cambria Math" w:hAnsi="Cambria Math"/>
                <w:i/>
              </w:rPr>
            </m:ctrlPr>
          </m:fPr>
          <m:num>
            <m:r>
              <w:rPr>
                <w:rFonts w:ascii="Cambria Math" w:hAnsi="Cambria Math"/>
              </w:rPr>
              <m:t>Cash &amp; Cash Equivalent</m:t>
            </m:r>
          </m:num>
          <m:den>
            <m:r>
              <w:rPr>
                <w:rFonts w:ascii="Cambria Math" w:hAnsi="Cambria Math"/>
              </w:rPr>
              <m:t>Current Liabilities</m:t>
            </m:r>
          </m:den>
        </m:f>
      </m:oMath>
    </w:p>
    <w:p w14:paraId="00000034" w14:textId="4D8036A8" w:rsidR="00424676" w:rsidRPr="00F9490E" w:rsidRDefault="006C7EF6" w:rsidP="00B50438">
      <w:r w:rsidRPr="00F9490E">
        <w:t>The company’s cash ratio experienced a notable increase in 2020, reaching 0.36 suggest</w:t>
      </w:r>
      <w:r w:rsidR="00527E5C">
        <w:t>ing</w:t>
      </w:r>
      <w:r w:rsidRPr="00F9490E">
        <w:t xml:space="preserve"> a strong liquidity buffer at that time. However </w:t>
      </w:r>
      <w:proofErr w:type="gramStart"/>
      <w:r w:rsidR="00527E5C">
        <w:t xml:space="preserve">it </w:t>
      </w:r>
      <w:r w:rsidRPr="00F9490E">
        <w:t xml:space="preserve"> declined</w:t>
      </w:r>
      <w:proofErr w:type="gramEnd"/>
      <w:r w:rsidRPr="00F9490E">
        <w:t xml:space="preserve"> significantly in subsequent years, </w:t>
      </w:r>
      <w:r w:rsidRPr="00F9490E">
        <w:lastRenderedPageBreak/>
        <w:t>dropping to 0.10 in 2022 before rising slightly to 0.13 in 2023. This trend indicates that while the company had a substantial cash reserve in 2020, its reliance on cash for meeting short-term obligations has decreased</w:t>
      </w:r>
      <w:r w:rsidR="00527E5C">
        <w:t xml:space="preserve"> indicating a possible </w:t>
      </w:r>
      <w:r w:rsidRPr="00F9490E">
        <w:t>increas</w:t>
      </w:r>
      <w:r w:rsidR="00527E5C">
        <w:t xml:space="preserve">e in </w:t>
      </w:r>
      <w:r w:rsidRPr="00F9490E">
        <w:t>its vulnerability to liquidity pressures.</w:t>
      </w:r>
    </w:p>
    <w:p w14:paraId="00000036" w14:textId="5CD9B148" w:rsidR="00424676" w:rsidRDefault="006C7EF6" w:rsidP="00527E5C">
      <w:pPr>
        <w:pStyle w:val="Heading3"/>
      </w:pPr>
      <w:bookmarkStart w:id="9" w:name="_Toc175149004"/>
      <w:r w:rsidRPr="00F9490E">
        <w:t>Profitability Ratios</w:t>
      </w:r>
      <w:bookmarkEnd w:id="9"/>
    </w:p>
    <w:p w14:paraId="1AB1B833" w14:textId="4E7AEB7C" w:rsidR="00FB5F5A" w:rsidRDefault="002C1B99" w:rsidP="00FB5F5A">
      <w:r w:rsidRPr="002C1B99">
        <w:t>Insights about a company's potential to generate earnings in relation to its sales, assets, and equity can be gained through the utilization of profitability indicators. Important measures of both the state of the company's finances and its operational efficiency are these ratios.</w:t>
      </w:r>
    </w:p>
    <w:tbl>
      <w:tblPr>
        <w:tblW w:w="9405" w:type="dxa"/>
        <w:tblBorders>
          <w:top w:val="single" w:sz="4" w:space="0" w:color="auto"/>
          <w:bottom w:val="single" w:sz="4" w:space="0" w:color="auto"/>
        </w:tblBorders>
        <w:tblCellMar>
          <w:left w:w="0" w:type="dxa"/>
          <w:right w:w="0" w:type="dxa"/>
        </w:tblCellMar>
        <w:tblLook w:val="04A0" w:firstRow="1" w:lastRow="0" w:firstColumn="1" w:lastColumn="0" w:noHBand="0" w:noVBand="1"/>
      </w:tblPr>
      <w:tblGrid>
        <w:gridCol w:w="2551"/>
        <w:gridCol w:w="2808"/>
        <w:gridCol w:w="809"/>
        <w:gridCol w:w="809"/>
        <w:gridCol w:w="809"/>
        <w:gridCol w:w="809"/>
        <w:gridCol w:w="810"/>
      </w:tblGrid>
      <w:tr w:rsidR="00527E5C" w:rsidRPr="00B0452D" w14:paraId="0AFF18DB" w14:textId="77777777" w:rsidTr="00A634BF">
        <w:trPr>
          <w:trHeight w:val="315"/>
        </w:trPr>
        <w:tc>
          <w:tcPr>
            <w:tcW w:w="2551" w:type="dxa"/>
            <w:vMerge w:val="restart"/>
            <w:tcBorders>
              <w:top w:val="single" w:sz="4" w:space="0" w:color="auto"/>
              <w:bottom w:val="nil"/>
            </w:tcBorders>
            <w:tcMar>
              <w:top w:w="30" w:type="dxa"/>
              <w:left w:w="45" w:type="dxa"/>
              <w:bottom w:w="30" w:type="dxa"/>
              <w:right w:w="45" w:type="dxa"/>
            </w:tcMar>
            <w:hideMark/>
          </w:tcPr>
          <w:p w14:paraId="160BC7FC" w14:textId="77777777" w:rsidR="00527E5C" w:rsidRDefault="00527E5C" w:rsidP="00A634BF">
            <w:pPr>
              <w:spacing w:after="0"/>
              <w:jc w:val="center"/>
              <w:rPr>
                <w:rFonts w:ascii="Calibri" w:eastAsia="Times New Roman" w:hAnsi="Calibri" w:cs="Calibri"/>
                <w:b/>
              </w:rPr>
            </w:pPr>
          </w:p>
          <w:p w14:paraId="5D03DC79" w14:textId="77777777" w:rsidR="00527E5C" w:rsidRPr="00B0452D" w:rsidRDefault="00527E5C" w:rsidP="00A634BF">
            <w:pPr>
              <w:spacing w:after="0"/>
              <w:jc w:val="center"/>
              <w:rPr>
                <w:rFonts w:ascii="Calibri" w:eastAsia="Times New Roman" w:hAnsi="Calibri" w:cs="Calibri"/>
                <w:b/>
              </w:rPr>
            </w:pPr>
            <w:r w:rsidRPr="00B0452D">
              <w:rPr>
                <w:rFonts w:ascii="Calibri" w:eastAsia="Times New Roman" w:hAnsi="Calibri" w:cs="Calibri"/>
                <w:b/>
                <w:sz w:val="22"/>
                <w:szCs w:val="22"/>
              </w:rPr>
              <w:t>Ratio Category</w:t>
            </w:r>
          </w:p>
        </w:tc>
        <w:tc>
          <w:tcPr>
            <w:tcW w:w="2808" w:type="dxa"/>
            <w:vMerge w:val="restart"/>
            <w:tcBorders>
              <w:top w:val="single" w:sz="4" w:space="0" w:color="auto"/>
              <w:bottom w:val="nil"/>
            </w:tcBorders>
            <w:tcMar>
              <w:top w:w="30" w:type="dxa"/>
              <w:left w:w="45" w:type="dxa"/>
              <w:bottom w:w="30" w:type="dxa"/>
              <w:right w:w="45" w:type="dxa"/>
            </w:tcMar>
            <w:hideMark/>
          </w:tcPr>
          <w:p w14:paraId="782DE432" w14:textId="77777777" w:rsidR="00527E5C" w:rsidRDefault="00527E5C" w:rsidP="00A634BF">
            <w:pPr>
              <w:spacing w:after="0"/>
              <w:jc w:val="center"/>
              <w:rPr>
                <w:rFonts w:ascii="Calibri" w:eastAsia="Times New Roman" w:hAnsi="Calibri" w:cs="Calibri"/>
                <w:b/>
              </w:rPr>
            </w:pPr>
          </w:p>
          <w:p w14:paraId="139854FE" w14:textId="77777777" w:rsidR="00527E5C" w:rsidRPr="00B0452D" w:rsidRDefault="00527E5C" w:rsidP="00A634BF">
            <w:pPr>
              <w:spacing w:after="0"/>
              <w:jc w:val="center"/>
              <w:rPr>
                <w:rFonts w:ascii="Calibri" w:eastAsia="Times New Roman" w:hAnsi="Calibri" w:cs="Calibri"/>
                <w:b/>
              </w:rPr>
            </w:pPr>
            <w:r w:rsidRPr="00B0452D">
              <w:rPr>
                <w:rFonts w:ascii="Calibri" w:eastAsia="Times New Roman" w:hAnsi="Calibri" w:cs="Calibri"/>
                <w:b/>
                <w:sz w:val="22"/>
                <w:szCs w:val="22"/>
              </w:rPr>
              <w:t>Ratio</w:t>
            </w:r>
          </w:p>
        </w:tc>
        <w:tc>
          <w:tcPr>
            <w:tcW w:w="4046" w:type="dxa"/>
            <w:gridSpan w:val="5"/>
            <w:tcBorders>
              <w:top w:val="single" w:sz="4" w:space="0" w:color="auto"/>
              <w:bottom w:val="nil"/>
            </w:tcBorders>
            <w:tcMar>
              <w:top w:w="30" w:type="dxa"/>
              <w:left w:w="45" w:type="dxa"/>
              <w:bottom w:w="30" w:type="dxa"/>
              <w:right w:w="45" w:type="dxa"/>
            </w:tcMar>
            <w:vAlign w:val="bottom"/>
            <w:hideMark/>
          </w:tcPr>
          <w:p w14:paraId="56014D4B" w14:textId="77777777" w:rsidR="00527E5C" w:rsidRPr="00B0452D" w:rsidRDefault="00527E5C" w:rsidP="00A634BF">
            <w:pPr>
              <w:spacing w:after="0"/>
              <w:jc w:val="center"/>
              <w:rPr>
                <w:rFonts w:ascii="Calibri" w:eastAsia="Times New Roman" w:hAnsi="Calibri" w:cs="Calibri"/>
                <w:b/>
                <w:bCs/>
              </w:rPr>
            </w:pPr>
            <w:r w:rsidRPr="00B0452D">
              <w:rPr>
                <w:rFonts w:ascii="Calibri" w:eastAsia="Times New Roman" w:hAnsi="Calibri" w:cs="Calibri"/>
                <w:b/>
                <w:bCs/>
                <w:sz w:val="22"/>
                <w:szCs w:val="22"/>
              </w:rPr>
              <w:t xml:space="preserve">Year </w:t>
            </w:r>
          </w:p>
        </w:tc>
      </w:tr>
      <w:tr w:rsidR="00527E5C" w:rsidRPr="00B0452D" w14:paraId="7221789A" w14:textId="77777777" w:rsidTr="00A634BF">
        <w:trPr>
          <w:trHeight w:val="375"/>
        </w:trPr>
        <w:tc>
          <w:tcPr>
            <w:tcW w:w="2551" w:type="dxa"/>
            <w:vMerge/>
            <w:tcBorders>
              <w:top w:val="nil"/>
              <w:bottom w:val="single" w:sz="4" w:space="0" w:color="auto"/>
            </w:tcBorders>
            <w:vAlign w:val="center"/>
            <w:hideMark/>
          </w:tcPr>
          <w:p w14:paraId="77693E88" w14:textId="77777777" w:rsidR="00527E5C" w:rsidRPr="00B0452D" w:rsidRDefault="00527E5C" w:rsidP="00A634BF">
            <w:pPr>
              <w:spacing w:after="0"/>
              <w:jc w:val="left"/>
              <w:rPr>
                <w:rFonts w:ascii="Calibri" w:eastAsia="Times New Roman" w:hAnsi="Calibri" w:cs="Calibri"/>
              </w:rPr>
            </w:pPr>
            <w:r>
              <w:rPr>
                <w:rFonts w:ascii="Calibri" w:eastAsia="Times New Roman" w:hAnsi="Calibri" w:cs="Calibri"/>
                <w:noProof/>
                <w:sz w:val="22"/>
                <w:szCs w:val="22"/>
              </w:rPr>
              <w:drawing>
                <wp:inline distT="0" distB="0" distL="0" distR="0" wp14:anchorId="24A588D1" wp14:editId="7D7E7CFC">
                  <wp:extent cx="5486400" cy="3200400"/>
                  <wp:effectExtent l="0" t="0" r="19050" b="1905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tc>
        <w:tc>
          <w:tcPr>
            <w:tcW w:w="2808" w:type="dxa"/>
            <w:vMerge/>
            <w:tcBorders>
              <w:top w:val="nil"/>
              <w:bottom w:val="single" w:sz="4" w:space="0" w:color="auto"/>
            </w:tcBorders>
            <w:vAlign w:val="center"/>
            <w:hideMark/>
          </w:tcPr>
          <w:p w14:paraId="1B90D15B" w14:textId="77777777" w:rsidR="00527E5C" w:rsidRPr="00B0452D" w:rsidRDefault="00527E5C" w:rsidP="00A634BF">
            <w:pPr>
              <w:spacing w:after="0"/>
              <w:jc w:val="left"/>
              <w:rPr>
                <w:rFonts w:ascii="Calibri" w:eastAsia="Times New Roman" w:hAnsi="Calibri" w:cs="Calibri"/>
              </w:rPr>
            </w:pPr>
          </w:p>
        </w:tc>
        <w:tc>
          <w:tcPr>
            <w:tcW w:w="809" w:type="dxa"/>
            <w:tcBorders>
              <w:top w:val="nil"/>
              <w:bottom w:val="single" w:sz="4" w:space="0" w:color="auto"/>
            </w:tcBorders>
            <w:tcMar>
              <w:top w:w="30" w:type="dxa"/>
              <w:left w:w="45" w:type="dxa"/>
              <w:bottom w:w="30" w:type="dxa"/>
              <w:right w:w="45" w:type="dxa"/>
            </w:tcMar>
            <w:vAlign w:val="bottom"/>
            <w:hideMark/>
          </w:tcPr>
          <w:p w14:paraId="1DBC63C2" w14:textId="77777777" w:rsidR="00527E5C" w:rsidRPr="00B0452D" w:rsidRDefault="00527E5C" w:rsidP="00A634BF">
            <w:pPr>
              <w:spacing w:after="0"/>
              <w:jc w:val="center"/>
              <w:rPr>
                <w:rFonts w:ascii="Calibri" w:eastAsia="Times New Roman" w:hAnsi="Calibri" w:cs="Calibri"/>
                <w:b/>
                <w:bCs/>
              </w:rPr>
            </w:pPr>
            <w:r>
              <w:rPr>
                <w:rFonts w:ascii="Calibri" w:eastAsia="Times New Roman" w:hAnsi="Calibri" w:cs="Calibri"/>
                <w:b/>
                <w:bCs/>
                <w:sz w:val="22"/>
                <w:szCs w:val="22"/>
              </w:rPr>
              <w:t>2019</w:t>
            </w:r>
          </w:p>
        </w:tc>
        <w:tc>
          <w:tcPr>
            <w:tcW w:w="809" w:type="dxa"/>
            <w:tcBorders>
              <w:top w:val="nil"/>
              <w:bottom w:val="single" w:sz="4" w:space="0" w:color="auto"/>
            </w:tcBorders>
            <w:tcMar>
              <w:top w:w="30" w:type="dxa"/>
              <w:left w:w="45" w:type="dxa"/>
              <w:bottom w:w="30" w:type="dxa"/>
              <w:right w:w="45" w:type="dxa"/>
            </w:tcMar>
            <w:vAlign w:val="bottom"/>
            <w:hideMark/>
          </w:tcPr>
          <w:p w14:paraId="5F4BB8D4" w14:textId="77777777" w:rsidR="00527E5C" w:rsidRPr="00B0452D" w:rsidRDefault="00527E5C" w:rsidP="00A634BF">
            <w:pPr>
              <w:spacing w:after="0"/>
              <w:jc w:val="center"/>
              <w:rPr>
                <w:rFonts w:ascii="Calibri" w:eastAsia="Times New Roman" w:hAnsi="Calibri" w:cs="Calibri"/>
                <w:b/>
                <w:bCs/>
              </w:rPr>
            </w:pPr>
            <w:r w:rsidRPr="00B0452D">
              <w:rPr>
                <w:rFonts w:ascii="Calibri" w:eastAsia="Times New Roman" w:hAnsi="Calibri" w:cs="Calibri"/>
                <w:b/>
                <w:bCs/>
                <w:sz w:val="22"/>
                <w:szCs w:val="22"/>
              </w:rPr>
              <w:t>2020</w:t>
            </w:r>
          </w:p>
        </w:tc>
        <w:tc>
          <w:tcPr>
            <w:tcW w:w="809" w:type="dxa"/>
            <w:tcBorders>
              <w:top w:val="nil"/>
              <w:bottom w:val="single" w:sz="4" w:space="0" w:color="auto"/>
            </w:tcBorders>
            <w:tcMar>
              <w:top w:w="30" w:type="dxa"/>
              <w:left w:w="45" w:type="dxa"/>
              <w:bottom w:w="30" w:type="dxa"/>
              <w:right w:w="45" w:type="dxa"/>
            </w:tcMar>
            <w:vAlign w:val="bottom"/>
            <w:hideMark/>
          </w:tcPr>
          <w:p w14:paraId="76FE956C" w14:textId="77777777" w:rsidR="00527E5C" w:rsidRPr="00B0452D" w:rsidRDefault="00527E5C" w:rsidP="00A634BF">
            <w:pPr>
              <w:spacing w:after="0"/>
              <w:jc w:val="center"/>
              <w:rPr>
                <w:rFonts w:ascii="Calibri" w:eastAsia="Times New Roman" w:hAnsi="Calibri" w:cs="Calibri"/>
                <w:b/>
                <w:bCs/>
              </w:rPr>
            </w:pPr>
            <w:r w:rsidRPr="00B0452D">
              <w:rPr>
                <w:rFonts w:ascii="Calibri" w:eastAsia="Times New Roman" w:hAnsi="Calibri" w:cs="Calibri"/>
                <w:b/>
                <w:bCs/>
                <w:sz w:val="22"/>
                <w:szCs w:val="22"/>
              </w:rPr>
              <w:t>2021</w:t>
            </w:r>
          </w:p>
        </w:tc>
        <w:tc>
          <w:tcPr>
            <w:tcW w:w="809" w:type="dxa"/>
            <w:tcBorders>
              <w:top w:val="nil"/>
              <w:bottom w:val="single" w:sz="4" w:space="0" w:color="auto"/>
            </w:tcBorders>
            <w:tcMar>
              <w:top w:w="30" w:type="dxa"/>
              <w:left w:w="45" w:type="dxa"/>
              <w:bottom w:w="30" w:type="dxa"/>
              <w:right w:w="45" w:type="dxa"/>
            </w:tcMar>
            <w:vAlign w:val="bottom"/>
            <w:hideMark/>
          </w:tcPr>
          <w:p w14:paraId="1FB74C78" w14:textId="77777777" w:rsidR="00527E5C" w:rsidRPr="00B0452D" w:rsidRDefault="00527E5C" w:rsidP="00A634BF">
            <w:pPr>
              <w:spacing w:after="0"/>
              <w:jc w:val="center"/>
              <w:rPr>
                <w:rFonts w:ascii="Calibri" w:eastAsia="Times New Roman" w:hAnsi="Calibri" w:cs="Calibri"/>
                <w:b/>
                <w:bCs/>
              </w:rPr>
            </w:pPr>
            <w:r w:rsidRPr="00B0452D">
              <w:rPr>
                <w:rFonts w:ascii="Calibri" w:eastAsia="Times New Roman" w:hAnsi="Calibri" w:cs="Calibri"/>
                <w:b/>
                <w:bCs/>
                <w:sz w:val="22"/>
                <w:szCs w:val="22"/>
              </w:rPr>
              <w:t>2022</w:t>
            </w:r>
          </w:p>
        </w:tc>
        <w:tc>
          <w:tcPr>
            <w:tcW w:w="810" w:type="dxa"/>
            <w:tcBorders>
              <w:top w:val="nil"/>
              <w:bottom w:val="single" w:sz="4" w:space="0" w:color="auto"/>
            </w:tcBorders>
            <w:tcMar>
              <w:top w:w="30" w:type="dxa"/>
              <w:left w:w="45" w:type="dxa"/>
              <w:bottom w:w="30" w:type="dxa"/>
              <w:right w:w="45" w:type="dxa"/>
            </w:tcMar>
            <w:vAlign w:val="bottom"/>
            <w:hideMark/>
          </w:tcPr>
          <w:p w14:paraId="55FD5136" w14:textId="77777777" w:rsidR="00527E5C" w:rsidRPr="00B0452D" w:rsidRDefault="00527E5C" w:rsidP="00A634BF">
            <w:pPr>
              <w:spacing w:after="0"/>
              <w:jc w:val="center"/>
              <w:rPr>
                <w:rFonts w:ascii="Calibri" w:eastAsia="Times New Roman" w:hAnsi="Calibri" w:cs="Calibri"/>
                <w:b/>
                <w:bCs/>
              </w:rPr>
            </w:pPr>
            <w:r w:rsidRPr="00B0452D">
              <w:rPr>
                <w:rFonts w:ascii="Calibri" w:eastAsia="Times New Roman" w:hAnsi="Calibri" w:cs="Calibri"/>
                <w:b/>
                <w:bCs/>
                <w:sz w:val="22"/>
                <w:szCs w:val="22"/>
              </w:rPr>
              <w:t>2023</w:t>
            </w:r>
          </w:p>
        </w:tc>
      </w:tr>
      <w:tr w:rsidR="00A634BF" w:rsidRPr="00B0452D" w14:paraId="633797AC" w14:textId="77777777" w:rsidTr="00A634BF">
        <w:trPr>
          <w:trHeight w:val="315"/>
        </w:trPr>
        <w:tc>
          <w:tcPr>
            <w:tcW w:w="2551" w:type="dxa"/>
            <w:vMerge w:val="restart"/>
            <w:tcBorders>
              <w:top w:val="single" w:sz="4" w:space="0" w:color="auto"/>
            </w:tcBorders>
            <w:tcMar>
              <w:top w:w="30" w:type="dxa"/>
              <w:left w:w="45" w:type="dxa"/>
              <w:bottom w:w="30" w:type="dxa"/>
              <w:right w:w="45" w:type="dxa"/>
            </w:tcMar>
            <w:vAlign w:val="bottom"/>
            <w:hideMark/>
          </w:tcPr>
          <w:p w14:paraId="091CB30B" w14:textId="51D70067" w:rsidR="00A634BF" w:rsidRDefault="00A634BF" w:rsidP="00A634BF">
            <w:pPr>
              <w:spacing w:after="0"/>
              <w:jc w:val="center"/>
              <w:rPr>
                <w:rFonts w:ascii="Calibri" w:eastAsia="Times New Roman" w:hAnsi="Calibri" w:cs="Calibri"/>
                <w:b/>
                <w:bCs/>
              </w:rPr>
            </w:pPr>
            <w:r>
              <w:rPr>
                <w:rFonts w:ascii="Calibri" w:eastAsia="Times New Roman" w:hAnsi="Calibri" w:cs="Calibri"/>
                <w:b/>
                <w:bCs/>
                <w:sz w:val="22"/>
                <w:szCs w:val="22"/>
              </w:rPr>
              <w:t>Profitability</w:t>
            </w:r>
            <w:r w:rsidRPr="00B0452D">
              <w:rPr>
                <w:rFonts w:ascii="Calibri" w:eastAsia="Times New Roman" w:hAnsi="Calibri" w:cs="Calibri"/>
                <w:b/>
                <w:bCs/>
                <w:sz w:val="22"/>
                <w:szCs w:val="22"/>
              </w:rPr>
              <w:t xml:space="preserve"> Ratios</w:t>
            </w:r>
          </w:p>
          <w:p w14:paraId="2D0D73A8" w14:textId="77777777" w:rsidR="00A634BF" w:rsidRDefault="00A634BF" w:rsidP="00A634BF">
            <w:pPr>
              <w:spacing w:after="0"/>
              <w:jc w:val="center"/>
              <w:rPr>
                <w:rFonts w:ascii="Calibri" w:eastAsia="Times New Roman" w:hAnsi="Calibri" w:cs="Calibri"/>
                <w:b/>
                <w:bCs/>
              </w:rPr>
            </w:pPr>
          </w:p>
          <w:p w14:paraId="781AB285" w14:textId="77777777" w:rsidR="00A634BF" w:rsidRPr="00B0452D" w:rsidRDefault="00A634BF" w:rsidP="00A634BF">
            <w:pPr>
              <w:spacing w:after="0"/>
              <w:jc w:val="center"/>
              <w:rPr>
                <w:rFonts w:ascii="Calibri" w:eastAsia="Times New Roman" w:hAnsi="Calibri" w:cs="Calibri"/>
                <w:b/>
                <w:bCs/>
              </w:rPr>
            </w:pPr>
          </w:p>
        </w:tc>
        <w:tc>
          <w:tcPr>
            <w:tcW w:w="2808" w:type="dxa"/>
            <w:tcBorders>
              <w:top w:val="single" w:sz="4" w:space="0" w:color="auto"/>
            </w:tcBorders>
            <w:tcMar>
              <w:top w:w="30" w:type="dxa"/>
              <w:left w:w="45" w:type="dxa"/>
              <w:bottom w:w="30" w:type="dxa"/>
              <w:right w:w="45" w:type="dxa"/>
            </w:tcMar>
            <w:vAlign w:val="bottom"/>
            <w:hideMark/>
          </w:tcPr>
          <w:p w14:paraId="333F84E3" w14:textId="5DC948EB" w:rsidR="00A634BF" w:rsidRPr="00B0452D" w:rsidRDefault="00A634BF" w:rsidP="00A634BF">
            <w:pPr>
              <w:spacing w:after="0"/>
              <w:jc w:val="center"/>
              <w:rPr>
                <w:rFonts w:ascii="Calibri" w:eastAsia="Times New Roman" w:hAnsi="Calibri" w:cs="Calibri"/>
                <w:b/>
                <w:bCs/>
              </w:rPr>
            </w:pPr>
            <w:r>
              <w:rPr>
                <w:rFonts w:ascii="Calibri" w:eastAsia="Times New Roman" w:hAnsi="Calibri" w:cs="Calibri"/>
                <w:b/>
                <w:bCs/>
                <w:sz w:val="22"/>
                <w:szCs w:val="22"/>
              </w:rPr>
              <w:t>Gross Profit Margin</w:t>
            </w:r>
          </w:p>
        </w:tc>
        <w:tc>
          <w:tcPr>
            <w:tcW w:w="809" w:type="dxa"/>
            <w:tcBorders>
              <w:top w:val="single" w:sz="4" w:space="0" w:color="auto"/>
            </w:tcBorders>
            <w:tcMar>
              <w:top w:w="30" w:type="dxa"/>
              <w:left w:w="45" w:type="dxa"/>
              <w:bottom w:w="30" w:type="dxa"/>
              <w:right w:w="45" w:type="dxa"/>
            </w:tcMar>
            <w:hideMark/>
          </w:tcPr>
          <w:p w14:paraId="26D9D9F3" w14:textId="60DA6306" w:rsidR="00A634BF" w:rsidRPr="00A634BF" w:rsidRDefault="00A634BF" w:rsidP="00A634BF">
            <w:pPr>
              <w:spacing w:after="0"/>
              <w:jc w:val="center"/>
              <w:rPr>
                <w:rFonts w:ascii="Calibri" w:eastAsia="Times New Roman" w:hAnsi="Calibri" w:cs="Calibri"/>
              </w:rPr>
            </w:pPr>
            <w:r w:rsidRPr="00A634BF">
              <w:rPr>
                <w:sz w:val="22"/>
                <w:szCs w:val="22"/>
              </w:rPr>
              <w:t>36.96%</w:t>
            </w:r>
          </w:p>
        </w:tc>
        <w:tc>
          <w:tcPr>
            <w:tcW w:w="809" w:type="dxa"/>
            <w:tcBorders>
              <w:top w:val="single" w:sz="4" w:space="0" w:color="auto"/>
            </w:tcBorders>
            <w:tcMar>
              <w:top w:w="30" w:type="dxa"/>
              <w:left w:w="45" w:type="dxa"/>
              <w:bottom w:w="30" w:type="dxa"/>
              <w:right w:w="45" w:type="dxa"/>
            </w:tcMar>
            <w:hideMark/>
          </w:tcPr>
          <w:p w14:paraId="0E8AFED2" w14:textId="21AA17FC" w:rsidR="00A634BF" w:rsidRPr="00A634BF" w:rsidRDefault="00A634BF" w:rsidP="00A634BF">
            <w:pPr>
              <w:spacing w:after="0"/>
              <w:jc w:val="center"/>
              <w:rPr>
                <w:rFonts w:ascii="Calibri" w:eastAsia="Times New Roman" w:hAnsi="Calibri" w:cs="Calibri"/>
              </w:rPr>
            </w:pPr>
            <w:r w:rsidRPr="00A634BF">
              <w:rPr>
                <w:sz w:val="22"/>
                <w:szCs w:val="22"/>
              </w:rPr>
              <w:t>37.05%</w:t>
            </w:r>
          </w:p>
        </w:tc>
        <w:tc>
          <w:tcPr>
            <w:tcW w:w="809" w:type="dxa"/>
            <w:tcBorders>
              <w:top w:val="single" w:sz="4" w:space="0" w:color="auto"/>
            </w:tcBorders>
            <w:tcMar>
              <w:top w:w="30" w:type="dxa"/>
              <w:left w:w="45" w:type="dxa"/>
              <w:bottom w:w="30" w:type="dxa"/>
              <w:right w:w="45" w:type="dxa"/>
            </w:tcMar>
            <w:hideMark/>
          </w:tcPr>
          <w:p w14:paraId="055E72F8" w14:textId="26BBE906" w:rsidR="00A634BF" w:rsidRPr="00A634BF" w:rsidRDefault="00A634BF" w:rsidP="00A634BF">
            <w:pPr>
              <w:spacing w:after="0"/>
              <w:jc w:val="center"/>
              <w:rPr>
                <w:rFonts w:ascii="Calibri" w:eastAsia="Times New Roman" w:hAnsi="Calibri" w:cs="Calibri"/>
              </w:rPr>
            </w:pPr>
            <w:r w:rsidRPr="00A634BF">
              <w:rPr>
                <w:sz w:val="22"/>
                <w:szCs w:val="22"/>
              </w:rPr>
              <w:t>37.43%</w:t>
            </w:r>
          </w:p>
        </w:tc>
        <w:tc>
          <w:tcPr>
            <w:tcW w:w="809" w:type="dxa"/>
            <w:tcBorders>
              <w:top w:val="single" w:sz="4" w:space="0" w:color="auto"/>
            </w:tcBorders>
            <w:tcMar>
              <w:top w:w="30" w:type="dxa"/>
              <w:left w:w="45" w:type="dxa"/>
              <w:bottom w:w="30" w:type="dxa"/>
              <w:right w:w="45" w:type="dxa"/>
            </w:tcMar>
            <w:hideMark/>
          </w:tcPr>
          <w:p w14:paraId="136D3BCF" w14:textId="71722CA5" w:rsidR="00A634BF" w:rsidRPr="00A634BF" w:rsidRDefault="00A634BF" w:rsidP="00A634BF">
            <w:pPr>
              <w:spacing w:after="0"/>
              <w:jc w:val="center"/>
              <w:rPr>
                <w:rFonts w:ascii="Calibri" w:eastAsia="Times New Roman" w:hAnsi="Calibri" w:cs="Calibri"/>
              </w:rPr>
            </w:pPr>
            <w:r w:rsidRPr="00A634BF">
              <w:rPr>
                <w:sz w:val="22"/>
                <w:szCs w:val="22"/>
              </w:rPr>
              <w:t>36.72%</w:t>
            </w:r>
          </w:p>
        </w:tc>
        <w:tc>
          <w:tcPr>
            <w:tcW w:w="810" w:type="dxa"/>
            <w:tcBorders>
              <w:top w:val="single" w:sz="4" w:space="0" w:color="auto"/>
            </w:tcBorders>
            <w:tcMar>
              <w:top w:w="30" w:type="dxa"/>
              <w:left w:w="45" w:type="dxa"/>
              <w:bottom w:w="30" w:type="dxa"/>
              <w:right w:w="45" w:type="dxa"/>
            </w:tcMar>
            <w:hideMark/>
          </w:tcPr>
          <w:p w14:paraId="609C3203" w14:textId="428EFAAC" w:rsidR="00A634BF" w:rsidRPr="00A634BF" w:rsidRDefault="00A634BF" w:rsidP="00A634BF">
            <w:pPr>
              <w:spacing w:after="0"/>
              <w:jc w:val="center"/>
              <w:rPr>
                <w:rFonts w:ascii="Calibri" w:eastAsia="Times New Roman" w:hAnsi="Calibri" w:cs="Calibri"/>
              </w:rPr>
            </w:pPr>
            <w:r w:rsidRPr="00A634BF">
              <w:rPr>
                <w:sz w:val="22"/>
                <w:szCs w:val="22"/>
              </w:rPr>
              <w:t>36.80%</w:t>
            </w:r>
          </w:p>
        </w:tc>
      </w:tr>
      <w:tr w:rsidR="00A634BF" w:rsidRPr="00B0452D" w14:paraId="6197A5D4" w14:textId="77777777" w:rsidTr="00A634BF">
        <w:trPr>
          <w:trHeight w:val="315"/>
        </w:trPr>
        <w:tc>
          <w:tcPr>
            <w:tcW w:w="2551" w:type="dxa"/>
            <w:vMerge/>
            <w:vAlign w:val="center"/>
            <w:hideMark/>
          </w:tcPr>
          <w:p w14:paraId="66C2819E" w14:textId="77777777" w:rsidR="00A634BF" w:rsidRPr="00B0452D" w:rsidRDefault="00A634BF" w:rsidP="00A634BF">
            <w:pPr>
              <w:spacing w:after="0"/>
              <w:jc w:val="left"/>
              <w:rPr>
                <w:rFonts w:ascii="Calibri" w:eastAsia="Times New Roman" w:hAnsi="Calibri" w:cs="Calibri"/>
                <w:b/>
                <w:bCs/>
              </w:rPr>
            </w:pPr>
          </w:p>
        </w:tc>
        <w:tc>
          <w:tcPr>
            <w:tcW w:w="2808" w:type="dxa"/>
            <w:tcMar>
              <w:top w:w="30" w:type="dxa"/>
              <w:left w:w="45" w:type="dxa"/>
              <w:bottom w:w="30" w:type="dxa"/>
              <w:right w:w="45" w:type="dxa"/>
            </w:tcMar>
            <w:vAlign w:val="bottom"/>
            <w:hideMark/>
          </w:tcPr>
          <w:p w14:paraId="4EF365F6" w14:textId="585C6E74" w:rsidR="00A634BF" w:rsidRPr="00B0452D" w:rsidRDefault="00A634BF" w:rsidP="00A634BF">
            <w:pPr>
              <w:spacing w:after="0"/>
              <w:jc w:val="center"/>
              <w:rPr>
                <w:rFonts w:ascii="Calibri" w:eastAsia="Times New Roman" w:hAnsi="Calibri" w:cs="Calibri"/>
                <w:b/>
                <w:bCs/>
              </w:rPr>
            </w:pPr>
            <w:r>
              <w:rPr>
                <w:rFonts w:ascii="Calibri" w:eastAsia="Times New Roman" w:hAnsi="Calibri" w:cs="Calibri"/>
                <w:b/>
                <w:bCs/>
                <w:sz w:val="22"/>
                <w:szCs w:val="22"/>
              </w:rPr>
              <w:t>Operating Profit Margin</w:t>
            </w:r>
          </w:p>
        </w:tc>
        <w:tc>
          <w:tcPr>
            <w:tcW w:w="809" w:type="dxa"/>
            <w:tcMar>
              <w:top w:w="30" w:type="dxa"/>
              <w:left w:w="45" w:type="dxa"/>
              <w:bottom w:w="30" w:type="dxa"/>
              <w:right w:w="45" w:type="dxa"/>
            </w:tcMar>
            <w:hideMark/>
          </w:tcPr>
          <w:p w14:paraId="6A9B66DB" w14:textId="31F1EF30" w:rsidR="00A634BF" w:rsidRPr="00A634BF" w:rsidRDefault="00A634BF" w:rsidP="00A634BF">
            <w:pPr>
              <w:spacing w:after="0"/>
              <w:jc w:val="center"/>
              <w:rPr>
                <w:rFonts w:ascii="Calibri" w:eastAsia="Times New Roman" w:hAnsi="Calibri" w:cs="Calibri"/>
              </w:rPr>
            </w:pPr>
            <w:r w:rsidRPr="00A634BF">
              <w:rPr>
                <w:sz w:val="22"/>
                <w:szCs w:val="22"/>
              </w:rPr>
              <w:t>2.46%</w:t>
            </w:r>
          </w:p>
        </w:tc>
        <w:tc>
          <w:tcPr>
            <w:tcW w:w="809" w:type="dxa"/>
            <w:tcMar>
              <w:top w:w="30" w:type="dxa"/>
              <w:left w:w="45" w:type="dxa"/>
              <w:bottom w:w="30" w:type="dxa"/>
              <w:right w:w="45" w:type="dxa"/>
            </w:tcMar>
            <w:hideMark/>
          </w:tcPr>
          <w:p w14:paraId="66C5CD40" w14:textId="0E527386" w:rsidR="00A634BF" w:rsidRPr="00A634BF" w:rsidRDefault="00A634BF" w:rsidP="00A634BF">
            <w:pPr>
              <w:spacing w:after="0"/>
              <w:jc w:val="center"/>
              <w:rPr>
                <w:rFonts w:ascii="Calibri" w:eastAsia="Times New Roman" w:hAnsi="Calibri" w:cs="Calibri"/>
              </w:rPr>
            </w:pPr>
            <w:r w:rsidRPr="00A634BF">
              <w:rPr>
                <w:sz w:val="22"/>
                <w:szCs w:val="22"/>
              </w:rPr>
              <w:t>7.42%</w:t>
            </w:r>
          </w:p>
        </w:tc>
        <w:tc>
          <w:tcPr>
            <w:tcW w:w="809" w:type="dxa"/>
            <w:tcMar>
              <w:top w:w="30" w:type="dxa"/>
              <w:left w:w="45" w:type="dxa"/>
              <w:bottom w:w="30" w:type="dxa"/>
              <w:right w:w="45" w:type="dxa"/>
            </w:tcMar>
            <w:hideMark/>
          </w:tcPr>
          <w:p w14:paraId="4D600D74" w14:textId="3E20C546" w:rsidR="00A634BF" w:rsidRPr="00A634BF" w:rsidRDefault="00A634BF" w:rsidP="00A634BF">
            <w:pPr>
              <w:spacing w:after="0"/>
              <w:jc w:val="center"/>
              <w:rPr>
                <w:rFonts w:ascii="Calibri" w:eastAsia="Times New Roman" w:hAnsi="Calibri" w:cs="Calibri"/>
              </w:rPr>
            </w:pPr>
            <w:r w:rsidRPr="00A634BF">
              <w:rPr>
                <w:sz w:val="22"/>
                <w:szCs w:val="22"/>
              </w:rPr>
              <w:t>8.68%</w:t>
            </w:r>
          </w:p>
        </w:tc>
        <w:tc>
          <w:tcPr>
            <w:tcW w:w="809" w:type="dxa"/>
            <w:tcMar>
              <w:top w:w="30" w:type="dxa"/>
              <w:left w:w="45" w:type="dxa"/>
              <w:bottom w:w="30" w:type="dxa"/>
              <w:right w:w="45" w:type="dxa"/>
            </w:tcMar>
            <w:hideMark/>
          </w:tcPr>
          <w:p w14:paraId="78F108FB" w14:textId="5BF84423" w:rsidR="00A634BF" w:rsidRPr="00A634BF" w:rsidRDefault="00A634BF" w:rsidP="00A634BF">
            <w:pPr>
              <w:spacing w:after="0"/>
              <w:jc w:val="center"/>
              <w:rPr>
                <w:rFonts w:ascii="Calibri" w:eastAsia="Times New Roman" w:hAnsi="Calibri" w:cs="Calibri"/>
              </w:rPr>
            </w:pPr>
            <w:r w:rsidRPr="00A634BF">
              <w:rPr>
                <w:sz w:val="22"/>
                <w:szCs w:val="22"/>
              </w:rPr>
              <w:t>5.54%</w:t>
            </w:r>
          </w:p>
        </w:tc>
        <w:tc>
          <w:tcPr>
            <w:tcW w:w="810" w:type="dxa"/>
            <w:tcMar>
              <w:top w:w="30" w:type="dxa"/>
              <w:left w:w="45" w:type="dxa"/>
              <w:bottom w:w="30" w:type="dxa"/>
              <w:right w:w="45" w:type="dxa"/>
            </w:tcMar>
            <w:hideMark/>
          </w:tcPr>
          <w:p w14:paraId="51F29053" w14:textId="5CFBAE88" w:rsidR="00A634BF" w:rsidRPr="00A634BF" w:rsidRDefault="00A634BF" w:rsidP="00A634BF">
            <w:pPr>
              <w:spacing w:after="0"/>
              <w:jc w:val="center"/>
              <w:rPr>
                <w:rFonts w:ascii="Calibri" w:eastAsia="Times New Roman" w:hAnsi="Calibri" w:cs="Calibri"/>
              </w:rPr>
            </w:pPr>
            <w:r w:rsidRPr="00A634BF">
              <w:rPr>
                <w:sz w:val="22"/>
                <w:szCs w:val="22"/>
              </w:rPr>
              <w:t>4.47%</w:t>
            </w:r>
          </w:p>
        </w:tc>
      </w:tr>
      <w:tr w:rsidR="00A634BF" w:rsidRPr="00B0452D" w14:paraId="0CF4C13A" w14:textId="77777777" w:rsidTr="00A634BF">
        <w:trPr>
          <w:trHeight w:val="315"/>
        </w:trPr>
        <w:tc>
          <w:tcPr>
            <w:tcW w:w="2551" w:type="dxa"/>
            <w:vMerge/>
            <w:vAlign w:val="center"/>
            <w:hideMark/>
          </w:tcPr>
          <w:p w14:paraId="11C1A284" w14:textId="77777777" w:rsidR="00A634BF" w:rsidRPr="00B0452D" w:rsidRDefault="00A634BF" w:rsidP="00A634BF">
            <w:pPr>
              <w:spacing w:after="0"/>
              <w:jc w:val="left"/>
              <w:rPr>
                <w:rFonts w:ascii="Calibri" w:eastAsia="Times New Roman" w:hAnsi="Calibri" w:cs="Calibri"/>
                <w:b/>
                <w:bCs/>
              </w:rPr>
            </w:pPr>
          </w:p>
        </w:tc>
        <w:tc>
          <w:tcPr>
            <w:tcW w:w="2808" w:type="dxa"/>
            <w:tcMar>
              <w:top w:w="30" w:type="dxa"/>
              <w:left w:w="45" w:type="dxa"/>
              <w:bottom w:w="30" w:type="dxa"/>
              <w:right w:w="45" w:type="dxa"/>
            </w:tcMar>
            <w:vAlign w:val="bottom"/>
            <w:hideMark/>
          </w:tcPr>
          <w:p w14:paraId="4C845607" w14:textId="40FC59AE" w:rsidR="00A634BF" w:rsidRPr="00B0452D" w:rsidRDefault="00A634BF" w:rsidP="00A634BF">
            <w:pPr>
              <w:spacing w:after="0"/>
              <w:jc w:val="center"/>
              <w:rPr>
                <w:rFonts w:ascii="Calibri" w:eastAsia="Times New Roman" w:hAnsi="Calibri" w:cs="Calibri"/>
                <w:b/>
                <w:bCs/>
              </w:rPr>
            </w:pPr>
            <w:r>
              <w:rPr>
                <w:rFonts w:ascii="Calibri" w:eastAsia="Times New Roman" w:hAnsi="Calibri" w:cs="Calibri"/>
                <w:b/>
                <w:bCs/>
                <w:sz w:val="22"/>
                <w:szCs w:val="22"/>
              </w:rPr>
              <w:t>Net Profit Margin</w:t>
            </w:r>
          </w:p>
        </w:tc>
        <w:tc>
          <w:tcPr>
            <w:tcW w:w="809" w:type="dxa"/>
            <w:tcMar>
              <w:top w:w="30" w:type="dxa"/>
              <w:left w:w="45" w:type="dxa"/>
              <w:bottom w:w="30" w:type="dxa"/>
              <w:right w:w="45" w:type="dxa"/>
            </w:tcMar>
            <w:hideMark/>
          </w:tcPr>
          <w:p w14:paraId="0BE52D9A" w14:textId="0A4C74EC" w:rsidR="00A634BF" w:rsidRPr="00A634BF" w:rsidRDefault="00A634BF" w:rsidP="00A634BF">
            <w:pPr>
              <w:spacing w:after="0"/>
              <w:jc w:val="center"/>
              <w:rPr>
                <w:rFonts w:ascii="Calibri" w:eastAsia="Times New Roman" w:hAnsi="Calibri" w:cs="Calibri"/>
              </w:rPr>
            </w:pPr>
            <w:r w:rsidRPr="00A634BF">
              <w:rPr>
                <w:sz w:val="22"/>
                <w:szCs w:val="22"/>
              </w:rPr>
              <w:t>0.07%</w:t>
            </w:r>
          </w:p>
        </w:tc>
        <w:tc>
          <w:tcPr>
            <w:tcW w:w="809" w:type="dxa"/>
            <w:tcMar>
              <w:top w:w="30" w:type="dxa"/>
              <w:left w:w="45" w:type="dxa"/>
              <w:bottom w:w="30" w:type="dxa"/>
              <w:right w:w="45" w:type="dxa"/>
            </w:tcMar>
            <w:hideMark/>
          </w:tcPr>
          <w:p w14:paraId="7213255D" w14:textId="30ED339A" w:rsidR="00A634BF" w:rsidRPr="00A634BF" w:rsidRDefault="00A634BF" w:rsidP="00A634BF">
            <w:pPr>
              <w:spacing w:after="0"/>
              <w:jc w:val="center"/>
              <w:rPr>
                <w:rFonts w:ascii="Calibri" w:eastAsia="Times New Roman" w:hAnsi="Calibri" w:cs="Calibri"/>
              </w:rPr>
            </w:pPr>
            <w:r w:rsidRPr="00A634BF">
              <w:rPr>
                <w:sz w:val="22"/>
                <w:szCs w:val="22"/>
              </w:rPr>
              <w:t>4.80%</w:t>
            </w:r>
          </w:p>
        </w:tc>
        <w:tc>
          <w:tcPr>
            <w:tcW w:w="809" w:type="dxa"/>
            <w:tcMar>
              <w:top w:w="30" w:type="dxa"/>
              <w:left w:w="45" w:type="dxa"/>
              <w:bottom w:w="30" w:type="dxa"/>
              <w:right w:w="45" w:type="dxa"/>
            </w:tcMar>
            <w:hideMark/>
          </w:tcPr>
          <w:p w14:paraId="638D585E" w14:textId="60B1E70E" w:rsidR="00A634BF" w:rsidRPr="00A634BF" w:rsidRDefault="00A634BF" w:rsidP="00A634BF">
            <w:pPr>
              <w:spacing w:after="0"/>
              <w:jc w:val="center"/>
              <w:rPr>
                <w:rFonts w:ascii="Calibri" w:eastAsia="Times New Roman" w:hAnsi="Calibri" w:cs="Calibri"/>
              </w:rPr>
            </w:pPr>
            <w:r w:rsidRPr="00A634BF">
              <w:rPr>
                <w:sz w:val="22"/>
                <w:szCs w:val="22"/>
              </w:rPr>
              <w:t>6.39%</w:t>
            </w:r>
          </w:p>
        </w:tc>
        <w:tc>
          <w:tcPr>
            <w:tcW w:w="809" w:type="dxa"/>
            <w:tcMar>
              <w:top w:w="30" w:type="dxa"/>
              <w:left w:w="45" w:type="dxa"/>
              <w:bottom w:w="30" w:type="dxa"/>
              <w:right w:w="45" w:type="dxa"/>
            </w:tcMar>
            <w:hideMark/>
          </w:tcPr>
          <w:p w14:paraId="40840A74" w14:textId="45280EBC" w:rsidR="00A634BF" w:rsidRPr="00A634BF" w:rsidRDefault="00A634BF" w:rsidP="00A634BF">
            <w:pPr>
              <w:spacing w:after="0"/>
              <w:jc w:val="center"/>
              <w:rPr>
                <w:rFonts w:ascii="Calibri" w:eastAsia="Times New Roman" w:hAnsi="Calibri" w:cs="Calibri"/>
              </w:rPr>
            </w:pPr>
            <w:r w:rsidRPr="00A634BF">
              <w:rPr>
                <w:sz w:val="22"/>
                <w:szCs w:val="22"/>
              </w:rPr>
              <w:t>3.61%</w:t>
            </w:r>
          </w:p>
        </w:tc>
        <w:tc>
          <w:tcPr>
            <w:tcW w:w="810" w:type="dxa"/>
            <w:tcMar>
              <w:top w:w="30" w:type="dxa"/>
              <w:left w:w="45" w:type="dxa"/>
              <w:bottom w:w="30" w:type="dxa"/>
              <w:right w:w="45" w:type="dxa"/>
            </w:tcMar>
            <w:hideMark/>
          </w:tcPr>
          <w:p w14:paraId="2491EB18" w14:textId="5EBD925F" w:rsidR="00A634BF" w:rsidRPr="00A634BF" w:rsidRDefault="00A634BF" w:rsidP="00A634BF">
            <w:pPr>
              <w:spacing w:after="0"/>
              <w:jc w:val="center"/>
              <w:rPr>
                <w:rFonts w:ascii="Calibri" w:eastAsia="Times New Roman" w:hAnsi="Calibri" w:cs="Calibri"/>
              </w:rPr>
            </w:pPr>
            <w:r w:rsidRPr="00A634BF">
              <w:rPr>
                <w:sz w:val="22"/>
                <w:szCs w:val="22"/>
              </w:rPr>
              <w:t>2.66%</w:t>
            </w:r>
          </w:p>
        </w:tc>
      </w:tr>
      <w:tr w:rsidR="00A634BF" w:rsidRPr="00B0452D" w14:paraId="498E3BD0" w14:textId="77777777" w:rsidTr="00A634BF">
        <w:trPr>
          <w:trHeight w:val="315"/>
        </w:trPr>
        <w:tc>
          <w:tcPr>
            <w:tcW w:w="2551" w:type="dxa"/>
            <w:vAlign w:val="center"/>
          </w:tcPr>
          <w:p w14:paraId="7B0535CD" w14:textId="77777777" w:rsidR="00A634BF" w:rsidRPr="00B0452D" w:rsidRDefault="00A634BF" w:rsidP="00A634BF">
            <w:pPr>
              <w:spacing w:after="0"/>
              <w:jc w:val="left"/>
              <w:rPr>
                <w:rFonts w:ascii="Calibri" w:eastAsia="Times New Roman" w:hAnsi="Calibri" w:cs="Calibri"/>
                <w:b/>
                <w:bCs/>
              </w:rPr>
            </w:pPr>
          </w:p>
        </w:tc>
        <w:tc>
          <w:tcPr>
            <w:tcW w:w="2808" w:type="dxa"/>
            <w:tcMar>
              <w:top w:w="30" w:type="dxa"/>
              <w:left w:w="45" w:type="dxa"/>
              <w:bottom w:w="30" w:type="dxa"/>
              <w:right w:w="45" w:type="dxa"/>
            </w:tcMar>
            <w:vAlign w:val="bottom"/>
          </w:tcPr>
          <w:p w14:paraId="11EDF914" w14:textId="1B095688" w:rsidR="00A634BF" w:rsidRDefault="00A634BF" w:rsidP="00A634BF">
            <w:pPr>
              <w:spacing w:after="0"/>
              <w:jc w:val="center"/>
              <w:rPr>
                <w:rFonts w:ascii="Calibri" w:eastAsia="Times New Roman" w:hAnsi="Calibri" w:cs="Calibri"/>
                <w:b/>
                <w:bCs/>
              </w:rPr>
            </w:pPr>
            <w:r>
              <w:rPr>
                <w:rFonts w:ascii="Calibri" w:eastAsia="Times New Roman" w:hAnsi="Calibri" w:cs="Calibri"/>
                <w:b/>
                <w:bCs/>
                <w:sz w:val="22"/>
                <w:szCs w:val="22"/>
              </w:rPr>
              <w:t>Return on Assets</w:t>
            </w:r>
          </w:p>
        </w:tc>
        <w:tc>
          <w:tcPr>
            <w:tcW w:w="809" w:type="dxa"/>
            <w:tcMar>
              <w:top w:w="30" w:type="dxa"/>
              <w:left w:w="45" w:type="dxa"/>
              <w:bottom w:w="30" w:type="dxa"/>
              <w:right w:w="45" w:type="dxa"/>
            </w:tcMar>
          </w:tcPr>
          <w:p w14:paraId="717934A0" w14:textId="29A529F1" w:rsidR="00A634BF" w:rsidRPr="00A634BF" w:rsidRDefault="00A634BF" w:rsidP="00A634BF">
            <w:pPr>
              <w:spacing w:after="0"/>
              <w:jc w:val="center"/>
              <w:rPr>
                <w:rFonts w:ascii="Calibri" w:eastAsia="Times New Roman" w:hAnsi="Calibri" w:cs="Calibri"/>
              </w:rPr>
            </w:pPr>
            <w:r w:rsidRPr="00A634BF">
              <w:rPr>
                <w:sz w:val="22"/>
                <w:szCs w:val="22"/>
              </w:rPr>
              <w:t>0.07%</w:t>
            </w:r>
          </w:p>
        </w:tc>
        <w:tc>
          <w:tcPr>
            <w:tcW w:w="809" w:type="dxa"/>
            <w:tcMar>
              <w:top w:w="30" w:type="dxa"/>
              <w:left w:w="45" w:type="dxa"/>
              <w:bottom w:w="30" w:type="dxa"/>
              <w:right w:w="45" w:type="dxa"/>
            </w:tcMar>
          </w:tcPr>
          <w:p w14:paraId="51E4DF73" w14:textId="4046DDD0" w:rsidR="00A634BF" w:rsidRPr="00A634BF" w:rsidRDefault="00A634BF" w:rsidP="00A634BF">
            <w:pPr>
              <w:spacing w:after="0"/>
              <w:jc w:val="center"/>
              <w:rPr>
                <w:rFonts w:ascii="Calibri" w:eastAsia="Times New Roman" w:hAnsi="Calibri" w:cs="Calibri"/>
              </w:rPr>
            </w:pPr>
            <w:r w:rsidRPr="00A634BF">
              <w:rPr>
                <w:sz w:val="22"/>
                <w:szCs w:val="22"/>
              </w:rPr>
              <w:t>4.83%</w:t>
            </w:r>
          </w:p>
        </w:tc>
        <w:tc>
          <w:tcPr>
            <w:tcW w:w="809" w:type="dxa"/>
            <w:tcMar>
              <w:top w:w="30" w:type="dxa"/>
              <w:left w:w="45" w:type="dxa"/>
              <w:bottom w:w="30" w:type="dxa"/>
              <w:right w:w="45" w:type="dxa"/>
            </w:tcMar>
          </w:tcPr>
          <w:p w14:paraId="545D2C3F" w14:textId="79B8578A" w:rsidR="00A634BF" w:rsidRPr="00A634BF" w:rsidRDefault="00A634BF" w:rsidP="00A634BF">
            <w:pPr>
              <w:spacing w:after="0"/>
              <w:jc w:val="center"/>
              <w:rPr>
                <w:rFonts w:ascii="Calibri" w:eastAsia="Times New Roman" w:hAnsi="Calibri" w:cs="Calibri"/>
              </w:rPr>
            </w:pPr>
            <w:r w:rsidRPr="00A634BF">
              <w:rPr>
                <w:sz w:val="22"/>
                <w:szCs w:val="22"/>
              </w:rPr>
              <w:t>6.82%</w:t>
            </w:r>
          </w:p>
        </w:tc>
        <w:tc>
          <w:tcPr>
            <w:tcW w:w="809" w:type="dxa"/>
            <w:tcMar>
              <w:top w:w="30" w:type="dxa"/>
              <w:left w:w="45" w:type="dxa"/>
              <w:bottom w:w="30" w:type="dxa"/>
              <w:right w:w="45" w:type="dxa"/>
            </w:tcMar>
          </w:tcPr>
          <w:p w14:paraId="15775531" w14:textId="30034750" w:rsidR="00A634BF" w:rsidRPr="00A634BF" w:rsidRDefault="00A634BF" w:rsidP="00A634BF">
            <w:pPr>
              <w:spacing w:after="0"/>
              <w:jc w:val="center"/>
              <w:rPr>
                <w:rFonts w:ascii="Calibri" w:eastAsia="Times New Roman" w:hAnsi="Calibri" w:cs="Calibri"/>
              </w:rPr>
            </w:pPr>
            <w:r w:rsidRPr="00A634BF">
              <w:rPr>
                <w:sz w:val="22"/>
                <w:szCs w:val="22"/>
              </w:rPr>
              <w:t>3.89%</w:t>
            </w:r>
          </w:p>
        </w:tc>
        <w:tc>
          <w:tcPr>
            <w:tcW w:w="810" w:type="dxa"/>
            <w:tcMar>
              <w:top w:w="30" w:type="dxa"/>
              <w:left w:w="45" w:type="dxa"/>
              <w:bottom w:w="30" w:type="dxa"/>
              <w:right w:w="45" w:type="dxa"/>
            </w:tcMar>
          </w:tcPr>
          <w:p w14:paraId="1E0BE649" w14:textId="08D39D69" w:rsidR="00A634BF" w:rsidRPr="00A634BF" w:rsidRDefault="00A634BF" w:rsidP="00A634BF">
            <w:pPr>
              <w:spacing w:after="0"/>
              <w:jc w:val="center"/>
              <w:rPr>
                <w:rFonts w:ascii="Calibri" w:eastAsia="Times New Roman" w:hAnsi="Calibri" w:cs="Calibri"/>
              </w:rPr>
            </w:pPr>
            <w:r w:rsidRPr="00A634BF">
              <w:rPr>
                <w:sz w:val="22"/>
                <w:szCs w:val="22"/>
              </w:rPr>
              <w:t>2.90%</w:t>
            </w:r>
          </w:p>
        </w:tc>
      </w:tr>
      <w:tr w:rsidR="00A634BF" w:rsidRPr="00B0452D" w14:paraId="3E66F39D" w14:textId="77777777" w:rsidTr="00A634BF">
        <w:trPr>
          <w:trHeight w:val="315"/>
        </w:trPr>
        <w:tc>
          <w:tcPr>
            <w:tcW w:w="2551" w:type="dxa"/>
            <w:vAlign w:val="center"/>
          </w:tcPr>
          <w:p w14:paraId="2E64489D" w14:textId="77777777" w:rsidR="00A634BF" w:rsidRPr="00B0452D" w:rsidRDefault="00A634BF" w:rsidP="00A634BF">
            <w:pPr>
              <w:spacing w:after="0"/>
              <w:jc w:val="left"/>
              <w:rPr>
                <w:rFonts w:ascii="Calibri" w:eastAsia="Times New Roman" w:hAnsi="Calibri" w:cs="Calibri"/>
                <w:b/>
                <w:bCs/>
              </w:rPr>
            </w:pPr>
          </w:p>
        </w:tc>
        <w:tc>
          <w:tcPr>
            <w:tcW w:w="2808" w:type="dxa"/>
            <w:tcMar>
              <w:top w:w="30" w:type="dxa"/>
              <w:left w:w="45" w:type="dxa"/>
              <w:bottom w:w="30" w:type="dxa"/>
              <w:right w:w="45" w:type="dxa"/>
            </w:tcMar>
            <w:vAlign w:val="bottom"/>
          </w:tcPr>
          <w:p w14:paraId="5842705F" w14:textId="57DAB2CF" w:rsidR="00A634BF" w:rsidRDefault="00A634BF" w:rsidP="00A634BF">
            <w:pPr>
              <w:spacing w:after="0"/>
              <w:jc w:val="center"/>
              <w:rPr>
                <w:rFonts w:ascii="Calibri" w:eastAsia="Times New Roman" w:hAnsi="Calibri" w:cs="Calibri"/>
                <w:b/>
                <w:bCs/>
              </w:rPr>
            </w:pPr>
            <w:r>
              <w:rPr>
                <w:rFonts w:ascii="Calibri" w:eastAsia="Times New Roman" w:hAnsi="Calibri" w:cs="Calibri"/>
                <w:b/>
                <w:bCs/>
                <w:sz w:val="22"/>
                <w:szCs w:val="22"/>
              </w:rPr>
              <w:t>Return on Liabilities</w:t>
            </w:r>
          </w:p>
        </w:tc>
        <w:tc>
          <w:tcPr>
            <w:tcW w:w="809" w:type="dxa"/>
            <w:tcMar>
              <w:top w:w="30" w:type="dxa"/>
              <w:left w:w="45" w:type="dxa"/>
              <w:bottom w:w="30" w:type="dxa"/>
              <w:right w:w="45" w:type="dxa"/>
            </w:tcMar>
          </w:tcPr>
          <w:p w14:paraId="07DDD557" w14:textId="394A745A" w:rsidR="00A634BF" w:rsidRPr="00A634BF" w:rsidRDefault="00A634BF" w:rsidP="00A634BF">
            <w:pPr>
              <w:spacing w:after="0"/>
              <w:jc w:val="center"/>
              <w:rPr>
                <w:rFonts w:ascii="Calibri" w:eastAsia="Times New Roman" w:hAnsi="Calibri" w:cs="Calibri"/>
              </w:rPr>
            </w:pPr>
            <w:r w:rsidRPr="00A634BF">
              <w:rPr>
                <w:sz w:val="22"/>
                <w:szCs w:val="22"/>
              </w:rPr>
              <w:t>0.14%</w:t>
            </w:r>
          </w:p>
        </w:tc>
        <w:tc>
          <w:tcPr>
            <w:tcW w:w="809" w:type="dxa"/>
            <w:tcMar>
              <w:top w:w="30" w:type="dxa"/>
              <w:left w:w="45" w:type="dxa"/>
              <w:bottom w:w="30" w:type="dxa"/>
              <w:right w:w="45" w:type="dxa"/>
            </w:tcMar>
          </w:tcPr>
          <w:p w14:paraId="644E2280" w14:textId="785E64CD" w:rsidR="00A634BF" w:rsidRPr="00A634BF" w:rsidRDefault="00A634BF" w:rsidP="00A634BF">
            <w:pPr>
              <w:spacing w:after="0"/>
              <w:jc w:val="center"/>
              <w:rPr>
                <w:rFonts w:ascii="Calibri" w:eastAsia="Times New Roman" w:hAnsi="Calibri" w:cs="Calibri"/>
              </w:rPr>
            </w:pPr>
            <w:r w:rsidRPr="00A634BF">
              <w:rPr>
                <w:sz w:val="22"/>
                <w:szCs w:val="22"/>
              </w:rPr>
              <w:t>9.01%</w:t>
            </w:r>
          </w:p>
        </w:tc>
        <w:tc>
          <w:tcPr>
            <w:tcW w:w="809" w:type="dxa"/>
            <w:tcMar>
              <w:top w:w="30" w:type="dxa"/>
              <w:left w:w="45" w:type="dxa"/>
              <w:bottom w:w="30" w:type="dxa"/>
              <w:right w:w="45" w:type="dxa"/>
            </w:tcMar>
          </w:tcPr>
          <w:p w14:paraId="248E75AC" w14:textId="584E10F2" w:rsidR="00A634BF" w:rsidRPr="00A634BF" w:rsidRDefault="00A634BF" w:rsidP="00A634BF">
            <w:pPr>
              <w:spacing w:after="0"/>
              <w:jc w:val="center"/>
              <w:rPr>
                <w:rFonts w:ascii="Calibri" w:eastAsia="Times New Roman" w:hAnsi="Calibri" w:cs="Calibri"/>
              </w:rPr>
            </w:pPr>
            <w:r w:rsidRPr="00A634BF">
              <w:rPr>
                <w:sz w:val="22"/>
                <w:szCs w:val="22"/>
              </w:rPr>
              <w:t>12.44%</w:t>
            </w:r>
          </w:p>
        </w:tc>
        <w:tc>
          <w:tcPr>
            <w:tcW w:w="809" w:type="dxa"/>
            <w:tcMar>
              <w:top w:w="30" w:type="dxa"/>
              <w:left w:w="45" w:type="dxa"/>
              <w:bottom w:w="30" w:type="dxa"/>
              <w:right w:w="45" w:type="dxa"/>
            </w:tcMar>
          </w:tcPr>
          <w:p w14:paraId="084513EA" w14:textId="45ECF326" w:rsidR="00A634BF" w:rsidRPr="00A634BF" w:rsidRDefault="00A634BF" w:rsidP="00A634BF">
            <w:pPr>
              <w:spacing w:after="0"/>
              <w:jc w:val="center"/>
              <w:rPr>
                <w:rFonts w:ascii="Calibri" w:eastAsia="Times New Roman" w:hAnsi="Calibri" w:cs="Calibri"/>
              </w:rPr>
            </w:pPr>
            <w:r w:rsidRPr="00A634BF">
              <w:rPr>
                <w:sz w:val="22"/>
                <w:szCs w:val="22"/>
              </w:rPr>
              <w:t>7.07%</w:t>
            </w:r>
          </w:p>
        </w:tc>
        <w:tc>
          <w:tcPr>
            <w:tcW w:w="810" w:type="dxa"/>
            <w:tcMar>
              <w:top w:w="30" w:type="dxa"/>
              <w:left w:w="45" w:type="dxa"/>
              <w:bottom w:w="30" w:type="dxa"/>
              <w:right w:w="45" w:type="dxa"/>
            </w:tcMar>
          </w:tcPr>
          <w:p w14:paraId="5D19B5F9" w14:textId="2E38CD7A" w:rsidR="00A634BF" w:rsidRPr="00A634BF" w:rsidRDefault="00A634BF" w:rsidP="00A634BF">
            <w:pPr>
              <w:spacing w:after="0"/>
              <w:jc w:val="center"/>
              <w:rPr>
                <w:rFonts w:ascii="Calibri" w:eastAsia="Times New Roman" w:hAnsi="Calibri" w:cs="Calibri"/>
              </w:rPr>
            </w:pPr>
            <w:r w:rsidRPr="00A634BF">
              <w:rPr>
                <w:sz w:val="22"/>
                <w:szCs w:val="22"/>
              </w:rPr>
              <w:t>2.90%</w:t>
            </w:r>
          </w:p>
        </w:tc>
      </w:tr>
    </w:tbl>
    <w:p w14:paraId="6BF8E478" w14:textId="77777777" w:rsidR="00FB5F5A" w:rsidRPr="00B0452D" w:rsidRDefault="00FB5F5A" w:rsidP="00FB5F5A">
      <w:pPr>
        <w:jc w:val="center"/>
        <w:rPr>
          <w:sz w:val="18"/>
        </w:rPr>
      </w:pPr>
      <w:r w:rsidRPr="00B0452D">
        <w:rPr>
          <w:sz w:val="18"/>
        </w:rPr>
        <w:t>Refer to Appendix A for viewing Calculations</w:t>
      </w:r>
    </w:p>
    <w:p w14:paraId="2189DE8F" w14:textId="10C97DCF" w:rsidR="00A634BF" w:rsidRDefault="00A634BF" w:rsidP="00B50438">
      <w:r w:rsidRPr="00A634BF">
        <w:rPr>
          <w:noProof/>
        </w:rPr>
        <w:lastRenderedPageBreak/>
        <w:drawing>
          <wp:inline distT="0" distB="0" distL="0" distR="0" wp14:anchorId="1CEC1DA2" wp14:editId="29398281">
            <wp:extent cx="5696745" cy="3362794"/>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696745" cy="3362794"/>
                    </a:xfrm>
                    <a:prstGeom prst="rect">
                      <a:avLst/>
                    </a:prstGeom>
                  </pic:spPr>
                </pic:pic>
              </a:graphicData>
            </a:graphic>
          </wp:inline>
        </w:drawing>
      </w:r>
    </w:p>
    <w:p w14:paraId="4DE4D9C0" w14:textId="77777777" w:rsidR="00A634BF" w:rsidRDefault="006C7EF6" w:rsidP="00B50438">
      <w:r w:rsidRPr="00F9490E">
        <w:t xml:space="preserve">Profitability ratios provide insights into a company’s ability to generate earnings relative to its revenue, assets, and equity. These ratios are key indicators of financial health and operational efficiency. </w:t>
      </w:r>
    </w:p>
    <w:p w14:paraId="678A8200" w14:textId="77777777" w:rsidR="00A634BF" w:rsidRDefault="00A634BF" w:rsidP="00A634BF">
      <w:pPr>
        <w:pStyle w:val="Heading4"/>
      </w:pPr>
      <w:r>
        <w:t xml:space="preserve">Gross Profit Margin </w:t>
      </w:r>
    </w:p>
    <w:p w14:paraId="3913A1EF" w14:textId="66625864" w:rsidR="00031847" w:rsidRDefault="00476931" w:rsidP="00B50438">
      <w:r>
        <w:t xml:space="preserve">This profitability ratio calculated </w:t>
      </w:r>
      <w:r w:rsidR="006C7EF6" w:rsidRPr="00F9490E">
        <w:t>revenue exceeds the cost of goods sold</w:t>
      </w:r>
      <w:r w:rsidR="00031847">
        <w:t xml:space="preserve"> </w:t>
      </w:r>
      <w:r>
        <w:t xml:space="preserve">in </w:t>
      </w:r>
      <w:proofErr w:type="gramStart"/>
      <w:r>
        <w:t>the from</w:t>
      </w:r>
      <w:proofErr w:type="gramEnd"/>
      <w:r>
        <w:t xml:space="preserve"> percentage that mainly</w:t>
      </w:r>
      <w:r w:rsidR="00031847">
        <w:t xml:space="preserve"> </w:t>
      </w:r>
      <w:r w:rsidR="00DE38B9">
        <w:t>allows the</w:t>
      </w:r>
      <w:r w:rsidR="00031847">
        <w:t xml:space="preserve"> </w:t>
      </w:r>
      <w:r w:rsidR="00DE38B9">
        <w:t>comprehension of</w:t>
      </w:r>
      <w:r w:rsidR="006C7EF6" w:rsidRPr="00F9490E">
        <w:t xml:space="preserve"> </w:t>
      </w:r>
      <w:r w:rsidR="00DE38B9">
        <w:t xml:space="preserve">the capacity of profiting </w:t>
      </w:r>
      <w:r w:rsidR="006C7EF6" w:rsidRPr="00F9490E">
        <w:t xml:space="preserve">from sales before accounting for other expenses. </w:t>
      </w:r>
      <w:r w:rsidR="00031847">
        <w:t>It is calculated by;</w:t>
      </w:r>
    </w:p>
    <w:p w14:paraId="0227509D" w14:textId="76AED093" w:rsidR="00031847" w:rsidRDefault="00031847" w:rsidP="00031847">
      <w:pPr>
        <w:spacing w:after="0"/>
        <w:jc w:val="center"/>
      </w:pPr>
      <w:r>
        <w:rPr>
          <w:b/>
        </w:rPr>
        <w:t>Gross Profit Margin</w:t>
      </w:r>
      <w:r>
        <w:t xml:space="preserve"> = </w:t>
      </w:r>
      <m:oMath>
        <m:f>
          <m:fPr>
            <m:ctrlPr>
              <w:rPr>
                <w:rFonts w:ascii="Cambria Math" w:hAnsi="Cambria Math"/>
                <w:i/>
              </w:rPr>
            </m:ctrlPr>
          </m:fPr>
          <m:num>
            <m:r>
              <w:rPr>
                <w:rFonts w:ascii="Cambria Math" w:hAnsi="Cambria Math"/>
              </w:rPr>
              <m:t xml:space="preserve">Gross Profit </m:t>
            </m:r>
          </m:num>
          <m:den>
            <m:r>
              <w:rPr>
                <w:rFonts w:ascii="Cambria Math" w:hAnsi="Cambria Math"/>
              </w:rPr>
              <m:t>Net Sales</m:t>
            </m:r>
          </m:den>
        </m:f>
      </m:oMath>
    </w:p>
    <w:p w14:paraId="00000038" w14:textId="589B9C98" w:rsidR="00424676" w:rsidRPr="00F9490E" w:rsidRDefault="00031847" w:rsidP="00B50438">
      <w:r>
        <w:t>T</w:t>
      </w:r>
      <w:r w:rsidR="006C7EF6" w:rsidRPr="00F9490E">
        <w:t>he gross profit margin</w:t>
      </w:r>
      <w:r>
        <w:t xml:space="preserve"> of Kingfisher PLC</w:t>
      </w:r>
      <w:r w:rsidR="006C7EF6" w:rsidRPr="00F9490E">
        <w:t xml:space="preserve"> remained relatively stable from 2019 to 2023, fluctuating slightly between 36.72% and 37.43%. This stability suggests that the company has consistently maintained its product profitability, effectively managing its production costs relative to revenue.</w:t>
      </w:r>
    </w:p>
    <w:p w14:paraId="294AD9AB" w14:textId="17557E1F" w:rsidR="00031847" w:rsidRDefault="00031847" w:rsidP="00031847">
      <w:pPr>
        <w:pStyle w:val="Heading4"/>
      </w:pPr>
      <w:r>
        <w:lastRenderedPageBreak/>
        <w:t xml:space="preserve">Operating Profit Margin </w:t>
      </w:r>
    </w:p>
    <w:p w14:paraId="45D42AE0" w14:textId="4F861DD9" w:rsidR="00031847" w:rsidRDefault="006C7EF6" w:rsidP="00B50438">
      <w:r w:rsidRPr="00F9490E">
        <w:t>Operating Profit Margin analysis</w:t>
      </w:r>
      <w:r w:rsidR="002775BA">
        <w:t xml:space="preserve"> goes</w:t>
      </w:r>
      <w:r w:rsidRPr="00F9490E">
        <w:t xml:space="preserve"> a step further</w:t>
      </w:r>
      <w:r w:rsidR="006F1B20">
        <w:t xml:space="preserve"> than gross profit margin by</w:t>
      </w:r>
      <w:r w:rsidRPr="00F9490E">
        <w:t xml:space="preserve"> </w:t>
      </w:r>
      <w:r w:rsidR="006F1B20">
        <w:t xml:space="preserve">taking into account the </w:t>
      </w:r>
      <w:r w:rsidRPr="00F9490E">
        <w:t xml:space="preserve">operating expenses, thereby reflecting the efficiency of the company’s business operations. </w:t>
      </w:r>
      <w:r w:rsidR="00031847">
        <w:t>It is calculated by;</w:t>
      </w:r>
    </w:p>
    <w:p w14:paraId="74F4846D" w14:textId="1E4C8C9C" w:rsidR="00031847" w:rsidRDefault="00031847" w:rsidP="00031847">
      <w:pPr>
        <w:spacing w:after="0"/>
        <w:jc w:val="center"/>
      </w:pPr>
      <w:r>
        <w:rPr>
          <w:b/>
        </w:rPr>
        <w:t>Operating Profit Margin</w:t>
      </w:r>
      <w:r>
        <w:t xml:space="preserve"> = </w:t>
      </w:r>
      <m:oMath>
        <m:f>
          <m:fPr>
            <m:ctrlPr>
              <w:rPr>
                <w:rFonts w:ascii="Cambria Math" w:hAnsi="Cambria Math"/>
                <w:i/>
              </w:rPr>
            </m:ctrlPr>
          </m:fPr>
          <m:num>
            <m:r>
              <w:rPr>
                <w:rFonts w:ascii="Cambria Math" w:hAnsi="Cambria Math"/>
              </w:rPr>
              <m:t>Operating Profit</m:t>
            </m:r>
          </m:num>
          <m:den>
            <m:r>
              <w:rPr>
                <w:rFonts w:ascii="Cambria Math" w:hAnsi="Cambria Math"/>
              </w:rPr>
              <m:t>Net Sales</m:t>
            </m:r>
          </m:den>
        </m:f>
      </m:oMath>
    </w:p>
    <w:p w14:paraId="2209C0A0" w14:textId="77777777" w:rsidR="00031847" w:rsidRDefault="00031847" w:rsidP="00B50438">
      <w:r>
        <w:t>Kingfisher’s</w:t>
      </w:r>
      <w:r w:rsidR="006C7EF6" w:rsidRPr="00F9490E">
        <w:t xml:space="preserve"> operating profit margin showed significant improvement in 2020 and 2021, reaching a peak of 8.68% in 2021</w:t>
      </w:r>
      <w:r>
        <w:t xml:space="preserve"> reflecting</w:t>
      </w:r>
      <w:r w:rsidR="006C7EF6" w:rsidRPr="00F9490E">
        <w:t xml:space="preserve"> strong operational efficiency during these years. However, the margin declined to 4.47% in 2023 suggesting that the company faced increased operating costs or other challenges that reduced its ability to generate profit from its operations.</w:t>
      </w:r>
    </w:p>
    <w:p w14:paraId="08150F16" w14:textId="776930B1" w:rsidR="00031847" w:rsidRDefault="00031847" w:rsidP="00031847">
      <w:pPr>
        <w:pStyle w:val="Heading4"/>
      </w:pPr>
      <w:r>
        <w:t>Net Profit Margin</w:t>
      </w:r>
    </w:p>
    <w:p w14:paraId="3DCF90BC" w14:textId="6B203B8E" w:rsidR="00031847" w:rsidRDefault="006C7EF6" w:rsidP="00B50438">
      <w:r w:rsidRPr="00F9490E">
        <w:t>The Net Profit Margin is the most comprehensive profitability ratio, as it accounts for all expenses</w:t>
      </w:r>
      <w:r w:rsidR="00031847">
        <w:t xml:space="preserve"> which </w:t>
      </w:r>
      <w:proofErr w:type="gramStart"/>
      <w:r w:rsidRPr="00F9490E">
        <w:t>includ</w:t>
      </w:r>
      <w:r w:rsidR="00031847">
        <w:t>es</w:t>
      </w:r>
      <w:proofErr w:type="gramEnd"/>
      <w:r w:rsidRPr="00F9490E">
        <w:t xml:space="preserve"> interest and taxes</w:t>
      </w:r>
      <w:r w:rsidR="00031847">
        <w:t xml:space="preserve">. This ratio allows </w:t>
      </w:r>
      <w:proofErr w:type="gramStart"/>
      <w:r w:rsidR="00031847">
        <w:t xml:space="preserve">to </w:t>
      </w:r>
      <w:r w:rsidRPr="00F9490E">
        <w:t>determine</w:t>
      </w:r>
      <w:proofErr w:type="gramEnd"/>
      <w:r w:rsidRPr="00F9490E">
        <w:t xml:space="preserve"> the final profit relative to revenue. </w:t>
      </w:r>
      <w:r w:rsidR="00031847">
        <w:t xml:space="preserve">The formula for calculating Net Profit Margin is; </w:t>
      </w:r>
    </w:p>
    <w:p w14:paraId="784B890B" w14:textId="3AD358F4" w:rsidR="00031847" w:rsidRDefault="00031847" w:rsidP="00031847">
      <w:pPr>
        <w:spacing w:after="0"/>
        <w:jc w:val="center"/>
      </w:pPr>
      <w:r>
        <w:rPr>
          <w:b/>
        </w:rPr>
        <w:t>Net Profit Margin</w:t>
      </w:r>
      <w:r>
        <w:t xml:space="preserve"> = </w:t>
      </w:r>
      <m:oMath>
        <m:f>
          <m:fPr>
            <m:ctrlPr>
              <w:rPr>
                <w:rFonts w:ascii="Cambria Math" w:hAnsi="Cambria Math"/>
                <w:i/>
              </w:rPr>
            </m:ctrlPr>
          </m:fPr>
          <m:num>
            <m:r>
              <w:rPr>
                <w:rFonts w:ascii="Cambria Math" w:hAnsi="Cambria Math"/>
              </w:rPr>
              <m:t xml:space="preserve">Net Profit </m:t>
            </m:r>
          </m:num>
          <m:den>
            <m:r>
              <w:rPr>
                <w:rFonts w:ascii="Cambria Math" w:hAnsi="Cambria Math"/>
              </w:rPr>
              <m:t>Net Sales</m:t>
            </m:r>
          </m:den>
        </m:f>
      </m:oMath>
    </w:p>
    <w:p w14:paraId="0000003C" w14:textId="3A4019C9" w:rsidR="00424676" w:rsidRPr="00F9490E" w:rsidRDefault="00031847" w:rsidP="00B50438">
      <w:r>
        <w:t>Kingfisher’s</w:t>
      </w:r>
      <w:r w:rsidR="006C7EF6" w:rsidRPr="00F9490E">
        <w:t xml:space="preserve"> net profit margin saw a notable improvement in 2020 and 2021</w:t>
      </w:r>
      <w:r>
        <w:t xml:space="preserve"> which </w:t>
      </w:r>
      <w:r w:rsidR="006C7EF6" w:rsidRPr="00F9490E">
        <w:t>peak</w:t>
      </w:r>
      <w:r>
        <w:t>ed</w:t>
      </w:r>
      <w:r w:rsidR="006C7EF6" w:rsidRPr="00F9490E">
        <w:t xml:space="preserve"> at 6.39% in 2021</w:t>
      </w:r>
      <w:r>
        <w:t xml:space="preserve">. This rise </w:t>
      </w:r>
      <w:r w:rsidR="006C7EF6" w:rsidRPr="00F9490E">
        <w:t>reflects strong overall profitability during th</w:t>
      </w:r>
      <w:r>
        <w:t xml:space="preserve">e given </w:t>
      </w:r>
      <w:r w:rsidR="006C7EF6" w:rsidRPr="00F9490E">
        <w:t>period. However, the margin dropped to 2.66% in 2023 indicating that the company’s net profitability has been under pressure</w:t>
      </w:r>
      <w:r>
        <w:t>.</w:t>
      </w:r>
    </w:p>
    <w:p w14:paraId="0EF57305" w14:textId="349D066A" w:rsidR="00031847" w:rsidRDefault="00031847" w:rsidP="00031847">
      <w:pPr>
        <w:pStyle w:val="Heading4"/>
      </w:pPr>
      <w:r>
        <w:t xml:space="preserve">Return on </w:t>
      </w:r>
      <w:proofErr w:type="gramStart"/>
      <w:r>
        <w:t>Asset(</w:t>
      </w:r>
      <w:proofErr w:type="gramEnd"/>
      <w:r>
        <w:t>ROA) &amp; Return on Equity(ROE)</w:t>
      </w:r>
    </w:p>
    <w:p w14:paraId="070BCD81" w14:textId="6E1E3CFA" w:rsidR="00031847" w:rsidRDefault="006C7EF6" w:rsidP="00B50438">
      <w:r w:rsidRPr="00F9490E">
        <w:lastRenderedPageBreak/>
        <w:t xml:space="preserve">Return on Assets (ROA) and Return on Equity (ROE) further explore the company’s efficiency in generating profit. </w:t>
      </w:r>
      <w:r w:rsidR="00031847">
        <w:t>They are calculated by;</w:t>
      </w:r>
    </w:p>
    <w:p w14:paraId="06C566F7" w14:textId="16BC93BD" w:rsidR="00031847" w:rsidRDefault="00031847" w:rsidP="00031847">
      <w:pPr>
        <w:jc w:val="center"/>
      </w:pPr>
      <w:r>
        <w:rPr>
          <w:b/>
        </w:rPr>
        <w:t>Return on Assets</w:t>
      </w:r>
      <w:r>
        <w:t xml:space="preserve"> = </w:t>
      </w:r>
      <m:oMath>
        <m:f>
          <m:fPr>
            <m:ctrlPr>
              <w:rPr>
                <w:rFonts w:ascii="Cambria Math" w:hAnsi="Cambria Math"/>
                <w:i/>
              </w:rPr>
            </m:ctrlPr>
          </m:fPr>
          <m:num>
            <m:r>
              <w:rPr>
                <w:rFonts w:ascii="Cambria Math" w:hAnsi="Cambria Math"/>
              </w:rPr>
              <m:t xml:space="preserve">Net Profit </m:t>
            </m:r>
          </m:num>
          <m:den>
            <m:r>
              <w:rPr>
                <w:rFonts w:ascii="Cambria Math" w:hAnsi="Cambria Math"/>
              </w:rPr>
              <m:t>Average Assests</m:t>
            </m:r>
          </m:den>
        </m:f>
      </m:oMath>
    </w:p>
    <w:p w14:paraId="4F626A29" w14:textId="31DCE9C4" w:rsidR="00031847" w:rsidRDefault="00031847" w:rsidP="00031847">
      <w:pPr>
        <w:spacing w:after="0"/>
        <w:jc w:val="center"/>
      </w:pPr>
      <w:r>
        <w:rPr>
          <w:b/>
        </w:rPr>
        <w:t>Gross Profit Margin</w:t>
      </w:r>
      <w:r>
        <w:t xml:space="preserve"> = </w:t>
      </w:r>
      <m:oMath>
        <m:f>
          <m:fPr>
            <m:ctrlPr>
              <w:rPr>
                <w:rFonts w:ascii="Cambria Math" w:hAnsi="Cambria Math"/>
                <w:i/>
              </w:rPr>
            </m:ctrlPr>
          </m:fPr>
          <m:num>
            <m:r>
              <w:rPr>
                <w:rFonts w:ascii="Cambria Math" w:hAnsi="Cambria Math"/>
              </w:rPr>
              <m:t xml:space="preserve">Net Profit </m:t>
            </m:r>
          </m:num>
          <m:den>
            <m:r>
              <w:rPr>
                <w:rFonts w:ascii="Cambria Math" w:hAnsi="Cambria Math"/>
              </w:rPr>
              <m:t>Shareholde</m:t>
            </m:r>
            <m:sSup>
              <m:sSupPr>
                <m:ctrlPr>
                  <w:rPr>
                    <w:rFonts w:ascii="Cambria Math" w:hAnsi="Cambria Math"/>
                    <w:i/>
                  </w:rPr>
                </m:ctrlPr>
              </m:sSupPr>
              <m:e>
                <m:r>
                  <w:rPr>
                    <w:rFonts w:ascii="Cambria Math" w:hAnsi="Cambria Math"/>
                  </w:rPr>
                  <m:t>r</m:t>
                </m:r>
              </m:e>
              <m:sup>
                <m:r>
                  <w:rPr>
                    <w:rFonts w:ascii="Cambria Math" w:hAnsi="Cambria Math"/>
                  </w:rPr>
                  <m:t>'</m:t>
                </m:r>
              </m:sup>
            </m:sSup>
            <m:r>
              <w:rPr>
                <w:rFonts w:ascii="Cambria Math" w:hAnsi="Cambria Math"/>
              </w:rPr>
              <m:t>s Equity</m:t>
            </m:r>
          </m:den>
        </m:f>
      </m:oMath>
    </w:p>
    <w:p w14:paraId="5B7C6CAF" w14:textId="77777777" w:rsidR="00031847" w:rsidRDefault="00031847" w:rsidP="00031847">
      <w:pPr>
        <w:spacing w:after="0"/>
        <w:jc w:val="center"/>
      </w:pPr>
    </w:p>
    <w:p w14:paraId="0000003E" w14:textId="03A2CF96" w:rsidR="00424676" w:rsidRPr="00F9490E" w:rsidRDefault="006C7EF6" w:rsidP="00B50438">
      <w:r w:rsidRPr="00F9490E">
        <w:t xml:space="preserve">ROA measures how effectively the company is using its assets to generate earnings, while ROE focuses on the </w:t>
      </w:r>
      <w:r w:rsidR="00F27A96">
        <w:t xml:space="preserve">how much is gained against the </w:t>
      </w:r>
      <w:r w:rsidRPr="00F9490E">
        <w:t xml:space="preserve">shareholders’ </w:t>
      </w:r>
      <w:proofErr w:type="gramStart"/>
      <w:r w:rsidRPr="00F9490E">
        <w:t>equity</w:t>
      </w:r>
      <w:r w:rsidR="00F27A96">
        <w:t xml:space="preserve"> </w:t>
      </w:r>
      <w:r w:rsidRPr="00F9490E">
        <w:t>.</w:t>
      </w:r>
      <w:proofErr w:type="gramEnd"/>
      <w:r w:rsidRPr="00F9490E">
        <w:t xml:space="preserve"> The company’s ROA improved significantly in 2020 and 2021, reaching 6.82% in 2021, but then declined to 2.90% in 2023, indicating a decrease in asset utilization efficiency. Similarly, ROE saw a dramatic increase to 12.44% in </w:t>
      </w:r>
      <w:proofErr w:type="gramStart"/>
      <w:r w:rsidRPr="00F9490E">
        <w:t>2021</w:t>
      </w:r>
      <w:r w:rsidR="00DE5A14">
        <w:t>,</w:t>
      </w:r>
      <w:proofErr w:type="gramEnd"/>
      <w:r w:rsidR="00DE5A14">
        <w:t xml:space="preserve"> however</w:t>
      </w:r>
      <w:r w:rsidRPr="00F9490E">
        <w:t xml:space="preserve"> it dropped sharply to 2.90% in 2023. These trends highlight the challenges the company faced in maintaining profitability and returns to shareholders in the later years.</w:t>
      </w:r>
    </w:p>
    <w:p w14:paraId="00000040" w14:textId="2672F0EC" w:rsidR="00424676" w:rsidRDefault="006C7EF6" w:rsidP="00B50438">
      <w:pPr>
        <w:pStyle w:val="Heading3"/>
      </w:pPr>
      <w:bookmarkStart w:id="10" w:name="_Toc175149005"/>
      <w:r w:rsidRPr="00F9490E">
        <w:t>Efficiency Ratios</w:t>
      </w:r>
      <w:bookmarkEnd w:id="10"/>
    </w:p>
    <w:p w14:paraId="7C6B5FF6" w14:textId="77777777" w:rsidR="00DF2AB0" w:rsidRPr="00DF2AB0" w:rsidRDefault="00DF2AB0" w:rsidP="00DF2AB0">
      <w:r w:rsidRPr="00DF2AB0">
        <w:t>A company's capacity to turn its assets and liabilities into profit is measured by efficiency ratios. In order to grasp the concept of operational effectiveness and asset management, these ratios are vital.</w:t>
      </w:r>
    </w:p>
    <w:tbl>
      <w:tblPr>
        <w:tblW w:w="9405" w:type="dxa"/>
        <w:tblBorders>
          <w:top w:val="single" w:sz="4" w:space="0" w:color="auto"/>
          <w:bottom w:val="single" w:sz="4" w:space="0" w:color="auto"/>
        </w:tblBorders>
        <w:tblCellMar>
          <w:left w:w="0" w:type="dxa"/>
          <w:right w:w="0" w:type="dxa"/>
        </w:tblCellMar>
        <w:tblLook w:val="04A0" w:firstRow="1" w:lastRow="0" w:firstColumn="1" w:lastColumn="0" w:noHBand="0" w:noVBand="1"/>
      </w:tblPr>
      <w:tblGrid>
        <w:gridCol w:w="2551"/>
        <w:gridCol w:w="2808"/>
        <w:gridCol w:w="809"/>
        <w:gridCol w:w="809"/>
        <w:gridCol w:w="809"/>
        <w:gridCol w:w="809"/>
        <w:gridCol w:w="810"/>
      </w:tblGrid>
      <w:tr w:rsidR="00FB5F5A" w:rsidRPr="00B0452D" w14:paraId="46B1E10F" w14:textId="77777777" w:rsidTr="006370C4">
        <w:trPr>
          <w:trHeight w:val="315"/>
        </w:trPr>
        <w:tc>
          <w:tcPr>
            <w:tcW w:w="2551" w:type="dxa"/>
            <w:vMerge w:val="restart"/>
            <w:tcBorders>
              <w:top w:val="single" w:sz="4" w:space="0" w:color="auto"/>
              <w:bottom w:val="nil"/>
            </w:tcBorders>
            <w:tcMar>
              <w:top w:w="30" w:type="dxa"/>
              <w:left w:w="45" w:type="dxa"/>
              <w:bottom w:w="30" w:type="dxa"/>
              <w:right w:w="45" w:type="dxa"/>
            </w:tcMar>
            <w:hideMark/>
          </w:tcPr>
          <w:p w14:paraId="59C012C1" w14:textId="77777777" w:rsidR="00FB5F5A" w:rsidRDefault="00FB5F5A" w:rsidP="006370C4">
            <w:pPr>
              <w:spacing w:after="0"/>
              <w:jc w:val="center"/>
              <w:rPr>
                <w:rFonts w:ascii="Calibri" w:eastAsia="Times New Roman" w:hAnsi="Calibri" w:cs="Calibri"/>
                <w:b/>
              </w:rPr>
            </w:pPr>
          </w:p>
          <w:p w14:paraId="389C4949" w14:textId="77777777" w:rsidR="00FB5F5A" w:rsidRPr="00B0452D" w:rsidRDefault="00FB5F5A" w:rsidP="006370C4">
            <w:pPr>
              <w:spacing w:after="0"/>
              <w:jc w:val="center"/>
              <w:rPr>
                <w:rFonts w:ascii="Calibri" w:eastAsia="Times New Roman" w:hAnsi="Calibri" w:cs="Calibri"/>
                <w:b/>
              </w:rPr>
            </w:pPr>
            <w:r w:rsidRPr="00B0452D">
              <w:rPr>
                <w:rFonts w:ascii="Calibri" w:eastAsia="Times New Roman" w:hAnsi="Calibri" w:cs="Calibri"/>
                <w:b/>
                <w:sz w:val="22"/>
                <w:szCs w:val="22"/>
              </w:rPr>
              <w:t>Ratio Category</w:t>
            </w:r>
          </w:p>
        </w:tc>
        <w:tc>
          <w:tcPr>
            <w:tcW w:w="2808" w:type="dxa"/>
            <w:vMerge w:val="restart"/>
            <w:tcBorders>
              <w:top w:val="single" w:sz="4" w:space="0" w:color="auto"/>
              <w:bottom w:val="nil"/>
            </w:tcBorders>
            <w:tcMar>
              <w:top w:w="30" w:type="dxa"/>
              <w:left w:w="45" w:type="dxa"/>
              <w:bottom w:w="30" w:type="dxa"/>
              <w:right w:w="45" w:type="dxa"/>
            </w:tcMar>
            <w:hideMark/>
          </w:tcPr>
          <w:p w14:paraId="5EB440D2" w14:textId="77777777" w:rsidR="00FB5F5A" w:rsidRDefault="00FB5F5A" w:rsidP="006370C4">
            <w:pPr>
              <w:spacing w:after="0"/>
              <w:jc w:val="center"/>
              <w:rPr>
                <w:rFonts w:ascii="Calibri" w:eastAsia="Times New Roman" w:hAnsi="Calibri" w:cs="Calibri"/>
                <w:b/>
              </w:rPr>
            </w:pPr>
          </w:p>
          <w:p w14:paraId="4427A72F" w14:textId="77777777" w:rsidR="00FB5F5A" w:rsidRPr="00B0452D" w:rsidRDefault="00FB5F5A" w:rsidP="006370C4">
            <w:pPr>
              <w:spacing w:after="0"/>
              <w:jc w:val="center"/>
              <w:rPr>
                <w:rFonts w:ascii="Calibri" w:eastAsia="Times New Roman" w:hAnsi="Calibri" w:cs="Calibri"/>
                <w:b/>
              </w:rPr>
            </w:pPr>
            <w:r w:rsidRPr="00B0452D">
              <w:rPr>
                <w:rFonts w:ascii="Calibri" w:eastAsia="Times New Roman" w:hAnsi="Calibri" w:cs="Calibri"/>
                <w:b/>
                <w:sz w:val="22"/>
                <w:szCs w:val="22"/>
              </w:rPr>
              <w:t>Ratio</w:t>
            </w:r>
          </w:p>
        </w:tc>
        <w:tc>
          <w:tcPr>
            <w:tcW w:w="4046" w:type="dxa"/>
            <w:gridSpan w:val="5"/>
            <w:tcBorders>
              <w:top w:val="single" w:sz="4" w:space="0" w:color="auto"/>
              <w:bottom w:val="nil"/>
            </w:tcBorders>
            <w:tcMar>
              <w:top w:w="30" w:type="dxa"/>
              <w:left w:w="45" w:type="dxa"/>
              <w:bottom w:w="30" w:type="dxa"/>
              <w:right w:w="45" w:type="dxa"/>
            </w:tcMar>
            <w:vAlign w:val="bottom"/>
            <w:hideMark/>
          </w:tcPr>
          <w:p w14:paraId="40458952" w14:textId="77777777" w:rsidR="00FB5F5A" w:rsidRPr="00B0452D" w:rsidRDefault="00FB5F5A" w:rsidP="006370C4">
            <w:pPr>
              <w:spacing w:after="0"/>
              <w:jc w:val="center"/>
              <w:rPr>
                <w:rFonts w:ascii="Calibri" w:eastAsia="Times New Roman" w:hAnsi="Calibri" w:cs="Calibri"/>
                <w:b/>
                <w:bCs/>
              </w:rPr>
            </w:pPr>
            <w:r w:rsidRPr="00B0452D">
              <w:rPr>
                <w:rFonts w:ascii="Calibri" w:eastAsia="Times New Roman" w:hAnsi="Calibri" w:cs="Calibri"/>
                <w:b/>
                <w:bCs/>
                <w:sz w:val="22"/>
                <w:szCs w:val="22"/>
              </w:rPr>
              <w:t xml:space="preserve">Year </w:t>
            </w:r>
          </w:p>
        </w:tc>
      </w:tr>
      <w:tr w:rsidR="00FB5F5A" w:rsidRPr="00B0452D" w14:paraId="42884019" w14:textId="77777777" w:rsidTr="00FB5F5A">
        <w:trPr>
          <w:trHeight w:val="375"/>
        </w:trPr>
        <w:tc>
          <w:tcPr>
            <w:tcW w:w="2551" w:type="dxa"/>
            <w:vMerge/>
            <w:tcBorders>
              <w:top w:val="nil"/>
              <w:bottom w:val="single" w:sz="4" w:space="0" w:color="auto"/>
            </w:tcBorders>
            <w:vAlign w:val="center"/>
            <w:hideMark/>
          </w:tcPr>
          <w:p w14:paraId="3113E739" w14:textId="77777777" w:rsidR="00FB5F5A" w:rsidRPr="00B0452D" w:rsidRDefault="00FB5F5A" w:rsidP="006370C4">
            <w:pPr>
              <w:spacing w:after="0"/>
              <w:jc w:val="left"/>
              <w:rPr>
                <w:rFonts w:ascii="Calibri" w:eastAsia="Times New Roman" w:hAnsi="Calibri" w:cs="Calibri"/>
              </w:rPr>
            </w:pPr>
            <w:r>
              <w:rPr>
                <w:rFonts w:ascii="Calibri" w:eastAsia="Times New Roman" w:hAnsi="Calibri" w:cs="Calibri"/>
                <w:noProof/>
                <w:sz w:val="22"/>
                <w:szCs w:val="22"/>
              </w:rPr>
              <w:drawing>
                <wp:inline distT="0" distB="0" distL="0" distR="0" wp14:anchorId="77374224" wp14:editId="1DF16594">
                  <wp:extent cx="5486400" cy="3200400"/>
                  <wp:effectExtent l="0" t="0" r="19050" b="19050"/>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tc>
        <w:tc>
          <w:tcPr>
            <w:tcW w:w="2808" w:type="dxa"/>
            <w:vMerge/>
            <w:tcBorders>
              <w:top w:val="nil"/>
              <w:bottom w:val="single" w:sz="4" w:space="0" w:color="auto"/>
            </w:tcBorders>
            <w:vAlign w:val="center"/>
            <w:hideMark/>
          </w:tcPr>
          <w:p w14:paraId="639A4953" w14:textId="77777777" w:rsidR="00FB5F5A" w:rsidRPr="00B0452D" w:rsidRDefault="00FB5F5A" w:rsidP="006370C4">
            <w:pPr>
              <w:spacing w:after="0"/>
              <w:jc w:val="left"/>
              <w:rPr>
                <w:rFonts w:ascii="Calibri" w:eastAsia="Times New Roman" w:hAnsi="Calibri" w:cs="Calibri"/>
              </w:rPr>
            </w:pPr>
          </w:p>
        </w:tc>
        <w:tc>
          <w:tcPr>
            <w:tcW w:w="809" w:type="dxa"/>
            <w:tcBorders>
              <w:top w:val="nil"/>
              <w:bottom w:val="single" w:sz="4" w:space="0" w:color="auto"/>
            </w:tcBorders>
            <w:tcMar>
              <w:top w:w="30" w:type="dxa"/>
              <w:left w:w="45" w:type="dxa"/>
              <w:bottom w:w="30" w:type="dxa"/>
              <w:right w:w="45" w:type="dxa"/>
            </w:tcMar>
            <w:vAlign w:val="bottom"/>
            <w:hideMark/>
          </w:tcPr>
          <w:p w14:paraId="30FBEA44" w14:textId="77777777" w:rsidR="00FB5F5A" w:rsidRPr="00B0452D" w:rsidRDefault="00FB5F5A" w:rsidP="006370C4">
            <w:pPr>
              <w:spacing w:after="0"/>
              <w:jc w:val="center"/>
              <w:rPr>
                <w:rFonts w:ascii="Calibri" w:eastAsia="Times New Roman" w:hAnsi="Calibri" w:cs="Calibri"/>
                <w:b/>
                <w:bCs/>
              </w:rPr>
            </w:pPr>
            <w:r>
              <w:rPr>
                <w:rFonts w:ascii="Calibri" w:eastAsia="Times New Roman" w:hAnsi="Calibri" w:cs="Calibri"/>
                <w:b/>
                <w:bCs/>
                <w:sz w:val="22"/>
                <w:szCs w:val="22"/>
              </w:rPr>
              <w:t>2019</w:t>
            </w:r>
          </w:p>
        </w:tc>
        <w:tc>
          <w:tcPr>
            <w:tcW w:w="809" w:type="dxa"/>
            <w:tcBorders>
              <w:top w:val="nil"/>
              <w:bottom w:val="single" w:sz="4" w:space="0" w:color="auto"/>
            </w:tcBorders>
            <w:tcMar>
              <w:top w:w="30" w:type="dxa"/>
              <w:left w:w="45" w:type="dxa"/>
              <w:bottom w:w="30" w:type="dxa"/>
              <w:right w:w="45" w:type="dxa"/>
            </w:tcMar>
            <w:vAlign w:val="bottom"/>
            <w:hideMark/>
          </w:tcPr>
          <w:p w14:paraId="4B5708DF" w14:textId="77777777" w:rsidR="00FB5F5A" w:rsidRPr="00B0452D" w:rsidRDefault="00FB5F5A" w:rsidP="006370C4">
            <w:pPr>
              <w:spacing w:after="0"/>
              <w:jc w:val="center"/>
              <w:rPr>
                <w:rFonts w:ascii="Calibri" w:eastAsia="Times New Roman" w:hAnsi="Calibri" w:cs="Calibri"/>
                <w:b/>
                <w:bCs/>
              </w:rPr>
            </w:pPr>
            <w:r w:rsidRPr="00B0452D">
              <w:rPr>
                <w:rFonts w:ascii="Calibri" w:eastAsia="Times New Roman" w:hAnsi="Calibri" w:cs="Calibri"/>
                <w:b/>
                <w:bCs/>
                <w:sz w:val="22"/>
                <w:szCs w:val="22"/>
              </w:rPr>
              <w:t>2020</w:t>
            </w:r>
          </w:p>
        </w:tc>
        <w:tc>
          <w:tcPr>
            <w:tcW w:w="809" w:type="dxa"/>
            <w:tcBorders>
              <w:top w:val="nil"/>
              <w:bottom w:val="single" w:sz="4" w:space="0" w:color="auto"/>
            </w:tcBorders>
            <w:tcMar>
              <w:top w:w="30" w:type="dxa"/>
              <w:left w:w="45" w:type="dxa"/>
              <w:bottom w:w="30" w:type="dxa"/>
              <w:right w:w="45" w:type="dxa"/>
            </w:tcMar>
            <w:vAlign w:val="bottom"/>
            <w:hideMark/>
          </w:tcPr>
          <w:p w14:paraId="64FC2881" w14:textId="77777777" w:rsidR="00FB5F5A" w:rsidRPr="00B0452D" w:rsidRDefault="00FB5F5A" w:rsidP="006370C4">
            <w:pPr>
              <w:spacing w:after="0"/>
              <w:jc w:val="center"/>
              <w:rPr>
                <w:rFonts w:ascii="Calibri" w:eastAsia="Times New Roman" w:hAnsi="Calibri" w:cs="Calibri"/>
                <w:b/>
                <w:bCs/>
              </w:rPr>
            </w:pPr>
            <w:r w:rsidRPr="00B0452D">
              <w:rPr>
                <w:rFonts w:ascii="Calibri" w:eastAsia="Times New Roman" w:hAnsi="Calibri" w:cs="Calibri"/>
                <w:b/>
                <w:bCs/>
                <w:sz w:val="22"/>
                <w:szCs w:val="22"/>
              </w:rPr>
              <w:t>2021</w:t>
            </w:r>
          </w:p>
        </w:tc>
        <w:tc>
          <w:tcPr>
            <w:tcW w:w="809" w:type="dxa"/>
            <w:tcBorders>
              <w:top w:val="nil"/>
              <w:bottom w:val="single" w:sz="4" w:space="0" w:color="auto"/>
            </w:tcBorders>
            <w:tcMar>
              <w:top w:w="30" w:type="dxa"/>
              <w:left w:w="45" w:type="dxa"/>
              <w:bottom w:w="30" w:type="dxa"/>
              <w:right w:w="45" w:type="dxa"/>
            </w:tcMar>
            <w:vAlign w:val="bottom"/>
            <w:hideMark/>
          </w:tcPr>
          <w:p w14:paraId="38AAC05E" w14:textId="77777777" w:rsidR="00FB5F5A" w:rsidRPr="00B0452D" w:rsidRDefault="00FB5F5A" w:rsidP="006370C4">
            <w:pPr>
              <w:spacing w:after="0"/>
              <w:jc w:val="center"/>
              <w:rPr>
                <w:rFonts w:ascii="Calibri" w:eastAsia="Times New Roman" w:hAnsi="Calibri" w:cs="Calibri"/>
                <w:b/>
                <w:bCs/>
              </w:rPr>
            </w:pPr>
            <w:r w:rsidRPr="00B0452D">
              <w:rPr>
                <w:rFonts w:ascii="Calibri" w:eastAsia="Times New Roman" w:hAnsi="Calibri" w:cs="Calibri"/>
                <w:b/>
                <w:bCs/>
                <w:sz w:val="22"/>
                <w:szCs w:val="22"/>
              </w:rPr>
              <w:t>2022</w:t>
            </w:r>
          </w:p>
        </w:tc>
        <w:tc>
          <w:tcPr>
            <w:tcW w:w="810" w:type="dxa"/>
            <w:tcBorders>
              <w:top w:val="nil"/>
              <w:bottom w:val="single" w:sz="4" w:space="0" w:color="auto"/>
            </w:tcBorders>
            <w:tcMar>
              <w:top w:w="30" w:type="dxa"/>
              <w:left w:w="45" w:type="dxa"/>
              <w:bottom w:w="30" w:type="dxa"/>
              <w:right w:w="45" w:type="dxa"/>
            </w:tcMar>
            <w:vAlign w:val="bottom"/>
            <w:hideMark/>
          </w:tcPr>
          <w:p w14:paraId="09A2B862" w14:textId="77777777" w:rsidR="00FB5F5A" w:rsidRPr="00B0452D" w:rsidRDefault="00FB5F5A" w:rsidP="006370C4">
            <w:pPr>
              <w:spacing w:after="0"/>
              <w:jc w:val="center"/>
              <w:rPr>
                <w:rFonts w:ascii="Calibri" w:eastAsia="Times New Roman" w:hAnsi="Calibri" w:cs="Calibri"/>
                <w:b/>
                <w:bCs/>
              </w:rPr>
            </w:pPr>
            <w:r w:rsidRPr="00B0452D">
              <w:rPr>
                <w:rFonts w:ascii="Calibri" w:eastAsia="Times New Roman" w:hAnsi="Calibri" w:cs="Calibri"/>
                <w:b/>
                <w:bCs/>
                <w:sz w:val="22"/>
                <w:szCs w:val="22"/>
              </w:rPr>
              <w:t>2023</w:t>
            </w:r>
          </w:p>
        </w:tc>
      </w:tr>
      <w:tr w:rsidR="0087136A" w:rsidRPr="00FB5F5A" w14:paraId="268B7162" w14:textId="77777777" w:rsidTr="006370C4">
        <w:trPr>
          <w:trHeight w:val="375"/>
        </w:trPr>
        <w:tc>
          <w:tcPr>
            <w:tcW w:w="2551" w:type="dxa"/>
            <w:tcBorders>
              <w:top w:val="single" w:sz="4" w:space="0" w:color="auto"/>
              <w:bottom w:val="nil"/>
            </w:tcBorders>
            <w:vAlign w:val="center"/>
          </w:tcPr>
          <w:p w14:paraId="6F9BE32A" w14:textId="02B5F92F" w:rsidR="0087136A" w:rsidRPr="00FB5F5A" w:rsidRDefault="0087136A" w:rsidP="006370C4">
            <w:pPr>
              <w:spacing w:after="0"/>
              <w:jc w:val="left"/>
              <w:rPr>
                <w:rFonts w:ascii="Calibri" w:eastAsia="Times New Roman" w:hAnsi="Calibri" w:cs="Calibri"/>
                <w:b/>
                <w:noProof/>
              </w:rPr>
            </w:pPr>
            <w:r w:rsidRPr="00FB5F5A">
              <w:rPr>
                <w:rFonts w:ascii="Calibri" w:eastAsia="Times New Roman" w:hAnsi="Calibri" w:cs="Calibri"/>
                <w:b/>
                <w:noProof/>
                <w:sz w:val="22"/>
                <w:szCs w:val="22"/>
              </w:rPr>
              <w:t>Efficiency Ratios</w:t>
            </w:r>
          </w:p>
        </w:tc>
        <w:tc>
          <w:tcPr>
            <w:tcW w:w="2808" w:type="dxa"/>
            <w:tcBorders>
              <w:top w:val="single" w:sz="4" w:space="0" w:color="auto"/>
              <w:bottom w:val="nil"/>
            </w:tcBorders>
            <w:vAlign w:val="center"/>
          </w:tcPr>
          <w:p w14:paraId="4A66A7A3" w14:textId="3BAD9C27" w:rsidR="0087136A" w:rsidRPr="00FB5F5A" w:rsidRDefault="0087136A" w:rsidP="006370C4">
            <w:pPr>
              <w:spacing w:after="0"/>
              <w:jc w:val="left"/>
              <w:rPr>
                <w:rFonts w:ascii="Calibri" w:eastAsia="Times New Roman" w:hAnsi="Calibri" w:cs="Calibri"/>
                <w:b/>
              </w:rPr>
            </w:pPr>
            <w:r w:rsidRPr="00FB5F5A">
              <w:rPr>
                <w:b/>
                <w:sz w:val="22"/>
                <w:szCs w:val="22"/>
              </w:rPr>
              <w:t>Inventory Turnover ratio</w:t>
            </w:r>
          </w:p>
        </w:tc>
        <w:tc>
          <w:tcPr>
            <w:tcW w:w="809" w:type="dxa"/>
            <w:tcBorders>
              <w:top w:val="single" w:sz="4" w:space="0" w:color="auto"/>
              <w:bottom w:val="nil"/>
            </w:tcBorders>
            <w:tcMar>
              <w:top w:w="30" w:type="dxa"/>
              <w:left w:w="45" w:type="dxa"/>
              <w:bottom w:w="30" w:type="dxa"/>
              <w:right w:w="45" w:type="dxa"/>
            </w:tcMar>
          </w:tcPr>
          <w:p w14:paraId="5F39E8E9" w14:textId="5CE4E66E" w:rsidR="0087136A" w:rsidRPr="0087136A" w:rsidRDefault="0087136A" w:rsidP="006370C4">
            <w:pPr>
              <w:spacing w:after="0"/>
              <w:jc w:val="center"/>
              <w:rPr>
                <w:rFonts w:eastAsia="Times New Roman"/>
                <w:bCs/>
              </w:rPr>
            </w:pPr>
            <w:r w:rsidRPr="0087136A">
              <w:rPr>
                <w:sz w:val="20"/>
                <w:szCs w:val="20"/>
              </w:rPr>
              <w:t>2.87</w:t>
            </w:r>
          </w:p>
        </w:tc>
        <w:tc>
          <w:tcPr>
            <w:tcW w:w="809" w:type="dxa"/>
            <w:tcBorders>
              <w:top w:val="single" w:sz="4" w:space="0" w:color="auto"/>
              <w:bottom w:val="nil"/>
            </w:tcBorders>
            <w:tcMar>
              <w:top w:w="30" w:type="dxa"/>
              <w:left w:w="45" w:type="dxa"/>
              <w:bottom w:w="30" w:type="dxa"/>
              <w:right w:w="45" w:type="dxa"/>
            </w:tcMar>
          </w:tcPr>
          <w:p w14:paraId="4BA92489" w14:textId="5468FB07" w:rsidR="0087136A" w:rsidRPr="0087136A" w:rsidRDefault="0087136A" w:rsidP="006370C4">
            <w:pPr>
              <w:spacing w:after="0"/>
              <w:jc w:val="center"/>
              <w:rPr>
                <w:rFonts w:eastAsia="Times New Roman"/>
                <w:bCs/>
              </w:rPr>
            </w:pPr>
            <w:r w:rsidRPr="0087136A">
              <w:rPr>
                <w:sz w:val="20"/>
                <w:szCs w:val="20"/>
              </w:rPr>
              <w:t>3.12</w:t>
            </w:r>
          </w:p>
        </w:tc>
        <w:tc>
          <w:tcPr>
            <w:tcW w:w="809" w:type="dxa"/>
            <w:tcBorders>
              <w:top w:val="single" w:sz="4" w:space="0" w:color="auto"/>
              <w:bottom w:val="nil"/>
            </w:tcBorders>
            <w:tcMar>
              <w:top w:w="30" w:type="dxa"/>
              <w:left w:w="45" w:type="dxa"/>
              <w:bottom w:w="30" w:type="dxa"/>
              <w:right w:w="45" w:type="dxa"/>
            </w:tcMar>
          </w:tcPr>
          <w:p w14:paraId="32EB7935" w14:textId="5A73190D" w:rsidR="0087136A" w:rsidRPr="0087136A" w:rsidRDefault="0087136A" w:rsidP="006370C4">
            <w:pPr>
              <w:spacing w:after="0"/>
              <w:jc w:val="center"/>
              <w:rPr>
                <w:rFonts w:eastAsia="Times New Roman"/>
                <w:bCs/>
              </w:rPr>
            </w:pPr>
            <w:r w:rsidRPr="0087136A">
              <w:rPr>
                <w:sz w:val="20"/>
                <w:szCs w:val="20"/>
              </w:rPr>
              <w:t>3.15</w:t>
            </w:r>
          </w:p>
        </w:tc>
        <w:tc>
          <w:tcPr>
            <w:tcW w:w="809" w:type="dxa"/>
            <w:tcBorders>
              <w:top w:val="single" w:sz="4" w:space="0" w:color="auto"/>
              <w:bottom w:val="nil"/>
            </w:tcBorders>
            <w:tcMar>
              <w:top w:w="30" w:type="dxa"/>
              <w:left w:w="45" w:type="dxa"/>
              <w:bottom w:w="30" w:type="dxa"/>
              <w:right w:w="45" w:type="dxa"/>
            </w:tcMar>
          </w:tcPr>
          <w:p w14:paraId="0E95AD24" w14:textId="0C94FBF1" w:rsidR="0087136A" w:rsidRPr="0087136A" w:rsidRDefault="0087136A" w:rsidP="006370C4">
            <w:pPr>
              <w:spacing w:after="0"/>
              <w:jc w:val="center"/>
              <w:rPr>
                <w:rFonts w:eastAsia="Times New Roman"/>
                <w:bCs/>
              </w:rPr>
            </w:pPr>
            <w:r w:rsidRPr="0087136A">
              <w:rPr>
                <w:sz w:val="20"/>
                <w:szCs w:val="20"/>
              </w:rPr>
              <w:t>2.84</w:t>
            </w:r>
          </w:p>
        </w:tc>
        <w:tc>
          <w:tcPr>
            <w:tcW w:w="810" w:type="dxa"/>
            <w:tcBorders>
              <w:top w:val="single" w:sz="4" w:space="0" w:color="auto"/>
              <w:bottom w:val="nil"/>
            </w:tcBorders>
            <w:tcMar>
              <w:top w:w="30" w:type="dxa"/>
              <w:left w:w="45" w:type="dxa"/>
              <w:bottom w:w="30" w:type="dxa"/>
              <w:right w:w="45" w:type="dxa"/>
            </w:tcMar>
          </w:tcPr>
          <w:p w14:paraId="1F1FEB1D" w14:textId="4A91F576" w:rsidR="0087136A" w:rsidRPr="0087136A" w:rsidRDefault="0087136A" w:rsidP="006370C4">
            <w:pPr>
              <w:spacing w:after="0"/>
              <w:jc w:val="center"/>
              <w:rPr>
                <w:rFonts w:eastAsia="Times New Roman"/>
                <w:bCs/>
              </w:rPr>
            </w:pPr>
            <w:r w:rsidRPr="0087136A">
              <w:rPr>
                <w:sz w:val="20"/>
                <w:szCs w:val="20"/>
              </w:rPr>
              <w:t>2.74</w:t>
            </w:r>
          </w:p>
        </w:tc>
      </w:tr>
      <w:tr w:rsidR="0087136A" w:rsidRPr="00FB5F5A" w14:paraId="5C076651" w14:textId="77777777" w:rsidTr="006370C4">
        <w:trPr>
          <w:trHeight w:val="375"/>
        </w:trPr>
        <w:tc>
          <w:tcPr>
            <w:tcW w:w="2551" w:type="dxa"/>
            <w:tcBorders>
              <w:top w:val="nil"/>
              <w:bottom w:val="single" w:sz="4" w:space="0" w:color="auto"/>
            </w:tcBorders>
            <w:vAlign w:val="center"/>
          </w:tcPr>
          <w:p w14:paraId="7E3A682B" w14:textId="77777777" w:rsidR="0087136A" w:rsidRPr="00FB5F5A" w:rsidRDefault="0087136A" w:rsidP="006370C4">
            <w:pPr>
              <w:spacing w:after="0"/>
              <w:jc w:val="left"/>
              <w:rPr>
                <w:rFonts w:ascii="Calibri" w:eastAsia="Times New Roman" w:hAnsi="Calibri" w:cs="Calibri"/>
                <w:b/>
                <w:noProof/>
              </w:rPr>
            </w:pPr>
          </w:p>
        </w:tc>
        <w:tc>
          <w:tcPr>
            <w:tcW w:w="2808" w:type="dxa"/>
            <w:tcBorders>
              <w:top w:val="nil"/>
              <w:bottom w:val="single" w:sz="4" w:space="0" w:color="auto"/>
            </w:tcBorders>
            <w:vAlign w:val="center"/>
          </w:tcPr>
          <w:p w14:paraId="21BB3C86" w14:textId="0B92A1A5" w:rsidR="0087136A" w:rsidRPr="00FB5F5A" w:rsidRDefault="0087136A" w:rsidP="006370C4">
            <w:pPr>
              <w:spacing w:after="0"/>
              <w:jc w:val="left"/>
              <w:rPr>
                <w:b/>
              </w:rPr>
            </w:pPr>
            <w:r>
              <w:rPr>
                <w:b/>
                <w:sz w:val="22"/>
                <w:szCs w:val="22"/>
              </w:rPr>
              <w:t>Asset Turnover Ratio</w:t>
            </w:r>
          </w:p>
        </w:tc>
        <w:tc>
          <w:tcPr>
            <w:tcW w:w="809" w:type="dxa"/>
            <w:tcBorders>
              <w:top w:val="nil"/>
              <w:bottom w:val="single" w:sz="4" w:space="0" w:color="auto"/>
            </w:tcBorders>
            <w:tcMar>
              <w:top w:w="30" w:type="dxa"/>
              <w:left w:w="45" w:type="dxa"/>
              <w:bottom w:w="30" w:type="dxa"/>
              <w:right w:w="45" w:type="dxa"/>
            </w:tcMar>
          </w:tcPr>
          <w:p w14:paraId="270DA0BF" w14:textId="5C829073" w:rsidR="0087136A" w:rsidRPr="0087136A" w:rsidRDefault="0087136A" w:rsidP="006370C4">
            <w:pPr>
              <w:spacing w:after="0"/>
              <w:jc w:val="center"/>
              <w:rPr>
                <w:rFonts w:eastAsia="Times New Roman"/>
                <w:bCs/>
              </w:rPr>
            </w:pPr>
            <w:r w:rsidRPr="0087136A">
              <w:rPr>
                <w:sz w:val="20"/>
                <w:szCs w:val="20"/>
              </w:rPr>
              <w:t>0.99</w:t>
            </w:r>
          </w:p>
        </w:tc>
        <w:tc>
          <w:tcPr>
            <w:tcW w:w="809" w:type="dxa"/>
            <w:tcBorders>
              <w:top w:val="nil"/>
              <w:bottom w:val="single" w:sz="4" w:space="0" w:color="auto"/>
            </w:tcBorders>
            <w:tcMar>
              <w:top w:w="30" w:type="dxa"/>
              <w:left w:w="45" w:type="dxa"/>
              <w:bottom w:w="30" w:type="dxa"/>
              <w:right w:w="45" w:type="dxa"/>
            </w:tcMar>
          </w:tcPr>
          <w:p w14:paraId="50DC7E7A" w14:textId="17EC6ACA" w:rsidR="0087136A" w:rsidRPr="0087136A" w:rsidRDefault="0087136A" w:rsidP="006370C4">
            <w:pPr>
              <w:spacing w:after="0"/>
              <w:jc w:val="center"/>
              <w:rPr>
                <w:rFonts w:eastAsia="Times New Roman"/>
                <w:bCs/>
              </w:rPr>
            </w:pPr>
            <w:r w:rsidRPr="0087136A">
              <w:rPr>
                <w:sz w:val="20"/>
                <w:szCs w:val="20"/>
              </w:rPr>
              <w:t>1.04</w:t>
            </w:r>
          </w:p>
        </w:tc>
        <w:tc>
          <w:tcPr>
            <w:tcW w:w="809" w:type="dxa"/>
            <w:tcBorders>
              <w:top w:val="nil"/>
              <w:bottom w:val="single" w:sz="4" w:space="0" w:color="auto"/>
            </w:tcBorders>
            <w:tcMar>
              <w:top w:w="30" w:type="dxa"/>
              <w:left w:w="45" w:type="dxa"/>
              <w:bottom w:w="30" w:type="dxa"/>
              <w:right w:w="45" w:type="dxa"/>
            </w:tcMar>
          </w:tcPr>
          <w:p w14:paraId="35ECE5EA" w14:textId="63C98725" w:rsidR="0087136A" w:rsidRPr="0087136A" w:rsidRDefault="0087136A" w:rsidP="006370C4">
            <w:pPr>
              <w:spacing w:after="0"/>
              <w:jc w:val="center"/>
              <w:rPr>
                <w:rFonts w:eastAsia="Times New Roman"/>
                <w:bCs/>
              </w:rPr>
            </w:pPr>
            <w:r w:rsidRPr="0087136A">
              <w:rPr>
                <w:sz w:val="20"/>
                <w:szCs w:val="20"/>
              </w:rPr>
              <w:t>1.07</w:t>
            </w:r>
          </w:p>
        </w:tc>
        <w:tc>
          <w:tcPr>
            <w:tcW w:w="809" w:type="dxa"/>
            <w:tcBorders>
              <w:top w:val="nil"/>
              <w:bottom w:val="single" w:sz="4" w:space="0" w:color="auto"/>
            </w:tcBorders>
            <w:tcMar>
              <w:top w:w="30" w:type="dxa"/>
              <w:left w:w="45" w:type="dxa"/>
              <w:bottom w:w="30" w:type="dxa"/>
              <w:right w:w="45" w:type="dxa"/>
            </w:tcMar>
          </w:tcPr>
          <w:p w14:paraId="5C3D0272" w14:textId="45528662" w:rsidR="0087136A" w:rsidRPr="0087136A" w:rsidRDefault="0087136A" w:rsidP="006370C4">
            <w:pPr>
              <w:spacing w:after="0"/>
              <w:jc w:val="center"/>
              <w:rPr>
                <w:rFonts w:eastAsia="Times New Roman"/>
                <w:bCs/>
              </w:rPr>
            </w:pPr>
            <w:r w:rsidRPr="0087136A">
              <w:rPr>
                <w:sz w:val="20"/>
                <w:szCs w:val="20"/>
              </w:rPr>
              <w:t>1.07</w:t>
            </w:r>
          </w:p>
        </w:tc>
        <w:tc>
          <w:tcPr>
            <w:tcW w:w="810" w:type="dxa"/>
            <w:tcBorders>
              <w:top w:val="nil"/>
              <w:bottom w:val="single" w:sz="4" w:space="0" w:color="auto"/>
            </w:tcBorders>
            <w:tcMar>
              <w:top w:w="30" w:type="dxa"/>
              <w:left w:w="45" w:type="dxa"/>
              <w:bottom w:w="30" w:type="dxa"/>
              <w:right w:w="45" w:type="dxa"/>
            </w:tcMar>
          </w:tcPr>
          <w:p w14:paraId="2B93B159" w14:textId="09FA45AE" w:rsidR="0087136A" w:rsidRPr="0087136A" w:rsidRDefault="0087136A" w:rsidP="006370C4">
            <w:pPr>
              <w:spacing w:after="0"/>
              <w:jc w:val="center"/>
              <w:rPr>
                <w:rFonts w:eastAsia="Times New Roman"/>
                <w:bCs/>
              </w:rPr>
            </w:pPr>
            <w:r w:rsidRPr="0087136A">
              <w:rPr>
                <w:sz w:val="20"/>
                <w:szCs w:val="20"/>
              </w:rPr>
              <w:t>1.08</w:t>
            </w:r>
          </w:p>
        </w:tc>
      </w:tr>
    </w:tbl>
    <w:p w14:paraId="2E401B62" w14:textId="77777777" w:rsidR="00FB5F5A" w:rsidRPr="00B0452D" w:rsidRDefault="00FB5F5A" w:rsidP="00FB5F5A">
      <w:pPr>
        <w:jc w:val="center"/>
        <w:rPr>
          <w:sz w:val="18"/>
        </w:rPr>
      </w:pPr>
      <w:r w:rsidRPr="00B0452D">
        <w:rPr>
          <w:sz w:val="18"/>
        </w:rPr>
        <w:lastRenderedPageBreak/>
        <w:t>Refer to Appendix A for viewing Calculations</w:t>
      </w:r>
    </w:p>
    <w:p w14:paraId="4661BA97" w14:textId="7552CAC8" w:rsidR="00FB5F5A" w:rsidRPr="00FB5F5A" w:rsidRDefault="0087136A" w:rsidP="00FB5F5A">
      <w:r w:rsidRPr="0087136A">
        <w:rPr>
          <w:noProof/>
        </w:rPr>
        <w:drawing>
          <wp:inline distT="0" distB="0" distL="0" distR="0" wp14:anchorId="043A3E04" wp14:editId="5DDBE391">
            <wp:extent cx="5731510" cy="3423397"/>
            <wp:effectExtent l="0" t="0" r="2540" b="571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5731510" cy="3423397"/>
                    </a:xfrm>
                    <a:prstGeom prst="rect">
                      <a:avLst/>
                    </a:prstGeom>
                  </pic:spPr>
                </pic:pic>
              </a:graphicData>
            </a:graphic>
          </wp:inline>
        </w:drawing>
      </w:r>
    </w:p>
    <w:p w14:paraId="679906CC" w14:textId="2BCF208B" w:rsidR="00834DE3" w:rsidRDefault="00834DE3" w:rsidP="00834DE3">
      <w:pPr>
        <w:pStyle w:val="Heading4"/>
      </w:pPr>
      <w:r>
        <w:t>Inventory Turnover Ratio</w:t>
      </w:r>
    </w:p>
    <w:p w14:paraId="442040C6" w14:textId="20514BE8" w:rsidR="00834DE3" w:rsidRDefault="006C7EF6" w:rsidP="00B50438">
      <w:r w:rsidRPr="00F9490E">
        <w:t xml:space="preserve"> </w:t>
      </w:r>
      <w:r w:rsidR="00DF2AB0" w:rsidRPr="00DF2AB0">
        <w:t>More efficient inventory management is indicated by a greater Inventory Turnover ratio, which quantifies the frequency of sales and replacements of a company's inventory over a certain period.</w:t>
      </w:r>
    </w:p>
    <w:p w14:paraId="10880847" w14:textId="11F6D47E" w:rsidR="00834DE3" w:rsidRPr="00834DE3" w:rsidRDefault="00834DE3" w:rsidP="00834DE3">
      <w:pPr>
        <w:jc w:val="center"/>
        <w:rPr>
          <w:b/>
        </w:rPr>
      </w:pPr>
      <w:r w:rsidRPr="00834DE3">
        <w:rPr>
          <w:b/>
        </w:rPr>
        <w:t xml:space="preserve">Inventory Turnover Ratio = </w:t>
      </w:r>
      <m:oMath>
        <m:f>
          <m:fPr>
            <m:ctrlPr>
              <w:rPr>
                <w:rFonts w:ascii="Cambria Math" w:hAnsi="Cambria Math"/>
                <w:i/>
              </w:rPr>
            </m:ctrlPr>
          </m:fPr>
          <m:num>
            <m:r>
              <w:rPr>
                <w:rFonts w:ascii="Cambria Math" w:hAnsi="Cambria Math"/>
              </w:rPr>
              <m:t>Cos</m:t>
            </m:r>
            <m:r>
              <w:rPr>
                <w:rFonts w:ascii="Cambria Math" w:hAnsi="Cambria Math"/>
              </w:rPr>
              <m:t xml:space="preserve">t of Goods Sold  </m:t>
            </m:r>
          </m:num>
          <m:den>
            <m:r>
              <w:rPr>
                <w:rFonts w:ascii="Cambria Math" w:hAnsi="Cambria Math"/>
              </w:rPr>
              <m:t>Average Inventory</m:t>
            </m:r>
          </m:den>
        </m:f>
      </m:oMath>
    </w:p>
    <w:p w14:paraId="00000042" w14:textId="770C9D1F" w:rsidR="00424676" w:rsidRPr="00F9490E" w:rsidRDefault="00834DE3" w:rsidP="00B50438">
      <w:r>
        <w:t>Kingfisher</w:t>
      </w:r>
      <w:r w:rsidR="006C7EF6" w:rsidRPr="00F9490E">
        <w:t xml:space="preserve">’s inventory turnover </w:t>
      </w:r>
      <w:r>
        <w:t xml:space="preserve">rose to </w:t>
      </w:r>
      <w:r w:rsidR="006C7EF6" w:rsidRPr="00F9490E">
        <w:t>3.15</w:t>
      </w:r>
      <w:r>
        <w:t xml:space="preserve"> times</w:t>
      </w:r>
      <w:r w:rsidR="006C7EF6" w:rsidRPr="00F9490E">
        <w:t xml:space="preserve"> in 2021</w:t>
      </w:r>
      <w:r>
        <w:t xml:space="preserve"> which reflects</w:t>
      </w:r>
      <w:r w:rsidR="006C7EF6" w:rsidRPr="00F9490E">
        <w:t xml:space="preserve"> strong inventory management during that year. However, </w:t>
      </w:r>
      <w:r>
        <w:t>it later</w:t>
      </w:r>
      <w:r w:rsidR="006C7EF6" w:rsidRPr="00F9490E">
        <w:t xml:space="preserve"> declined to 2.74</w:t>
      </w:r>
      <w:r>
        <w:t xml:space="preserve"> times</w:t>
      </w:r>
      <w:r w:rsidR="006C7EF6" w:rsidRPr="00F9490E">
        <w:t xml:space="preserve"> in 2023</w:t>
      </w:r>
      <w:r>
        <w:t xml:space="preserve"> which hints at </w:t>
      </w:r>
      <w:r w:rsidR="006C7EF6" w:rsidRPr="00F9490E">
        <w:t>a slower pace of inventory sales or potential issues with inventory management, which could lead to excess stock and increased holding costs.</w:t>
      </w:r>
    </w:p>
    <w:p w14:paraId="1C764C58" w14:textId="28F2A158" w:rsidR="00834DE3" w:rsidRDefault="00834DE3" w:rsidP="00834DE3">
      <w:pPr>
        <w:pStyle w:val="Heading4"/>
      </w:pPr>
      <w:r>
        <w:t>Asset Turnover Ratio</w:t>
      </w:r>
    </w:p>
    <w:p w14:paraId="3ACD0B09" w14:textId="4386B286" w:rsidR="00834DE3" w:rsidRPr="00834DE3" w:rsidRDefault="00834DE3" w:rsidP="00834DE3">
      <w:pPr>
        <w:jc w:val="center"/>
        <w:rPr>
          <w:b/>
        </w:rPr>
      </w:pPr>
      <w:r>
        <w:rPr>
          <w:b/>
        </w:rPr>
        <w:lastRenderedPageBreak/>
        <w:t>Asset</w:t>
      </w:r>
      <w:r w:rsidRPr="00834DE3">
        <w:rPr>
          <w:b/>
        </w:rPr>
        <w:t xml:space="preserve"> Turnover Ratio = </w:t>
      </w:r>
      <m:oMath>
        <m:f>
          <m:fPr>
            <m:ctrlPr>
              <w:rPr>
                <w:rFonts w:ascii="Cambria Math" w:hAnsi="Cambria Math"/>
                <w:i/>
              </w:rPr>
            </m:ctrlPr>
          </m:fPr>
          <m:num>
            <m:r>
              <w:rPr>
                <w:rFonts w:ascii="Cambria Math" w:hAnsi="Cambria Math"/>
              </w:rPr>
              <m:t xml:space="preserve">Net Sales  </m:t>
            </m:r>
          </m:num>
          <m:den>
            <m:r>
              <w:rPr>
                <w:rFonts w:ascii="Cambria Math" w:hAnsi="Cambria Math"/>
              </w:rPr>
              <m:t>Average Assets</m:t>
            </m:r>
          </m:den>
        </m:f>
      </m:oMath>
    </w:p>
    <w:p w14:paraId="00000044" w14:textId="1CFCBC65" w:rsidR="00424676" w:rsidRPr="00F9490E" w:rsidRDefault="006C7EF6" w:rsidP="00B50438">
      <w:r w:rsidRPr="00F9490E">
        <w:t xml:space="preserve">The Asset Turnover ratio evaluates how effectively a company is using its assets to generate revenue. An increasing asset turnover ratio indicates better asset utilization. </w:t>
      </w:r>
      <w:r w:rsidR="00834DE3">
        <w:t xml:space="preserve">Based on Kingfisher’s financial data it could be noticed that the </w:t>
      </w:r>
      <w:r w:rsidRPr="00F9490E">
        <w:t>asset turnover ratio showed a slight but steady improvement from 0.99 in 2019 to 1.08 in 2023. This gradual increase suggests that the company has become more efficient in using its assets to generate revenue, though the improvement is modest.</w:t>
      </w:r>
    </w:p>
    <w:p w14:paraId="00000046" w14:textId="77777777" w:rsidR="00424676" w:rsidRDefault="006C7EF6" w:rsidP="00834DE3">
      <w:pPr>
        <w:pStyle w:val="Heading3"/>
      </w:pPr>
      <w:bookmarkStart w:id="11" w:name="_Toc175149006"/>
      <w:r w:rsidRPr="00F9490E">
        <w:t>Gearing (Leverage) Ratios</w:t>
      </w:r>
      <w:bookmarkEnd w:id="11"/>
    </w:p>
    <w:p w14:paraId="6F480B37" w14:textId="77777777" w:rsidR="00C12DCE" w:rsidRDefault="00C12DCE" w:rsidP="00C12DCE">
      <w:r w:rsidRPr="00F9490E">
        <w:t xml:space="preserve">Gearing (Leverage) ratios are critical for understanding a company’s financial structure and the degree to which it is financed by debt relative to equity or assets. These ratios are key indicators of financial risk and long-term solvency. </w:t>
      </w:r>
    </w:p>
    <w:p w14:paraId="40CC0E29" w14:textId="77777777" w:rsidR="00C12DCE" w:rsidRDefault="00C12DCE" w:rsidP="00C12DCE"/>
    <w:p w14:paraId="39E33265" w14:textId="77777777" w:rsidR="00C12DCE" w:rsidRPr="00C12DCE" w:rsidRDefault="00C12DCE" w:rsidP="00C12DCE"/>
    <w:tbl>
      <w:tblPr>
        <w:tblW w:w="9405" w:type="dxa"/>
        <w:tblBorders>
          <w:top w:val="single" w:sz="4" w:space="0" w:color="auto"/>
          <w:bottom w:val="single" w:sz="4" w:space="0" w:color="auto"/>
        </w:tblBorders>
        <w:tblCellMar>
          <w:left w:w="0" w:type="dxa"/>
          <w:right w:w="0" w:type="dxa"/>
        </w:tblCellMar>
        <w:tblLook w:val="04A0" w:firstRow="1" w:lastRow="0" w:firstColumn="1" w:lastColumn="0" w:noHBand="0" w:noVBand="1"/>
      </w:tblPr>
      <w:tblGrid>
        <w:gridCol w:w="2745"/>
        <w:gridCol w:w="3060"/>
        <w:gridCol w:w="720"/>
        <w:gridCol w:w="720"/>
        <w:gridCol w:w="720"/>
        <w:gridCol w:w="630"/>
        <w:gridCol w:w="810"/>
      </w:tblGrid>
      <w:tr w:rsidR="00C12DCE" w:rsidRPr="00B0452D" w14:paraId="0A7C9D97" w14:textId="77777777" w:rsidTr="006370C4">
        <w:trPr>
          <w:trHeight w:val="315"/>
        </w:trPr>
        <w:tc>
          <w:tcPr>
            <w:tcW w:w="2745" w:type="dxa"/>
            <w:vMerge w:val="restart"/>
            <w:tcBorders>
              <w:top w:val="single" w:sz="4" w:space="0" w:color="auto"/>
              <w:bottom w:val="nil"/>
            </w:tcBorders>
            <w:tcMar>
              <w:top w:w="30" w:type="dxa"/>
              <w:left w:w="45" w:type="dxa"/>
              <w:bottom w:w="30" w:type="dxa"/>
              <w:right w:w="45" w:type="dxa"/>
            </w:tcMar>
            <w:hideMark/>
          </w:tcPr>
          <w:p w14:paraId="694F2EFA" w14:textId="77777777" w:rsidR="00C12DCE" w:rsidRDefault="00C12DCE" w:rsidP="006370C4">
            <w:pPr>
              <w:spacing w:after="0" w:line="240" w:lineRule="auto"/>
              <w:jc w:val="center"/>
              <w:rPr>
                <w:rFonts w:ascii="Calibri" w:eastAsia="Times New Roman" w:hAnsi="Calibri" w:cs="Calibri"/>
                <w:b/>
              </w:rPr>
            </w:pPr>
          </w:p>
          <w:p w14:paraId="1DCA0D55" w14:textId="77777777" w:rsidR="00C12DCE" w:rsidRPr="00B0452D" w:rsidRDefault="00C12DCE" w:rsidP="006370C4">
            <w:pPr>
              <w:spacing w:after="0" w:line="240" w:lineRule="auto"/>
              <w:jc w:val="center"/>
              <w:rPr>
                <w:rFonts w:ascii="Calibri" w:eastAsia="Times New Roman" w:hAnsi="Calibri" w:cs="Calibri"/>
                <w:b/>
              </w:rPr>
            </w:pPr>
            <w:r w:rsidRPr="00B0452D">
              <w:rPr>
                <w:rFonts w:ascii="Calibri" w:eastAsia="Times New Roman" w:hAnsi="Calibri" w:cs="Calibri"/>
                <w:b/>
                <w:sz w:val="22"/>
                <w:szCs w:val="22"/>
              </w:rPr>
              <w:t>Ratio Category</w:t>
            </w:r>
          </w:p>
        </w:tc>
        <w:tc>
          <w:tcPr>
            <w:tcW w:w="3060" w:type="dxa"/>
            <w:vMerge w:val="restart"/>
            <w:tcBorders>
              <w:top w:val="single" w:sz="4" w:space="0" w:color="auto"/>
              <w:bottom w:val="nil"/>
            </w:tcBorders>
            <w:tcMar>
              <w:top w:w="30" w:type="dxa"/>
              <w:left w:w="45" w:type="dxa"/>
              <w:bottom w:w="30" w:type="dxa"/>
              <w:right w:w="45" w:type="dxa"/>
            </w:tcMar>
            <w:hideMark/>
          </w:tcPr>
          <w:p w14:paraId="6B6E278E" w14:textId="77777777" w:rsidR="00C12DCE" w:rsidRDefault="00C12DCE" w:rsidP="006370C4">
            <w:pPr>
              <w:spacing w:after="0" w:line="240" w:lineRule="auto"/>
              <w:jc w:val="center"/>
              <w:rPr>
                <w:rFonts w:ascii="Calibri" w:eastAsia="Times New Roman" w:hAnsi="Calibri" w:cs="Calibri"/>
                <w:b/>
              </w:rPr>
            </w:pPr>
          </w:p>
          <w:p w14:paraId="7BF05CD5" w14:textId="77777777" w:rsidR="00C12DCE" w:rsidRPr="00B0452D" w:rsidRDefault="00C12DCE" w:rsidP="006370C4">
            <w:pPr>
              <w:spacing w:after="0" w:line="240" w:lineRule="auto"/>
              <w:jc w:val="center"/>
              <w:rPr>
                <w:rFonts w:ascii="Calibri" w:eastAsia="Times New Roman" w:hAnsi="Calibri" w:cs="Calibri"/>
                <w:b/>
              </w:rPr>
            </w:pPr>
            <w:r w:rsidRPr="00B0452D">
              <w:rPr>
                <w:rFonts w:ascii="Calibri" w:eastAsia="Times New Roman" w:hAnsi="Calibri" w:cs="Calibri"/>
                <w:b/>
                <w:sz w:val="22"/>
                <w:szCs w:val="22"/>
              </w:rPr>
              <w:t>Ratio</w:t>
            </w:r>
          </w:p>
        </w:tc>
        <w:tc>
          <w:tcPr>
            <w:tcW w:w="3600" w:type="dxa"/>
            <w:gridSpan w:val="5"/>
            <w:tcBorders>
              <w:top w:val="single" w:sz="4" w:space="0" w:color="auto"/>
              <w:bottom w:val="nil"/>
            </w:tcBorders>
            <w:tcMar>
              <w:top w:w="30" w:type="dxa"/>
              <w:left w:w="45" w:type="dxa"/>
              <w:bottom w:w="30" w:type="dxa"/>
              <w:right w:w="45" w:type="dxa"/>
            </w:tcMar>
            <w:vAlign w:val="bottom"/>
            <w:hideMark/>
          </w:tcPr>
          <w:p w14:paraId="4F2646F2" w14:textId="77777777" w:rsidR="00C12DCE" w:rsidRPr="00B0452D" w:rsidRDefault="00C12DCE" w:rsidP="006370C4">
            <w:pPr>
              <w:spacing w:after="0" w:line="240" w:lineRule="auto"/>
              <w:jc w:val="center"/>
              <w:rPr>
                <w:rFonts w:ascii="Calibri" w:eastAsia="Times New Roman" w:hAnsi="Calibri" w:cs="Calibri"/>
                <w:b/>
                <w:bCs/>
              </w:rPr>
            </w:pPr>
            <w:r w:rsidRPr="00B0452D">
              <w:rPr>
                <w:rFonts w:ascii="Calibri" w:eastAsia="Times New Roman" w:hAnsi="Calibri" w:cs="Calibri"/>
                <w:b/>
                <w:bCs/>
                <w:sz w:val="22"/>
                <w:szCs w:val="22"/>
              </w:rPr>
              <w:t xml:space="preserve">Year </w:t>
            </w:r>
          </w:p>
        </w:tc>
      </w:tr>
      <w:tr w:rsidR="00C12DCE" w:rsidRPr="00B0452D" w14:paraId="37C024B0" w14:textId="77777777" w:rsidTr="006370C4">
        <w:trPr>
          <w:trHeight w:val="375"/>
        </w:trPr>
        <w:tc>
          <w:tcPr>
            <w:tcW w:w="2745" w:type="dxa"/>
            <w:vMerge/>
            <w:tcBorders>
              <w:top w:val="nil"/>
              <w:bottom w:val="single" w:sz="4" w:space="0" w:color="auto"/>
            </w:tcBorders>
            <w:vAlign w:val="center"/>
            <w:hideMark/>
          </w:tcPr>
          <w:p w14:paraId="69B65E01" w14:textId="77777777" w:rsidR="00C12DCE" w:rsidRPr="00B0452D" w:rsidRDefault="00C12DCE" w:rsidP="006370C4">
            <w:pPr>
              <w:spacing w:after="0" w:line="240" w:lineRule="auto"/>
              <w:jc w:val="left"/>
              <w:rPr>
                <w:rFonts w:ascii="Calibri" w:eastAsia="Times New Roman" w:hAnsi="Calibri" w:cs="Calibri"/>
              </w:rPr>
            </w:pPr>
            <w:r>
              <w:rPr>
                <w:rFonts w:ascii="Calibri" w:eastAsia="Times New Roman" w:hAnsi="Calibri" w:cs="Calibri"/>
                <w:noProof/>
                <w:sz w:val="22"/>
                <w:szCs w:val="22"/>
              </w:rPr>
              <w:drawing>
                <wp:inline distT="0" distB="0" distL="0" distR="0" wp14:anchorId="2F8EC8DA" wp14:editId="13BC1DC1">
                  <wp:extent cx="5486400" cy="3200400"/>
                  <wp:effectExtent l="0" t="0" r="19050" b="19050"/>
                  <wp:docPr id="19" name="Chart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tc>
        <w:tc>
          <w:tcPr>
            <w:tcW w:w="3060" w:type="dxa"/>
            <w:vMerge/>
            <w:tcBorders>
              <w:top w:val="nil"/>
              <w:bottom w:val="single" w:sz="4" w:space="0" w:color="auto"/>
            </w:tcBorders>
            <w:vAlign w:val="center"/>
            <w:hideMark/>
          </w:tcPr>
          <w:p w14:paraId="14413664" w14:textId="77777777" w:rsidR="00C12DCE" w:rsidRPr="00B0452D" w:rsidRDefault="00C12DCE" w:rsidP="006370C4">
            <w:pPr>
              <w:spacing w:after="0" w:line="240" w:lineRule="auto"/>
              <w:jc w:val="left"/>
              <w:rPr>
                <w:rFonts w:ascii="Calibri" w:eastAsia="Times New Roman" w:hAnsi="Calibri" w:cs="Calibri"/>
              </w:rPr>
            </w:pPr>
          </w:p>
        </w:tc>
        <w:tc>
          <w:tcPr>
            <w:tcW w:w="720" w:type="dxa"/>
            <w:tcBorders>
              <w:top w:val="nil"/>
              <w:bottom w:val="single" w:sz="4" w:space="0" w:color="auto"/>
            </w:tcBorders>
            <w:tcMar>
              <w:top w:w="30" w:type="dxa"/>
              <w:left w:w="45" w:type="dxa"/>
              <w:bottom w:w="30" w:type="dxa"/>
              <w:right w:w="45" w:type="dxa"/>
            </w:tcMar>
            <w:vAlign w:val="bottom"/>
            <w:hideMark/>
          </w:tcPr>
          <w:p w14:paraId="24D04EA1" w14:textId="77777777" w:rsidR="00C12DCE" w:rsidRPr="00B0452D" w:rsidRDefault="00C12DCE" w:rsidP="006370C4">
            <w:pPr>
              <w:spacing w:after="0" w:line="240" w:lineRule="auto"/>
              <w:jc w:val="center"/>
              <w:rPr>
                <w:rFonts w:ascii="Calibri" w:eastAsia="Times New Roman" w:hAnsi="Calibri" w:cs="Calibri"/>
                <w:b/>
                <w:bCs/>
              </w:rPr>
            </w:pPr>
            <w:r>
              <w:rPr>
                <w:rFonts w:ascii="Calibri" w:eastAsia="Times New Roman" w:hAnsi="Calibri" w:cs="Calibri"/>
                <w:b/>
                <w:bCs/>
                <w:sz w:val="22"/>
                <w:szCs w:val="22"/>
              </w:rPr>
              <w:t>2019</w:t>
            </w:r>
          </w:p>
        </w:tc>
        <w:tc>
          <w:tcPr>
            <w:tcW w:w="720" w:type="dxa"/>
            <w:tcBorders>
              <w:top w:val="nil"/>
              <w:bottom w:val="single" w:sz="4" w:space="0" w:color="auto"/>
            </w:tcBorders>
            <w:tcMar>
              <w:top w:w="30" w:type="dxa"/>
              <w:left w:w="45" w:type="dxa"/>
              <w:bottom w:w="30" w:type="dxa"/>
              <w:right w:w="45" w:type="dxa"/>
            </w:tcMar>
            <w:vAlign w:val="bottom"/>
            <w:hideMark/>
          </w:tcPr>
          <w:p w14:paraId="66654815" w14:textId="77777777" w:rsidR="00C12DCE" w:rsidRPr="00B0452D" w:rsidRDefault="00C12DCE" w:rsidP="006370C4">
            <w:pPr>
              <w:spacing w:after="0" w:line="240" w:lineRule="auto"/>
              <w:jc w:val="center"/>
              <w:rPr>
                <w:rFonts w:ascii="Calibri" w:eastAsia="Times New Roman" w:hAnsi="Calibri" w:cs="Calibri"/>
                <w:b/>
                <w:bCs/>
              </w:rPr>
            </w:pPr>
            <w:r w:rsidRPr="00B0452D">
              <w:rPr>
                <w:rFonts w:ascii="Calibri" w:eastAsia="Times New Roman" w:hAnsi="Calibri" w:cs="Calibri"/>
                <w:b/>
                <w:bCs/>
                <w:sz w:val="22"/>
                <w:szCs w:val="22"/>
              </w:rPr>
              <w:t>2020</w:t>
            </w:r>
          </w:p>
        </w:tc>
        <w:tc>
          <w:tcPr>
            <w:tcW w:w="720" w:type="dxa"/>
            <w:tcBorders>
              <w:top w:val="nil"/>
              <w:bottom w:val="single" w:sz="4" w:space="0" w:color="auto"/>
            </w:tcBorders>
            <w:tcMar>
              <w:top w:w="30" w:type="dxa"/>
              <w:left w:w="45" w:type="dxa"/>
              <w:bottom w:w="30" w:type="dxa"/>
              <w:right w:w="45" w:type="dxa"/>
            </w:tcMar>
            <w:vAlign w:val="bottom"/>
            <w:hideMark/>
          </w:tcPr>
          <w:p w14:paraId="568B466A" w14:textId="77777777" w:rsidR="00C12DCE" w:rsidRPr="00B0452D" w:rsidRDefault="00C12DCE" w:rsidP="006370C4">
            <w:pPr>
              <w:spacing w:after="0" w:line="240" w:lineRule="auto"/>
              <w:jc w:val="center"/>
              <w:rPr>
                <w:rFonts w:ascii="Calibri" w:eastAsia="Times New Roman" w:hAnsi="Calibri" w:cs="Calibri"/>
                <w:b/>
                <w:bCs/>
              </w:rPr>
            </w:pPr>
            <w:r w:rsidRPr="00B0452D">
              <w:rPr>
                <w:rFonts w:ascii="Calibri" w:eastAsia="Times New Roman" w:hAnsi="Calibri" w:cs="Calibri"/>
                <w:b/>
                <w:bCs/>
                <w:sz w:val="22"/>
                <w:szCs w:val="22"/>
              </w:rPr>
              <w:t>2021</w:t>
            </w:r>
          </w:p>
        </w:tc>
        <w:tc>
          <w:tcPr>
            <w:tcW w:w="630" w:type="dxa"/>
            <w:tcBorders>
              <w:top w:val="nil"/>
              <w:bottom w:val="single" w:sz="4" w:space="0" w:color="auto"/>
            </w:tcBorders>
            <w:tcMar>
              <w:top w:w="30" w:type="dxa"/>
              <w:left w:w="45" w:type="dxa"/>
              <w:bottom w:w="30" w:type="dxa"/>
              <w:right w:w="45" w:type="dxa"/>
            </w:tcMar>
            <w:vAlign w:val="bottom"/>
            <w:hideMark/>
          </w:tcPr>
          <w:p w14:paraId="381922DB" w14:textId="77777777" w:rsidR="00C12DCE" w:rsidRPr="00B0452D" w:rsidRDefault="00C12DCE" w:rsidP="006370C4">
            <w:pPr>
              <w:spacing w:after="0" w:line="240" w:lineRule="auto"/>
              <w:jc w:val="center"/>
              <w:rPr>
                <w:rFonts w:ascii="Calibri" w:eastAsia="Times New Roman" w:hAnsi="Calibri" w:cs="Calibri"/>
                <w:b/>
                <w:bCs/>
              </w:rPr>
            </w:pPr>
            <w:r w:rsidRPr="00B0452D">
              <w:rPr>
                <w:rFonts w:ascii="Calibri" w:eastAsia="Times New Roman" w:hAnsi="Calibri" w:cs="Calibri"/>
                <w:b/>
                <w:bCs/>
                <w:sz w:val="22"/>
                <w:szCs w:val="22"/>
              </w:rPr>
              <w:t>2022</w:t>
            </w:r>
          </w:p>
        </w:tc>
        <w:tc>
          <w:tcPr>
            <w:tcW w:w="810" w:type="dxa"/>
            <w:tcBorders>
              <w:top w:val="nil"/>
              <w:bottom w:val="single" w:sz="4" w:space="0" w:color="auto"/>
            </w:tcBorders>
            <w:tcMar>
              <w:top w:w="30" w:type="dxa"/>
              <w:left w:w="45" w:type="dxa"/>
              <w:bottom w:w="30" w:type="dxa"/>
              <w:right w:w="45" w:type="dxa"/>
            </w:tcMar>
            <w:vAlign w:val="bottom"/>
            <w:hideMark/>
          </w:tcPr>
          <w:p w14:paraId="375AF6F0" w14:textId="77777777" w:rsidR="00C12DCE" w:rsidRPr="00B0452D" w:rsidRDefault="00C12DCE" w:rsidP="006370C4">
            <w:pPr>
              <w:spacing w:after="0" w:line="240" w:lineRule="auto"/>
              <w:jc w:val="center"/>
              <w:rPr>
                <w:rFonts w:ascii="Calibri" w:eastAsia="Times New Roman" w:hAnsi="Calibri" w:cs="Calibri"/>
                <w:b/>
                <w:bCs/>
              </w:rPr>
            </w:pPr>
            <w:r w:rsidRPr="00B0452D">
              <w:rPr>
                <w:rFonts w:ascii="Calibri" w:eastAsia="Times New Roman" w:hAnsi="Calibri" w:cs="Calibri"/>
                <w:b/>
                <w:bCs/>
                <w:sz w:val="22"/>
                <w:szCs w:val="22"/>
              </w:rPr>
              <w:t>2023</w:t>
            </w:r>
          </w:p>
        </w:tc>
      </w:tr>
      <w:tr w:rsidR="00C12DCE" w:rsidRPr="00B0452D" w14:paraId="72943EDB" w14:textId="77777777" w:rsidTr="006370C4">
        <w:trPr>
          <w:trHeight w:val="315"/>
        </w:trPr>
        <w:tc>
          <w:tcPr>
            <w:tcW w:w="2745" w:type="dxa"/>
            <w:vMerge w:val="restart"/>
            <w:tcBorders>
              <w:top w:val="single" w:sz="4" w:space="0" w:color="auto"/>
            </w:tcBorders>
            <w:tcMar>
              <w:top w:w="30" w:type="dxa"/>
              <w:left w:w="45" w:type="dxa"/>
              <w:bottom w:w="30" w:type="dxa"/>
              <w:right w:w="45" w:type="dxa"/>
            </w:tcMar>
            <w:vAlign w:val="bottom"/>
            <w:hideMark/>
          </w:tcPr>
          <w:p w14:paraId="614C430F" w14:textId="73E6A3ED" w:rsidR="00C12DCE" w:rsidRDefault="00C12DCE" w:rsidP="006370C4">
            <w:pPr>
              <w:spacing w:after="0" w:line="240" w:lineRule="auto"/>
              <w:jc w:val="center"/>
              <w:rPr>
                <w:rFonts w:ascii="Calibri" w:eastAsia="Times New Roman" w:hAnsi="Calibri" w:cs="Calibri"/>
                <w:b/>
                <w:bCs/>
              </w:rPr>
            </w:pPr>
            <w:r>
              <w:rPr>
                <w:rFonts w:ascii="Calibri" w:eastAsia="Times New Roman" w:hAnsi="Calibri" w:cs="Calibri"/>
                <w:b/>
                <w:bCs/>
                <w:sz w:val="22"/>
                <w:szCs w:val="22"/>
              </w:rPr>
              <w:t>Gearing</w:t>
            </w:r>
            <w:r w:rsidRPr="00B0452D">
              <w:rPr>
                <w:rFonts w:ascii="Calibri" w:eastAsia="Times New Roman" w:hAnsi="Calibri" w:cs="Calibri"/>
                <w:b/>
                <w:bCs/>
                <w:sz w:val="22"/>
                <w:szCs w:val="22"/>
              </w:rPr>
              <w:t xml:space="preserve"> Ratio</w:t>
            </w:r>
          </w:p>
          <w:p w14:paraId="45B58F75" w14:textId="77777777" w:rsidR="00C12DCE" w:rsidRDefault="00C12DCE" w:rsidP="006370C4">
            <w:pPr>
              <w:spacing w:after="0" w:line="240" w:lineRule="auto"/>
              <w:jc w:val="center"/>
              <w:rPr>
                <w:rFonts w:ascii="Calibri" w:eastAsia="Times New Roman" w:hAnsi="Calibri" w:cs="Calibri"/>
                <w:b/>
                <w:bCs/>
              </w:rPr>
            </w:pPr>
          </w:p>
          <w:p w14:paraId="614D62C1" w14:textId="77777777" w:rsidR="00C12DCE" w:rsidRPr="00B0452D" w:rsidRDefault="00C12DCE" w:rsidP="006370C4">
            <w:pPr>
              <w:spacing w:after="0" w:line="240" w:lineRule="auto"/>
              <w:jc w:val="center"/>
              <w:rPr>
                <w:rFonts w:ascii="Calibri" w:eastAsia="Times New Roman" w:hAnsi="Calibri" w:cs="Calibri"/>
                <w:b/>
                <w:bCs/>
              </w:rPr>
            </w:pPr>
          </w:p>
        </w:tc>
        <w:tc>
          <w:tcPr>
            <w:tcW w:w="3060" w:type="dxa"/>
            <w:tcBorders>
              <w:top w:val="single" w:sz="4" w:space="0" w:color="auto"/>
            </w:tcBorders>
            <w:tcMar>
              <w:top w:w="30" w:type="dxa"/>
              <w:left w:w="45" w:type="dxa"/>
              <w:bottom w:w="30" w:type="dxa"/>
              <w:right w:w="45" w:type="dxa"/>
            </w:tcMar>
            <w:hideMark/>
          </w:tcPr>
          <w:p w14:paraId="70D26B7D" w14:textId="5F7BB508" w:rsidR="00C12DCE" w:rsidRPr="00C12DCE" w:rsidRDefault="00C12DCE" w:rsidP="006370C4">
            <w:pPr>
              <w:spacing w:after="0" w:line="240" w:lineRule="auto"/>
              <w:jc w:val="center"/>
              <w:rPr>
                <w:rFonts w:ascii="Calibri" w:eastAsia="Times New Roman" w:hAnsi="Calibri" w:cs="Calibri"/>
                <w:b/>
                <w:bCs/>
              </w:rPr>
            </w:pPr>
            <w:r w:rsidRPr="00C12DCE">
              <w:rPr>
                <w:rFonts w:ascii="Calibri" w:hAnsi="Calibri" w:cs="Calibri"/>
                <w:b/>
                <w:sz w:val="22"/>
              </w:rPr>
              <w:t>Debt-to-Equity Ratio</w:t>
            </w:r>
          </w:p>
        </w:tc>
        <w:tc>
          <w:tcPr>
            <w:tcW w:w="720" w:type="dxa"/>
            <w:tcBorders>
              <w:top w:val="single" w:sz="4" w:space="0" w:color="auto"/>
            </w:tcBorders>
            <w:tcMar>
              <w:top w:w="30" w:type="dxa"/>
              <w:left w:w="45" w:type="dxa"/>
              <w:bottom w:w="30" w:type="dxa"/>
              <w:right w:w="45" w:type="dxa"/>
            </w:tcMar>
            <w:hideMark/>
          </w:tcPr>
          <w:p w14:paraId="53729165" w14:textId="633837B2" w:rsidR="00C12DCE" w:rsidRPr="00C12DCE" w:rsidRDefault="00C12DCE" w:rsidP="006370C4">
            <w:pPr>
              <w:spacing w:after="0" w:line="240" w:lineRule="auto"/>
              <w:jc w:val="center"/>
              <w:rPr>
                <w:rFonts w:ascii="Calibri" w:eastAsia="Times New Roman" w:hAnsi="Calibri" w:cs="Calibri"/>
              </w:rPr>
            </w:pPr>
            <w:r w:rsidRPr="00C12DCE">
              <w:rPr>
                <w:sz w:val="22"/>
              </w:rPr>
              <w:t>0.95</w:t>
            </w:r>
          </w:p>
        </w:tc>
        <w:tc>
          <w:tcPr>
            <w:tcW w:w="720" w:type="dxa"/>
            <w:tcBorders>
              <w:top w:val="single" w:sz="4" w:space="0" w:color="auto"/>
            </w:tcBorders>
            <w:tcMar>
              <w:top w:w="30" w:type="dxa"/>
              <w:left w:w="45" w:type="dxa"/>
              <w:bottom w:w="30" w:type="dxa"/>
              <w:right w:w="45" w:type="dxa"/>
            </w:tcMar>
            <w:hideMark/>
          </w:tcPr>
          <w:p w14:paraId="6D40BA9D" w14:textId="48FB2E11" w:rsidR="00C12DCE" w:rsidRPr="00C12DCE" w:rsidRDefault="00C12DCE" w:rsidP="006370C4">
            <w:pPr>
              <w:spacing w:after="0" w:line="240" w:lineRule="auto"/>
              <w:jc w:val="center"/>
              <w:rPr>
                <w:rFonts w:ascii="Calibri" w:eastAsia="Times New Roman" w:hAnsi="Calibri" w:cs="Calibri"/>
              </w:rPr>
            </w:pPr>
            <w:r w:rsidRPr="00C12DCE">
              <w:rPr>
                <w:sz w:val="22"/>
              </w:rPr>
              <w:t>0.87</w:t>
            </w:r>
          </w:p>
        </w:tc>
        <w:tc>
          <w:tcPr>
            <w:tcW w:w="720" w:type="dxa"/>
            <w:tcBorders>
              <w:top w:val="single" w:sz="4" w:space="0" w:color="auto"/>
            </w:tcBorders>
            <w:tcMar>
              <w:top w:w="30" w:type="dxa"/>
              <w:left w:w="45" w:type="dxa"/>
              <w:bottom w:w="30" w:type="dxa"/>
              <w:right w:w="45" w:type="dxa"/>
            </w:tcMar>
            <w:hideMark/>
          </w:tcPr>
          <w:p w14:paraId="6743FA97" w14:textId="49DC8CC7" w:rsidR="00C12DCE" w:rsidRPr="00C12DCE" w:rsidRDefault="00C12DCE" w:rsidP="006370C4">
            <w:pPr>
              <w:spacing w:after="0" w:line="240" w:lineRule="auto"/>
              <w:jc w:val="center"/>
              <w:rPr>
                <w:rFonts w:ascii="Calibri" w:eastAsia="Times New Roman" w:hAnsi="Calibri" w:cs="Calibri"/>
              </w:rPr>
            </w:pPr>
            <w:r w:rsidRPr="00C12DCE">
              <w:rPr>
                <w:sz w:val="22"/>
              </w:rPr>
              <w:t>0.82</w:t>
            </w:r>
          </w:p>
        </w:tc>
        <w:tc>
          <w:tcPr>
            <w:tcW w:w="630" w:type="dxa"/>
            <w:tcBorders>
              <w:top w:val="single" w:sz="4" w:space="0" w:color="auto"/>
            </w:tcBorders>
            <w:tcMar>
              <w:top w:w="30" w:type="dxa"/>
              <w:left w:w="45" w:type="dxa"/>
              <w:bottom w:w="30" w:type="dxa"/>
              <w:right w:w="45" w:type="dxa"/>
            </w:tcMar>
            <w:hideMark/>
          </w:tcPr>
          <w:p w14:paraId="35F15FBA" w14:textId="16E4F7E7" w:rsidR="00C12DCE" w:rsidRPr="00C12DCE" w:rsidRDefault="00C12DCE" w:rsidP="006370C4">
            <w:pPr>
              <w:spacing w:after="0" w:line="240" w:lineRule="auto"/>
              <w:jc w:val="center"/>
              <w:rPr>
                <w:rFonts w:ascii="Calibri" w:eastAsia="Times New Roman" w:hAnsi="Calibri" w:cs="Calibri"/>
              </w:rPr>
            </w:pPr>
            <w:r w:rsidRPr="00C12DCE">
              <w:rPr>
                <w:sz w:val="22"/>
              </w:rPr>
              <w:t>0.82</w:t>
            </w:r>
          </w:p>
        </w:tc>
        <w:tc>
          <w:tcPr>
            <w:tcW w:w="810" w:type="dxa"/>
            <w:tcBorders>
              <w:top w:val="single" w:sz="4" w:space="0" w:color="auto"/>
            </w:tcBorders>
            <w:tcMar>
              <w:top w:w="30" w:type="dxa"/>
              <w:left w:w="45" w:type="dxa"/>
              <w:bottom w:w="30" w:type="dxa"/>
              <w:right w:w="45" w:type="dxa"/>
            </w:tcMar>
            <w:hideMark/>
          </w:tcPr>
          <w:p w14:paraId="07F2397E" w14:textId="501CBD39" w:rsidR="00C12DCE" w:rsidRPr="00C12DCE" w:rsidRDefault="00C12DCE" w:rsidP="006370C4">
            <w:pPr>
              <w:spacing w:after="0" w:line="240" w:lineRule="auto"/>
              <w:jc w:val="center"/>
              <w:rPr>
                <w:rFonts w:ascii="Calibri" w:eastAsia="Times New Roman" w:hAnsi="Calibri" w:cs="Calibri"/>
              </w:rPr>
            </w:pPr>
            <w:r w:rsidRPr="00C12DCE">
              <w:rPr>
                <w:sz w:val="22"/>
              </w:rPr>
              <w:t>0.79</w:t>
            </w:r>
          </w:p>
        </w:tc>
      </w:tr>
      <w:tr w:rsidR="00C12DCE" w:rsidRPr="00B0452D" w14:paraId="350B0568" w14:textId="77777777" w:rsidTr="006370C4">
        <w:trPr>
          <w:trHeight w:val="315"/>
        </w:trPr>
        <w:tc>
          <w:tcPr>
            <w:tcW w:w="2745" w:type="dxa"/>
            <w:vMerge/>
            <w:vAlign w:val="center"/>
            <w:hideMark/>
          </w:tcPr>
          <w:p w14:paraId="3C3C5E94" w14:textId="77777777" w:rsidR="00C12DCE" w:rsidRPr="00B0452D" w:rsidRDefault="00C12DCE" w:rsidP="006370C4">
            <w:pPr>
              <w:spacing w:after="0" w:line="240" w:lineRule="auto"/>
              <w:jc w:val="left"/>
              <w:rPr>
                <w:rFonts w:ascii="Calibri" w:eastAsia="Times New Roman" w:hAnsi="Calibri" w:cs="Calibri"/>
                <w:b/>
                <w:bCs/>
              </w:rPr>
            </w:pPr>
          </w:p>
        </w:tc>
        <w:tc>
          <w:tcPr>
            <w:tcW w:w="3060" w:type="dxa"/>
            <w:tcMar>
              <w:top w:w="30" w:type="dxa"/>
              <w:left w:w="45" w:type="dxa"/>
              <w:bottom w:w="30" w:type="dxa"/>
              <w:right w:w="45" w:type="dxa"/>
            </w:tcMar>
            <w:hideMark/>
          </w:tcPr>
          <w:p w14:paraId="730539BE" w14:textId="5D46A4A0" w:rsidR="00C12DCE" w:rsidRPr="00C12DCE" w:rsidRDefault="00C12DCE" w:rsidP="006370C4">
            <w:pPr>
              <w:spacing w:after="0" w:line="240" w:lineRule="auto"/>
              <w:jc w:val="center"/>
              <w:rPr>
                <w:rFonts w:ascii="Calibri" w:eastAsia="Times New Roman" w:hAnsi="Calibri" w:cs="Calibri"/>
                <w:b/>
                <w:bCs/>
              </w:rPr>
            </w:pPr>
            <w:r w:rsidRPr="00C12DCE">
              <w:rPr>
                <w:rFonts w:ascii="Calibri" w:hAnsi="Calibri" w:cs="Calibri"/>
                <w:b/>
                <w:sz w:val="22"/>
              </w:rPr>
              <w:t>Debt Ratio</w:t>
            </w:r>
          </w:p>
        </w:tc>
        <w:tc>
          <w:tcPr>
            <w:tcW w:w="720" w:type="dxa"/>
            <w:tcMar>
              <w:top w:w="30" w:type="dxa"/>
              <w:left w:w="45" w:type="dxa"/>
              <w:bottom w:w="30" w:type="dxa"/>
              <w:right w:w="45" w:type="dxa"/>
            </w:tcMar>
            <w:hideMark/>
          </w:tcPr>
          <w:p w14:paraId="2A851008" w14:textId="405CBF95" w:rsidR="00C12DCE" w:rsidRPr="00C12DCE" w:rsidRDefault="00C12DCE" w:rsidP="006370C4">
            <w:pPr>
              <w:spacing w:after="0" w:line="240" w:lineRule="auto"/>
              <w:jc w:val="center"/>
              <w:rPr>
                <w:rFonts w:ascii="Calibri" w:eastAsia="Times New Roman" w:hAnsi="Calibri" w:cs="Calibri"/>
              </w:rPr>
            </w:pPr>
            <w:r w:rsidRPr="00C12DCE">
              <w:rPr>
                <w:sz w:val="22"/>
              </w:rPr>
              <w:t>0.487</w:t>
            </w:r>
          </w:p>
        </w:tc>
        <w:tc>
          <w:tcPr>
            <w:tcW w:w="720" w:type="dxa"/>
            <w:tcMar>
              <w:top w:w="30" w:type="dxa"/>
              <w:left w:w="45" w:type="dxa"/>
              <w:bottom w:w="30" w:type="dxa"/>
              <w:right w:w="45" w:type="dxa"/>
            </w:tcMar>
            <w:hideMark/>
          </w:tcPr>
          <w:p w14:paraId="4DC4CCDC" w14:textId="32C148AA" w:rsidR="00C12DCE" w:rsidRPr="00C12DCE" w:rsidRDefault="00C12DCE" w:rsidP="006370C4">
            <w:pPr>
              <w:spacing w:after="0" w:line="240" w:lineRule="auto"/>
              <w:jc w:val="center"/>
              <w:rPr>
                <w:rFonts w:ascii="Calibri" w:eastAsia="Times New Roman" w:hAnsi="Calibri" w:cs="Calibri"/>
              </w:rPr>
            </w:pPr>
            <w:r w:rsidRPr="00C12DCE">
              <w:rPr>
                <w:sz w:val="22"/>
              </w:rPr>
              <w:t>0.464</w:t>
            </w:r>
          </w:p>
        </w:tc>
        <w:tc>
          <w:tcPr>
            <w:tcW w:w="720" w:type="dxa"/>
            <w:tcMar>
              <w:top w:w="30" w:type="dxa"/>
              <w:left w:w="45" w:type="dxa"/>
              <w:bottom w:w="30" w:type="dxa"/>
              <w:right w:w="45" w:type="dxa"/>
            </w:tcMar>
            <w:hideMark/>
          </w:tcPr>
          <w:p w14:paraId="11F3F87B" w14:textId="68E7554F" w:rsidR="00C12DCE" w:rsidRPr="00C12DCE" w:rsidRDefault="00C12DCE" w:rsidP="006370C4">
            <w:pPr>
              <w:spacing w:after="0" w:line="240" w:lineRule="auto"/>
              <w:jc w:val="center"/>
              <w:rPr>
                <w:rFonts w:ascii="Calibri" w:eastAsia="Times New Roman" w:hAnsi="Calibri" w:cs="Calibri"/>
              </w:rPr>
            </w:pPr>
            <w:r w:rsidRPr="00C12DCE">
              <w:rPr>
                <w:sz w:val="22"/>
              </w:rPr>
              <w:t>0.451</w:t>
            </w:r>
          </w:p>
        </w:tc>
        <w:tc>
          <w:tcPr>
            <w:tcW w:w="630" w:type="dxa"/>
            <w:tcMar>
              <w:top w:w="30" w:type="dxa"/>
              <w:left w:w="45" w:type="dxa"/>
              <w:bottom w:w="30" w:type="dxa"/>
              <w:right w:w="45" w:type="dxa"/>
            </w:tcMar>
            <w:hideMark/>
          </w:tcPr>
          <w:p w14:paraId="57903104" w14:textId="3214905B" w:rsidR="00C12DCE" w:rsidRPr="00C12DCE" w:rsidRDefault="00C12DCE" w:rsidP="006370C4">
            <w:pPr>
              <w:spacing w:after="0" w:line="240" w:lineRule="auto"/>
              <w:jc w:val="center"/>
              <w:rPr>
                <w:rFonts w:ascii="Calibri" w:eastAsia="Times New Roman" w:hAnsi="Calibri" w:cs="Calibri"/>
              </w:rPr>
            </w:pPr>
            <w:r w:rsidRPr="00C12DCE">
              <w:rPr>
                <w:sz w:val="22"/>
              </w:rPr>
              <w:t>0.449</w:t>
            </w:r>
          </w:p>
        </w:tc>
        <w:tc>
          <w:tcPr>
            <w:tcW w:w="810" w:type="dxa"/>
            <w:tcMar>
              <w:top w:w="30" w:type="dxa"/>
              <w:left w:w="45" w:type="dxa"/>
              <w:bottom w:w="30" w:type="dxa"/>
              <w:right w:w="45" w:type="dxa"/>
            </w:tcMar>
            <w:hideMark/>
          </w:tcPr>
          <w:p w14:paraId="51B55858" w14:textId="4EF6CFE7" w:rsidR="00C12DCE" w:rsidRPr="00C12DCE" w:rsidRDefault="00C12DCE" w:rsidP="006370C4">
            <w:pPr>
              <w:spacing w:after="0" w:line="240" w:lineRule="auto"/>
              <w:jc w:val="center"/>
              <w:rPr>
                <w:rFonts w:ascii="Calibri" w:eastAsia="Times New Roman" w:hAnsi="Calibri" w:cs="Calibri"/>
              </w:rPr>
            </w:pPr>
            <w:r w:rsidRPr="00C12DCE">
              <w:rPr>
                <w:sz w:val="22"/>
              </w:rPr>
              <w:t>0.445</w:t>
            </w:r>
          </w:p>
        </w:tc>
      </w:tr>
      <w:tr w:rsidR="00C12DCE" w:rsidRPr="00B0452D" w14:paraId="49C1EC30" w14:textId="77777777" w:rsidTr="006370C4">
        <w:trPr>
          <w:trHeight w:val="315"/>
        </w:trPr>
        <w:tc>
          <w:tcPr>
            <w:tcW w:w="2745" w:type="dxa"/>
            <w:vMerge/>
            <w:vAlign w:val="center"/>
            <w:hideMark/>
          </w:tcPr>
          <w:p w14:paraId="02DB2DAB" w14:textId="77777777" w:rsidR="00C12DCE" w:rsidRPr="00B0452D" w:rsidRDefault="00C12DCE" w:rsidP="006370C4">
            <w:pPr>
              <w:spacing w:after="0" w:line="240" w:lineRule="auto"/>
              <w:jc w:val="left"/>
              <w:rPr>
                <w:rFonts w:ascii="Calibri" w:eastAsia="Times New Roman" w:hAnsi="Calibri" w:cs="Calibri"/>
                <w:b/>
                <w:bCs/>
              </w:rPr>
            </w:pPr>
          </w:p>
        </w:tc>
        <w:tc>
          <w:tcPr>
            <w:tcW w:w="3060" w:type="dxa"/>
            <w:tcMar>
              <w:top w:w="30" w:type="dxa"/>
              <w:left w:w="45" w:type="dxa"/>
              <w:bottom w:w="30" w:type="dxa"/>
              <w:right w:w="45" w:type="dxa"/>
            </w:tcMar>
            <w:hideMark/>
          </w:tcPr>
          <w:p w14:paraId="2D73A628" w14:textId="312CA0D9" w:rsidR="00C12DCE" w:rsidRPr="00C12DCE" w:rsidRDefault="00C12DCE" w:rsidP="006370C4">
            <w:pPr>
              <w:spacing w:after="0" w:line="240" w:lineRule="auto"/>
              <w:jc w:val="center"/>
              <w:rPr>
                <w:rFonts w:ascii="Calibri" w:eastAsia="Times New Roman" w:hAnsi="Calibri" w:cs="Calibri"/>
                <w:b/>
                <w:bCs/>
              </w:rPr>
            </w:pPr>
            <w:r w:rsidRPr="00C12DCE">
              <w:rPr>
                <w:rFonts w:ascii="Calibri" w:hAnsi="Calibri" w:cs="Calibri"/>
                <w:b/>
                <w:sz w:val="22"/>
              </w:rPr>
              <w:t>Interest Coverage Ratio</w:t>
            </w:r>
          </w:p>
        </w:tc>
        <w:tc>
          <w:tcPr>
            <w:tcW w:w="720" w:type="dxa"/>
            <w:tcMar>
              <w:top w:w="30" w:type="dxa"/>
              <w:left w:w="45" w:type="dxa"/>
              <w:bottom w:w="30" w:type="dxa"/>
              <w:right w:w="45" w:type="dxa"/>
            </w:tcMar>
            <w:hideMark/>
          </w:tcPr>
          <w:p w14:paraId="48BA0661" w14:textId="3131892E" w:rsidR="00C12DCE" w:rsidRPr="00C12DCE" w:rsidRDefault="00C12DCE" w:rsidP="006370C4">
            <w:pPr>
              <w:spacing w:after="0" w:line="240" w:lineRule="auto"/>
              <w:jc w:val="center"/>
              <w:rPr>
                <w:rFonts w:ascii="Calibri" w:eastAsia="Times New Roman" w:hAnsi="Calibri" w:cs="Calibri"/>
              </w:rPr>
            </w:pPr>
            <w:r w:rsidRPr="00C12DCE">
              <w:rPr>
                <w:sz w:val="22"/>
              </w:rPr>
              <w:t>1.482</w:t>
            </w:r>
          </w:p>
        </w:tc>
        <w:tc>
          <w:tcPr>
            <w:tcW w:w="720" w:type="dxa"/>
            <w:tcMar>
              <w:top w:w="30" w:type="dxa"/>
              <w:left w:w="45" w:type="dxa"/>
              <w:bottom w:w="30" w:type="dxa"/>
              <w:right w:w="45" w:type="dxa"/>
            </w:tcMar>
            <w:hideMark/>
          </w:tcPr>
          <w:p w14:paraId="23938A69" w14:textId="481E4ECF" w:rsidR="00C12DCE" w:rsidRPr="00C12DCE" w:rsidRDefault="00C12DCE" w:rsidP="006370C4">
            <w:pPr>
              <w:spacing w:after="0" w:line="240" w:lineRule="auto"/>
              <w:jc w:val="center"/>
              <w:rPr>
                <w:rFonts w:ascii="Calibri" w:eastAsia="Times New Roman" w:hAnsi="Calibri" w:cs="Calibri"/>
              </w:rPr>
            </w:pPr>
            <w:r w:rsidRPr="00C12DCE">
              <w:rPr>
                <w:sz w:val="22"/>
              </w:rPr>
              <w:t>5.089</w:t>
            </w:r>
          </w:p>
        </w:tc>
        <w:tc>
          <w:tcPr>
            <w:tcW w:w="720" w:type="dxa"/>
            <w:tcMar>
              <w:top w:w="30" w:type="dxa"/>
              <w:left w:w="45" w:type="dxa"/>
              <w:bottom w:w="30" w:type="dxa"/>
              <w:right w:w="45" w:type="dxa"/>
            </w:tcMar>
            <w:hideMark/>
          </w:tcPr>
          <w:p w14:paraId="6E31A972" w14:textId="2EE10DA6" w:rsidR="00C12DCE" w:rsidRPr="00C12DCE" w:rsidRDefault="00C12DCE" w:rsidP="006370C4">
            <w:pPr>
              <w:spacing w:after="0" w:line="240" w:lineRule="auto"/>
              <w:jc w:val="center"/>
              <w:rPr>
                <w:rFonts w:ascii="Calibri" w:eastAsia="Times New Roman" w:hAnsi="Calibri" w:cs="Calibri"/>
              </w:rPr>
            </w:pPr>
            <w:r w:rsidRPr="00C12DCE">
              <w:rPr>
                <w:sz w:val="22"/>
              </w:rPr>
              <w:t>7.730</w:t>
            </w:r>
          </w:p>
        </w:tc>
        <w:tc>
          <w:tcPr>
            <w:tcW w:w="630" w:type="dxa"/>
            <w:tcMar>
              <w:top w:w="30" w:type="dxa"/>
              <w:left w:w="45" w:type="dxa"/>
              <w:bottom w:w="30" w:type="dxa"/>
              <w:right w:w="45" w:type="dxa"/>
            </w:tcMar>
            <w:hideMark/>
          </w:tcPr>
          <w:p w14:paraId="023E6950" w14:textId="3A615C19" w:rsidR="00C12DCE" w:rsidRPr="00C12DCE" w:rsidRDefault="00C12DCE" w:rsidP="006370C4">
            <w:pPr>
              <w:spacing w:after="0" w:line="240" w:lineRule="auto"/>
              <w:jc w:val="center"/>
              <w:rPr>
                <w:rFonts w:ascii="Calibri" w:eastAsia="Times New Roman" w:hAnsi="Calibri" w:cs="Calibri"/>
              </w:rPr>
            </w:pPr>
            <w:r w:rsidRPr="00C12DCE">
              <w:rPr>
                <w:sz w:val="22"/>
              </w:rPr>
              <w:t>5.605</w:t>
            </w:r>
          </w:p>
        </w:tc>
        <w:tc>
          <w:tcPr>
            <w:tcW w:w="810" w:type="dxa"/>
            <w:tcMar>
              <w:top w:w="30" w:type="dxa"/>
              <w:left w:w="45" w:type="dxa"/>
              <w:bottom w:w="30" w:type="dxa"/>
              <w:right w:w="45" w:type="dxa"/>
            </w:tcMar>
            <w:hideMark/>
          </w:tcPr>
          <w:p w14:paraId="2F5ACEF2" w14:textId="3E47CFE5" w:rsidR="00C12DCE" w:rsidRPr="00C12DCE" w:rsidRDefault="00C12DCE" w:rsidP="006370C4">
            <w:pPr>
              <w:spacing w:after="0" w:line="240" w:lineRule="auto"/>
              <w:jc w:val="center"/>
              <w:rPr>
                <w:rFonts w:ascii="Calibri" w:eastAsia="Times New Roman" w:hAnsi="Calibri" w:cs="Calibri"/>
              </w:rPr>
            </w:pPr>
            <w:r w:rsidRPr="00C12DCE">
              <w:rPr>
                <w:sz w:val="22"/>
              </w:rPr>
              <w:t>4.361</w:t>
            </w:r>
          </w:p>
        </w:tc>
      </w:tr>
    </w:tbl>
    <w:p w14:paraId="5670EE75" w14:textId="77777777" w:rsidR="00C12DCE" w:rsidRDefault="00C12DCE" w:rsidP="00C12DCE">
      <w:pPr>
        <w:jc w:val="center"/>
        <w:rPr>
          <w:sz w:val="18"/>
        </w:rPr>
      </w:pPr>
      <w:r w:rsidRPr="00B0452D">
        <w:rPr>
          <w:sz w:val="18"/>
        </w:rPr>
        <w:t>Refer to Appendix A for viewing Calculations</w:t>
      </w:r>
    </w:p>
    <w:tbl>
      <w:tblPr>
        <w:tblW w:w="10010" w:type="dxa"/>
        <w:tblBorders>
          <w:top w:val="single" w:sz="4" w:space="0" w:color="auto"/>
          <w:bottom w:val="single" w:sz="4" w:space="0" w:color="auto"/>
        </w:tblBorders>
        <w:tblCellMar>
          <w:left w:w="0" w:type="dxa"/>
          <w:right w:w="0" w:type="dxa"/>
        </w:tblCellMar>
        <w:tblLook w:val="04A0" w:firstRow="1" w:lastRow="0" w:firstColumn="1" w:lastColumn="0" w:noHBand="0" w:noVBand="1"/>
      </w:tblPr>
      <w:tblGrid>
        <w:gridCol w:w="4242"/>
        <w:gridCol w:w="4960"/>
        <w:gridCol w:w="808"/>
      </w:tblGrid>
      <w:tr w:rsidR="00282047" w:rsidRPr="00B0452D" w14:paraId="7280691C" w14:textId="77777777" w:rsidTr="00282047">
        <w:trPr>
          <w:gridAfter w:val="1"/>
          <w:wAfter w:w="717" w:type="dxa"/>
          <w:trHeight w:val="760"/>
        </w:trPr>
        <w:tc>
          <w:tcPr>
            <w:tcW w:w="4231" w:type="dxa"/>
            <w:tcBorders>
              <w:top w:val="single" w:sz="4" w:space="0" w:color="auto"/>
              <w:bottom w:val="nil"/>
            </w:tcBorders>
            <w:tcMar>
              <w:top w:w="30" w:type="dxa"/>
              <w:left w:w="45" w:type="dxa"/>
              <w:bottom w:w="30" w:type="dxa"/>
              <w:right w:w="45" w:type="dxa"/>
            </w:tcMar>
            <w:hideMark/>
          </w:tcPr>
          <w:p w14:paraId="771B3844" w14:textId="77777777" w:rsidR="00C12DCE" w:rsidRDefault="00C12DCE" w:rsidP="006370C4">
            <w:pPr>
              <w:spacing w:after="0" w:line="240" w:lineRule="auto"/>
              <w:jc w:val="center"/>
              <w:rPr>
                <w:rFonts w:ascii="Calibri" w:eastAsia="Times New Roman" w:hAnsi="Calibri" w:cs="Calibri"/>
                <w:b/>
              </w:rPr>
            </w:pPr>
          </w:p>
          <w:p w14:paraId="6A4A9112" w14:textId="77777777" w:rsidR="00C12DCE" w:rsidRPr="00B0452D" w:rsidRDefault="00C12DCE" w:rsidP="006370C4">
            <w:pPr>
              <w:spacing w:after="0" w:line="240" w:lineRule="auto"/>
              <w:jc w:val="center"/>
              <w:rPr>
                <w:rFonts w:ascii="Calibri" w:eastAsia="Times New Roman" w:hAnsi="Calibri" w:cs="Calibri"/>
                <w:b/>
              </w:rPr>
            </w:pPr>
            <w:r w:rsidRPr="00B0452D">
              <w:rPr>
                <w:rFonts w:ascii="Calibri" w:eastAsia="Times New Roman" w:hAnsi="Calibri" w:cs="Calibri"/>
                <w:b/>
                <w:sz w:val="22"/>
                <w:szCs w:val="22"/>
              </w:rPr>
              <w:t>Ratio</w:t>
            </w:r>
          </w:p>
        </w:tc>
        <w:tc>
          <w:tcPr>
            <w:tcW w:w="5062" w:type="dxa"/>
            <w:tcBorders>
              <w:top w:val="single" w:sz="4" w:space="0" w:color="auto"/>
            </w:tcBorders>
            <w:tcMar>
              <w:top w:w="30" w:type="dxa"/>
              <w:left w:w="45" w:type="dxa"/>
              <w:bottom w:w="30" w:type="dxa"/>
              <w:right w:w="45" w:type="dxa"/>
            </w:tcMar>
            <w:vAlign w:val="bottom"/>
            <w:hideMark/>
          </w:tcPr>
          <w:p w14:paraId="2EE80B86" w14:textId="2F0EE347" w:rsidR="00C12DCE" w:rsidRDefault="00C12DCE" w:rsidP="00C12DCE">
            <w:pPr>
              <w:spacing w:after="0" w:line="240" w:lineRule="auto"/>
              <w:jc w:val="center"/>
              <w:rPr>
                <w:rFonts w:ascii="Calibri" w:eastAsia="Times New Roman" w:hAnsi="Calibri" w:cs="Calibri"/>
                <w:b/>
                <w:bCs/>
              </w:rPr>
            </w:pPr>
            <w:r>
              <w:rPr>
                <w:rFonts w:ascii="Calibri" w:eastAsia="Times New Roman" w:hAnsi="Calibri" w:cs="Calibri"/>
                <w:b/>
                <w:bCs/>
                <w:sz w:val="22"/>
                <w:szCs w:val="22"/>
              </w:rPr>
              <w:t>Formula</w:t>
            </w:r>
          </w:p>
          <w:p w14:paraId="49AC4FDB" w14:textId="30C273FA" w:rsidR="00C12DCE" w:rsidRPr="00B0452D" w:rsidRDefault="00C12DCE" w:rsidP="00C12DCE">
            <w:pPr>
              <w:spacing w:after="0" w:line="240" w:lineRule="auto"/>
              <w:jc w:val="center"/>
              <w:rPr>
                <w:rFonts w:ascii="Calibri" w:eastAsia="Times New Roman" w:hAnsi="Calibri" w:cs="Calibri"/>
                <w:b/>
                <w:bCs/>
              </w:rPr>
            </w:pPr>
          </w:p>
        </w:tc>
      </w:tr>
      <w:tr w:rsidR="00282047" w:rsidRPr="00C12DCE" w14:paraId="2FE1CE6A" w14:textId="77777777" w:rsidTr="00282047">
        <w:trPr>
          <w:trHeight w:val="315"/>
        </w:trPr>
        <w:tc>
          <w:tcPr>
            <w:tcW w:w="4365" w:type="dxa"/>
            <w:tcBorders>
              <w:top w:val="single" w:sz="4" w:space="0" w:color="auto"/>
            </w:tcBorders>
            <w:tcMar>
              <w:top w:w="30" w:type="dxa"/>
              <w:left w:w="45" w:type="dxa"/>
              <w:bottom w:w="30" w:type="dxa"/>
              <w:right w:w="45" w:type="dxa"/>
            </w:tcMar>
            <w:hideMark/>
          </w:tcPr>
          <w:p w14:paraId="0B7D24D3" w14:textId="77777777" w:rsidR="00282047" w:rsidRPr="00C12DCE" w:rsidRDefault="00282047" w:rsidP="006370C4">
            <w:pPr>
              <w:spacing w:after="0" w:line="240" w:lineRule="auto"/>
              <w:jc w:val="center"/>
              <w:rPr>
                <w:rFonts w:ascii="Calibri" w:eastAsia="Times New Roman" w:hAnsi="Calibri" w:cs="Calibri"/>
                <w:b/>
                <w:bCs/>
              </w:rPr>
            </w:pPr>
            <w:r w:rsidRPr="00C12DCE">
              <w:rPr>
                <w:rFonts w:ascii="Calibri" w:hAnsi="Calibri" w:cs="Calibri"/>
                <w:b/>
                <w:sz w:val="22"/>
              </w:rPr>
              <w:t>Debt-to-Equity Ratio</w:t>
            </w:r>
          </w:p>
        </w:tc>
        <w:tc>
          <w:tcPr>
            <w:tcW w:w="5896" w:type="dxa"/>
            <w:gridSpan w:val="2"/>
            <w:tcBorders>
              <w:top w:val="single" w:sz="4" w:space="0" w:color="auto"/>
            </w:tcBorders>
            <w:tcMar>
              <w:top w:w="30" w:type="dxa"/>
              <w:left w:w="45" w:type="dxa"/>
              <w:bottom w:w="30" w:type="dxa"/>
              <w:right w:w="45" w:type="dxa"/>
            </w:tcMar>
          </w:tcPr>
          <w:p w14:paraId="15D1F4D2" w14:textId="020D624B" w:rsidR="00282047" w:rsidRPr="00282047" w:rsidRDefault="00CE31FC" w:rsidP="00282047">
            <w:pPr>
              <w:spacing w:line="276" w:lineRule="auto"/>
              <w:jc w:val="center"/>
              <w:rPr>
                <w:rFonts w:ascii="ArhialkhanMJ" w:hAnsi="ArhialkhanMJ" w:cs="ArhialkhanMJ"/>
                <w:b/>
              </w:rPr>
            </w:pPr>
            <m:oMath>
              <m:f>
                <m:fPr>
                  <m:ctrlPr>
                    <w:rPr>
                      <w:rFonts w:ascii="Cambria Math" w:hAnsi="Cambria Math" w:cs="ArhialkhanMJ"/>
                      <w:i/>
                      <w:sz w:val="22"/>
                    </w:rPr>
                  </m:ctrlPr>
                </m:fPr>
                <m:num>
                  <m:r>
                    <w:rPr>
                      <w:rFonts w:ascii="Cambria Math" w:hAnsi="Cambria Math" w:cs="ArhialkhanMJ"/>
                      <w:sz w:val="22"/>
                    </w:rPr>
                    <m:t xml:space="preserve">Total Debt  </m:t>
                  </m:r>
                </m:num>
                <m:den>
                  <m:r>
                    <w:rPr>
                      <w:rFonts w:ascii="Cambria Math" w:hAnsi="Cambria Math" w:cs="ArhialkhanMJ"/>
                      <w:sz w:val="22"/>
                    </w:rPr>
                    <m:t>Total Shareholder Equity</m:t>
                  </m:r>
                </m:den>
              </m:f>
            </m:oMath>
            <w:r w:rsidR="00282047" w:rsidRPr="00282047">
              <w:rPr>
                <w:rFonts w:ascii="ArhialkhanMJ" w:hAnsi="ArhialkhanMJ" w:cs="ArhialkhanMJ"/>
                <w:b/>
                <w:sz w:val="22"/>
              </w:rPr>
              <w:t xml:space="preserve"> </w:t>
            </w:r>
          </w:p>
          <w:p w14:paraId="6C771808" w14:textId="6EA07A99" w:rsidR="00282047" w:rsidRPr="00282047" w:rsidRDefault="00282047" w:rsidP="00282047">
            <w:pPr>
              <w:spacing w:after="0" w:line="276" w:lineRule="auto"/>
              <w:jc w:val="center"/>
              <w:rPr>
                <w:rFonts w:ascii="ArhialkhanMJ" w:eastAsia="Times New Roman" w:hAnsi="ArhialkhanMJ" w:cs="ArhialkhanMJ"/>
              </w:rPr>
            </w:pPr>
          </w:p>
        </w:tc>
      </w:tr>
      <w:tr w:rsidR="00282047" w:rsidRPr="00C12DCE" w14:paraId="573F7477" w14:textId="77777777" w:rsidTr="006370C4">
        <w:trPr>
          <w:trHeight w:val="315"/>
        </w:trPr>
        <w:tc>
          <w:tcPr>
            <w:tcW w:w="4114" w:type="dxa"/>
            <w:tcMar>
              <w:top w:w="30" w:type="dxa"/>
              <w:left w:w="45" w:type="dxa"/>
              <w:bottom w:w="30" w:type="dxa"/>
              <w:right w:w="45" w:type="dxa"/>
            </w:tcMar>
            <w:hideMark/>
          </w:tcPr>
          <w:p w14:paraId="335565BC" w14:textId="77777777" w:rsidR="00282047" w:rsidRPr="00C12DCE" w:rsidRDefault="00282047" w:rsidP="006370C4">
            <w:pPr>
              <w:spacing w:after="0" w:line="240" w:lineRule="auto"/>
              <w:jc w:val="center"/>
              <w:rPr>
                <w:rFonts w:ascii="Calibri" w:eastAsia="Times New Roman" w:hAnsi="Calibri" w:cs="Calibri"/>
                <w:b/>
                <w:bCs/>
              </w:rPr>
            </w:pPr>
            <w:r w:rsidRPr="00C12DCE">
              <w:rPr>
                <w:rFonts w:ascii="Calibri" w:hAnsi="Calibri" w:cs="Calibri"/>
                <w:b/>
                <w:sz w:val="22"/>
              </w:rPr>
              <w:lastRenderedPageBreak/>
              <w:t>Debt Ratio</w:t>
            </w:r>
          </w:p>
        </w:tc>
        <w:tc>
          <w:tcPr>
            <w:tcW w:w="5780" w:type="dxa"/>
            <w:gridSpan w:val="2"/>
            <w:tcMar>
              <w:top w:w="30" w:type="dxa"/>
              <w:left w:w="45" w:type="dxa"/>
              <w:bottom w:w="30" w:type="dxa"/>
              <w:right w:w="45" w:type="dxa"/>
            </w:tcMar>
            <w:hideMark/>
          </w:tcPr>
          <w:p w14:paraId="0C8D2FAB" w14:textId="4E6A5980" w:rsidR="00282047" w:rsidRPr="00282047" w:rsidRDefault="00CE31FC" w:rsidP="00282047">
            <w:pPr>
              <w:spacing w:line="276" w:lineRule="auto"/>
              <w:jc w:val="center"/>
              <w:rPr>
                <w:rFonts w:ascii="ArhialkhanMJ" w:hAnsi="ArhialkhanMJ" w:cs="ArhialkhanMJ"/>
                <w:b/>
              </w:rPr>
            </w:pPr>
            <m:oMathPara>
              <m:oMath>
                <m:f>
                  <m:fPr>
                    <m:ctrlPr>
                      <w:rPr>
                        <w:rFonts w:ascii="Cambria Math" w:hAnsi="Cambria Math" w:cs="ArhialkhanMJ"/>
                        <w:i/>
                        <w:sz w:val="22"/>
                      </w:rPr>
                    </m:ctrlPr>
                  </m:fPr>
                  <m:num>
                    <m:r>
                      <w:rPr>
                        <w:rFonts w:ascii="Cambria Math" w:hAnsi="Cambria Math" w:cs="ArhialkhanMJ"/>
                        <w:sz w:val="22"/>
                      </w:rPr>
                      <m:t xml:space="preserve">Total Debt  </m:t>
                    </m:r>
                  </m:num>
                  <m:den>
                    <m:r>
                      <w:rPr>
                        <w:rFonts w:ascii="Cambria Math" w:hAnsi="Cambria Math" w:cs="ArhialkhanMJ"/>
                        <w:sz w:val="22"/>
                      </w:rPr>
                      <m:t>Total Assets</m:t>
                    </m:r>
                  </m:den>
                </m:f>
              </m:oMath>
            </m:oMathPara>
          </w:p>
          <w:p w14:paraId="3C926528" w14:textId="2F02769D" w:rsidR="00282047" w:rsidRPr="00282047" w:rsidRDefault="00282047" w:rsidP="00282047">
            <w:pPr>
              <w:spacing w:after="0" w:line="276" w:lineRule="auto"/>
              <w:jc w:val="center"/>
              <w:rPr>
                <w:rFonts w:ascii="ArhialkhanMJ" w:eastAsia="Times New Roman" w:hAnsi="ArhialkhanMJ" w:cs="ArhialkhanMJ"/>
              </w:rPr>
            </w:pPr>
          </w:p>
        </w:tc>
      </w:tr>
      <w:tr w:rsidR="00282047" w:rsidRPr="00C12DCE" w14:paraId="0CF74978" w14:textId="77777777" w:rsidTr="006370C4">
        <w:trPr>
          <w:trHeight w:val="315"/>
        </w:trPr>
        <w:tc>
          <w:tcPr>
            <w:tcW w:w="4230" w:type="dxa"/>
            <w:tcMar>
              <w:top w:w="30" w:type="dxa"/>
              <w:left w:w="45" w:type="dxa"/>
              <w:bottom w:w="30" w:type="dxa"/>
              <w:right w:w="45" w:type="dxa"/>
            </w:tcMar>
            <w:hideMark/>
          </w:tcPr>
          <w:p w14:paraId="694623F7" w14:textId="77777777" w:rsidR="00282047" w:rsidRPr="00C12DCE" w:rsidRDefault="00282047" w:rsidP="006370C4">
            <w:pPr>
              <w:spacing w:after="0" w:line="240" w:lineRule="auto"/>
              <w:jc w:val="center"/>
              <w:rPr>
                <w:rFonts w:ascii="Calibri" w:eastAsia="Times New Roman" w:hAnsi="Calibri" w:cs="Calibri"/>
                <w:b/>
                <w:bCs/>
              </w:rPr>
            </w:pPr>
            <w:r w:rsidRPr="00C12DCE">
              <w:rPr>
                <w:rFonts w:ascii="Calibri" w:hAnsi="Calibri" w:cs="Calibri"/>
                <w:b/>
                <w:sz w:val="22"/>
              </w:rPr>
              <w:t>Interest Coverage Ratio</w:t>
            </w:r>
          </w:p>
        </w:tc>
        <w:tc>
          <w:tcPr>
            <w:tcW w:w="5779" w:type="dxa"/>
            <w:gridSpan w:val="2"/>
            <w:tcMar>
              <w:top w:w="30" w:type="dxa"/>
              <w:left w:w="45" w:type="dxa"/>
              <w:bottom w:w="30" w:type="dxa"/>
              <w:right w:w="45" w:type="dxa"/>
            </w:tcMar>
            <w:hideMark/>
          </w:tcPr>
          <w:p w14:paraId="31585F46" w14:textId="75766B2E" w:rsidR="00282047" w:rsidRPr="00282047" w:rsidRDefault="00CE31FC" w:rsidP="00282047">
            <w:pPr>
              <w:spacing w:line="276" w:lineRule="auto"/>
              <w:jc w:val="center"/>
              <w:rPr>
                <w:rFonts w:ascii="ArhialkhanMJ" w:hAnsi="ArhialkhanMJ" w:cs="ArhialkhanMJ"/>
                <w:b/>
              </w:rPr>
            </w:pPr>
            <m:oMathPara>
              <m:oMath>
                <m:f>
                  <m:fPr>
                    <m:ctrlPr>
                      <w:rPr>
                        <w:rFonts w:ascii="Cambria Math" w:hAnsi="Cambria Math" w:cs="ArhialkhanMJ"/>
                        <w:i/>
                        <w:sz w:val="22"/>
                      </w:rPr>
                    </m:ctrlPr>
                  </m:fPr>
                  <m:num>
                    <m:r>
                      <w:rPr>
                        <w:rFonts w:ascii="Cambria Math" w:hAnsi="Cambria Math" w:cs="ArhialkhanMJ"/>
                        <w:sz w:val="22"/>
                      </w:rPr>
                      <m:t xml:space="preserve">EBIT  </m:t>
                    </m:r>
                  </m:num>
                  <m:den>
                    <m:r>
                      <w:rPr>
                        <w:rFonts w:ascii="Cambria Math" w:hAnsi="Cambria Math" w:cs="ArhialkhanMJ"/>
                        <w:sz w:val="22"/>
                      </w:rPr>
                      <m:t>Total Interest Payable</m:t>
                    </m:r>
                  </m:den>
                </m:f>
              </m:oMath>
            </m:oMathPara>
          </w:p>
          <w:p w14:paraId="35F82D86" w14:textId="32B972C7" w:rsidR="00282047" w:rsidRPr="00282047" w:rsidRDefault="00282047" w:rsidP="00282047">
            <w:pPr>
              <w:spacing w:after="0" w:line="276" w:lineRule="auto"/>
              <w:jc w:val="center"/>
              <w:rPr>
                <w:rFonts w:ascii="ArhialkhanMJ" w:eastAsia="Times New Roman" w:hAnsi="ArhialkhanMJ" w:cs="ArhialkhanMJ"/>
              </w:rPr>
            </w:pPr>
            <w:r w:rsidRPr="00282047">
              <w:rPr>
                <w:rFonts w:ascii="ArhialkhanMJ" w:hAnsi="ArhialkhanMJ" w:cs="ArhialkhanMJ"/>
                <w:sz w:val="22"/>
              </w:rPr>
              <w:t xml:space="preserve"> </w:t>
            </w:r>
          </w:p>
        </w:tc>
      </w:tr>
    </w:tbl>
    <w:p w14:paraId="48B56798" w14:textId="77777777" w:rsidR="00C12DCE" w:rsidRPr="00B0452D" w:rsidRDefault="00C12DCE" w:rsidP="00C12DCE">
      <w:pPr>
        <w:jc w:val="center"/>
        <w:rPr>
          <w:sz w:val="18"/>
        </w:rPr>
      </w:pPr>
    </w:p>
    <w:p w14:paraId="082E0A56" w14:textId="30F078D9" w:rsidR="00C12DCE" w:rsidRPr="00C12DCE" w:rsidRDefault="00C12DCE" w:rsidP="00C12DCE">
      <w:r w:rsidRPr="00C12DCE">
        <w:rPr>
          <w:noProof/>
        </w:rPr>
        <w:drawing>
          <wp:inline distT="0" distB="0" distL="0" distR="0" wp14:anchorId="1458E105" wp14:editId="30BD3B88">
            <wp:extent cx="5611008" cy="3296110"/>
            <wp:effectExtent l="0" t="0" r="889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5611008" cy="3296110"/>
                    </a:xfrm>
                    <a:prstGeom prst="rect">
                      <a:avLst/>
                    </a:prstGeom>
                  </pic:spPr>
                </pic:pic>
              </a:graphicData>
            </a:graphic>
          </wp:inline>
        </w:drawing>
      </w:r>
    </w:p>
    <w:p w14:paraId="0000004A" w14:textId="6F7EFFAE" w:rsidR="00424676" w:rsidRPr="00F9490E" w:rsidRDefault="006C7EF6" w:rsidP="00B50438">
      <w:r w:rsidRPr="00F9490E">
        <w:t xml:space="preserve">Debt-to-Equity Ratio </w:t>
      </w:r>
      <w:r w:rsidR="00DE57DE">
        <w:t xml:space="preserve">can be useful in enabling the evaluation of an entity’s outstanding  </w:t>
      </w:r>
      <w:r w:rsidRPr="00F9490E">
        <w:t xml:space="preserve"> liabilities </w:t>
      </w:r>
      <w:r w:rsidR="00DE57DE">
        <w:t xml:space="preserve">on the basis of the </w:t>
      </w:r>
      <w:r w:rsidRPr="00F9490E">
        <w:t>shareholders’ equity, providing insight into the balance between debt and equity financing. The company’s debt-to-equity ratio steadily declined from 0.95 in 2019 to 0.79 in 2023, indicating a reduced reliance on debt and a more balanced financial structure. This trend suggests that the company has been strengthening its equity base relative to its liabilities, which can lower financial risk.</w:t>
      </w:r>
      <w:r w:rsidR="00C12DCE">
        <w:t xml:space="preserve"> </w:t>
      </w:r>
      <w:r w:rsidR="00282047">
        <w:t xml:space="preserve"> In addition to that t</w:t>
      </w:r>
      <w:r w:rsidRPr="00F9490E">
        <w:t xml:space="preserve">he Debt Ratio measures the proportion of a company’s assets that are financed by debt, offering a broader view of the company’s financial leverage. The debt ratio for the company </w:t>
      </w:r>
      <w:r w:rsidRPr="00F9490E">
        <w:lastRenderedPageBreak/>
        <w:t>decreased slightly over the period, from 0.487 in 2019 to 0.445 in 2023, indicating a gradual reduction in debt relative to total assets. This trend supports the observation of reduced financial leverage, implying a more conservative approach to financing.</w:t>
      </w:r>
      <w:r w:rsidR="00282047">
        <w:t xml:space="preserve"> </w:t>
      </w:r>
    </w:p>
    <w:p w14:paraId="0000004C" w14:textId="77777777" w:rsidR="00424676" w:rsidRPr="00F9490E" w:rsidRDefault="006C7EF6" w:rsidP="00B50438">
      <w:r w:rsidRPr="00F9490E">
        <w:t>Finally, the Interest Coverage Ratio measures a company’s ability to pay interest on its debt, with higher ratios indicating a stronger capacity to meet interest obligations. The company’s interest coverage ratio improved significantly in 2020 and 2021, peaking at 7.730 in 2021, which reflects strong earnings relative to interest expenses. However, the ratio declined to 4.361 in 2023, indicating that while the company still maintains a good ability to cover interest payments, its margin of safety has decreased. This decline suggests that the company may need to monitor its debt levels and interest obligations more closely to maintain financial stability.</w:t>
      </w:r>
    </w:p>
    <w:p w14:paraId="3AFCECF3" w14:textId="77777777" w:rsidR="00282047" w:rsidRDefault="00282047" w:rsidP="00282047">
      <w:pPr>
        <w:pStyle w:val="Heading2"/>
      </w:pPr>
    </w:p>
    <w:p w14:paraId="141B01FE" w14:textId="77777777" w:rsidR="00282047" w:rsidRDefault="00282047" w:rsidP="00282047">
      <w:pPr>
        <w:pStyle w:val="Heading2"/>
      </w:pPr>
    </w:p>
    <w:p w14:paraId="40516C40" w14:textId="77777777" w:rsidR="00282047" w:rsidRDefault="00286729" w:rsidP="00282047">
      <w:pPr>
        <w:pStyle w:val="Heading2"/>
      </w:pPr>
      <w:bookmarkStart w:id="12" w:name="_Toc175149007"/>
      <w:r>
        <w:t xml:space="preserve">Comparison </w:t>
      </w:r>
      <w:r w:rsidR="006C7EF6" w:rsidRPr="00F9490E">
        <w:t>with Competitor</w:t>
      </w:r>
      <w:bookmarkEnd w:id="12"/>
    </w:p>
    <w:p w14:paraId="3179A0BD" w14:textId="77777777" w:rsidR="00071ECC" w:rsidRPr="00071ECC" w:rsidRDefault="00071ECC" w:rsidP="00071ECC"/>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1"/>
        <w:gridCol w:w="4621"/>
      </w:tblGrid>
      <w:tr w:rsidR="00282047" w14:paraId="2A0ECE5D" w14:textId="77777777" w:rsidTr="00282047">
        <w:tc>
          <w:tcPr>
            <w:tcW w:w="4621" w:type="dxa"/>
          </w:tcPr>
          <w:p w14:paraId="6D549310" w14:textId="2C5A5594" w:rsidR="00282047" w:rsidRDefault="00282047" w:rsidP="00071ECC">
            <w:r>
              <w:rPr>
                <w:noProof/>
              </w:rPr>
              <w:drawing>
                <wp:inline distT="0" distB="0" distL="0" distR="0" wp14:anchorId="2091DE31" wp14:editId="3B94A1F3">
                  <wp:extent cx="2028497" cy="642357"/>
                  <wp:effectExtent l="0" t="0" r="0" b="5715"/>
                  <wp:docPr id="22" name="Picture 22" descr="Kingfisher plc Logo PNG Vector (EPS, SVG) Free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Kingfisher plc Logo PNG Vector (EPS, SVG) Free Downloa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0708" cy="643057"/>
                          </a:xfrm>
                          <a:prstGeom prst="rect">
                            <a:avLst/>
                          </a:prstGeom>
                          <a:noFill/>
                          <a:ln>
                            <a:noFill/>
                          </a:ln>
                        </pic:spPr>
                      </pic:pic>
                    </a:graphicData>
                  </a:graphic>
                </wp:inline>
              </w:drawing>
            </w:r>
          </w:p>
        </w:tc>
        <w:tc>
          <w:tcPr>
            <w:tcW w:w="4621" w:type="dxa"/>
          </w:tcPr>
          <w:p w14:paraId="609AB496" w14:textId="350CCA39" w:rsidR="00282047" w:rsidRDefault="00282047" w:rsidP="00071ECC">
            <w:r>
              <w:rPr>
                <w:noProof/>
              </w:rPr>
              <w:drawing>
                <wp:inline distT="0" distB="0" distL="0" distR="0" wp14:anchorId="46B6C965" wp14:editId="18D192E4">
                  <wp:extent cx="2534709" cy="833149"/>
                  <wp:effectExtent l="0" t="0" r="0" b="5080"/>
                  <wp:docPr id="23" name="Picture 23" descr="File:Travisperkinstradinglogo.png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File:Travisperkinstradinglogo.png - Wikipedia"/>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541930" cy="835523"/>
                          </a:xfrm>
                          <a:prstGeom prst="rect">
                            <a:avLst/>
                          </a:prstGeom>
                          <a:noFill/>
                          <a:ln>
                            <a:noFill/>
                          </a:ln>
                        </pic:spPr>
                      </pic:pic>
                    </a:graphicData>
                  </a:graphic>
                </wp:inline>
              </w:drawing>
            </w:r>
          </w:p>
        </w:tc>
      </w:tr>
    </w:tbl>
    <w:tbl>
      <w:tblPr>
        <w:tblW w:w="9453" w:type="dxa"/>
        <w:tblCellMar>
          <w:left w:w="0" w:type="dxa"/>
          <w:right w:w="0" w:type="dxa"/>
        </w:tblCellMar>
        <w:tblLook w:val="04A0" w:firstRow="1" w:lastRow="0" w:firstColumn="1" w:lastColumn="0" w:noHBand="0" w:noVBand="1"/>
      </w:tblPr>
      <w:tblGrid>
        <w:gridCol w:w="1997"/>
        <w:gridCol w:w="2167"/>
        <w:gridCol w:w="1175"/>
        <w:gridCol w:w="990"/>
        <w:gridCol w:w="749"/>
        <w:gridCol w:w="1093"/>
        <w:gridCol w:w="1282"/>
      </w:tblGrid>
      <w:tr w:rsidR="006370C4" w:rsidRPr="00282047" w14:paraId="2007FEB7" w14:textId="77777777" w:rsidTr="006370C4">
        <w:trPr>
          <w:trHeight w:val="315"/>
        </w:trPr>
        <w:tc>
          <w:tcPr>
            <w:tcW w:w="0" w:type="auto"/>
            <w:vMerge w:val="restart"/>
            <w:tcBorders>
              <w:top w:val="single" w:sz="4" w:space="0" w:color="auto"/>
            </w:tcBorders>
            <w:tcMar>
              <w:top w:w="30" w:type="dxa"/>
              <w:left w:w="45" w:type="dxa"/>
              <w:bottom w:w="30" w:type="dxa"/>
              <w:right w:w="45" w:type="dxa"/>
            </w:tcMar>
            <w:hideMark/>
          </w:tcPr>
          <w:p w14:paraId="58F58622" w14:textId="77777777" w:rsidR="006370C4" w:rsidRPr="006370C4" w:rsidRDefault="006370C4" w:rsidP="006370C4">
            <w:pPr>
              <w:spacing w:after="0" w:line="276" w:lineRule="auto"/>
              <w:jc w:val="center"/>
              <w:rPr>
                <w:rFonts w:ascii="Calibri" w:eastAsia="Times New Roman" w:hAnsi="Calibri" w:cs="Calibri"/>
                <w:b/>
              </w:rPr>
            </w:pPr>
          </w:p>
          <w:p w14:paraId="32D5C6BA" w14:textId="77777777" w:rsidR="00282047" w:rsidRPr="00282047" w:rsidRDefault="00282047" w:rsidP="006370C4">
            <w:pPr>
              <w:spacing w:after="0" w:line="276" w:lineRule="auto"/>
              <w:jc w:val="center"/>
              <w:rPr>
                <w:rFonts w:ascii="Calibri" w:eastAsia="Times New Roman" w:hAnsi="Calibri" w:cs="Calibri"/>
                <w:b/>
              </w:rPr>
            </w:pPr>
            <w:r w:rsidRPr="00282047">
              <w:rPr>
                <w:rFonts w:ascii="Calibri" w:eastAsia="Times New Roman" w:hAnsi="Calibri" w:cs="Calibri"/>
                <w:b/>
                <w:sz w:val="22"/>
                <w:szCs w:val="22"/>
              </w:rPr>
              <w:t>Ratio Category</w:t>
            </w:r>
          </w:p>
        </w:tc>
        <w:tc>
          <w:tcPr>
            <w:tcW w:w="2167" w:type="dxa"/>
            <w:vMerge w:val="restart"/>
            <w:tcBorders>
              <w:top w:val="single" w:sz="4" w:space="0" w:color="auto"/>
            </w:tcBorders>
            <w:tcMar>
              <w:top w:w="30" w:type="dxa"/>
              <w:left w:w="45" w:type="dxa"/>
              <w:bottom w:w="30" w:type="dxa"/>
              <w:right w:w="45" w:type="dxa"/>
            </w:tcMar>
            <w:hideMark/>
          </w:tcPr>
          <w:p w14:paraId="5E27B47F" w14:textId="77777777" w:rsidR="006370C4" w:rsidRPr="006370C4" w:rsidRDefault="006370C4" w:rsidP="006370C4">
            <w:pPr>
              <w:spacing w:after="0" w:line="276" w:lineRule="auto"/>
              <w:jc w:val="center"/>
              <w:rPr>
                <w:rFonts w:ascii="Calibri" w:eastAsia="Times New Roman" w:hAnsi="Calibri" w:cs="Calibri"/>
                <w:b/>
              </w:rPr>
            </w:pPr>
          </w:p>
          <w:p w14:paraId="4E359760" w14:textId="77777777" w:rsidR="00282047" w:rsidRPr="00282047" w:rsidRDefault="00282047" w:rsidP="006370C4">
            <w:pPr>
              <w:spacing w:after="0" w:line="276" w:lineRule="auto"/>
              <w:jc w:val="center"/>
              <w:rPr>
                <w:rFonts w:ascii="Calibri" w:eastAsia="Times New Roman" w:hAnsi="Calibri" w:cs="Calibri"/>
                <w:b/>
              </w:rPr>
            </w:pPr>
            <w:r w:rsidRPr="00282047">
              <w:rPr>
                <w:rFonts w:ascii="Calibri" w:eastAsia="Times New Roman" w:hAnsi="Calibri" w:cs="Calibri"/>
                <w:b/>
                <w:sz w:val="22"/>
                <w:szCs w:val="22"/>
              </w:rPr>
              <w:t>Ratio</w:t>
            </w:r>
          </w:p>
        </w:tc>
        <w:tc>
          <w:tcPr>
            <w:tcW w:w="5268" w:type="dxa"/>
            <w:gridSpan w:val="5"/>
            <w:tcBorders>
              <w:top w:val="single" w:sz="4" w:space="0" w:color="auto"/>
            </w:tcBorders>
            <w:tcMar>
              <w:top w:w="30" w:type="dxa"/>
              <w:left w:w="45" w:type="dxa"/>
              <w:bottom w:w="30" w:type="dxa"/>
              <w:right w:w="45" w:type="dxa"/>
            </w:tcMar>
            <w:vAlign w:val="bottom"/>
            <w:hideMark/>
          </w:tcPr>
          <w:p w14:paraId="78FD147D" w14:textId="71EE5178" w:rsidR="00282047" w:rsidRPr="00282047" w:rsidRDefault="00282047" w:rsidP="006370C4">
            <w:pPr>
              <w:spacing w:after="0" w:line="276" w:lineRule="auto"/>
              <w:jc w:val="center"/>
              <w:rPr>
                <w:rFonts w:ascii="Calibri" w:eastAsia="Times New Roman" w:hAnsi="Calibri" w:cs="Calibri"/>
                <w:b/>
                <w:bCs/>
              </w:rPr>
            </w:pPr>
            <w:r w:rsidRPr="00282047">
              <w:rPr>
                <w:rFonts w:ascii="Calibri" w:eastAsia="Times New Roman" w:hAnsi="Calibri" w:cs="Calibri"/>
                <w:b/>
                <w:bCs/>
                <w:sz w:val="22"/>
                <w:szCs w:val="22"/>
              </w:rPr>
              <w:t>Year</w:t>
            </w:r>
          </w:p>
        </w:tc>
      </w:tr>
      <w:tr w:rsidR="006370C4" w:rsidRPr="00282047" w14:paraId="60A9BCE1" w14:textId="77777777" w:rsidTr="006370C4">
        <w:trPr>
          <w:trHeight w:val="603"/>
        </w:trPr>
        <w:tc>
          <w:tcPr>
            <w:tcW w:w="0" w:type="auto"/>
            <w:vMerge/>
            <w:tcBorders>
              <w:bottom w:val="single" w:sz="4" w:space="0" w:color="auto"/>
            </w:tcBorders>
            <w:vAlign w:val="center"/>
            <w:hideMark/>
          </w:tcPr>
          <w:p w14:paraId="6DC37D55" w14:textId="77777777" w:rsidR="00282047" w:rsidRPr="00282047" w:rsidRDefault="00282047" w:rsidP="006370C4">
            <w:pPr>
              <w:spacing w:after="0" w:line="276" w:lineRule="auto"/>
              <w:jc w:val="center"/>
              <w:rPr>
                <w:rFonts w:ascii="Calibri" w:eastAsia="Times New Roman" w:hAnsi="Calibri" w:cs="Calibri"/>
                <w:b/>
              </w:rPr>
            </w:pPr>
          </w:p>
        </w:tc>
        <w:tc>
          <w:tcPr>
            <w:tcW w:w="2167" w:type="dxa"/>
            <w:vMerge/>
            <w:tcBorders>
              <w:bottom w:val="single" w:sz="4" w:space="0" w:color="auto"/>
            </w:tcBorders>
            <w:vAlign w:val="center"/>
            <w:hideMark/>
          </w:tcPr>
          <w:p w14:paraId="7FAC1153" w14:textId="77777777" w:rsidR="00282047" w:rsidRPr="00282047" w:rsidRDefault="00282047" w:rsidP="006370C4">
            <w:pPr>
              <w:spacing w:after="0" w:line="276" w:lineRule="auto"/>
              <w:jc w:val="center"/>
              <w:rPr>
                <w:rFonts w:ascii="Calibri" w:eastAsia="Times New Roman" w:hAnsi="Calibri" w:cs="Calibri"/>
                <w:b/>
              </w:rPr>
            </w:pPr>
          </w:p>
        </w:tc>
        <w:tc>
          <w:tcPr>
            <w:tcW w:w="1175" w:type="dxa"/>
            <w:tcBorders>
              <w:bottom w:val="single" w:sz="4" w:space="0" w:color="auto"/>
            </w:tcBorders>
            <w:tcMar>
              <w:top w:w="30" w:type="dxa"/>
              <w:left w:w="45" w:type="dxa"/>
              <w:bottom w:w="30" w:type="dxa"/>
              <w:right w:w="45" w:type="dxa"/>
            </w:tcMar>
            <w:vAlign w:val="bottom"/>
            <w:hideMark/>
          </w:tcPr>
          <w:p w14:paraId="07218921" w14:textId="77777777" w:rsidR="00282047" w:rsidRPr="00282047" w:rsidRDefault="00282047" w:rsidP="006370C4">
            <w:pPr>
              <w:spacing w:after="0" w:line="276" w:lineRule="auto"/>
              <w:jc w:val="center"/>
              <w:rPr>
                <w:rFonts w:ascii="Calibri" w:eastAsia="Times New Roman" w:hAnsi="Calibri" w:cs="Calibri"/>
                <w:b/>
                <w:bCs/>
              </w:rPr>
            </w:pPr>
            <w:r w:rsidRPr="00282047">
              <w:rPr>
                <w:rFonts w:ascii="Calibri" w:eastAsia="Times New Roman" w:hAnsi="Calibri" w:cs="Calibri"/>
                <w:b/>
                <w:bCs/>
                <w:sz w:val="22"/>
                <w:szCs w:val="22"/>
              </w:rPr>
              <w:t>2019</w:t>
            </w:r>
          </w:p>
        </w:tc>
        <w:tc>
          <w:tcPr>
            <w:tcW w:w="990" w:type="dxa"/>
            <w:tcBorders>
              <w:bottom w:val="single" w:sz="4" w:space="0" w:color="auto"/>
            </w:tcBorders>
            <w:tcMar>
              <w:top w:w="30" w:type="dxa"/>
              <w:left w:w="45" w:type="dxa"/>
              <w:bottom w:w="30" w:type="dxa"/>
              <w:right w:w="45" w:type="dxa"/>
            </w:tcMar>
            <w:vAlign w:val="bottom"/>
            <w:hideMark/>
          </w:tcPr>
          <w:p w14:paraId="2C9660BA" w14:textId="77777777" w:rsidR="00282047" w:rsidRPr="00282047" w:rsidRDefault="00282047" w:rsidP="006370C4">
            <w:pPr>
              <w:spacing w:after="0" w:line="276" w:lineRule="auto"/>
              <w:jc w:val="center"/>
              <w:rPr>
                <w:rFonts w:ascii="Calibri" w:eastAsia="Times New Roman" w:hAnsi="Calibri" w:cs="Calibri"/>
                <w:b/>
                <w:bCs/>
              </w:rPr>
            </w:pPr>
            <w:r w:rsidRPr="00282047">
              <w:rPr>
                <w:rFonts w:ascii="Calibri" w:eastAsia="Times New Roman" w:hAnsi="Calibri" w:cs="Calibri"/>
                <w:b/>
                <w:bCs/>
                <w:sz w:val="22"/>
                <w:szCs w:val="22"/>
              </w:rPr>
              <w:t>2020</w:t>
            </w:r>
          </w:p>
        </w:tc>
        <w:tc>
          <w:tcPr>
            <w:tcW w:w="728" w:type="dxa"/>
            <w:tcBorders>
              <w:bottom w:val="single" w:sz="4" w:space="0" w:color="auto"/>
            </w:tcBorders>
            <w:tcMar>
              <w:top w:w="30" w:type="dxa"/>
              <w:left w:w="45" w:type="dxa"/>
              <w:bottom w:w="30" w:type="dxa"/>
              <w:right w:w="45" w:type="dxa"/>
            </w:tcMar>
            <w:vAlign w:val="bottom"/>
            <w:hideMark/>
          </w:tcPr>
          <w:p w14:paraId="200979B8" w14:textId="77777777" w:rsidR="00282047" w:rsidRPr="00282047" w:rsidRDefault="00282047" w:rsidP="006370C4">
            <w:pPr>
              <w:spacing w:after="0" w:line="276" w:lineRule="auto"/>
              <w:jc w:val="center"/>
              <w:rPr>
                <w:rFonts w:ascii="Calibri" w:eastAsia="Times New Roman" w:hAnsi="Calibri" w:cs="Calibri"/>
                <w:b/>
                <w:bCs/>
              </w:rPr>
            </w:pPr>
            <w:r w:rsidRPr="00282047">
              <w:rPr>
                <w:rFonts w:ascii="Calibri" w:eastAsia="Times New Roman" w:hAnsi="Calibri" w:cs="Calibri"/>
                <w:b/>
                <w:bCs/>
                <w:sz w:val="22"/>
                <w:szCs w:val="22"/>
              </w:rPr>
              <w:t>2021</w:t>
            </w:r>
          </w:p>
        </w:tc>
        <w:tc>
          <w:tcPr>
            <w:tcW w:w="1093" w:type="dxa"/>
            <w:tcBorders>
              <w:bottom w:val="single" w:sz="4" w:space="0" w:color="auto"/>
            </w:tcBorders>
            <w:tcMar>
              <w:top w:w="30" w:type="dxa"/>
              <w:left w:w="45" w:type="dxa"/>
              <w:bottom w:w="30" w:type="dxa"/>
              <w:right w:w="45" w:type="dxa"/>
            </w:tcMar>
            <w:vAlign w:val="bottom"/>
            <w:hideMark/>
          </w:tcPr>
          <w:p w14:paraId="268F3986" w14:textId="77777777" w:rsidR="00282047" w:rsidRPr="00282047" w:rsidRDefault="00282047" w:rsidP="006370C4">
            <w:pPr>
              <w:spacing w:after="0" w:line="276" w:lineRule="auto"/>
              <w:jc w:val="center"/>
              <w:rPr>
                <w:rFonts w:ascii="Calibri" w:eastAsia="Times New Roman" w:hAnsi="Calibri" w:cs="Calibri"/>
                <w:b/>
                <w:bCs/>
              </w:rPr>
            </w:pPr>
            <w:r w:rsidRPr="00282047">
              <w:rPr>
                <w:rFonts w:ascii="Calibri" w:eastAsia="Times New Roman" w:hAnsi="Calibri" w:cs="Calibri"/>
                <w:b/>
                <w:bCs/>
                <w:sz w:val="22"/>
                <w:szCs w:val="22"/>
              </w:rPr>
              <w:t>2022</w:t>
            </w:r>
          </w:p>
        </w:tc>
        <w:tc>
          <w:tcPr>
            <w:tcW w:w="1282" w:type="dxa"/>
            <w:tcBorders>
              <w:bottom w:val="single" w:sz="4" w:space="0" w:color="auto"/>
            </w:tcBorders>
            <w:tcMar>
              <w:top w:w="30" w:type="dxa"/>
              <w:left w:w="45" w:type="dxa"/>
              <w:bottom w:w="30" w:type="dxa"/>
              <w:right w:w="45" w:type="dxa"/>
            </w:tcMar>
            <w:vAlign w:val="bottom"/>
            <w:hideMark/>
          </w:tcPr>
          <w:p w14:paraId="5F9E8D90" w14:textId="77777777" w:rsidR="00282047" w:rsidRPr="00282047" w:rsidRDefault="00282047" w:rsidP="006370C4">
            <w:pPr>
              <w:spacing w:after="0" w:line="276" w:lineRule="auto"/>
              <w:jc w:val="center"/>
              <w:rPr>
                <w:rFonts w:ascii="Calibri" w:eastAsia="Times New Roman" w:hAnsi="Calibri" w:cs="Calibri"/>
                <w:b/>
                <w:bCs/>
              </w:rPr>
            </w:pPr>
            <w:r w:rsidRPr="00282047">
              <w:rPr>
                <w:rFonts w:ascii="Calibri" w:eastAsia="Times New Roman" w:hAnsi="Calibri" w:cs="Calibri"/>
                <w:b/>
                <w:bCs/>
                <w:sz w:val="22"/>
                <w:szCs w:val="22"/>
              </w:rPr>
              <w:t>2023</w:t>
            </w:r>
          </w:p>
        </w:tc>
      </w:tr>
      <w:tr w:rsidR="006370C4" w:rsidRPr="00282047" w14:paraId="4C93FD31" w14:textId="77777777" w:rsidTr="006370C4">
        <w:trPr>
          <w:trHeight w:val="315"/>
        </w:trPr>
        <w:tc>
          <w:tcPr>
            <w:tcW w:w="0" w:type="auto"/>
            <w:vMerge w:val="restart"/>
            <w:tcBorders>
              <w:top w:val="single" w:sz="4" w:space="0" w:color="auto"/>
            </w:tcBorders>
            <w:tcMar>
              <w:top w:w="30" w:type="dxa"/>
              <w:left w:w="45" w:type="dxa"/>
              <w:bottom w:w="30" w:type="dxa"/>
              <w:right w:w="45" w:type="dxa"/>
            </w:tcMar>
            <w:vAlign w:val="bottom"/>
            <w:hideMark/>
          </w:tcPr>
          <w:p w14:paraId="6899A285" w14:textId="77777777" w:rsidR="00282047" w:rsidRPr="006370C4" w:rsidRDefault="00282047" w:rsidP="006370C4">
            <w:pPr>
              <w:spacing w:after="0" w:line="240" w:lineRule="auto"/>
              <w:jc w:val="center"/>
              <w:rPr>
                <w:rFonts w:ascii="Calibri" w:eastAsia="Times New Roman" w:hAnsi="Calibri" w:cs="Calibri"/>
                <w:b/>
                <w:bCs/>
              </w:rPr>
            </w:pPr>
            <w:r w:rsidRPr="00282047">
              <w:rPr>
                <w:rFonts w:ascii="Calibri" w:eastAsia="Times New Roman" w:hAnsi="Calibri" w:cs="Calibri"/>
                <w:b/>
                <w:bCs/>
                <w:sz w:val="22"/>
                <w:szCs w:val="22"/>
              </w:rPr>
              <w:lastRenderedPageBreak/>
              <w:t>Liquidity Ratios</w:t>
            </w:r>
          </w:p>
          <w:p w14:paraId="68FCC85E" w14:textId="77777777" w:rsidR="006370C4" w:rsidRPr="006370C4" w:rsidRDefault="006370C4" w:rsidP="006370C4">
            <w:pPr>
              <w:spacing w:after="0" w:line="240" w:lineRule="auto"/>
              <w:jc w:val="center"/>
              <w:rPr>
                <w:rFonts w:ascii="Calibri" w:eastAsia="Times New Roman" w:hAnsi="Calibri" w:cs="Calibri"/>
                <w:b/>
                <w:bCs/>
              </w:rPr>
            </w:pPr>
          </w:p>
          <w:p w14:paraId="6ABFEF55" w14:textId="77777777" w:rsidR="006370C4" w:rsidRPr="00282047" w:rsidRDefault="006370C4" w:rsidP="006370C4">
            <w:pPr>
              <w:spacing w:after="0" w:line="240" w:lineRule="auto"/>
              <w:jc w:val="center"/>
              <w:rPr>
                <w:rFonts w:ascii="Calibri" w:eastAsia="Times New Roman" w:hAnsi="Calibri" w:cs="Calibri"/>
                <w:b/>
                <w:bCs/>
              </w:rPr>
            </w:pPr>
          </w:p>
        </w:tc>
        <w:tc>
          <w:tcPr>
            <w:tcW w:w="2167" w:type="dxa"/>
            <w:tcBorders>
              <w:top w:val="single" w:sz="4" w:space="0" w:color="auto"/>
            </w:tcBorders>
            <w:tcMar>
              <w:top w:w="30" w:type="dxa"/>
              <w:left w:w="45" w:type="dxa"/>
              <w:bottom w:w="30" w:type="dxa"/>
              <w:right w:w="45" w:type="dxa"/>
            </w:tcMar>
            <w:vAlign w:val="bottom"/>
            <w:hideMark/>
          </w:tcPr>
          <w:p w14:paraId="604D89C9" w14:textId="77777777" w:rsidR="00282047" w:rsidRPr="00282047" w:rsidRDefault="00282047" w:rsidP="006370C4">
            <w:pPr>
              <w:spacing w:after="0" w:line="240" w:lineRule="auto"/>
              <w:jc w:val="center"/>
              <w:rPr>
                <w:rFonts w:ascii="Calibri" w:eastAsia="Times New Roman" w:hAnsi="Calibri" w:cs="Calibri"/>
                <w:b/>
                <w:bCs/>
              </w:rPr>
            </w:pPr>
            <w:r w:rsidRPr="00282047">
              <w:rPr>
                <w:rFonts w:ascii="Calibri" w:eastAsia="Times New Roman" w:hAnsi="Calibri" w:cs="Calibri"/>
                <w:b/>
                <w:bCs/>
                <w:sz w:val="22"/>
                <w:szCs w:val="22"/>
              </w:rPr>
              <w:t>Current Ratio</w:t>
            </w:r>
          </w:p>
        </w:tc>
        <w:tc>
          <w:tcPr>
            <w:tcW w:w="1175" w:type="dxa"/>
            <w:tcBorders>
              <w:top w:val="single" w:sz="4" w:space="0" w:color="auto"/>
            </w:tcBorders>
            <w:tcMar>
              <w:top w:w="30" w:type="dxa"/>
              <w:left w:w="45" w:type="dxa"/>
              <w:bottom w:w="30" w:type="dxa"/>
              <w:right w:w="45" w:type="dxa"/>
            </w:tcMar>
            <w:vAlign w:val="bottom"/>
            <w:hideMark/>
          </w:tcPr>
          <w:p w14:paraId="19ABD22B" w14:textId="77777777" w:rsidR="00282047" w:rsidRPr="00282047" w:rsidRDefault="00282047" w:rsidP="006370C4">
            <w:pPr>
              <w:spacing w:after="0" w:line="240" w:lineRule="auto"/>
              <w:jc w:val="center"/>
              <w:rPr>
                <w:rFonts w:ascii="Calibri" w:eastAsia="Times New Roman" w:hAnsi="Calibri" w:cs="Calibri"/>
              </w:rPr>
            </w:pPr>
            <w:r w:rsidRPr="00282047">
              <w:rPr>
                <w:rFonts w:ascii="Calibri" w:eastAsia="Times New Roman" w:hAnsi="Calibri" w:cs="Calibri"/>
                <w:sz w:val="22"/>
                <w:szCs w:val="22"/>
              </w:rPr>
              <w:t>1.29</w:t>
            </w:r>
          </w:p>
        </w:tc>
        <w:tc>
          <w:tcPr>
            <w:tcW w:w="990" w:type="dxa"/>
            <w:tcBorders>
              <w:top w:val="single" w:sz="4" w:space="0" w:color="auto"/>
            </w:tcBorders>
            <w:tcMar>
              <w:top w:w="30" w:type="dxa"/>
              <w:left w:w="45" w:type="dxa"/>
              <w:bottom w:w="30" w:type="dxa"/>
              <w:right w:w="45" w:type="dxa"/>
            </w:tcMar>
            <w:vAlign w:val="bottom"/>
            <w:hideMark/>
          </w:tcPr>
          <w:p w14:paraId="6FAA6F8B" w14:textId="77777777" w:rsidR="00282047" w:rsidRPr="00282047" w:rsidRDefault="00282047" w:rsidP="006370C4">
            <w:pPr>
              <w:spacing w:after="0" w:line="240" w:lineRule="auto"/>
              <w:jc w:val="center"/>
              <w:rPr>
                <w:rFonts w:ascii="Calibri" w:eastAsia="Times New Roman" w:hAnsi="Calibri" w:cs="Calibri"/>
              </w:rPr>
            </w:pPr>
            <w:r w:rsidRPr="00282047">
              <w:rPr>
                <w:rFonts w:ascii="Calibri" w:eastAsia="Times New Roman" w:hAnsi="Calibri" w:cs="Calibri"/>
                <w:sz w:val="22"/>
                <w:szCs w:val="22"/>
              </w:rPr>
              <w:t>1.47</w:t>
            </w:r>
          </w:p>
        </w:tc>
        <w:tc>
          <w:tcPr>
            <w:tcW w:w="728" w:type="dxa"/>
            <w:tcBorders>
              <w:top w:val="single" w:sz="4" w:space="0" w:color="auto"/>
            </w:tcBorders>
            <w:tcMar>
              <w:top w:w="30" w:type="dxa"/>
              <w:left w:w="45" w:type="dxa"/>
              <w:bottom w:w="30" w:type="dxa"/>
              <w:right w:w="45" w:type="dxa"/>
            </w:tcMar>
            <w:vAlign w:val="bottom"/>
            <w:hideMark/>
          </w:tcPr>
          <w:p w14:paraId="788622FA" w14:textId="77777777" w:rsidR="00282047" w:rsidRPr="00282047" w:rsidRDefault="00282047" w:rsidP="006370C4">
            <w:pPr>
              <w:spacing w:after="0" w:line="240" w:lineRule="auto"/>
              <w:jc w:val="center"/>
              <w:rPr>
                <w:rFonts w:ascii="Calibri" w:eastAsia="Times New Roman" w:hAnsi="Calibri" w:cs="Calibri"/>
              </w:rPr>
            </w:pPr>
            <w:r w:rsidRPr="00282047">
              <w:rPr>
                <w:rFonts w:ascii="Calibri" w:eastAsia="Times New Roman" w:hAnsi="Calibri" w:cs="Calibri"/>
                <w:sz w:val="22"/>
                <w:szCs w:val="22"/>
              </w:rPr>
              <w:t>1.84</w:t>
            </w:r>
          </w:p>
        </w:tc>
        <w:tc>
          <w:tcPr>
            <w:tcW w:w="1093" w:type="dxa"/>
            <w:tcBorders>
              <w:top w:val="single" w:sz="4" w:space="0" w:color="auto"/>
            </w:tcBorders>
            <w:tcMar>
              <w:top w:w="30" w:type="dxa"/>
              <w:left w:w="45" w:type="dxa"/>
              <w:bottom w:w="30" w:type="dxa"/>
              <w:right w:w="45" w:type="dxa"/>
            </w:tcMar>
            <w:vAlign w:val="bottom"/>
            <w:hideMark/>
          </w:tcPr>
          <w:p w14:paraId="4CF8B7D9" w14:textId="77777777" w:rsidR="00282047" w:rsidRPr="00282047" w:rsidRDefault="00282047" w:rsidP="006370C4">
            <w:pPr>
              <w:spacing w:after="0" w:line="240" w:lineRule="auto"/>
              <w:jc w:val="center"/>
              <w:rPr>
                <w:rFonts w:ascii="Calibri" w:eastAsia="Times New Roman" w:hAnsi="Calibri" w:cs="Calibri"/>
              </w:rPr>
            </w:pPr>
            <w:r w:rsidRPr="00282047">
              <w:rPr>
                <w:rFonts w:ascii="Calibri" w:eastAsia="Times New Roman" w:hAnsi="Calibri" w:cs="Calibri"/>
                <w:sz w:val="22"/>
                <w:szCs w:val="22"/>
              </w:rPr>
              <w:t>1.47</w:t>
            </w:r>
          </w:p>
        </w:tc>
        <w:tc>
          <w:tcPr>
            <w:tcW w:w="1282" w:type="dxa"/>
            <w:tcBorders>
              <w:top w:val="single" w:sz="4" w:space="0" w:color="auto"/>
            </w:tcBorders>
            <w:tcMar>
              <w:top w:w="30" w:type="dxa"/>
              <w:left w:w="45" w:type="dxa"/>
              <w:bottom w:w="30" w:type="dxa"/>
              <w:right w:w="45" w:type="dxa"/>
            </w:tcMar>
            <w:vAlign w:val="bottom"/>
            <w:hideMark/>
          </w:tcPr>
          <w:p w14:paraId="7CB1D060" w14:textId="77777777" w:rsidR="00282047" w:rsidRPr="00282047" w:rsidRDefault="00282047" w:rsidP="006370C4">
            <w:pPr>
              <w:spacing w:after="0" w:line="240" w:lineRule="auto"/>
              <w:jc w:val="center"/>
              <w:rPr>
                <w:rFonts w:ascii="Calibri" w:eastAsia="Times New Roman" w:hAnsi="Calibri" w:cs="Calibri"/>
              </w:rPr>
            </w:pPr>
            <w:r w:rsidRPr="00282047">
              <w:rPr>
                <w:rFonts w:ascii="Calibri" w:eastAsia="Times New Roman" w:hAnsi="Calibri" w:cs="Calibri"/>
                <w:sz w:val="22"/>
                <w:szCs w:val="22"/>
              </w:rPr>
              <w:t>1.69</w:t>
            </w:r>
          </w:p>
        </w:tc>
      </w:tr>
      <w:tr w:rsidR="006370C4" w:rsidRPr="00282047" w14:paraId="21671C9A" w14:textId="77777777" w:rsidTr="006370C4">
        <w:trPr>
          <w:trHeight w:val="315"/>
        </w:trPr>
        <w:tc>
          <w:tcPr>
            <w:tcW w:w="0" w:type="auto"/>
            <w:vMerge/>
            <w:vAlign w:val="center"/>
            <w:hideMark/>
          </w:tcPr>
          <w:p w14:paraId="6465267A" w14:textId="77777777" w:rsidR="00282047" w:rsidRPr="00282047" w:rsidRDefault="00282047" w:rsidP="006370C4">
            <w:pPr>
              <w:spacing w:after="0" w:line="240" w:lineRule="auto"/>
              <w:jc w:val="center"/>
              <w:rPr>
                <w:rFonts w:ascii="Calibri" w:eastAsia="Times New Roman" w:hAnsi="Calibri" w:cs="Calibri"/>
                <w:b/>
                <w:bCs/>
              </w:rPr>
            </w:pPr>
          </w:p>
        </w:tc>
        <w:tc>
          <w:tcPr>
            <w:tcW w:w="2167" w:type="dxa"/>
            <w:tcMar>
              <w:top w:w="30" w:type="dxa"/>
              <w:left w:w="45" w:type="dxa"/>
              <w:bottom w:w="30" w:type="dxa"/>
              <w:right w:w="45" w:type="dxa"/>
            </w:tcMar>
            <w:vAlign w:val="bottom"/>
            <w:hideMark/>
          </w:tcPr>
          <w:p w14:paraId="178202D2" w14:textId="77777777" w:rsidR="00282047" w:rsidRPr="00282047" w:rsidRDefault="00282047" w:rsidP="006370C4">
            <w:pPr>
              <w:spacing w:after="0" w:line="240" w:lineRule="auto"/>
              <w:jc w:val="center"/>
              <w:rPr>
                <w:rFonts w:ascii="Calibri" w:eastAsia="Times New Roman" w:hAnsi="Calibri" w:cs="Calibri"/>
                <w:b/>
                <w:bCs/>
              </w:rPr>
            </w:pPr>
            <w:r w:rsidRPr="00282047">
              <w:rPr>
                <w:rFonts w:ascii="Calibri" w:eastAsia="Times New Roman" w:hAnsi="Calibri" w:cs="Calibri"/>
                <w:b/>
                <w:bCs/>
                <w:sz w:val="22"/>
                <w:szCs w:val="22"/>
              </w:rPr>
              <w:t>Quick Ratio</w:t>
            </w:r>
          </w:p>
        </w:tc>
        <w:tc>
          <w:tcPr>
            <w:tcW w:w="1175" w:type="dxa"/>
            <w:tcMar>
              <w:top w:w="30" w:type="dxa"/>
              <w:left w:w="45" w:type="dxa"/>
              <w:bottom w:w="30" w:type="dxa"/>
              <w:right w:w="45" w:type="dxa"/>
            </w:tcMar>
            <w:hideMark/>
          </w:tcPr>
          <w:p w14:paraId="71B2E65D" w14:textId="77777777" w:rsidR="00282047" w:rsidRPr="00282047" w:rsidRDefault="00282047" w:rsidP="006370C4">
            <w:pPr>
              <w:spacing w:after="0" w:line="240" w:lineRule="auto"/>
              <w:jc w:val="center"/>
              <w:rPr>
                <w:rFonts w:ascii="Calibri" w:eastAsia="Times New Roman" w:hAnsi="Calibri" w:cs="Calibri"/>
              </w:rPr>
            </w:pPr>
            <w:r w:rsidRPr="00282047">
              <w:rPr>
                <w:rFonts w:ascii="Calibri" w:eastAsia="Times New Roman" w:hAnsi="Calibri" w:cs="Calibri"/>
                <w:sz w:val="22"/>
                <w:szCs w:val="22"/>
              </w:rPr>
              <w:t>0.78</w:t>
            </w:r>
          </w:p>
        </w:tc>
        <w:tc>
          <w:tcPr>
            <w:tcW w:w="990" w:type="dxa"/>
            <w:tcMar>
              <w:top w:w="30" w:type="dxa"/>
              <w:left w:w="45" w:type="dxa"/>
              <w:bottom w:w="30" w:type="dxa"/>
              <w:right w:w="45" w:type="dxa"/>
            </w:tcMar>
            <w:hideMark/>
          </w:tcPr>
          <w:p w14:paraId="773C60D6" w14:textId="77777777" w:rsidR="00282047" w:rsidRPr="00282047" w:rsidRDefault="00282047" w:rsidP="006370C4">
            <w:pPr>
              <w:spacing w:after="0" w:line="240" w:lineRule="auto"/>
              <w:jc w:val="center"/>
              <w:rPr>
                <w:rFonts w:ascii="Calibri" w:eastAsia="Times New Roman" w:hAnsi="Calibri" w:cs="Calibri"/>
              </w:rPr>
            </w:pPr>
            <w:r w:rsidRPr="00282047">
              <w:rPr>
                <w:rFonts w:ascii="Calibri" w:eastAsia="Times New Roman" w:hAnsi="Calibri" w:cs="Calibri"/>
                <w:sz w:val="22"/>
                <w:szCs w:val="22"/>
              </w:rPr>
              <w:t>0.92</w:t>
            </w:r>
          </w:p>
        </w:tc>
        <w:tc>
          <w:tcPr>
            <w:tcW w:w="728" w:type="dxa"/>
            <w:tcMar>
              <w:top w:w="30" w:type="dxa"/>
              <w:left w:w="45" w:type="dxa"/>
              <w:bottom w:w="30" w:type="dxa"/>
              <w:right w:w="45" w:type="dxa"/>
            </w:tcMar>
            <w:hideMark/>
          </w:tcPr>
          <w:p w14:paraId="625BF6E3" w14:textId="77777777" w:rsidR="00282047" w:rsidRPr="00282047" w:rsidRDefault="00282047" w:rsidP="006370C4">
            <w:pPr>
              <w:spacing w:after="0" w:line="240" w:lineRule="auto"/>
              <w:jc w:val="center"/>
              <w:rPr>
                <w:rFonts w:ascii="Calibri" w:eastAsia="Times New Roman" w:hAnsi="Calibri" w:cs="Calibri"/>
              </w:rPr>
            </w:pPr>
            <w:r w:rsidRPr="00282047">
              <w:rPr>
                <w:rFonts w:ascii="Calibri" w:eastAsia="Times New Roman" w:hAnsi="Calibri" w:cs="Calibri"/>
                <w:sz w:val="22"/>
                <w:szCs w:val="22"/>
              </w:rPr>
              <w:t>1.14</w:t>
            </w:r>
          </w:p>
        </w:tc>
        <w:tc>
          <w:tcPr>
            <w:tcW w:w="1093" w:type="dxa"/>
            <w:tcMar>
              <w:top w:w="30" w:type="dxa"/>
              <w:left w:w="45" w:type="dxa"/>
              <w:bottom w:w="30" w:type="dxa"/>
              <w:right w:w="45" w:type="dxa"/>
            </w:tcMar>
            <w:hideMark/>
          </w:tcPr>
          <w:p w14:paraId="7D1B5A1F" w14:textId="77777777" w:rsidR="00282047" w:rsidRPr="00282047" w:rsidRDefault="00282047" w:rsidP="006370C4">
            <w:pPr>
              <w:spacing w:after="0" w:line="240" w:lineRule="auto"/>
              <w:jc w:val="center"/>
              <w:rPr>
                <w:rFonts w:ascii="Calibri" w:eastAsia="Times New Roman" w:hAnsi="Calibri" w:cs="Calibri"/>
              </w:rPr>
            </w:pPr>
            <w:r w:rsidRPr="00282047">
              <w:rPr>
                <w:rFonts w:ascii="Calibri" w:eastAsia="Times New Roman" w:hAnsi="Calibri" w:cs="Calibri"/>
                <w:sz w:val="22"/>
                <w:szCs w:val="22"/>
              </w:rPr>
              <w:t>0.84</w:t>
            </w:r>
          </w:p>
        </w:tc>
        <w:tc>
          <w:tcPr>
            <w:tcW w:w="1282" w:type="dxa"/>
            <w:tcMar>
              <w:top w:w="30" w:type="dxa"/>
              <w:left w:w="45" w:type="dxa"/>
              <w:bottom w:w="30" w:type="dxa"/>
              <w:right w:w="45" w:type="dxa"/>
            </w:tcMar>
            <w:hideMark/>
          </w:tcPr>
          <w:p w14:paraId="1D5D5A8A" w14:textId="77777777" w:rsidR="00282047" w:rsidRPr="00282047" w:rsidRDefault="00282047" w:rsidP="006370C4">
            <w:pPr>
              <w:spacing w:after="0" w:line="240" w:lineRule="auto"/>
              <w:jc w:val="center"/>
              <w:rPr>
                <w:rFonts w:ascii="Calibri" w:eastAsia="Times New Roman" w:hAnsi="Calibri" w:cs="Calibri"/>
              </w:rPr>
            </w:pPr>
            <w:r w:rsidRPr="00282047">
              <w:rPr>
                <w:rFonts w:ascii="Calibri" w:eastAsia="Times New Roman" w:hAnsi="Calibri" w:cs="Calibri"/>
                <w:sz w:val="22"/>
                <w:szCs w:val="22"/>
              </w:rPr>
              <w:t>0.90</w:t>
            </w:r>
          </w:p>
        </w:tc>
      </w:tr>
      <w:tr w:rsidR="006370C4" w:rsidRPr="00282047" w14:paraId="09317147" w14:textId="77777777" w:rsidTr="006370C4">
        <w:trPr>
          <w:trHeight w:val="315"/>
        </w:trPr>
        <w:tc>
          <w:tcPr>
            <w:tcW w:w="0" w:type="auto"/>
            <w:vMerge/>
            <w:vAlign w:val="center"/>
            <w:hideMark/>
          </w:tcPr>
          <w:p w14:paraId="0BC109D4" w14:textId="77777777" w:rsidR="00282047" w:rsidRPr="00282047" w:rsidRDefault="00282047" w:rsidP="006370C4">
            <w:pPr>
              <w:spacing w:after="0" w:line="240" w:lineRule="auto"/>
              <w:jc w:val="center"/>
              <w:rPr>
                <w:rFonts w:ascii="Calibri" w:eastAsia="Times New Roman" w:hAnsi="Calibri" w:cs="Calibri"/>
                <w:b/>
                <w:bCs/>
              </w:rPr>
            </w:pPr>
          </w:p>
        </w:tc>
        <w:tc>
          <w:tcPr>
            <w:tcW w:w="2167" w:type="dxa"/>
            <w:tcMar>
              <w:top w:w="30" w:type="dxa"/>
              <w:left w:w="45" w:type="dxa"/>
              <w:bottom w:w="30" w:type="dxa"/>
              <w:right w:w="45" w:type="dxa"/>
            </w:tcMar>
            <w:vAlign w:val="bottom"/>
            <w:hideMark/>
          </w:tcPr>
          <w:p w14:paraId="07A2C13E" w14:textId="77777777" w:rsidR="00282047" w:rsidRPr="00282047" w:rsidRDefault="00282047" w:rsidP="006370C4">
            <w:pPr>
              <w:spacing w:after="0" w:line="240" w:lineRule="auto"/>
              <w:jc w:val="center"/>
              <w:rPr>
                <w:rFonts w:ascii="Calibri" w:eastAsia="Times New Roman" w:hAnsi="Calibri" w:cs="Calibri"/>
                <w:b/>
                <w:bCs/>
              </w:rPr>
            </w:pPr>
            <w:r w:rsidRPr="00282047">
              <w:rPr>
                <w:rFonts w:ascii="Calibri" w:eastAsia="Times New Roman" w:hAnsi="Calibri" w:cs="Calibri"/>
                <w:b/>
                <w:bCs/>
                <w:sz w:val="22"/>
                <w:szCs w:val="22"/>
              </w:rPr>
              <w:t>Cash Ratio</w:t>
            </w:r>
          </w:p>
        </w:tc>
        <w:tc>
          <w:tcPr>
            <w:tcW w:w="1175" w:type="dxa"/>
            <w:tcMar>
              <w:top w:w="30" w:type="dxa"/>
              <w:left w:w="45" w:type="dxa"/>
              <w:bottom w:w="30" w:type="dxa"/>
              <w:right w:w="45" w:type="dxa"/>
            </w:tcMar>
            <w:hideMark/>
          </w:tcPr>
          <w:p w14:paraId="09DC15FC" w14:textId="77777777" w:rsidR="00282047" w:rsidRPr="00282047" w:rsidRDefault="00282047" w:rsidP="006370C4">
            <w:pPr>
              <w:spacing w:after="0" w:line="240" w:lineRule="auto"/>
              <w:jc w:val="center"/>
              <w:rPr>
                <w:rFonts w:ascii="Calibri" w:eastAsia="Times New Roman" w:hAnsi="Calibri" w:cs="Calibri"/>
              </w:rPr>
            </w:pPr>
            <w:r w:rsidRPr="00282047">
              <w:rPr>
                <w:rFonts w:ascii="Calibri" w:eastAsia="Times New Roman" w:hAnsi="Calibri" w:cs="Calibri"/>
                <w:sz w:val="22"/>
                <w:szCs w:val="22"/>
              </w:rPr>
              <w:t>0.11</w:t>
            </w:r>
          </w:p>
        </w:tc>
        <w:tc>
          <w:tcPr>
            <w:tcW w:w="990" w:type="dxa"/>
            <w:tcMar>
              <w:top w:w="30" w:type="dxa"/>
              <w:left w:w="45" w:type="dxa"/>
              <w:bottom w:w="30" w:type="dxa"/>
              <w:right w:w="45" w:type="dxa"/>
            </w:tcMar>
            <w:hideMark/>
          </w:tcPr>
          <w:p w14:paraId="5B440956" w14:textId="77777777" w:rsidR="00282047" w:rsidRPr="00282047" w:rsidRDefault="00282047" w:rsidP="006370C4">
            <w:pPr>
              <w:spacing w:after="0" w:line="240" w:lineRule="auto"/>
              <w:jc w:val="center"/>
              <w:rPr>
                <w:rFonts w:ascii="Calibri" w:eastAsia="Times New Roman" w:hAnsi="Calibri" w:cs="Calibri"/>
              </w:rPr>
            </w:pPr>
            <w:r w:rsidRPr="00282047">
              <w:rPr>
                <w:rFonts w:ascii="Calibri" w:eastAsia="Times New Roman" w:hAnsi="Calibri" w:cs="Calibri"/>
                <w:sz w:val="22"/>
                <w:szCs w:val="22"/>
              </w:rPr>
              <w:t>0.33</w:t>
            </w:r>
          </w:p>
        </w:tc>
        <w:tc>
          <w:tcPr>
            <w:tcW w:w="728" w:type="dxa"/>
            <w:tcMar>
              <w:top w:w="30" w:type="dxa"/>
              <w:left w:w="45" w:type="dxa"/>
              <w:bottom w:w="30" w:type="dxa"/>
              <w:right w:w="45" w:type="dxa"/>
            </w:tcMar>
            <w:hideMark/>
          </w:tcPr>
          <w:p w14:paraId="5C270933" w14:textId="77777777" w:rsidR="00282047" w:rsidRPr="00282047" w:rsidRDefault="00282047" w:rsidP="006370C4">
            <w:pPr>
              <w:spacing w:after="0" w:line="240" w:lineRule="auto"/>
              <w:jc w:val="center"/>
              <w:rPr>
                <w:rFonts w:ascii="Calibri" w:eastAsia="Times New Roman" w:hAnsi="Calibri" w:cs="Calibri"/>
              </w:rPr>
            </w:pPr>
            <w:r w:rsidRPr="00282047">
              <w:rPr>
                <w:rFonts w:ascii="Calibri" w:eastAsia="Times New Roman" w:hAnsi="Calibri" w:cs="Calibri"/>
                <w:sz w:val="22"/>
                <w:szCs w:val="22"/>
              </w:rPr>
              <w:t>0.45</w:t>
            </w:r>
          </w:p>
        </w:tc>
        <w:tc>
          <w:tcPr>
            <w:tcW w:w="1093" w:type="dxa"/>
            <w:tcMar>
              <w:top w:w="30" w:type="dxa"/>
              <w:left w:w="45" w:type="dxa"/>
              <w:bottom w:w="30" w:type="dxa"/>
              <w:right w:w="45" w:type="dxa"/>
            </w:tcMar>
            <w:hideMark/>
          </w:tcPr>
          <w:p w14:paraId="6098C503" w14:textId="77777777" w:rsidR="00282047" w:rsidRPr="00282047" w:rsidRDefault="00282047" w:rsidP="006370C4">
            <w:pPr>
              <w:spacing w:after="0" w:line="240" w:lineRule="auto"/>
              <w:jc w:val="center"/>
              <w:rPr>
                <w:rFonts w:ascii="Calibri" w:eastAsia="Times New Roman" w:hAnsi="Calibri" w:cs="Calibri"/>
              </w:rPr>
            </w:pPr>
            <w:r w:rsidRPr="00282047">
              <w:rPr>
                <w:rFonts w:ascii="Calibri" w:eastAsia="Times New Roman" w:hAnsi="Calibri" w:cs="Calibri"/>
                <w:sz w:val="22"/>
                <w:szCs w:val="22"/>
              </w:rPr>
              <w:t>0.21</w:t>
            </w:r>
          </w:p>
        </w:tc>
        <w:tc>
          <w:tcPr>
            <w:tcW w:w="1282" w:type="dxa"/>
            <w:tcMar>
              <w:top w:w="30" w:type="dxa"/>
              <w:left w:w="45" w:type="dxa"/>
              <w:bottom w:w="30" w:type="dxa"/>
              <w:right w:w="45" w:type="dxa"/>
            </w:tcMar>
            <w:hideMark/>
          </w:tcPr>
          <w:p w14:paraId="5FCAFBF9" w14:textId="77777777" w:rsidR="00282047" w:rsidRPr="00282047" w:rsidRDefault="00282047" w:rsidP="006370C4">
            <w:pPr>
              <w:spacing w:after="0" w:line="240" w:lineRule="auto"/>
              <w:jc w:val="center"/>
              <w:rPr>
                <w:rFonts w:ascii="Calibri" w:eastAsia="Times New Roman" w:hAnsi="Calibri" w:cs="Calibri"/>
              </w:rPr>
            </w:pPr>
            <w:r w:rsidRPr="00282047">
              <w:rPr>
                <w:rFonts w:ascii="Calibri" w:eastAsia="Times New Roman" w:hAnsi="Calibri" w:cs="Calibri"/>
                <w:sz w:val="22"/>
                <w:szCs w:val="22"/>
              </w:rPr>
              <w:t>0.14</w:t>
            </w:r>
          </w:p>
        </w:tc>
      </w:tr>
      <w:tr w:rsidR="006370C4" w:rsidRPr="00282047" w14:paraId="73AA4418" w14:textId="77777777" w:rsidTr="006370C4">
        <w:trPr>
          <w:trHeight w:val="315"/>
        </w:trPr>
        <w:tc>
          <w:tcPr>
            <w:tcW w:w="0" w:type="auto"/>
            <w:vMerge w:val="restart"/>
            <w:tcMar>
              <w:top w:w="30" w:type="dxa"/>
              <w:left w:w="45" w:type="dxa"/>
              <w:bottom w:w="30" w:type="dxa"/>
              <w:right w:w="45" w:type="dxa"/>
            </w:tcMar>
            <w:vAlign w:val="bottom"/>
            <w:hideMark/>
          </w:tcPr>
          <w:p w14:paraId="449FA83F" w14:textId="77777777" w:rsidR="00282047" w:rsidRPr="006370C4" w:rsidRDefault="00282047" w:rsidP="006370C4">
            <w:pPr>
              <w:spacing w:after="0" w:line="240" w:lineRule="auto"/>
              <w:jc w:val="center"/>
              <w:rPr>
                <w:rFonts w:ascii="Calibri" w:eastAsia="Times New Roman" w:hAnsi="Calibri" w:cs="Calibri"/>
                <w:b/>
                <w:bCs/>
              </w:rPr>
            </w:pPr>
            <w:r w:rsidRPr="00282047">
              <w:rPr>
                <w:rFonts w:ascii="Calibri" w:eastAsia="Times New Roman" w:hAnsi="Calibri" w:cs="Calibri"/>
                <w:b/>
                <w:bCs/>
                <w:sz w:val="22"/>
                <w:szCs w:val="22"/>
              </w:rPr>
              <w:t>Profitability Ratios</w:t>
            </w:r>
          </w:p>
          <w:p w14:paraId="3C065A85" w14:textId="77777777" w:rsidR="006370C4" w:rsidRPr="006370C4" w:rsidRDefault="006370C4" w:rsidP="006370C4">
            <w:pPr>
              <w:spacing w:after="0" w:line="240" w:lineRule="auto"/>
              <w:jc w:val="center"/>
              <w:rPr>
                <w:rFonts w:ascii="Calibri" w:eastAsia="Times New Roman" w:hAnsi="Calibri" w:cs="Calibri"/>
                <w:b/>
                <w:bCs/>
              </w:rPr>
            </w:pPr>
          </w:p>
          <w:p w14:paraId="5ACB6DCA" w14:textId="77777777" w:rsidR="006370C4" w:rsidRPr="006370C4" w:rsidRDefault="006370C4" w:rsidP="006370C4">
            <w:pPr>
              <w:spacing w:after="0" w:line="240" w:lineRule="auto"/>
              <w:jc w:val="center"/>
              <w:rPr>
                <w:rFonts w:ascii="Calibri" w:eastAsia="Times New Roman" w:hAnsi="Calibri" w:cs="Calibri"/>
                <w:b/>
                <w:bCs/>
              </w:rPr>
            </w:pPr>
          </w:p>
          <w:p w14:paraId="063FA6FF" w14:textId="77777777" w:rsidR="006370C4" w:rsidRPr="00282047" w:rsidRDefault="006370C4" w:rsidP="006370C4">
            <w:pPr>
              <w:spacing w:after="0" w:line="240" w:lineRule="auto"/>
              <w:jc w:val="center"/>
              <w:rPr>
                <w:rFonts w:ascii="Calibri" w:eastAsia="Times New Roman" w:hAnsi="Calibri" w:cs="Calibri"/>
                <w:b/>
                <w:bCs/>
              </w:rPr>
            </w:pPr>
          </w:p>
        </w:tc>
        <w:tc>
          <w:tcPr>
            <w:tcW w:w="2167" w:type="dxa"/>
            <w:tcMar>
              <w:top w:w="30" w:type="dxa"/>
              <w:left w:w="45" w:type="dxa"/>
              <w:bottom w:w="30" w:type="dxa"/>
              <w:right w:w="45" w:type="dxa"/>
            </w:tcMar>
            <w:vAlign w:val="bottom"/>
            <w:hideMark/>
          </w:tcPr>
          <w:p w14:paraId="52F630D8" w14:textId="77777777" w:rsidR="00282047" w:rsidRPr="00282047" w:rsidRDefault="00282047" w:rsidP="006370C4">
            <w:pPr>
              <w:spacing w:after="0" w:line="240" w:lineRule="auto"/>
              <w:jc w:val="center"/>
              <w:rPr>
                <w:rFonts w:ascii="Calibri" w:eastAsia="Times New Roman" w:hAnsi="Calibri" w:cs="Calibri"/>
                <w:b/>
                <w:bCs/>
              </w:rPr>
            </w:pPr>
            <w:r w:rsidRPr="00282047">
              <w:rPr>
                <w:rFonts w:ascii="Calibri" w:eastAsia="Times New Roman" w:hAnsi="Calibri" w:cs="Calibri"/>
                <w:b/>
                <w:bCs/>
                <w:sz w:val="22"/>
                <w:szCs w:val="22"/>
              </w:rPr>
              <w:t>Gross Profit Margin</w:t>
            </w:r>
          </w:p>
        </w:tc>
        <w:tc>
          <w:tcPr>
            <w:tcW w:w="1175" w:type="dxa"/>
            <w:tcMar>
              <w:top w:w="30" w:type="dxa"/>
              <w:left w:w="45" w:type="dxa"/>
              <w:bottom w:w="30" w:type="dxa"/>
              <w:right w:w="45" w:type="dxa"/>
            </w:tcMar>
            <w:hideMark/>
          </w:tcPr>
          <w:p w14:paraId="49BCAEC0" w14:textId="77777777" w:rsidR="00282047" w:rsidRPr="00282047" w:rsidRDefault="00282047" w:rsidP="006370C4">
            <w:pPr>
              <w:spacing w:after="0" w:line="240" w:lineRule="auto"/>
              <w:jc w:val="center"/>
              <w:rPr>
                <w:rFonts w:ascii="Calibri" w:eastAsia="Times New Roman" w:hAnsi="Calibri" w:cs="Calibri"/>
              </w:rPr>
            </w:pPr>
            <w:r w:rsidRPr="00282047">
              <w:rPr>
                <w:rFonts w:ascii="Calibri" w:eastAsia="Times New Roman" w:hAnsi="Calibri" w:cs="Calibri"/>
                <w:sz w:val="22"/>
                <w:szCs w:val="22"/>
              </w:rPr>
              <w:t>29.25%</w:t>
            </w:r>
          </w:p>
        </w:tc>
        <w:tc>
          <w:tcPr>
            <w:tcW w:w="990" w:type="dxa"/>
            <w:tcMar>
              <w:top w:w="30" w:type="dxa"/>
              <w:left w:w="45" w:type="dxa"/>
              <w:bottom w:w="30" w:type="dxa"/>
              <w:right w:w="45" w:type="dxa"/>
            </w:tcMar>
            <w:hideMark/>
          </w:tcPr>
          <w:p w14:paraId="6688E53F" w14:textId="77777777" w:rsidR="00282047" w:rsidRPr="00282047" w:rsidRDefault="00282047" w:rsidP="006370C4">
            <w:pPr>
              <w:spacing w:after="0" w:line="240" w:lineRule="auto"/>
              <w:jc w:val="center"/>
              <w:rPr>
                <w:rFonts w:ascii="Calibri" w:eastAsia="Times New Roman" w:hAnsi="Calibri" w:cs="Calibri"/>
              </w:rPr>
            </w:pPr>
            <w:r w:rsidRPr="00282047">
              <w:rPr>
                <w:rFonts w:ascii="Calibri" w:eastAsia="Times New Roman" w:hAnsi="Calibri" w:cs="Calibri"/>
                <w:sz w:val="22"/>
                <w:szCs w:val="22"/>
              </w:rPr>
              <w:t>28.02%</w:t>
            </w:r>
          </w:p>
        </w:tc>
        <w:tc>
          <w:tcPr>
            <w:tcW w:w="728" w:type="dxa"/>
            <w:tcMar>
              <w:top w:w="30" w:type="dxa"/>
              <w:left w:w="45" w:type="dxa"/>
              <w:bottom w:w="30" w:type="dxa"/>
              <w:right w:w="45" w:type="dxa"/>
            </w:tcMar>
            <w:hideMark/>
          </w:tcPr>
          <w:p w14:paraId="2CCF9880" w14:textId="77777777" w:rsidR="00282047" w:rsidRPr="00282047" w:rsidRDefault="00282047" w:rsidP="006370C4">
            <w:pPr>
              <w:spacing w:after="0" w:line="240" w:lineRule="auto"/>
              <w:jc w:val="center"/>
              <w:rPr>
                <w:rFonts w:ascii="Calibri" w:eastAsia="Times New Roman" w:hAnsi="Calibri" w:cs="Calibri"/>
              </w:rPr>
            </w:pPr>
            <w:r w:rsidRPr="00282047">
              <w:rPr>
                <w:rFonts w:ascii="Calibri" w:eastAsia="Times New Roman" w:hAnsi="Calibri" w:cs="Calibri"/>
                <w:sz w:val="22"/>
                <w:szCs w:val="22"/>
              </w:rPr>
              <w:t>28.53%</w:t>
            </w:r>
          </w:p>
        </w:tc>
        <w:tc>
          <w:tcPr>
            <w:tcW w:w="1093" w:type="dxa"/>
            <w:tcMar>
              <w:top w:w="30" w:type="dxa"/>
              <w:left w:w="45" w:type="dxa"/>
              <w:bottom w:w="30" w:type="dxa"/>
              <w:right w:w="45" w:type="dxa"/>
            </w:tcMar>
            <w:hideMark/>
          </w:tcPr>
          <w:p w14:paraId="331A2E95" w14:textId="77777777" w:rsidR="00282047" w:rsidRPr="00282047" w:rsidRDefault="00282047" w:rsidP="006370C4">
            <w:pPr>
              <w:spacing w:after="0" w:line="240" w:lineRule="auto"/>
              <w:jc w:val="center"/>
              <w:rPr>
                <w:rFonts w:ascii="Calibri" w:eastAsia="Times New Roman" w:hAnsi="Calibri" w:cs="Calibri"/>
              </w:rPr>
            </w:pPr>
            <w:r w:rsidRPr="00282047">
              <w:rPr>
                <w:rFonts w:ascii="Calibri" w:eastAsia="Times New Roman" w:hAnsi="Calibri" w:cs="Calibri"/>
                <w:sz w:val="22"/>
                <w:szCs w:val="22"/>
              </w:rPr>
              <w:t>27.72%</w:t>
            </w:r>
          </w:p>
        </w:tc>
        <w:tc>
          <w:tcPr>
            <w:tcW w:w="1282" w:type="dxa"/>
            <w:tcMar>
              <w:top w:w="30" w:type="dxa"/>
              <w:left w:w="45" w:type="dxa"/>
              <w:bottom w:w="30" w:type="dxa"/>
              <w:right w:w="45" w:type="dxa"/>
            </w:tcMar>
            <w:hideMark/>
          </w:tcPr>
          <w:p w14:paraId="0E79D9EE" w14:textId="77777777" w:rsidR="00282047" w:rsidRPr="00282047" w:rsidRDefault="00282047" w:rsidP="006370C4">
            <w:pPr>
              <w:spacing w:after="0" w:line="240" w:lineRule="auto"/>
              <w:jc w:val="center"/>
              <w:rPr>
                <w:rFonts w:ascii="Calibri" w:eastAsia="Times New Roman" w:hAnsi="Calibri" w:cs="Calibri"/>
              </w:rPr>
            </w:pPr>
            <w:r w:rsidRPr="00282047">
              <w:rPr>
                <w:rFonts w:ascii="Calibri" w:eastAsia="Times New Roman" w:hAnsi="Calibri" w:cs="Calibri"/>
                <w:sz w:val="22"/>
                <w:szCs w:val="22"/>
              </w:rPr>
              <w:t>26.86%</w:t>
            </w:r>
          </w:p>
        </w:tc>
      </w:tr>
      <w:tr w:rsidR="006370C4" w:rsidRPr="00282047" w14:paraId="52AD9D38" w14:textId="77777777" w:rsidTr="006370C4">
        <w:trPr>
          <w:trHeight w:val="315"/>
        </w:trPr>
        <w:tc>
          <w:tcPr>
            <w:tcW w:w="0" w:type="auto"/>
            <w:vMerge/>
            <w:vAlign w:val="center"/>
            <w:hideMark/>
          </w:tcPr>
          <w:p w14:paraId="6603353E" w14:textId="77777777" w:rsidR="00282047" w:rsidRPr="00282047" w:rsidRDefault="00282047" w:rsidP="006370C4">
            <w:pPr>
              <w:spacing w:after="0" w:line="240" w:lineRule="auto"/>
              <w:jc w:val="center"/>
              <w:rPr>
                <w:rFonts w:ascii="Calibri" w:eastAsia="Times New Roman" w:hAnsi="Calibri" w:cs="Calibri"/>
                <w:b/>
                <w:bCs/>
              </w:rPr>
            </w:pPr>
          </w:p>
        </w:tc>
        <w:tc>
          <w:tcPr>
            <w:tcW w:w="2167" w:type="dxa"/>
            <w:tcMar>
              <w:top w:w="30" w:type="dxa"/>
              <w:left w:w="45" w:type="dxa"/>
              <w:bottom w:w="30" w:type="dxa"/>
              <w:right w:w="45" w:type="dxa"/>
            </w:tcMar>
            <w:vAlign w:val="bottom"/>
            <w:hideMark/>
          </w:tcPr>
          <w:p w14:paraId="241E745A" w14:textId="77777777" w:rsidR="00282047" w:rsidRPr="00282047" w:rsidRDefault="00282047" w:rsidP="006370C4">
            <w:pPr>
              <w:spacing w:after="0" w:line="240" w:lineRule="auto"/>
              <w:jc w:val="center"/>
              <w:rPr>
                <w:rFonts w:ascii="Calibri" w:eastAsia="Times New Roman" w:hAnsi="Calibri" w:cs="Calibri"/>
                <w:b/>
                <w:bCs/>
              </w:rPr>
            </w:pPr>
            <w:r w:rsidRPr="00282047">
              <w:rPr>
                <w:rFonts w:ascii="Calibri" w:eastAsia="Times New Roman" w:hAnsi="Calibri" w:cs="Calibri"/>
                <w:b/>
                <w:bCs/>
                <w:sz w:val="22"/>
                <w:szCs w:val="22"/>
              </w:rPr>
              <w:t>Operating Profit Margin</w:t>
            </w:r>
          </w:p>
        </w:tc>
        <w:tc>
          <w:tcPr>
            <w:tcW w:w="1175" w:type="dxa"/>
            <w:tcMar>
              <w:top w:w="30" w:type="dxa"/>
              <w:left w:w="45" w:type="dxa"/>
              <w:bottom w:w="30" w:type="dxa"/>
              <w:right w:w="45" w:type="dxa"/>
            </w:tcMar>
            <w:hideMark/>
          </w:tcPr>
          <w:p w14:paraId="3F625898" w14:textId="77777777" w:rsidR="00282047" w:rsidRPr="00282047" w:rsidRDefault="00282047" w:rsidP="006370C4">
            <w:pPr>
              <w:spacing w:after="0" w:line="240" w:lineRule="auto"/>
              <w:jc w:val="center"/>
              <w:rPr>
                <w:rFonts w:ascii="Calibri" w:eastAsia="Times New Roman" w:hAnsi="Calibri" w:cs="Calibri"/>
              </w:rPr>
            </w:pPr>
            <w:r w:rsidRPr="00282047">
              <w:rPr>
                <w:rFonts w:ascii="Calibri" w:eastAsia="Times New Roman" w:hAnsi="Calibri" w:cs="Calibri"/>
                <w:sz w:val="22"/>
                <w:szCs w:val="22"/>
              </w:rPr>
              <w:t>3.34%</w:t>
            </w:r>
          </w:p>
        </w:tc>
        <w:tc>
          <w:tcPr>
            <w:tcW w:w="990" w:type="dxa"/>
            <w:tcMar>
              <w:top w:w="30" w:type="dxa"/>
              <w:left w:w="45" w:type="dxa"/>
              <w:bottom w:w="30" w:type="dxa"/>
              <w:right w:w="45" w:type="dxa"/>
            </w:tcMar>
            <w:hideMark/>
          </w:tcPr>
          <w:p w14:paraId="3AED8607" w14:textId="77777777" w:rsidR="00282047" w:rsidRPr="00282047" w:rsidRDefault="00282047" w:rsidP="006370C4">
            <w:pPr>
              <w:spacing w:after="0" w:line="240" w:lineRule="auto"/>
              <w:jc w:val="center"/>
              <w:rPr>
                <w:rFonts w:ascii="Calibri" w:eastAsia="Times New Roman" w:hAnsi="Calibri" w:cs="Calibri"/>
              </w:rPr>
            </w:pPr>
            <w:r w:rsidRPr="00282047">
              <w:rPr>
                <w:rFonts w:ascii="Calibri" w:eastAsia="Times New Roman" w:hAnsi="Calibri" w:cs="Calibri"/>
                <w:sz w:val="22"/>
                <w:szCs w:val="22"/>
              </w:rPr>
              <w:t>0.73%</w:t>
            </w:r>
          </w:p>
        </w:tc>
        <w:tc>
          <w:tcPr>
            <w:tcW w:w="728" w:type="dxa"/>
            <w:tcMar>
              <w:top w:w="30" w:type="dxa"/>
              <w:left w:w="45" w:type="dxa"/>
              <w:bottom w:w="30" w:type="dxa"/>
              <w:right w:w="45" w:type="dxa"/>
            </w:tcMar>
            <w:hideMark/>
          </w:tcPr>
          <w:p w14:paraId="453B86F8" w14:textId="77777777" w:rsidR="00282047" w:rsidRPr="00282047" w:rsidRDefault="00282047" w:rsidP="006370C4">
            <w:pPr>
              <w:spacing w:after="0" w:line="240" w:lineRule="auto"/>
              <w:jc w:val="center"/>
              <w:rPr>
                <w:rFonts w:ascii="Calibri" w:eastAsia="Times New Roman" w:hAnsi="Calibri" w:cs="Calibri"/>
              </w:rPr>
            </w:pPr>
            <w:r w:rsidRPr="00282047">
              <w:rPr>
                <w:rFonts w:ascii="Calibri" w:eastAsia="Times New Roman" w:hAnsi="Calibri" w:cs="Calibri"/>
                <w:sz w:val="22"/>
                <w:szCs w:val="22"/>
              </w:rPr>
              <w:t>7.60%</w:t>
            </w:r>
          </w:p>
        </w:tc>
        <w:tc>
          <w:tcPr>
            <w:tcW w:w="1093" w:type="dxa"/>
            <w:tcMar>
              <w:top w:w="30" w:type="dxa"/>
              <w:left w:w="45" w:type="dxa"/>
              <w:bottom w:w="30" w:type="dxa"/>
              <w:right w:w="45" w:type="dxa"/>
            </w:tcMar>
            <w:hideMark/>
          </w:tcPr>
          <w:p w14:paraId="17B5BC6D" w14:textId="77777777" w:rsidR="00282047" w:rsidRPr="00282047" w:rsidRDefault="00282047" w:rsidP="006370C4">
            <w:pPr>
              <w:spacing w:after="0" w:line="240" w:lineRule="auto"/>
              <w:jc w:val="center"/>
              <w:rPr>
                <w:rFonts w:ascii="Calibri" w:eastAsia="Times New Roman" w:hAnsi="Calibri" w:cs="Calibri"/>
              </w:rPr>
            </w:pPr>
            <w:r w:rsidRPr="00282047">
              <w:rPr>
                <w:rFonts w:ascii="Calibri" w:eastAsia="Times New Roman" w:hAnsi="Calibri" w:cs="Calibri"/>
                <w:sz w:val="22"/>
                <w:szCs w:val="22"/>
              </w:rPr>
              <w:t>5.91%</w:t>
            </w:r>
          </w:p>
        </w:tc>
        <w:tc>
          <w:tcPr>
            <w:tcW w:w="1282" w:type="dxa"/>
            <w:tcMar>
              <w:top w:w="30" w:type="dxa"/>
              <w:left w:w="45" w:type="dxa"/>
              <w:bottom w:w="30" w:type="dxa"/>
              <w:right w:w="45" w:type="dxa"/>
            </w:tcMar>
            <w:hideMark/>
          </w:tcPr>
          <w:p w14:paraId="320A5D64" w14:textId="77777777" w:rsidR="00282047" w:rsidRPr="00282047" w:rsidRDefault="00282047" w:rsidP="006370C4">
            <w:pPr>
              <w:spacing w:after="0" w:line="240" w:lineRule="auto"/>
              <w:jc w:val="center"/>
              <w:rPr>
                <w:rFonts w:ascii="Calibri" w:eastAsia="Times New Roman" w:hAnsi="Calibri" w:cs="Calibri"/>
              </w:rPr>
            </w:pPr>
            <w:r w:rsidRPr="00282047">
              <w:rPr>
                <w:rFonts w:ascii="Calibri" w:eastAsia="Times New Roman" w:hAnsi="Calibri" w:cs="Calibri"/>
                <w:sz w:val="22"/>
                <w:szCs w:val="22"/>
              </w:rPr>
              <w:t>2.26%</w:t>
            </w:r>
          </w:p>
        </w:tc>
      </w:tr>
      <w:tr w:rsidR="006370C4" w:rsidRPr="00282047" w14:paraId="00581FEE" w14:textId="77777777" w:rsidTr="006370C4">
        <w:trPr>
          <w:trHeight w:val="315"/>
        </w:trPr>
        <w:tc>
          <w:tcPr>
            <w:tcW w:w="0" w:type="auto"/>
            <w:vMerge/>
            <w:vAlign w:val="center"/>
            <w:hideMark/>
          </w:tcPr>
          <w:p w14:paraId="697549A7" w14:textId="77777777" w:rsidR="00282047" w:rsidRPr="00282047" w:rsidRDefault="00282047" w:rsidP="006370C4">
            <w:pPr>
              <w:spacing w:after="0" w:line="240" w:lineRule="auto"/>
              <w:jc w:val="center"/>
              <w:rPr>
                <w:rFonts w:ascii="Calibri" w:eastAsia="Times New Roman" w:hAnsi="Calibri" w:cs="Calibri"/>
                <w:b/>
                <w:bCs/>
              </w:rPr>
            </w:pPr>
          </w:p>
        </w:tc>
        <w:tc>
          <w:tcPr>
            <w:tcW w:w="2167" w:type="dxa"/>
            <w:tcMar>
              <w:top w:w="30" w:type="dxa"/>
              <w:left w:w="45" w:type="dxa"/>
              <w:bottom w:w="30" w:type="dxa"/>
              <w:right w:w="45" w:type="dxa"/>
            </w:tcMar>
            <w:vAlign w:val="bottom"/>
            <w:hideMark/>
          </w:tcPr>
          <w:p w14:paraId="5397837A" w14:textId="77777777" w:rsidR="00282047" w:rsidRPr="00282047" w:rsidRDefault="00282047" w:rsidP="006370C4">
            <w:pPr>
              <w:spacing w:after="0" w:line="240" w:lineRule="auto"/>
              <w:jc w:val="center"/>
              <w:rPr>
                <w:rFonts w:ascii="Calibri" w:eastAsia="Times New Roman" w:hAnsi="Calibri" w:cs="Calibri"/>
                <w:b/>
                <w:bCs/>
              </w:rPr>
            </w:pPr>
            <w:r w:rsidRPr="00282047">
              <w:rPr>
                <w:rFonts w:ascii="Calibri" w:eastAsia="Times New Roman" w:hAnsi="Calibri" w:cs="Calibri"/>
                <w:b/>
                <w:bCs/>
                <w:sz w:val="22"/>
                <w:szCs w:val="22"/>
              </w:rPr>
              <w:t>Net Profit Margin</w:t>
            </w:r>
          </w:p>
        </w:tc>
        <w:tc>
          <w:tcPr>
            <w:tcW w:w="1175" w:type="dxa"/>
            <w:tcMar>
              <w:top w:w="30" w:type="dxa"/>
              <w:left w:w="45" w:type="dxa"/>
              <w:bottom w:w="30" w:type="dxa"/>
              <w:right w:w="45" w:type="dxa"/>
            </w:tcMar>
            <w:hideMark/>
          </w:tcPr>
          <w:p w14:paraId="769BCA2A" w14:textId="77777777" w:rsidR="00282047" w:rsidRPr="00282047" w:rsidRDefault="00282047" w:rsidP="006370C4">
            <w:pPr>
              <w:spacing w:after="0" w:line="240" w:lineRule="auto"/>
              <w:jc w:val="center"/>
              <w:rPr>
                <w:rFonts w:ascii="Calibri" w:eastAsia="Times New Roman" w:hAnsi="Calibri" w:cs="Calibri"/>
              </w:rPr>
            </w:pPr>
            <w:r w:rsidRPr="00282047">
              <w:rPr>
                <w:rFonts w:ascii="Calibri" w:eastAsia="Times New Roman" w:hAnsi="Calibri" w:cs="Calibri"/>
                <w:sz w:val="22"/>
                <w:szCs w:val="22"/>
              </w:rPr>
              <w:t>1.77%</w:t>
            </w:r>
          </w:p>
        </w:tc>
        <w:tc>
          <w:tcPr>
            <w:tcW w:w="990" w:type="dxa"/>
            <w:tcMar>
              <w:top w:w="30" w:type="dxa"/>
              <w:left w:w="45" w:type="dxa"/>
              <w:bottom w:w="30" w:type="dxa"/>
              <w:right w:w="45" w:type="dxa"/>
            </w:tcMar>
            <w:hideMark/>
          </w:tcPr>
          <w:p w14:paraId="51A7AE35" w14:textId="77777777" w:rsidR="00282047" w:rsidRPr="00282047" w:rsidRDefault="00282047" w:rsidP="006370C4">
            <w:pPr>
              <w:spacing w:after="0" w:line="240" w:lineRule="auto"/>
              <w:jc w:val="center"/>
              <w:rPr>
                <w:rFonts w:ascii="Calibri" w:eastAsia="Times New Roman" w:hAnsi="Calibri" w:cs="Calibri"/>
              </w:rPr>
            </w:pPr>
            <w:r w:rsidRPr="00282047">
              <w:rPr>
                <w:rFonts w:ascii="Calibri" w:eastAsia="Times New Roman" w:hAnsi="Calibri" w:cs="Calibri"/>
                <w:sz w:val="22"/>
                <w:szCs w:val="22"/>
              </w:rPr>
              <w:t>-0.59%</w:t>
            </w:r>
          </w:p>
        </w:tc>
        <w:tc>
          <w:tcPr>
            <w:tcW w:w="728" w:type="dxa"/>
            <w:tcMar>
              <w:top w:w="30" w:type="dxa"/>
              <w:left w:w="45" w:type="dxa"/>
              <w:bottom w:w="30" w:type="dxa"/>
              <w:right w:w="45" w:type="dxa"/>
            </w:tcMar>
            <w:hideMark/>
          </w:tcPr>
          <w:p w14:paraId="28D31853" w14:textId="77777777" w:rsidR="00282047" w:rsidRPr="00282047" w:rsidRDefault="00282047" w:rsidP="006370C4">
            <w:pPr>
              <w:spacing w:after="0" w:line="240" w:lineRule="auto"/>
              <w:jc w:val="center"/>
              <w:rPr>
                <w:rFonts w:ascii="Calibri" w:eastAsia="Times New Roman" w:hAnsi="Calibri" w:cs="Calibri"/>
              </w:rPr>
            </w:pPr>
            <w:r w:rsidRPr="00282047">
              <w:rPr>
                <w:rFonts w:ascii="Calibri" w:eastAsia="Times New Roman" w:hAnsi="Calibri" w:cs="Calibri"/>
                <w:sz w:val="22"/>
                <w:szCs w:val="22"/>
              </w:rPr>
              <w:t>6.08%</w:t>
            </w:r>
          </w:p>
        </w:tc>
        <w:tc>
          <w:tcPr>
            <w:tcW w:w="1093" w:type="dxa"/>
            <w:tcMar>
              <w:top w:w="30" w:type="dxa"/>
              <w:left w:w="45" w:type="dxa"/>
              <w:bottom w:w="30" w:type="dxa"/>
              <w:right w:w="45" w:type="dxa"/>
            </w:tcMar>
            <w:hideMark/>
          </w:tcPr>
          <w:p w14:paraId="4558DF4D" w14:textId="77777777" w:rsidR="00282047" w:rsidRPr="00282047" w:rsidRDefault="00282047" w:rsidP="006370C4">
            <w:pPr>
              <w:spacing w:after="0" w:line="240" w:lineRule="auto"/>
              <w:jc w:val="center"/>
              <w:rPr>
                <w:rFonts w:ascii="Calibri" w:eastAsia="Times New Roman" w:hAnsi="Calibri" w:cs="Calibri"/>
              </w:rPr>
            </w:pPr>
            <w:r w:rsidRPr="00282047">
              <w:rPr>
                <w:rFonts w:ascii="Calibri" w:eastAsia="Times New Roman" w:hAnsi="Calibri" w:cs="Calibri"/>
                <w:sz w:val="22"/>
                <w:szCs w:val="22"/>
              </w:rPr>
              <w:t>3.85%</w:t>
            </w:r>
          </w:p>
        </w:tc>
        <w:tc>
          <w:tcPr>
            <w:tcW w:w="1282" w:type="dxa"/>
            <w:tcMar>
              <w:top w:w="30" w:type="dxa"/>
              <w:left w:w="45" w:type="dxa"/>
              <w:bottom w:w="30" w:type="dxa"/>
              <w:right w:w="45" w:type="dxa"/>
            </w:tcMar>
            <w:hideMark/>
          </w:tcPr>
          <w:p w14:paraId="7D7B5AD2" w14:textId="77777777" w:rsidR="00282047" w:rsidRPr="00282047" w:rsidRDefault="00282047" w:rsidP="006370C4">
            <w:pPr>
              <w:spacing w:after="0" w:line="240" w:lineRule="auto"/>
              <w:jc w:val="center"/>
              <w:rPr>
                <w:rFonts w:ascii="Calibri" w:eastAsia="Times New Roman" w:hAnsi="Calibri" w:cs="Calibri"/>
              </w:rPr>
            </w:pPr>
            <w:r w:rsidRPr="00282047">
              <w:rPr>
                <w:rFonts w:ascii="Calibri" w:eastAsia="Times New Roman" w:hAnsi="Calibri" w:cs="Calibri"/>
                <w:sz w:val="22"/>
                <w:szCs w:val="22"/>
              </w:rPr>
              <w:t>0.78%</w:t>
            </w:r>
          </w:p>
        </w:tc>
      </w:tr>
      <w:tr w:rsidR="006370C4" w:rsidRPr="00282047" w14:paraId="72AD6A35" w14:textId="77777777" w:rsidTr="006370C4">
        <w:trPr>
          <w:trHeight w:val="315"/>
        </w:trPr>
        <w:tc>
          <w:tcPr>
            <w:tcW w:w="0" w:type="auto"/>
            <w:vMerge/>
            <w:vAlign w:val="center"/>
            <w:hideMark/>
          </w:tcPr>
          <w:p w14:paraId="4FCDA7AE" w14:textId="77777777" w:rsidR="00282047" w:rsidRPr="00282047" w:rsidRDefault="00282047" w:rsidP="006370C4">
            <w:pPr>
              <w:spacing w:after="0" w:line="240" w:lineRule="auto"/>
              <w:jc w:val="center"/>
              <w:rPr>
                <w:rFonts w:ascii="Calibri" w:eastAsia="Times New Roman" w:hAnsi="Calibri" w:cs="Calibri"/>
                <w:b/>
                <w:bCs/>
              </w:rPr>
            </w:pPr>
          </w:p>
        </w:tc>
        <w:tc>
          <w:tcPr>
            <w:tcW w:w="2167" w:type="dxa"/>
            <w:tcMar>
              <w:top w:w="30" w:type="dxa"/>
              <w:left w:w="45" w:type="dxa"/>
              <w:bottom w:w="30" w:type="dxa"/>
              <w:right w:w="45" w:type="dxa"/>
            </w:tcMar>
            <w:vAlign w:val="bottom"/>
            <w:hideMark/>
          </w:tcPr>
          <w:p w14:paraId="1FA69D39" w14:textId="77777777" w:rsidR="00282047" w:rsidRPr="00282047" w:rsidRDefault="00282047" w:rsidP="006370C4">
            <w:pPr>
              <w:spacing w:after="0" w:line="240" w:lineRule="auto"/>
              <w:jc w:val="center"/>
              <w:rPr>
                <w:rFonts w:ascii="Calibri" w:eastAsia="Times New Roman" w:hAnsi="Calibri" w:cs="Calibri"/>
                <w:b/>
                <w:bCs/>
              </w:rPr>
            </w:pPr>
            <w:r w:rsidRPr="00282047">
              <w:rPr>
                <w:rFonts w:ascii="Calibri" w:eastAsia="Times New Roman" w:hAnsi="Calibri" w:cs="Calibri"/>
                <w:b/>
                <w:bCs/>
                <w:sz w:val="22"/>
                <w:szCs w:val="22"/>
              </w:rPr>
              <w:t>Return on Assets (ROA)</w:t>
            </w:r>
          </w:p>
        </w:tc>
        <w:tc>
          <w:tcPr>
            <w:tcW w:w="1175" w:type="dxa"/>
            <w:tcMar>
              <w:top w:w="30" w:type="dxa"/>
              <w:left w:w="45" w:type="dxa"/>
              <w:bottom w:w="30" w:type="dxa"/>
              <w:right w:w="45" w:type="dxa"/>
            </w:tcMar>
            <w:hideMark/>
          </w:tcPr>
          <w:p w14:paraId="55EA61DB" w14:textId="77777777" w:rsidR="00282047" w:rsidRPr="00282047" w:rsidRDefault="00282047" w:rsidP="006370C4">
            <w:pPr>
              <w:spacing w:after="0" w:line="240" w:lineRule="auto"/>
              <w:jc w:val="center"/>
              <w:rPr>
                <w:rFonts w:ascii="Calibri" w:eastAsia="Times New Roman" w:hAnsi="Calibri" w:cs="Calibri"/>
              </w:rPr>
            </w:pPr>
            <w:r w:rsidRPr="00282047">
              <w:rPr>
                <w:rFonts w:ascii="Calibri" w:eastAsia="Times New Roman" w:hAnsi="Calibri" w:cs="Calibri"/>
                <w:sz w:val="22"/>
                <w:szCs w:val="22"/>
              </w:rPr>
              <w:t>1.91%</w:t>
            </w:r>
          </w:p>
        </w:tc>
        <w:tc>
          <w:tcPr>
            <w:tcW w:w="990" w:type="dxa"/>
            <w:tcMar>
              <w:top w:w="30" w:type="dxa"/>
              <w:left w:w="45" w:type="dxa"/>
              <w:bottom w:w="30" w:type="dxa"/>
              <w:right w:w="45" w:type="dxa"/>
            </w:tcMar>
            <w:hideMark/>
          </w:tcPr>
          <w:p w14:paraId="1BB8F9B5" w14:textId="77777777" w:rsidR="00282047" w:rsidRPr="00282047" w:rsidRDefault="00282047" w:rsidP="006370C4">
            <w:pPr>
              <w:spacing w:after="0" w:line="240" w:lineRule="auto"/>
              <w:jc w:val="center"/>
              <w:rPr>
                <w:rFonts w:ascii="Calibri" w:eastAsia="Times New Roman" w:hAnsi="Calibri" w:cs="Calibri"/>
              </w:rPr>
            </w:pPr>
            <w:r w:rsidRPr="00282047">
              <w:rPr>
                <w:rFonts w:ascii="Calibri" w:eastAsia="Times New Roman" w:hAnsi="Calibri" w:cs="Calibri"/>
                <w:sz w:val="22"/>
                <w:szCs w:val="22"/>
              </w:rPr>
              <w:t>-0.36%</w:t>
            </w:r>
          </w:p>
        </w:tc>
        <w:tc>
          <w:tcPr>
            <w:tcW w:w="728" w:type="dxa"/>
            <w:tcMar>
              <w:top w:w="30" w:type="dxa"/>
              <w:left w:w="45" w:type="dxa"/>
              <w:bottom w:w="30" w:type="dxa"/>
              <w:right w:w="45" w:type="dxa"/>
            </w:tcMar>
            <w:hideMark/>
          </w:tcPr>
          <w:p w14:paraId="225064DB" w14:textId="77777777" w:rsidR="00282047" w:rsidRPr="00282047" w:rsidRDefault="00282047" w:rsidP="006370C4">
            <w:pPr>
              <w:spacing w:after="0" w:line="240" w:lineRule="auto"/>
              <w:jc w:val="center"/>
              <w:rPr>
                <w:rFonts w:ascii="Calibri" w:eastAsia="Times New Roman" w:hAnsi="Calibri" w:cs="Calibri"/>
              </w:rPr>
            </w:pPr>
            <w:r w:rsidRPr="00282047">
              <w:rPr>
                <w:rFonts w:ascii="Calibri" w:eastAsia="Times New Roman" w:hAnsi="Calibri" w:cs="Calibri"/>
                <w:sz w:val="22"/>
                <w:szCs w:val="22"/>
              </w:rPr>
              <w:t>6.34%</w:t>
            </w:r>
          </w:p>
        </w:tc>
        <w:tc>
          <w:tcPr>
            <w:tcW w:w="1093" w:type="dxa"/>
            <w:tcMar>
              <w:top w:w="30" w:type="dxa"/>
              <w:left w:w="45" w:type="dxa"/>
              <w:bottom w:w="30" w:type="dxa"/>
              <w:right w:w="45" w:type="dxa"/>
            </w:tcMar>
            <w:hideMark/>
          </w:tcPr>
          <w:p w14:paraId="0139DFB5" w14:textId="77777777" w:rsidR="00282047" w:rsidRPr="00282047" w:rsidRDefault="00282047" w:rsidP="006370C4">
            <w:pPr>
              <w:spacing w:after="0" w:line="240" w:lineRule="auto"/>
              <w:jc w:val="center"/>
              <w:rPr>
                <w:rFonts w:ascii="Calibri" w:eastAsia="Times New Roman" w:hAnsi="Calibri" w:cs="Calibri"/>
              </w:rPr>
            </w:pPr>
            <w:r w:rsidRPr="00282047">
              <w:rPr>
                <w:rFonts w:ascii="Calibri" w:eastAsia="Times New Roman" w:hAnsi="Calibri" w:cs="Calibri"/>
                <w:sz w:val="22"/>
                <w:szCs w:val="22"/>
              </w:rPr>
              <w:t>4.65%</w:t>
            </w:r>
          </w:p>
        </w:tc>
        <w:tc>
          <w:tcPr>
            <w:tcW w:w="1282" w:type="dxa"/>
            <w:tcMar>
              <w:top w:w="30" w:type="dxa"/>
              <w:left w:w="45" w:type="dxa"/>
              <w:bottom w:w="30" w:type="dxa"/>
              <w:right w:w="45" w:type="dxa"/>
            </w:tcMar>
            <w:hideMark/>
          </w:tcPr>
          <w:p w14:paraId="2447D46F" w14:textId="77777777" w:rsidR="00282047" w:rsidRPr="00282047" w:rsidRDefault="00282047" w:rsidP="006370C4">
            <w:pPr>
              <w:spacing w:after="0" w:line="240" w:lineRule="auto"/>
              <w:jc w:val="center"/>
              <w:rPr>
                <w:rFonts w:ascii="Calibri" w:eastAsia="Times New Roman" w:hAnsi="Calibri" w:cs="Calibri"/>
              </w:rPr>
            </w:pPr>
            <w:r w:rsidRPr="00282047">
              <w:rPr>
                <w:rFonts w:ascii="Calibri" w:eastAsia="Times New Roman" w:hAnsi="Calibri" w:cs="Calibri"/>
                <w:sz w:val="22"/>
                <w:szCs w:val="22"/>
              </w:rPr>
              <w:t>0.95%</w:t>
            </w:r>
          </w:p>
        </w:tc>
      </w:tr>
      <w:tr w:rsidR="006370C4" w:rsidRPr="00282047" w14:paraId="2AD0E1FA" w14:textId="77777777" w:rsidTr="006370C4">
        <w:trPr>
          <w:trHeight w:val="315"/>
        </w:trPr>
        <w:tc>
          <w:tcPr>
            <w:tcW w:w="0" w:type="auto"/>
            <w:vMerge/>
            <w:vAlign w:val="center"/>
            <w:hideMark/>
          </w:tcPr>
          <w:p w14:paraId="01D06E54" w14:textId="77777777" w:rsidR="00282047" w:rsidRPr="00282047" w:rsidRDefault="00282047" w:rsidP="006370C4">
            <w:pPr>
              <w:spacing w:after="0" w:line="240" w:lineRule="auto"/>
              <w:jc w:val="center"/>
              <w:rPr>
                <w:rFonts w:ascii="Calibri" w:eastAsia="Times New Roman" w:hAnsi="Calibri" w:cs="Calibri"/>
                <w:b/>
                <w:bCs/>
              </w:rPr>
            </w:pPr>
          </w:p>
        </w:tc>
        <w:tc>
          <w:tcPr>
            <w:tcW w:w="2167" w:type="dxa"/>
            <w:tcMar>
              <w:top w:w="30" w:type="dxa"/>
              <w:left w:w="45" w:type="dxa"/>
              <w:bottom w:w="30" w:type="dxa"/>
              <w:right w:w="45" w:type="dxa"/>
            </w:tcMar>
            <w:vAlign w:val="bottom"/>
            <w:hideMark/>
          </w:tcPr>
          <w:p w14:paraId="34253A00" w14:textId="77777777" w:rsidR="00282047" w:rsidRPr="00282047" w:rsidRDefault="00282047" w:rsidP="006370C4">
            <w:pPr>
              <w:spacing w:after="0" w:line="240" w:lineRule="auto"/>
              <w:jc w:val="center"/>
              <w:rPr>
                <w:rFonts w:ascii="Calibri" w:eastAsia="Times New Roman" w:hAnsi="Calibri" w:cs="Calibri"/>
                <w:b/>
                <w:bCs/>
              </w:rPr>
            </w:pPr>
            <w:r w:rsidRPr="00282047">
              <w:rPr>
                <w:rFonts w:ascii="Calibri" w:eastAsia="Times New Roman" w:hAnsi="Calibri" w:cs="Calibri"/>
                <w:b/>
                <w:bCs/>
                <w:sz w:val="22"/>
                <w:szCs w:val="22"/>
              </w:rPr>
              <w:t>Return on Equity (ROE)</w:t>
            </w:r>
          </w:p>
        </w:tc>
        <w:tc>
          <w:tcPr>
            <w:tcW w:w="1175" w:type="dxa"/>
            <w:tcMar>
              <w:top w:w="30" w:type="dxa"/>
              <w:left w:w="45" w:type="dxa"/>
              <w:bottom w:w="30" w:type="dxa"/>
              <w:right w:w="45" w:type="dxa"/>
            </w:tcMar>
            <w:hideMark/>
          </w:tcPr>
          <w:p w14:paraId="132ECF4C" w14:textId="77777777" w:rsidR="00282047" w:rsidRPr="00282047" w:rsidRDefault="00282047" w:rsidP="006370C4">
            <w:pPr>
              <w:spacing w:after="0" w:line="240" w:lineRule="auto"/>
              <w:jc w:val="center"/>
              <w:rPr>
                <w:rFonts w:ascii="Calibri" w:eastAsia="Times New Roman" w:hAnsi="Calibri" w:cs="Calibri"/>
              </w:rPr>
            </w:pPr>
            <w:r w:rsidRPr="00282047">
              <w:rPr>
                <w:rFonts w:ascii="Calibri" w:eastAsia="Times New Roman" w:hAnsi="Calibri" w:cs="Calibri"/>
                <w:sz w:val="22"/>
                <w:szCs w:val="22"/>
              </w:rPr>
              <w:t>4.75%</w:t>
            </w:r>
          </w:p>
        </w:tc>
        <w:tc>
          <w:tcPr>
            <w:tcW w:w="990" w:type="dxa"/>
            <w:tcMar>
              <w:top w:w="30" w:type="dxa"/>
              <w:left w:w="45" w:type="dxa"/>
              <w:bottom w:w="30" w:type="dxa"/>
              <w:right w:w="45" w:type="dxa"/>
            </w:tcMar>
            <w:hideMark/>
          </w:tcPr>
          <w:p w14:paraId="05D3510F" w14:textId="77777777" w:rsidR="00282047" w:rsidRPr="00282047" w:rsidRDefault="00282047" w:rsidP="006370C4">
            <w:pPr>
              <w:spacing w:after="0" w:line="240" w:lineRule="auto"/>
              <w:jc w:val="center"/>
              <w:rPr>
                <w:rFonts w:ascii="Calibri" w:eastAsia="Times New Roman" w:hAnsi="Calibri" w:cs="Calibri"/>
              </w:rPr>
            </w:pPr>
            <w:r w:rsidRPr="00282047">
              <w:rPr>
                <w:rFonts w:ascii="Calibri" w:eastAsia="Times New Roman" w:hAnsi="Calibri" w:cs="Calibri"/>
                <w:sz w:val="22"/>
                <w:szCs w:val="22"/>
              </w:rPr>
              <w:t>-0.81%</w:t>
            </w:r>
          </w:p>
        </w:tc>
        <w:tc>
          <w:tcPr>
            <w:tcW w:w="728" w:type="dxa"/>
            <w:tcMar>
              <w:top w:w="30" w:type="dxa"/>
              <w:left w:w="45" w:type="dxa"/>
              <w:bottom w:w="30" w:type="dxa"/>
              <w:right w:w="45" w:type="dxa"/>
            </w:tcMar>
            <w:hideMark/>
          </w:tcPr>
          <w:p w14:paraId="16D953A4" w14:textId="77777777" w:rsidR="00282047" w:rsidRPr="00282047" w:rsidRDefault="00282047" w:rsidP="006370C4">
            <w:pPr>
              <w:spacing w:after="0" w:line="240" w:lineRule="auto"/>
              <w:jc w:val="center"/>
              <w:rPr>
                <w:rFonts w:ascii="Calibri" w:eastAsia="Times New Roman" w:hAnsi="Calibri" w:cs="Calibri"/>
              </w:rPr>
            </w:pPr>
            <w:r w:rsidRPr="00282047">
              <w:rPr>
                <w:rFonts w:ascii="Calibri" w:eastAsia="Times New Roman" w:hAnsi="Calibri" w:cs="Calibri"/>
                <w:sz w:val="22"/>
                <w:szCs w:val="22"/>
              </w:rPr>
              <w:t>12.46%</w:t>
            </w:r>
          </w:p>
        </w:tc>
        <w:tc>
          <w:tcPr>
            <w:tcW w:w="1093" w:type="dxa"/>
            <w:tcMar>
              <w:top w:w="30" w:type="dxa"/>
              <w:left w:w="45" w:type="dxa"/>
              <w:bottom w:w="30" w:type="dxa"/>
              <w:right w:w="45" w:type="dxa"/>
            </w:tcMar>
            <w:hideMark/>
          </w:tcPr>
          <w:p w14:paraId="2A6A6DFB" w14:textId="77777777" w:rsidR="00282047" w:rsidRPr="00282047" w:rsidRDefault="00282047" w:rsidP="006370C4">
            <w:pPr>
              <w:spacing w:after="0" w:line="240" w:lineRule="auto"/>
              <w:jc w:val="center"/>
              <w:rPr>
                <w:rFonts w:ascii="Calibri" w:eastAsia="Times New Roman" w:hAnsi="Calibri" w:cs="Calibri"/>
              </w:rPr>
            </w:pPr>
            <w:r w:rsidRPr="00282047">
              <w:rPr>
                <w:rFonts w:ascii="Calibri" w:eastAsia="Times New Roman" w:hAnsi="Calibri" w:cs="Calibri"/>
                <w:sz w:val="22"/>
                <w:szCs w:val="22"/>
              </w:rPr>
              <w:t>9.14%</w:t>
            </w:r>
          </w:p>
        </w:tc>
        <w:tc>
          <w:tcPr>
            <w:tcW w:w="1282" w:type="dxa"/>
            <w:tcMar>
              <w:top w:w="30" w:type="dxa"/>
              <w:left w:w="45" w:type="dxa"/>
              <w:bottom w:w="30" w:type="dxa"/>
              <w:right w:w="45" w:type="dxa"/>
            </w:tcMar>
            <w:hideMark/>
          </w:tcPr>
          <w:p w14:paraId="500A00E3" w14:textId="77777777" w:rsidR="00282047" w:rsidRPr="00282047" w:rsidRDefault="00282047" w:rsidP="006370C4">
            <w:pPr>
              <w:spacing w:after="0" w:line="240" w:lineRule="auto"/>
              <w:jc w:val="center"/>
              <w:rPr>
                <w:rFonts w:ascii="Calibri" w:eastAsia="Times New Roman" w:hAnsi="Calibri" w:cs="Calibri"/>
              </w:rPr>
            </w:pPr>
            <w:r w:rsidRPr="00282047">
              <w:rPr>
                <w:rFonts w:ascii="Calibri" w:eastAsia="Times New Roman" w:hAnsi="Calibri" w:cs="Calibri"/>
                <w:sz w:val="22"/>
                <w:szCs w:val="22"/>
              </w:rPr>
              <w:t>1.87%</w:t>
            </w:r>
          </w:p>
        </w:tc>
      </w:tr>
      <w:tr w:rsidR="006370C4" w:rsidRPr="00282047" w14:paraId="182B6143" w14:textId="77777777" w:rsidTr="006370C4">
        <w:trPr>
          <w:trHeight w:val="315"/>
        </w:trPr>
        <w:tc>
          <w:tcPr>
            <w:tcW w:w="0" w:type="auto"/>
            <w:vMerge w:val="restart"/>
            <w:tcMar>
              <w:top w:w="30" w:type="dxa"/>
              <w:left w:w="45" w:type="dxa"/>
              <w:bottom w:w="30" w:type="dxa"/>
              <w:right w:w="45" w:type="dxa"/>
            </w:tcMar>
            <w:vAlign w:val="bottom"/>
            <w:hideMark/>
          </w:tcPr>
          <w:p w14:paraId="493FD78B" w14:textId="77777777" w:rsidR="00282047" w:rsidRPr="006370C4" w:rsidRDefault="00282047" w:rsidP="006370C4">
            <w:pPr>
              <w:spacing w:after="0" w:line="240" w:lineRule="auto"/>
              <w:jc w:val="center"/>
              <w:rPr>
                <w:rFonts w:ascii="Calibri" w:eastAsia="Times New Roman" w:hAnsi="Calibri" w:cs="Calibri"/>
                <w:b/>
                <w:bCs/>
              </w:rPr>
            </w:pPr>
            <w:r w:rsidRPr="00282047">
              <w:rPr>
                <w:rFonts w:ascii="Calibri" w:eastAsia="Times New Roman" w:hAnsi="Calibri" w:cs="Calibri"/>
                <w:b/>
                <w:bCs/>
                <w:sz w:val="22"/>
                <w:szCs w:val="22"/>
              </w:rPr>
              <w:t>Efficiency Ratios</w:t>
            </w:r>
          </w:p>
          <w:p w14:paraId="1D05540F" w14:textId="77777777" w:rsidR="006370C4" w:rsidRPr="00282047" w:rsidRDefault="006370C4" w:rsidP="006370C4">
            <w:pPr>
              <w:spacing w:after="0" w:line="240" w:lineRule="auto"/>
              <w:jc w:val="center"/>
              <w:rPr>
                <w:rFonts w:ascii="Calibri" w:eastAsia="Times New Roman" w:hAnsi="Calibri" w:cs="Calibri"/>
                <w:b/>
                <w:bCs/>
              </w:rPr>
            </w:pPr>
          </w:p>
        </w:tc>
        <w:tc>
          <w:tcPr>
            <w:tcW w:w="2167" w:type="dxa"/>
            <w:tcMar>
              <w:top w:w="30" w:type="dxa"/>
              <w:left w:w="45" w:type="dxa"/>
              <w:bottom w:w="30" w:type="dxa"/>
              <w:right w:w="45" w:type="dxa"/>
            </w:tcMar>
            <w:vAlign w:val="bottom"/>
            <w:hideMark/>
          </w:tcPr>
          <w:p w14:paraId="70768C34" w14:textId="77777777" w:rsidR="00282047" w:rsidRPr="00282047" w:rsidRDefault="00282047" w:rsidP="006370C4">
            <w:pPr>
              <w:spacing w:after="0" w:line="240" w:lineRule="auto"/>
              <w:jc w:val="center"/>
              <w:rPr>
                <w:rFonts w:ascii="Calibri" w:eastAsia="Times New Roman" w:hAnsi="Calibri" w:cs="Calibri"/>
                <w:b/>
                <w:bCs/>
              </w:rPr>
            </w:pPr>
            <w:r w:rsidRPr="00282047">
              <w:rPr>
                <w:rFonts w:ascii="Calibri" w:eastAsia="Times New Roman" w:hAnsi="Calibri" w:cs="Calibri"/>
                <w:b/>
                <w:bCs/>
                <w:sz w:val="22"/>
                <w:szCs w:val="22"/>
              </w:rPr>
              <w:t>Inventory Turnover</w:t>
            </w:r>
          </w:p>
        </w:tc>
        <w:tc>
          <w:tcPr>
            <w:tcW w:w="1175" w:type="dxa"/>
            <w:tcMar>
              <w:top w:w="30" w:type="dxa"/>
              <w:left w:w="45" w:type="dxa"/>
              <w:bottom w:w="30" w:type="dxa"/>
              <w:right w:w="45" w:type="dxa"/>
            </w:tcMar>
            <w:hideMark/>
          </w:tcPr>
          <w:p w14:paraId="0EED8F0B" w14:textId="77777777" w:rsidR="00282047" w:rsidRPr="00282047" w:rsidRDefault="00282047" w:rsidP="006370C4">
            <w:pPr>
              <w:spacing w:after="0" w:line="240" w:lineRule="auto"/>
              <w:jc w:val="center"/>
              <w:rPr>
                <w:rFonts w:ascii="Calibri" w:eastAsia="Times New Roman" w:hAnsi="Calibri" w:cs="Calibri"/>
              </w:rPr>
            </w:pPr>
            <w:r w:rsidRPr="00282047">
              <w:rPr>
                <w:rFonts w:ascii="Calibri" w:eastAsia="Times New Roman" w:hAnsi="Calibri" w:cs="Calibri"/>
                <w:sz w:val="22"/>
                <w:szCs w:val="22"/>
              </w:rPr>
              <w:t>5.49</w:t>
            </w:r>
          </w:p>
        </w:tc>
        <w:tc>
          <w:tcPr>
            <w:tcW w:w="990" w:type="dxa"/>
            <w:tcMar>
              <w:top w:w="30" w:type="dxa"/>
              <w:left w:w="45" w:type="dxa"/>
              <w:bottom w:w="30" w:type="dxa"/>
              <w:right w:w="45" w:type="dxa"/>
            </w:tcMar>
            <w:hideMark/>
          </w:tcPr>
          <w:p w14:paraId="4A955EE7" w14:textId="77777777" w:rsidR="00282047" w:rsidRPr="00282047" w:rsidRDefault="00282047" w:rsidP="006370C4">
            <w:pPr>
              <w:spacing w:after="0" w:line="240" w:lineRule="auto"/>
              <w:jc w:val="center"/>
              <w:rPr>
                <w:rFonts w:ascii="Calibri" w:eastAsia="Times New Roman" w:hAnsi="Calibri" w:cs="Calibri"/>
              </w:rPr>
            </w:pPr>
            <w:r w:rsidRPr="00282047">
              <w:rPr>
                <w:rFonts w:ascii="Calibri" w:eastAsia="Times New Roman" w:hAnsi="Calibri" w:cs="Calibri"/>
                <w:sz w:val="22"/>
                <w:szCs w:val="22"/>
              </w:rPr>
              <w:t>2.99</w:t>
            </w:r>
          </w:p>
        </w:tc>
        <w:tc>
          <w:tcPr>
            <w:tcW w:w="728" w:type="dxa"/>
            <w:tcMar>
              <w:top w:w="30" w:type="dxa"/>
              <w:left w:w="45" w:type="dxa"/>
              <w:bottom w:w="30" w:type="dxa"/>
              <w:right w:w="45" w:type="dxa"/>
            </w:tcMar>
            <w:hideMark/>
          </w:tcPr>
          <w:p w14:paraId="5F66AFD0" w14:textId="77777777" w:rsidR="00282047" w:rsidRPr="00282047" w:rsidRDefault="00282047" w:rsidP="006370C4">
            <w:pPr>
              <w:spacing w:after="0" w:line="240" w:lineRule="auto"/>
              <w:jc w:val="center"/>
              <w:rPr>
                <w:rFonts w:ascii="Calibri" w:eastAsia="Times New Roman" w:hAnsi="Calibri" w:cs="Calibri"/>
              </w:rPr>
            </w:pPr>
            <w:r w:rsidRPr="00282047">
              <w:rPr>
                <w:rFonts w:ascii="Calibri" w:eastAsia="Times New Roman" w:hAnsi="Calibri" w:cs="Calibri"/>
                <w:sz w:val="22"/>
                <w:szCs w:val="22"/>
              </w:rPr>
              <w:t>4.19</w:t>
            </w:r>
          </w:p>
        </w:tc>
        <w:tc>
          <w:tcPr>
            <w:tcW w:w="1093" w:type="dxa"/>
            <w:tcMar>
              <w:top w:w="30" w:type="dxa"/>
              <w:left w:w="45" w:type="dxa"/>
              <w:bottom w:w="30" w:type="dxa"/>
              <w:right w:w="45" w:type="dxa"/>
            </w:tcMar>
            <w:hideMark/>
          </w:tcPr>
          <w:p w14:paraId="0173ADFC" w14:textId="77777777" w:rsidR="00282047" w:rsidRPr="00282047" w:rsidRDefault="00282047" w:rsidP="006370C4">
            <w:pPr>
              <w:spacing w:after="0" w:line="240" w:lineRule="auto"/>
              <w:jc w:val="center"/>
              <w:rPr>
                <w:rFonts w:ascii="Calibri" w:eastAsia="Times New Roman" w:hAnsi="Calibri" w:cs="Calibri"/>
              </w:rPr>
            </w:pPr>
            <w:r w:rsidRPr="00282047">
              <w:rPr>
                <w:rFonts w:ascii="Calibri" w:eastAsia="Times New Roman" w:hAnsi="Calibri" w:cs="Calibri"/>
                <w:sz w:val="22"/>
                <w:szCs w:val="22"/>
              </w:rPr>
              <w:t>4.97</w:t>
            </w:r>
          </w:p>
        </w:tc>
        <w:tc>
          <w:tcPr>
            <w:tcW w:w="1282" w:type="dxa"/>
            <w:tcMar>
              <w:top w:w="30" w:type="dxa"/>
              <w:left w:w="45" w:type="dxa"/>
              <w:bottom w:w="30" w:type="dxa"/>
              <w:right w:w="45" w:type="dxa"/>
            </w:tcMar>
            <w:hideMark/>
          </w:tcPr>
          <w:p w14:paraId="4DE653D8" w14:textId="77777777" w:rsidR="00282047" w:rsidRPr="00282047" w:rsidRDefault="00282047" w:rsidP="006370C4">
            <w:pPr>
              <w:spacing w:after="0" w:line="240" w:lineRule="auto"/>
              <w:jc w:val="center"/>
              <w:rPr>
                <w:rFonts w:ascii="Calibri" w:eastAsia="Times New Roman" w:hAnsi="Calibri" w:cs="Calibri"/>
              </w:rPr>
            </w:pPr>
            <w:r w:rsidRPr="00282047">
              <w:rPr>
                <w:rFonts w:ascii="Calibri" w:eastAsia="Times New Roman" w:hAnsi="Calibri" w:cs="Calibri"/>
                <w:sz w:val="22"/>
                <w:szCs w:val="22"/>
              </w:rPr>
              <w:t>4.89</w:t>
            </w:r>
          </w:p>
        </w:tc>
      </w:tr>
      <w:tr w:rsidR="006370C4" w:rsidRPr="00282047" w14:paraId="314776FB" w14:textId="77777777" w:rsidTr="006370C4">
        <w:trPr>
          <w:trHeight w:val="315"/>
        </w:trPr>
        <w:tc>
          <w:tcPr>
            <w:tcW w:w="0" w:type="auto"/>
            <w:vMerge/>
            <w:vAlign w:val="center"/>
            <w:hideMark/>
          </w:tcPr>
          <w:p w14:paraId="533EF379" w14:textId="77777777" w:rsidR="00282047" w:rsidRPr="00282047" w:rsidRDefault="00282047" w:rsidP="006370C4">
            <w:pPr>
              <w:spacing w:after="0" w:line="240" w:lineRule="auto"/>
              <w:jc w:val="center"/>
              <w:rPr>
                <w:rFonts w:ascii="Calibri" w:eastAsia="Times New Roman" w:hAnsi="Calibri" w:cs="Calibri"/>
                <w:b/>
                <w:bCs/>
              </w:rPr>
            </w:pPr>
          </w:p>
        </w:tc>
        <w:tc>
          <w:tcPr>
            <w:tcW w:w="2167" w:type="dxa"/>
            <w:tcMar>
              <w:top w:w="30" w:type="dxa"/>
              <w:left w:w="45" w:type="dxa"/>
              <w:bottom w:w="30" w:type="dxa"/>
              <w:right w:w="45" w:type="dxa"/>
            </w:tcMar>
            <w:vAlign w:val="bottom"/>
            <w:hideMark/>
          </w:tcPr>
          <w:p w14:paraId="310F4246" w14:textId="77777777" w:rsidR="00282047" w:rsidRPr="00282047" w:rsidRDefault="00282047" w:rsidP="006370C4">
            <w:pPr>
              <w:spacing w:after="0" w:line="240" w:lineRule="auto"/>
              <w:jc w:val="center"/>
              <w:rPr>
                <w:rFonts w:ascii="Calibri" w:eastAsia="Times New Roman" w:hAnsi="Calibri" w:cs="Calibri"/>
                <w:b/>
                <w:bCs/>
              </w:rPr>
            </w:pPr>
            <w:r w:rsidRPr="00282047">
              <w:rPr>
                <w:rFonts w:ascii="Calibri" w:eastAsia="Times New Roman" w:hAnsi="Calibri" w:cs="Calibri"/>
                <w:b/>
                <w:bCs/>
                <w:sz w:val="22"/>
                <w:szCs w:val="22"/>
              </w:rPr>
              <w:t>Asset Turnover</w:t>
            </w:r>
          </w:p>
        </w:tc>
        <w:tc>
          <w:tcPr>
            <w:tcW w:w="1175" w:type="dxa"/>
            <w:tcMar>
              <w:top w:w="30" w:type="dxa"/>
              <w:left w:w="45" w:type="dxa"/>
              <w:bottom w:w="30" w:type="dxa"/>
              <w:right w:w="45" w:type="dxa"/>
            </w:tcMar>
            <w:hideMark/>
          </w:tcPr>
          <w:p w14:paraId="316E3EB0" w14:textId="77777777" w:rsidR="00282047" w:rsidRPr="00282047" w:rsidRDefault="00282047" w:rsidP="006370C4">
            <w:pPr>
              <w:spacing w:after="0" w:line="240" w:lineRule="auto"/>
              <w:jc w:val="center"/>
              <w:rPr>
                <w:rFonts w:ascii="Calibri" w:eastAsia="Times New Roman" w:hAnsi="Calibri" w:cs="Calibri"/>
              </w:rPr>
            </w:pPr>
            <w:r w:rsidRPr="00282047">
              <w:rPr>
                <w:rFonts w:ascii="Calibri" w:eastAsia="Times New Roman" w:hAnsi="Calibri" w:cs="Calibri"/>
                <w:sz w:val="22"/>
                <w:szCs w:val="22"/>
              </w:rPr>
              <w:t>3.18</w:t>
            </w:r>
          </w:p>
        </w:tc>
        <w:tc>
          <w:tcPr>
            <w:tcW w:w="990" w:type="dxa"/>
            <w:tcMar>
              <w:top w:w="30" w:type="dxa"/>
              <w:left w:w="45" w:type="dxa"/>
              <w:bottom w:w="30" w:type="dxa"/>
              <w:right w:w="45" w:type="dxa"/>
            </w:tcMar>
            <w:hideMark/>
          </w:tcPr>
          <w:p w14:paraId="6D67B5CF" w14:textId="77777777" w:rsidR="00282047" w:rsidRPr="00282047" w:rsidRDefault="00282047" w:rsidP="006370C4">
            <w:pPr>
              <w:spacing w:after="0" w:line="240" w:lineRule="auto"/>
              <w:jc w:val="center"/>
              <w:rPr>
                <w:rFonts w:ascii="Calibri" w:eastAsia="Times New Roman" w:hAnsi="Calibri" w:cs="Calibri"/>
              </w:rPr>
            </w:pPr>
            <w:r w:rsidRPr="00282047">
              <w:rPr>
                <w:rFonts w:ascii="Calibri" w:eastAsia="Times New Roman" w:hAnsi="Calibri" w:cs="Calibri"/>
                <w:sz w:val="22"/>
                <w:szCs w:val="22"/>
              </w:rPr>
              <w:t>0.59</w:t>
            </w:r>
          </w:p>
        </w:tc>
        <w:tc>
          <w:tcPr>
            <w:tcW w:w="728" w:type="dxa"/>
            <w:tcMar>
              <w:top w:w="30" w:type="dxa"/>
              <w:left w:w="45" w:type="dxa"/>
              <w:bottom w:w="30" w:type="dxa"/>
              <w:right w:w="45" w:type="dxa"/>
            </w:tcMar>
            <w:hideMark/>
          </w:tcPr>
          <w:p w14:paraId="3EB6B82A" w14:textId="77777777" w:rsidR="00282047" w:rsidRPr="00282047" w:rsidRDefault="00282047" w:rsidP="006370C4">
            <w:pPr>
              <w:spacing w:after="0" w:line="240" w:lineRule="auto"/>
              <w:jc w:val="center"/>
              <w:rPr>
                <w:rFonts w:ascii="Calibri" w:eastAsia="Times New Roman" w:hAnsi="Calibri" w:cs="Calibri"/>
              </w:rPr>
            </w:pPr>
            <w:r w:rsidRPr="00282047">
              <w:rPr>
                <w:rFonts w:ascii="Calibri" w:eastAsia="Times New Roman" w:hAnsi="Calibri" w:cs="Calibri"/>
                <w:sz w:val="22"/>
                <w:szCs w:val="22"/>
              </w:rPr>
              <w:t>0.88</w:t>
            </w:r>
          </w:p>
        </w:tc>
        <w:tc>
          <w:tcPr>
            <w:tcW w:w="1093" w:type="dxa"/>
            <w:tcMar>
              <w:top w:w="30" w:type="dxa"/>
              <w:left w:w="45" w:type="dxa"/>
              <w:bottom w:w="30" w:type="dxa"/>
              <w:right w:w="45" w:type="dxa"/>
            </w:tcMar>
            <w:hideMark/>
          </w:tcPr>
          <w:p w14:paraId="02C407BE" w14:textId="77777777" w:rsidR="00282047" w:rsidRPr="00282047" w:rsidRDefault="00282047" w:rsidP="006370C4">
            <w:pPr>
              <w:spacing w:after="0" w:line="240" w:lineRule="auto"/>
              <w:jc w:val="center"/>
              <w:rPr>
                <w:rFonts w:ascii="Calibri" w:eastAsia="Times New Roman" w:hAnsi="Calibri" w:cs="Calibri"/>
              </w:rPr>
            </w:pPr>
            <w:r w:rsidRPr="00282047">
              <w:rPr>
                <w:rFonts w:ascii="Calibri" w:eastAsia="Times New Roman" w:hAnsi="Calibri" w:cs="Calibri"/>
                <w:sz w:val="22"/>
                <w:szCs w:val="22"/>
              </w:rPr>
              <w:t>1.17</w:t>
            </w:r>
          </w:p>
        </w:tc>
        <w:tc>
          <w:tcPr>
            <w:tcW w:w="1282" w:type="dxa"/>
            <w:tcMar>
              <w:top w:w="30" w:type="dxa"/>
              <w:left w:w="45" w:type="dxa"/>
              <w:bottom w:w="30" w:type="dxa"/>
              <w:right w:w="45" w:type="dxa"/>
            </w:tcMar>
            <w:hideMark/>
          </w:tcPr>
          <w:p w14:paraId="3569A764" w14:textId="77777777" w:rsidR="00282047" w:rsidRPr="00282047" w:rsidRDefault="00282047" w:rsidP="006370C4">
            <w:pPr>
              <w:spacing w:after="0" w:line="240" w:lineRule="auto"/>
              <w:jc w:val="center"/>
              <w:rPr>
                <w:rFonts w:ascii="Calibri" w:eastAsia="Times New Roman" w:hAnsi="Calibri" w:cs="Calibri"/>
              </w:rPr>
            </w:pPr>
            <w:r w:rsidRPr="00282047">
              <w:rPr>
                <w:rFonts w:ascii="Calibri" w:eastAsia="Times New Roman" w:hAnsi="Calibri" w:cs="Calibri"/>
                <w:sz w:val="22"/>
                <w:szCs w:val="22"/>
              </w:rPr>
              <w:t>1.19</w:t>
            </w:r>
          </w:p>
        </w:tc>
      </w:tr>
      <w:tr w:rsidR="006370C4" w:rsidRPr="00282047" w14:paraId="19E3A330" w14:textId="77777777" w:rsidTr="006370C4">
        <w:trPr>
          <w:trHeight w:val="315"/>
        </w:trPr>
        <w:tc>
          <w:tcPr>
            <w:tcW w:w="0" w:type="auto"/>
            <w:vMerge w:val="restart"/>
            <w:tcMar>
              <w:top w:w="30" w:type="dxa"/>
              <w:left w:w="45" w:type="dxa"/>
              <w:bottom w:w="30" w:type="dxa"/>
              <w:right w:w="45" w:type="dxa"/>
            </w:tcMar>
            <w:vAlign w:val="bottom"/>
            <w:hideMark/>
          </w:tcPr>
          <w:p w14:paraId="313CBE52" w14:textId="77777777" w:rsidR="00282047" w:rsidRPr="006370C4" w:rsidRDefault="00282047" w:rsidP="006370C4">
            <w:pPr>
              <w:spacing w:after="0" w:line="240" w:lineRule="auto"/>
              <w:jc w:val="center"/>
              <w:rPr>
                <w:rFonts w:ascii="Calibri" w:eastAsia="Times New Roman" w:hAnsi="Calibri" w:cs="Calibri"/>
                <w:b/>
                <w:bCs/>
              </w:rPr>
            </w:pPr>
            <w:r w:rsidRPr="00282047">
              <w:rPr>
                <w:rFonts w:ascii="Calibri" w:eastAsia="Times New Roman" w:hAnsi="Calibri" w:cs="Calibri"/>
                <w:b/>
                <w:bCs/>
                <w:sz w:val="22"/>
                <w:szCs w:val="22"/>
              </w:rPr>
              <w:t>Gearing (Leverage) Ratios</w:t>
            </w:r>
          </w:p>
          <w:p w14:paraId="025E2CEE" w14:textId="77777777" w:rsidR="006370C4" w:rsidRPr="006370C4" w:rsidRDefault="006370C4" w:rsidP="006370C4">
            <w:pPr>
              <w:spacing w:after="0" w:line="240" w:lineRule="auto"/>
              <w:jc w:val="center"/>
              <w:rPr>
                <w:rFonts w:ascii="Calibri" w:eastAsia="Times New Roman" w:hAnsi="Calibri" w:cs="Calibri"/>
                <w:b/>
                <w:bCs/>
              </w:rPr>
            </w:pPr>
          </w:p>
          <w:p w14:paraId="48F38850" w14:textId="77777777" w:rsidR="006370C4" w:rsidRPr="00282047" w:rsidRDefault="006370C4" w:rsidP="006370C4">
            <w:pPr>
              <w:spacing w:after="0" w:line="240" w:lineRule="auto"/>
              <w:jc w:val="center"/>
              <w:rPr>
                <w:rFonts w:ascii="Calibri" w:eastAsia="Times New Roman" w:hAnsi="Calibri" w:cs="Calibri"/>
                <w:b/>
                <w:bCs/>
              </w:rPr>
            </w:pPr>
          </w:p>
        </w:tc>
        <w:tc>
          <w:tcPr>
            <w:tcW w:w="2167" w:type="dxa"/>
            <w:tcMar>
              <w:top w:w="30" w:type="dxa"/>
              <w:left w:w="45" w:type="dxa"/>
              <w:bottom w:w="30" w:type="dxa"/>
              <w:right w:w="45" w:type="dxa"/>
            </w:tcMar>
            <w:vAlign w:val="bottom"/>
            <w:hideMark/>
          </w:tcPr>
          <w:p w14:paraId="41C143D9" w14:textId="77777777" w:rsidR="00282047" w:rsidRPr="00282047" w:rsidRDefault="00282047" w:rsidP="006370C4">
            <w:pPr>
              <w:spacing w:after="0" w:line="240" w:lineRule="auto"/>
              <w:jc w:val="center"/>
              <w:rPr>
                <w:rFonts w:ascii="Calibri" w:eastAsia="Times New Roman" w:hAnsi="Calibri" w:cs="Calibri"/>
                <w:b/>
                <w:bCs/>
              </w:rPr>
            </w:pPr>
            <w:r w:rsidRPr="00282047">
              <w:rPr>
                <w:rFonts w:ascii="Calibri" w:eastAsia="Times New Roman" w:hAnsi="Calibri" w:cs="Calibri"/>
                <w:b/>
                <w:bCs/>
                <w:sz w:val="22"/>
                <w:szCs w:val="22"/>
              </w:rPr>
              <w:t>Debt-to-Equity Ratio</w:t>
            </w:r>
          </w:p>
        </w:tc>
        <w:tc>
          <w:tcPr>
            <w:tcW w:w="1175" w:type="dxa"/>
            <w:tcMar>
              <w:top w:w="30" w:type="dxa"/>
              <w:left w:w="45" w:type="dxa"/>
              <w:bottom w:w="30" w:type="dxa"/>
              <w:right w:w="45" w:type="dxa"/>
            </w:tcMar>
            <w:hideMark/>
          </w:tcPr>
          <w:p w14:paraId="2E54AD0E" w14:textId="77777777" w:rsidR="00282047" w:rsidRPr="00282047" w:rsidRDefault="00282047" w:rsidP="006370C4">
            <w:pPr>
              <w:spacing w:after="0" w:line="240" w:lineRule="auto"/>
              <w:jc w:val="center"/>
              <w:rPr>
                <w:rFonts w:ascii="Calibri" w:eastAsia="Times New Roman" w:hAnsi="Calibri" w:cs="Calibri"/>
              </w:rPr>
            </w:pPr>
            <w:r w:rsidRPr="00282047">
              <w:rPr>
                <w:rFonts w:ascii="Calibri" w:eastAsia="Times New Roman" w:hAnsi="Calibri" w:cs="Calibri"/>
                <w:sz w:val="22"/>
                <w:szCs w:val="22"/>
              </w:rPr>
              <w:t>1.46</w:t>
            </w:r>
          </w:p>
        </w:tc>
        <w:tc>
          <w:tcPr>
            <w:tcW w:w="990" w:type="dxa"/>
            <w:tcMar>
              <w:top w:w="30" w:type="dxa"/>
              <w:left w:w="45" w:type="dxa"/>
              <w:bottom w:w="30" w:type="dxa"/>
              <w:right w:w="45" w:type="dxa"/>
            </w:tcMar>
            <w:hideMark/>
          </w:tcPr>
          <w:p w14:paraId="017FC808" w14:textId="77777777" w:rsidR="00282047" w:rsidRPr="00282047" w:rsidRDefault="00282047" w:rsidP="006370C4">
            <w:pPr>
              <w:spacing w:after="0" w:line="240" w:lineRule="auto"/>
              <w:jc w:val="center"/>
              <w:rPr>
                <w:rFonts w:ascii="Calibri" w:eastAsia="Times New Roman" w:hAnsi="Calibri" w:cs="Calibri"/>
              </w:rPr>
            </w:pPr>
            <w:r w:rsidRPr="00282047">
              <w:rPr>
                <w:rFonts w:ascii="Calibri" w:eastAsia="Times New Roman" w:hAnsi="Calibri" w:cs="Calibri"/>
                <w:sz w:val="22"/>
                <w:szCs w:val="22"/>
              </w:rPr>
              <w:t>1.24</w:t>
            </w:r>
          </w:p>
        </w:tc>
        <w:tc>
          <w:tcPr>
            <w:tcW w:w="728" w:type="dxa"/>
            <w:tcMar>
              <w:top w:w="30" w:type="dxa"/>
              <w:left w:w="45" w:type="dxa"/>
              <w:bottom w:w="30" w:type="dxa"/>
              <w:right w:w="45" w:type="dxa"/>
            </w:tcMar>
            <w:hideMark/>
          </w:tcPr>
          <w:p w14:paraId="1E299B7F" w14:textId="77777777" w:rsidR="00282047" w:rsidRPr="00282047" w:rsidRDefault="00282047" w:rsidP="006370C4">
            <w:pPr>
              <w:spacing w:after="0" w:line="240" w:lineRule="auto"/>
              <w:jc w:val="center"/>
              <w:rPr>
                <w:rFonts w:ascii="Calibri" w:eastAsia="Times New Roman" w:hAnsi="Calibri" w:cs="Calibri"/>
              </w:rPr>
            </w:pPr>
            <w:r w:rsidRPr="00282047">
              <w:rPr>
                <w:rFonts w:ascii="Calibri" w:eastAsia="Times New Roman" w:hAnsi="Calibri" w:cs="Calibri"/>
                <w:sz w:val="22"/>
                <w:szCs w:val="22"/>
              </w:rPr>
              <w:t>0.97</w:t>
            </w:r>
          </w:p>
        </w:tc>
        <w:tc>
          <w:tcPr>
            <w:tcW w:w="1093" w:type="dxa"/>
            <w:tcMar>
              <w:top w:w="30" w:type="dxa"/>
              <w:left w:w="45" w:type="dxa"/>
              <w:bottom w:w="30" w:type="dxa"/>
              <w:right w:w="45" w:type="dxa"/>
            </w:tcMar>
            <w:hideMark/>
          </w:tcPr>
          <w:p w14:paraId="3D3F20A5" w14:textId="77777777" w:rsidR="00282047" w:rsidRPr="00282047" w:rsidRDefault="00282047" w:rsidP="006370C4">
            <w:pPr>
              <w:spacing w:after="0" w:line="240" w:lineRule="auto"/>
              <w:jc w:val="center"/>
              <w:rPr>
                <w:rFonts w:ascii="Calibri" w:eastAsia="Times New Roman" w:hAnsi="Calibri" w:cs="Calibri"/>
              </w:rPr>
            </w:pPr>
            <w:r w:rsidRPr="00282047">
              <w:rPr>
                <w:rFonts w:ascii="Calibri" w:eastAsia="Times New Roman" w:hAnsi="Calibri" w:cs="Calibri"/>
                <w:sz w:val="22"/>
                <w:szCs w:val="22"/>
              </w:rPr>
              <w:t>0.97</w:t>
            </w:r>
          </w:p>
        </w:tc>
        <w:tc>
          <w:tcPr>
            <w:tcW w:w="1282" w:type="dxa"/>
            <w:tcMar>
              <w:top w:w="30" w:type="dxa"/>
              <w:left w:w="45" w:type="dxa"/>
              <w:bottom w:w="30" w:type="dxa"/>
              <w:right w:w="45" w:type="dxa"/>
            </w:tcMar>
            <w:hideMark/>
          </w:tcPr>
          <w:p w14:paraId="39D42030" w14:textId="77777777" w:rsidR="00282047" w:rsidRPr="00282047" w:rsidRDefault="00282047" w:rsidP="006370C4">
            <w:pPr>
              <w:spacing w:after="0" w:line="240" w:lineRule="auto"/>
              <w:jc w:val="center"/>
              <w:rPr>
                <w:rFonts w:ascii="Calibri" w:eastAsia="Times New Roman" w:hAnsi="Calibri" w:cs="Calibri"/>
              </w:rPr>
            </w:pPr>
            <w:r w:rsidRPr="00282047">
              <w:rPr>
                <w:rFonts w:ascii="Calibri" w:eastAsia="Times New Roman" w:hAnsi="Calibri" w:cs="Calibri"/>
                <w:sz w:val="22"/>
                <w:szCs w:val="22"/>
              </w:rPr>
              <w:t>0.97</w:t>
            </w:r>
          </w:p>
        </w:tc>
      </w:tr>
      <w:tr w:rsidR="006370C4" w:rsidRPr="00282047" w14:paraId="2C3E51C9" w14:textId="77777777" w:rsidTr="006370C4">
        <w:trPr>
          <w:trHeight w:val="315"/>
        </w:trPr>
        <w:tc>
          <w:tcPr>
            <w:tcW w:w="0" w:type="auto"/>
            <w:vMerge/>
            <w:vAlign w:val="center"/>
            <w:hideMark/>
          </w:tcPr>
          <w:p w14:paraId="4CF8226E" w14:textId="77777777" w:rsidR="00282047" w:rsidRPr="00282047" w:rsidRDefault="00282047" w:rsidP="006370C4">
            <w:pPr>
              <w:spacing w:after="0" w:line="240" w:lineRule="auto"/>
              <w:jc w:val="center"/>
              <w:rPr>
                <w:rFonts w:ascii="Calibri" w:eastAsia="Times New Roman" w:hAnsi="Calibri" w:cs="Calibri"/>
                <w:b/>
                <w:bCs/>
              </w:rPr>
            </w:pPr>
          </w:p>
        </w:tc>
        <w:tc>
          <w:tcPr>
            <w:tcW w:w="2167" w:type="dxa"/>
            <w:tcMar>
              <w:top w:w="30" w:type="dxa"/>
              <w:left w:w="45" w:type="dxa"/>
              <w:bottom w:w="30" w:type="dxa"/>
              <w:right w:w="45" w:type="dxa"/>
            </w:tcMar>
            <w:vAlign w:val="bottom"/>
            <w:hideMark/>
          </w:tcPr>
          <w:p w14:paraId="664DC66D" w14:textId="77777777" w:rsidR="00282047" w:rsidRPr="00282047" w:rsidRDefault="00282047" w:rsidP="006370C4">
            <w:pPr>
              <w:spacing w:after="0" w:line="240" w:lineRule="auto"/>
              <w:jc w:val="center"/>
              <w:rPr>
                <w:rFonts w:ascii="Calibri" w:eastAsia="Times New Roman" w:hAnsi="Calibri" w:cs="Calibri"/>
                <w:b/>
                <w:bCs/>
              </w:rPr>
            </w:pPr>
            <w:r w:rsidRPr="00282047">
              <w:rPr>
                <w:rFonts w:ascii="Calibri" w:eastAsia="Times New Roman" w:hAnsi="Calibri" w:cs="Calibri"/>
                <w:b/>
                <w:bCs/>
                <w:sz w:val="22"/>
                <w:szCs w:val="22"/>
              </w:rPr>
              <w:t>Debt Ratio</w:t>
            </w:r>
          </w:p>
        </w:tc>
        <w:tc>
          <w:tcPr>
            <w:tcW w:w="1175" w:type="dxa"/>
            <w:tcMar>
              <w:top w:w="30" w:type="dxa"/>
              <w:left w:w="45" w:type="dxa"/>
              <w:bottom w:w="30" w:type="dxa"/>
              <w:right w:w="45" w:type="dxa"/>
            </w:tcMar>
            <w:hideMark/>
          </w:tcPr>
          <w:p w14:paraId="50C23616" w14:textId="77777777" w:rsidR="00282047" w:rsidRPr="00282047" w:rsidRDefault="00282047" w:rsidP="006370C4">
            <w:pPr>
              <w:spacing w:after="0" w:line="240" w:lineRule="auto"/>
              <w:jc w:val="center"/>
              <w:rPr>
                <w:rFonts w:ascii="Calibri" w:eastAsia="Times New Roman" w:hAnsi="Calibri" w:cs="Calibri"/>
              </w:rPr>
            </w:pPr>
            <w:r w:rsidRPr="00282047">
              <w:rPr>
                <w:rFonts w:ascii="Calibri" w:eastAsia="Times New Roman" w:hAnsi="Calibri" w:cs="Calibri"/>
                <w:sz w:val="22"/>
                <w:szCs w:val="22"/>
              </w:rPr>
              <w:t>0.584</w:t>
            </w:r>
          </w:p>
        </w:tc>
        <w:tc>
          <w:tcPr>
            <w:tcW w:w="990" w:type="dxa"/>
            <w:tcMar>
              <w:top w:w="30" w:type="dxa"/>
              <w:left w:w="45" w:type="dxa"/>
              <w:bottom w:w="30" w:type="dxa"/>
              <w:right w:w="45" w:type="dxa"/>
            </w:tcMar>
            <w:hideMark/>
          </w:tcPr>
          <w:p w14:paraId="45A1D8D0" w14:textId="77777777" w:rsidR="00282047" w:rsidRPr="00282047" w:rsidRDefault="00282047" w:rsidP="006370C4">
            <w:pPr>
              <w:spacing w:after="0" w:line="240" w:lineRule="auto"/>
              <w:jc w:val="center"/>
              <w:rPr>
                <w:rFonts w:ascii="Calibri" w:eastAsia="Times New Roman" w:hAnsi="Calibri" w:cs="Calibri"/>
              </w:rPr>
            </w:pPr>
            <w:r w:rsidRPr="00282047">
              <w:rPr>
                <w:rFonts w:ascii="Calibri" w:eastAsia="Times New Roman" w:hAnsi="Calibri" w:cs="Calibri"/>
                <w:sz w:val="22"/>
                <w:szCs w:val="22"/>
              </w:rPr>
              <w:t>0.554</w:t>
            </w:r>
          </w:p>
        </w:tc>
        <w:tc>
          <w:tcPr>
            <w:tcW w:w="728" w:type="dxa"/>
            <w:tcMar>
              <w:top w:w="30" w:type="dxa"/>
              <w:left w:w="45" w:type="dxa"/>
              <w:bottom w:w="30" w:type="dxa"/>
              <w:right w:w="45" w:type="dxa"/>
            </w:tcMar>
            <w:hideMark/>
          </w:tcPr>
          <w:p w14:paraId="6D076FD6" w14:textId="77777777" w:rsidR="00282047" w:rsidRPr="00282047" w:rsidRDefault="00282047" w:rsidP="006370C4">
            <w:pPr>
              <w:spacing w:after="0" w:line="240" w:lineRule="auto"/>
              <w:jc w:val="center"/>
              <w:rPr>
                <w:rFonts w:ascii="Calibri" w:eastAsia="Times New Roman" w:hAnsi="Calibri" w:cs="Calibri"/>
              </w:rPr>
            </w:pPr>
            <w:r w:rsidRPr="00282047">
              <w:rPr>
                <w:rFonts w:ascii="Calibri" w:eastAsia="Times New Roman" w:hAnsi="Calibri" w:cs="Calibri"/>
                <w:sz w:val="22"/>
                <w:szCs w:val="22"/>
              </w:rPr>
              <w:t>0.491</w:t>
            </w:r>
          </w:p>
        </w:tc>
        <w:tc>
          <w:tcPr>
            <w:tcW w:w="1093" w:type="dxa"/>
            <w:tcMar>
              <w:top w:w="30" w:type="dxa"/>
              <w:left w:w="45" w:type="dxa"/>
              <w:bottom w:w="30" w:type="dxa"/>
              <w:right w:w="45" w:type="dxa"/>
            </w:tcMar>
            <w:hideMark/>
          </w:tcPr>
          <w:p w14:paraId="515A617F" w14:textId="77777777" w:rsidR="00282047" w:rsidRPr="00282047" w:rsidRDefault="00282047" w:rsidP="006370C4">
            <w:pPr>
              <w:spacing w:after="0" w:line="240" w:lineRule="auto"/>
              <w:jc w:val="center"/>
              <w:rPr>
                <w:rFonts w:ascii="Calibri" w:eastAsia="Times New Roman" w:hAnsi="Calibri" w:cs="Calibri"/>
              </w:rPr>
            </w:pPr>
            <w:r w:rsidRPr="00282047">
              <w:rPr>
                <w:rFonts w:ascii="Calibri" w:eastAsia="Times New Roman" w:hAnsi="Calibri" w:cs="Calibri"/>
                <w:sz w:val="22"/>
                <w:szCs w:val="22"/>
              </w:rPr>
              <w:t>0.492</w:t>
            </w:r>
          </w:p>
        </w:tc>
        <w:tc>
          <w:tcPr>
            <w:tcW w:w="1282" w:type="dxa"/>
            <w:tcMar>
              <w:top w:w="30" w:type="dxa"/>
              <w:left w:w="45" w:type="dxa"/>
              <w:bottom w:w="30" w:type="dxa"/>
              <w:right w:w="45" w:type="dxa"/>
            </w:tcMar>
            <w:hideMark/>
          </w:tcPr>
          <w:p w14:paraId="135B2F9D" w14:textId="77777777" w:rsidR="00282047" w:rsidRPr="00282047" w:rsidRDefault="00282047" w:rsidP="006370C4">
            <w:pPr>
              <w:spacing w:after="0" w:line="240" w:lineRule="auto"/>
              <w:jc w:val="center"/>
              <w:rPr>
                <w:rFonts w:ascii="Calibri" w:eastAsia="Times New Roman" w:hAnsi="Calibri" w:cs="Calibri"/>
              </w:rPr>
            </w:pPr>
            <w:r w:rsidRPr="00282047">
              <w:rPr>
                <w:rFonts w:ascii="Calibri" w:eastAsia="Times New Roman" w:hAnsi="Calibri" w:cs="Calibri"/>
                <w:sz w:val="22"/>
                <w:szCs w:val="22"/>
              </w:rPr>
              <w:t>0.493</w:t>
            </w:r>
          </w:p>
        </w:tc>
      </w:tr>
      <w:tr w:rsidR="006370C4" w:rsidRPr="00282047" w14:paraId="0EDA364A" w14:textId="77777777" w:rsidTr="006370C4">
        <w:trPr>
          <w:trHeight w:val="315"/>
        </w:trPr>
        <w:tc>
          <w:tcPr>
            <w:tcW w:w="0" w:type="auto"/>
            <w:vMerge/>
            <w:tcBorders>
              <w:bottom w:val="single" w:sz="4" w:space="0" w:color="auto"/>
            </w:tcBorders>
            <w:vAlign w:val="center"/>
            <w:hideMark/>
          </w:tcPr>
          <w:p w14:paraId="6DD444E3" w14:textId="77777777" w:rsidR="00282047" w:rsidRPr="00282047" w:rsidRDefault="00282047" w:rsidP="006370C4">
            <w:pPr>
              <w:spacing w:after="0" w:line="240" w:lineRule="auto"/>
              <w:jc w:val="center"/>
              <w:rPr>
                <w:rFonts w:ascii="Calibri" w:eastAsia="Times New Roman" w:hAnsi="Calibri" w:cs="Calibri"/>
                <w:b/>
                <w:bCs/>
              </w:rPr>
            </w:pPr>
          </w:p>
        </w:tc>
        <w:tc>
          <w:tcPr>
            <w:tcW w:w="2167" w:type="dxa"/>
            <w:tcBorders>
              <w:bottom w:val="single" w:sz="4" w:space="0" w:color="auto"/>
            </w:tcBorders>
            <w:tcMar>
              <w:top w:w="30" w:type="dxa"/>
              <w:left w:w="45" w:type="dxa"/>
              <w:bottom w:w="30" w:type="dxa"/>
              <w:right w:w="45" w:type="dxa"/>
            </w:tcMar>
            <w:vAlign w:val="bottom"/>
            <w:hideMark/>
          </w:tcPr>
          <w:p w14:paraId="0363B380" w14:textId="77777777" w:rsidR="00282047" w:rsidRPr="00282047" w:rsidRDefault="00282047" w:rsidP="006370C4">
            <w:pPr>
              <w:spacing w:after="0" w:line="240" w:lineRule="auto"/>
              <w:jc w:val="center"/>
              <w:rPr>
                <w:rFonts w:ascii="Calibri" w:eastAsia="Times New Roman" w:hAnsi="Calibri" w:cs="Calibri"/>
                <w:b/>
                <w:bCs/>
              </w:rPr>
            </w:pPr>
            <w:r w:rsidRPr="00282047">
              <w:rPr>
                <w:rFonts w:ascii="Calibri" w:eastAsia="Times New Roman" w:hAnsi="Calibri" w:cs="Calibri"/>
                <w:b/>
                <w:bCs/>
                <w:sz w:val="22"/>
                <w:szCs w:val="22"/>
              </w:rPr>
              <w:t>Interest Coverage Ratio</w:t>
            </w:r>
          </w:p>
        </w:tc>
        <w:tc>
          <w:tcPr>
            <w:tcW w:w="1175" w:type="dxa"/>
            <w:tcBorders>
              <w:bottom w:val="single" w:sz="4" w:space="0" w:color="auto"/>
            </w:tcBorders>
            <w:tcMar>
              <w:top w:w="30" w:type="dxa"/>
              <w:left w:w="45" w:type="dxa"/>
              <w:bottom w:w="30" w:type="dxa"/>
              <w:right w:w="45" w:type="dxa"/>
            </w:tcMar>
            <w:hideMark/>
          </w:tcPr>
          <w:p w14:paraId="22E9F2B8" w14:textId="77777777" w:rsidR="00282047" w:rsidRPr="00282047" w:rsidRDefault="00282047" w:rsidP="006370C4">
            <w:pPr>
              <w:spacing w:after="0" w:line="240" w:lineRule="auto"/>
              <w:jc w:val="center"/>
              <w:rPr>
                <w:rFonts w:ascii="Calibri" w:eastAsia="Times New Roman" w:hAnsi="Calibri" w:cs="Calibri"/>
              </w:rPr>
            </w:pPr>
            <w:r w:rsidRPr="00282047">
              <w:rPr>
                <w:rFonts w:ascii="Calibri" w:eastAsia="Times New Roman" w:hAnsi="Calibri" w:cs="Calibri"/>
                <w:sz w:val="22"/>
                <w:szCs w:val="22"/>
              </w:rPr>
              <w:t>2.517</w:t>
            </w:r>
          </w:p>
        </w:tc>
        <w:tc>
          <w:tcPr>
            <w:tcW w:w="990" w:type="dxa"/>
            <w:tcBorders>
              <w:bottom w:val="single" w:sz="4" w:space="0" w:color="auto"/>
            </w:tcBorders>
            <w:tcMar>
              <w:top w:w="30" w:type="dxa"/>
              <w:left w:w="45" w:type="dxa"/>
              <w:bottom w:w="30" w:type="dxa"/>
              <w:right w:w="45" w:type="dxa"/>
            </w:tcMar>
            <w:hideMark/>
          </w:tcPr>
          <w:p w14:paraId="04113FAF" w14:textId="77777777" w:rsidR="00282047" w:rsidRPr="00282047" w:rsidRDefault="00282047" w:rsidP="006370C4">
            <w:pPr>
              <w:spacing w:after="0" w:line="240" w:lineRule="auto"/>
              <w:jc w:val="center"/>
              <w:rPr>
                <w:rFonts w:ascii="Calibri" w:eastAsia="Times New Roman" w:hAnsi="Calibri" w:cs="Calibri"/>
              </w:rPr>
            </w:pPr>
            <w:r w:rsidRPr="00282047">
              <w:rPr>
                <w:rFonts w:ascii="Calibri" w:eastAsia="Times New Roman" w:hAnsi="Calibri" w:cs="Calibri"/>
                <w:sz w:val="22"/>
                <w:szCs w:val="22"/>
              </w:rPr>
              <w:t>1.051</w:t>
            </w:r>
          </w:p>
        </w:tc>
        <w:tc>
          <w:tcPr>
            <w:tcW w:w="728" w:type="dxa"/>
            <w:tcBorders>
              <w:bottom w:val="single" w:sz="4" w:space="0" w:color="auto"/>
            </w:tcBorders>
            <w:tcMar>
              <w:top w:w="30" w:type="dxa"/>
              <w:left w:w="45" w:type="dxa"/>
              <w:bottom w:w="30" w:type="dxa"/>
              <w:right w:w="45" w:type="dxa"/>
            </w:tcMar>
            <w:hideMark/>
          </w:tcPr>
          <w:p w14:paraId="24C4D0F3" w14:textId="77777777" w:rsidR="00282047" w:rsidRPr="00282047" w:rsidRDefault="00282047" w:rsidP="006370C4">
            <w:pPr>
              <w:spacing w:after="0" w:line="240" w:lineRule="auto"/>
              <w:jc w:val="center"/>
              <w:rPr>
                <w:rFonts w:ascii="Calibri" w:eastAsia="Times New Roman" w:hAnsi="Calibri" w:cs="Calibri"/>
              </w:rPr>
            </w:pPr>
            <w:r w:rsidRPr="00282047">
              <w:rPr>
                <w:rFonts w:ascii="Calibri" w:eastAsia="Times New Roman" w:hAnsi="Calibri" w:cs="Calibri"/>
                <w:sz w:val="22"/>
                <w:szCs w:val="22"/>
              </w:rPr>
              <w:t>9.394</w:t>
            </w:r>
          </w:p>
        </w:tc>
        <w:tc>
          <w:tcPr>
            <w:tcW w:w="1093" w:type="dxa"/>
            <w:tcBorders>
              <w:bottom w:val="single" w:sz="4" w:space="0" w:color="auto"/>
            </w:tcBorders>
            <w:tcMar>
              <w:top w:w="30" w:type="dxa"/>
              <w:left w:w="45" w:type="dxa"/>
              <w:bottom w:w="30" w:type="dxa"/>
              <w:right w:w="45" w:type="dxa"/>
            </w:tcMar>
            <w:hideMark/>
          </w:tcPr>
          <w:p w14:paraId="2D90D2D8" w14:textId="77777777" w:rsidR="00282047" w:rsidRPr="00282047" w:rsidRDefault="00282047" w:rsidP="006370C4">
            <w:pPr>
              <w:spacing w:after="0" w:line="240" w:lineRule="auto"/>
              <w:jc w:val="center"/>
              <w:rPr>
                <w:rFonts w:ascii="Calibri" w:eastAsia="Times New Roman" w:hAnsi="Calibri" w:cs="Calibri"/>
              </w:rPr>
            </w:pPr>
            <w:r w:rsidRPr="00282047">
              <w:rPr>
                <w:rFonts w:ascii="Calibri" w:eastAsia="Times New Roman" w:hAnsi="Calibri" w:cs="Calibri"/>
                <w:sz w:val="22"/>
                <w:szCs w:val="22"/>
              </w:rPr>
              <w:t>10.738</w:t>
            </w:r>
          </w:p>
        </w:tc>
        <w:tc>
          <w:tcPr>
            <w:tcW w:w="1282" w:type="dxa"/>
            <w:tcBorders>
              <w:bottom w:val="single" w:sz="4" w:space="0" w:color="auto"/>
            </w:tcBorders>
            <w:tcMar>
              <w:top w:w="30" w:type="dxa"/>
              <w:left w:w="45" w:type="dxa"/>
              <w:bottom w:w="30" w:type="dxa"/>
              <w:right w:w="45" w:type="dxa"/>
            </w:tcMar>
            <w:hideMark/>
          </w:tcPr>
          <w:p w14:paraId="27F576C5" w14:textId="77777777" w:rsidR="00282047" w:rsidRPr="00282047" w:rsidRDefault="00282047" w:rsidP="006370C4">
            <w:pPr>
              <w:spacing w:after="0" w:line="240" w:lineRule="auto"/>
              <w:jc w:val="center"/>
              <w:rPr>
                <w:rFonts w:ascii="Calibri" w:eastAsia="Times New Roman" w:hAnsi="Calibri" w:cs="Calibri"/>
              </w:rPr>
            </w:pPr>
            <w:r w:rsidRPr="00282047">
              <w:rPr>
                <w:rFonts w:ascii="Calibri" w:eastAsia="Times New Roman" w:hAnsi="Calibri" w:cs="Calibri"/>
                <w:sz w:val="22"/>
                <w:szCs w:val="22"/>
              </w:rPr>
              <w:t>4.260</w:t>
            </w:r>
          </w:p>
        </w:tc>
      </w:tr>
    </w:tbl>
    <w:p w14:paraId="0000004E" w14:textId="2BB96096" w:rsidR="00424676" w:rsidRPr="00071ECC" w:rsidRDefault="006370C4" w:rsidP="00071ECC">
      <w:pPr>
        <w:spacing w:line="240" w:lineRule="auto"/>
        <w:jc w:val="center"/>
        <w:rPr>
          <w:sz w:val="18"/>
        </w:rPr>
      </w:pPr>
      <w:r w:rsidRPr="00071ECC">
        <w:rPr>
          <w:b/>
          <w:sz w:val="18"/>
        </w:rPr>
        <w:t>Table</w:t>
      </w:r>
      <w:r w:rsidRPr="00071ECC">
        <w:rPr>
          <w:sz w:val="18"/>
        </w:rPr>
        <w:t>: Ratios of Travis Perkins</w:t>
      </w:r>
    </w:p>
    <w:p w14:paraId="53B17CE5" w14:textId="77777777" w:rsidR="006370C4" w:rsidRPr="00071ECC" w:rsidRDefault="006370C4" w:rsidP="00071ECC">
      <w:pPr>
        <w:spacing w:line="240" w:lineRule="auto"/>
        <w:jc w:val="center"/>
        <w:rPr>
          <w:sz w:val="18"/>
        </w:rPr>
      </w:pPr>
      <w:r w:rsidRPr="00071ECC">
        <w:rPr>
          <w:sz w:val="18"/>
        </w:rPr>
        <w:t>Refer to Appendix A for viewing Calculations</w:t>
      </w:r>
    </w:p>
    <w:p w14:paraId="2092749D" w14:textId="24CF1BB3" w:rsidR="006370C4" w:rsidRDefault="006370C4" w:rsidP="006370C4">
      <w:r>
        <w:t xml:space="preserve">Kingfisher PLC and Travis Perkins are the two leading companies in the home improvement and building materials sectors in the UK market. The above table shows </w:t>
      </w:r>
      <w:proofErr w:type="gramStart"/>
      <w:r>
        <w:t>the  financial</w:t>
      </w:r>
      <w:proofErr w:type="gramEnd"/>
      <w:r>
        <w:t xml:space="preserve"> profile of Travis Perkins over the 2019-2023 period. Based on comparison with </w:t>
      </w:r>
      <w:proofErr w:type="gramStart"/>
      <w:r>
        <w:t>Kingfisher’s  financials</w:t>
      </w:r>
      <w:proofErr w:type="gramEnd"/>
      <w:r>
        <w:t>, it can be seen that Kingfisher generally excels in profitability, demonstrating better cost management and revenue conversion which reflected in its consistently higher gross and net profit margins.</w:t>
      </w:r>
      <w:r w:rsidR="00071ECC">
        <w:t xml:space="preserve"> </w:t>
      </w:r>
      <w:r>
        <w:t>How</w:t>
      </w:r>
      <w:r w:rsidR="00071ECC">
        <w:t>e</w:t>
      </w:r>
      <w:r>
        <w:t>ver, Travis Perkins outperforms Kingfisher in operational efficiency and liquidity having stronger liquidity ratios and higher inventory and asset turnover which indicates that Travis Perkins has more effective management of short-term assets and operations.</w:t>
      </w:r>
    </w:p>
    <w:p w14:paraId="6FE0524F" w14:textId="6905AB99" w:rsidR="006370C4" w:rsidRDefault="006370C4" w:rsidP="006370C4">
      <w:r>
        <w:t xml:space="preserve">Moreover, Travis Perkins has maintained a consistently stronger liquidity position compared to Kingfisher during the 2019-2023 period. Its current ratio peaked at 1.84 in 2021, </w:t>
      </w:r>
      <w:r>
        <w:lastRenderedPageBreak/>
        <w:t xml:space="preserve">showcasing its robust ability to cover short-term liabilities. On the other hand, Kingfisher saw a modest increase in its current ratio reaching 1.29 in 2023. The quick ratio further underscores this difference as it only values elements that could be liquidated quickly. In addition to that Travis Perkins ended 2023 with a quick ratio of 0.90, compared to Kingfisher’s lower 0.27 showing that Travis Perkins holds a more substantial buffer of liquid assets relative to its short-term obligations. Additionally, Travis Perkins’ cash ratio consistently outperformed </w:t>
      </w:r>
      <w:proofErr w:type="gramStart"/>
      <w:r>
        <w:t>Kingfisher's  in</w:t>
      </w:r>
      <w:proofErr w:type="gramEnd"/>
      <w:r>
        <w:t xml:space="preserve"> 2021 when it reached 0.45 because of a stronger cash position..</w:t>
      </w:r>
    </w:p>
    <w:p w14:paraId="28DA3067" w14:textId="77777777" w:rsidR="00071ECC" w:rsidRDefault="006370C4" w:rsidP="006370C4">
      <w:r>
        <w:t xml:space="preserve">Kingfisher generally outshines Travis Perkins in </w:t>
      </w:r>
      <w:r w:rsidR="00071ECC">
        <w:t xml:space="preserve">case of </w:t>
      </w:r>
      <w:r>
        <w:t>profitability, particularly in gross and net profit margins. Throughout the period, Kingfisher maintained a gross profit margin between 36.72% and 37.43%, significantly higher than Travis Perkins</w:t>
      </w:r>
      <w:r w:rsidR="00071ECC">
        <w:t xml:space="preserve"> having mar</w:t>
      </w:r>
      <w:r>
        <w:t>gins ranged from 26.86% to 29.25%. This indicates that Kingfisher has better control over its cost of goods sold relative to revenue. However, fluctuations in operating profit margins were evident for both companies</w:t>
      </w:r>
      <w:r w:rsidR="00071ECC">
        <w:t xml:space="preserve"> since</w:t>
      </w:r>
      <w:r>
        <w:t xml:space="preserve"> Kingfisher</w:t>
      </w:r>
      <w:r w:rsidR="00071ECC">
        <w:t>’s</w:t>
      </w:r>
      <w:r>
        <w:t xml:space="preserve"> peaked at 8.68% in 2021 but declined to 4.47% in 2023 while Travis Perkins experienced </w:t>
      </w:r>
      <w:r w:rsidR="00071ECC">
        <w:t xml:space="preserve">similar </w:t>
      </w:r>
      <w:r>
        <w:t>volatility with a sharp decline in 2020</w:t>
      </w:r>
      <w:r w:rsidR="00071ECC">
        <w:t xml:space="preserve"> followed </w:t>
      </w:r>
      <w:proofErr w:type="gramStart"/>
      <w:r w:rsidR="00071ECC">
        <w:t xml:space="preserve">by </w:t>
      </w:r>
      <w:r>
        <w:t xml:space="preserve"> a</w:t>
      </w:r>
      <w:proofErr w:type="gramEnd"/>
      <w:r>
        <w:t xml:space="preserve"> recovery in 2021</w:t>
      </w:r>
      <w:r w:rsidR="00071ECC">
        <w:t xml:space="preserve"> which was pursued by another</w:t>
      </w:r>
      <w:r>
        <w:t xml:space="preserve"> drop to 2.26% in 2023. Net profit margins followed a similar trend, with Kingfisher consistently displaying higher profitability than Travis Perkins which faced significant variability, including a negative margin in 2020.</w:t>
      </w:r>
    </w:p>
    <w:p w14:paraId="58078235" w14:textId="77777777" w:rsidR="00A16264" w:rsidRDefault="006370C4" w:rsidP="006370C4">
      <w:r>
        <w:t xml:space="preserve">In terms of operational efficiency, Travis Perkins outperforms Kingfisher particularly in inventory and asset management. Travis Perkins consistently achieved higher inventory turnover ratios, with a peak of 5.49 in 2019, compared to Kingfisher’s peak of 3.15 in 2021. </w:t>
      </w:r>
      <w:r w:rsidR="00A16264" w:rsidRPr="00A16264">
        <w:lastRenderedPageBreak/>
        <w:t>It appears that Travis Perkins has improved its inventory management, which leads to faster sales and lower holding expenses. A similar pattern emerged with Travis Perkins, whose asset turnover ratio increased to 3.18 in 2019 before leveling off at 1.19 in 2023. While Travis Perkins' operations are more efficient, Kingfisher can improve its asset and inventory management techniques to meet its competitor's performance. This is indicated by a slightly improved but lower asset turnover for Kingfisher.</w:t>
      </w:r>
    </w:p>
    <w:p w14:paraId="5787B166" w14:textId="331B07CB" w:rsidR="006370C4" w:rsidRDefault="00071ECC" w:rsidP="006370C4">
      <w:bookmarkStart w:id="13" w:name="_GoBack"/>
      <w:bookmarkEnd w:id="13"/>
      <w:r>
        <w:t xml:space="preserve">Finally, </w:t>
      </w:r>
      <w:r w:rsidR="006370C4">
        <w:t>Kingfisher adopts a more conservative financial approach compared to Travis Perkins</w:t>
      </w:r>
      <w:r>
        <w:t xml:space="preserve"> based on </w:t>
      </w:r>
      <w:r w:rsidR="006370C4">
        <w:t xml:space="preserve">its lower gearing ratios. </w:t>
      </w:r>
      <w:r>
        <w:t xml:space="preserve"> </w:t>
      </w:r>
      <w:r w:rsidR="006370C4">
        <w:t>Kingfisher’s debt-to-equity ratio decreased steadily over the period</w:t>
      </w:r>
      <w:r>
        <w:t xml:space="preserve"> while </w:t>
      </w:r>
      <w:r w:rsidR="006370C4">
        <w:t>reaching 0.79 in 2023</w:t>
      </w:r>
      <w:r>
        <w:t xml:space="preserve"> indicating</w:t>
      </w:r>
      <w:r w:rsidR="006370C4">
        <w:t xml:space="preserve"> reduced reliance on debt financing. </w:t>
      </w:r>
      <w:r>
        <w:t>However</w:t>
      </w:r>
      <w:r w:rsidR="006370C4">
        <w:t>, Travis Perkins maintained a higher debt-to-equity ratio around 0.97 throughout the period</w:t>
      </w:r>
      <w:r>
        <w:t xml:space="preserve"> which suggest higher dependence on debt financing</w:t>
      </w:r>
      <w:r w:rsidR="006370C4">
        <w:t>. Similarly, Travis Perkins' debt ratio was consistently higher</w:t>
      </w:r>
      <w:r>
        <w:t>, hovering</w:t>
      </w:r>
      <w:r w:rsidR="006370C4">
        <w:t xml:space="preserve"> around 0.493 in 2023, compared to Kingfisher’s 0.445</w:t>
      </w:r>
      <w:r>
        <w:t xml:space="preserve">. Overall, </w:t>
      </w:r>
      <w:r w:rsidR="006370C4">
        <w:t>Both companies maintained adequate interest coverage ratios, with Kingfisher’s declining to 4.361 in 2023 and Travis Perkins showing more volatility but ending close at 4.260. While Travis Perkins' higher leverage might support growth, it also carries higher financial risk, whereas Kingfisher’s conservative approach provides stability but may limit its growth potential.</w:t>
      </w:r>
    </w:p>
    <w:p w14:paraId="00000071" w14:textId="480FFEE6" w:rsidR="00424676" w:rsidRPr="00F9490E" w:rsidRDefault="00071ECC" w:rsidP="006370C4">
      <w:r>
        <w:t>K</w:t>
      </w:r>
      <w:r w:rsidR="006370C4">
        <w:t xml:space="preserve">ingfisher PLC and Travis Perkins exhibit contrasting strengths and weaknesses in their financial performance over the 2019-2023 </w:t>
      </w:r>
      <w:proofErr w:type="gramStart"/>
      <w:r w:rsidR="006370C4">
        <w:t>period</w:t>
      </w:r>
      <w:proofErr w:type="gramEnd"/>
      <w:r w:rsidR="006370C4">
        <w:t xml:space="preserve">. Kingfisher generally outperforms in profitability, reflecting better cost management and higher margins, while Travis Perkins excels in operational efficiency and liquidity, indicating superior asset management and a stronger short-term financial position. However, Kingfisher’s more conservative financial </w:t>
      </w:r>
      <w:r w:rsidR="006370C4">
        <w:lastRenderedPageBreak/>
        <w:t>structure, with lower debt levels suggests lower financial risk compared to Travis Perkins</w:t>
      </w:r>
      <w:proofErr w:type="gramStart"/>
      <w:r>
        <w:t>.</w:t>
      </w:r>
      <w:r w:rsidR="006370C4">
        <w:t>.</w:t>
      </w:r>
      <w:proofErr w:type="gramEnd"/>
      <w:r w:rsidR="006370C4">
        <w:t xml:space="preserve"> To enhance its competitive position, Kingfisher should focus on improving operational efficiency and consider leveraging its strong balance sheet to finance growth opportunities. Meanwhile, Travis Perkins should aim to boost profitability through better cost control and pricing strategies while carefully managing its financial leverage to balance growth with risk.</w:t>
      </w:r>
    </w:p>
    <w:p w14:paraId="7533FC46" w14:textId="4188F98C" w:rsidR="00071ECC" w:rsidRPr="00F9490E" w:rsidRDefault="00071ECC" w:rsidP="00071ECC">
      <w:pPr>
        <w:pStyle w:val="Heading2"/>
      </w:pPr>
      <w:bookmarkStart w:id="14" w:name="_Toc175149008"/>
      <w:r>
        <w:t>Recommendations</w:t>
      </w:r>
      <w:bookmarkEnd w:id="14"/>
    </w:p>
    <w:p w14:paraId="29100A48" w14:textId="51432E8F" w:rsidR="002F1EEE" w:rsidRDefault="002F1EEE" w:rsidP="002F1EEE">
      <w:r>
        <w:t>Kingfisher PLC should focus on several key areas to stay resilient with the intense market competition. Firstly, the company should focus on operational efficiency as it can be significantly improved by adopting advanced inventory management systems, such as Just-In-Time (JIT) that would help reduce excess stock, minimize storage costs, and enhance cash flow by converting inventory into sales more rapidly. Additionally, Kingfisher can optimize its supply chain operations by investing in logistics technology to streamline operations, and implementing demand forecasting to better align inventory levels with sales patterns. Th</w:t>
      </w:r>
      <w:r w:rsidR="00D97F76">
        <w:t>ese</w:t>
      </w:r>
      <w:r>
        <w:t xml:space="preserve"> modifications can reduce costs while improving delivery times, and ultimately improve customer satisfaction and turnover.</w:t>
      </w:r>
    </w:p>
    <w:p w14:paraId="000000A0" w14:textId="576123CA" w:rsidR="00424676" w:rsidRPr="00F9490E" w:rsidRDefault="002F1EEE" w:rsidP="002F1EEE">
      <w:r>
        <w:t xml:space="preserve">Enhancing profitability is another critical area for Kingfisher for which </w:t>
      </w:r>
      <w:proofErr w:type="gramStart"/>
      <w:r>
        <w:t>it  should</w:t>
      </w:r>
      <w:proofErr w:type="gramEnd"/>
      <w:r>
        <w:t xml:space="preserve"> consider expanding its range of high-margin products included in its existing branded products which it holds the trademark to. In addition to </w:t>
      </w:r>
      <w:proofErr w:type="gramStart"/>
      <w:r>
        <w:t>that ,</w:t>
      </w:r>
      <w:proofErr w:type="gramEnd"/>
      <w:r>
        <w:t xml:space="preserve"> implementing cost control measures by streamlining operations, reducing waste, and optimizing workforce productivity through training and technology can significantly improve operating margins. Reviewing and refining pricing strategies as well as  including an exploratory dynamic pricing model that adjust in real-time based on market demand, competition, and inventory levels could potentially </w:t>
      </w:r>
      <w:r>
        <w:lastRenderedPageBreak/>
        <w:t>boost profitability. Moreover, Kingfisher's conservative debt levels present an opportunity to expand into new markets or invest in digital channels. Expanding into new geographic regions using its own digital platform can enable it to access newer markets with minimal capital allocation. These initiatives not only increase revenue but also enhance customer engagement and brand loyalty. Emphasizing sustainability by expanding eco-friendly product lines, reducing the carbon footprint of operations, and improving supply chain transparency can further differentiate Kingfisher in the market and attract environmentally conscious consumers.</w:t>
      </w:r>
      <w:r w:rsidR="00D97F76">
        <w:t xml:space="preserve"> </w:t>
      </w:r>
      <w:r>
        <w:t>By focusing on these strategic initiatives, Kingfisher can improve its operational efficiency, profitability, and growth prospects, while also positioning itself as a leader in sustainability and digital innovation in the home improvement sector.</w:t>
      </w:r>
    </w:p>
    <w:p w14:paraId="45AD2241" w14:textId="77777777" w:rsidR="00D97F76" w:rsidRDefault="00D97F76" w:rsidP="00B50438">
      <w:pPr>
        <w:sectPr w:rsidR="00D97F76">
          <w:headerReference w:type="default" r:id="rId24"/>
          <w:footerReference w:type="default" r:id="rId25"/>
          <w:pgSz w:w="11906" w:h="16838"/>
          <w:pgMar w:top="1440" w:right="1440" w:bottom="1440" w:left="1440" w:header="720" w:footer="720" w:gutter="0"/>
          <w:pgNumType w:start="1"/>
          <w:cols w:space="720"/>
        </w:sectPr>
      </w:pPr>
    </w:p>
    <w:bookmarkStart w:id="15" w:name="_Toc175149009"/>
    <w:p w14:paraId="37489C3A" w14:textId="270BBEEF" w:rsidR="00D97F76" w:rsidRDefault="00D97F76" w:rsidP="00D97F76">
      <w:pPr>
        <w:pStyle w:val="Heading1"/>
      </w:pPr>
      <w:r>
        <w:rPr>
          <w:noProof/>
        </w:rPr>
        <w:lastRenderedPageBreak/>
        <mc:AlternateContent>
          <mc:Choice Requires="wps">
            <w:drawing>
              <wp:anchor distT="0" distB="0" distL="114300" distR="114300" simplePos="0" relativeHeight="251665408" behindDoc="0" locked="0" layoutInCell="1" allowOverlap="1" wp14:anchorId="744C4DC1" wp14:editId="2002FE51">
                <wp:simplePos x="0" y="0"/>
                <wp:positionH relativeFrom="column">
                  <wp:posOffset>11430</wp:posOffset>
                </wp:positionH>
                <wp:positionV relativeFrom="paragraph">
                  <wp:posOffset>402240</wp:posOffset>
                </wp:positionV>
                <wp:extent cx="5695950" cy="0"/>
                <wp:effectExtent l="38100" t="38100" r="57150" b="95250"/>
                <wp:wrapNone/>
                <wp:docPr id="26" name="Straight Connector 26"/>
                <wp:cNvGraphicFramePr/>
                <a:graphic xmlns:a="http://schemas.openxmlformats.org/drawingml/2006/main">
                  <a:graphicData uri="http://schemas.microsoft.com/office/word/2010/wordprocessingShape">
                    <wps:wsp>
                      <wps:cNvCnPr/>
                      <wps:spPr>
                        <a:xfrm>
                          <a:off x="0" y="0"/>
                          <a:ext cx="5695950" cy="0"/>
                        </a:xfrm>
                        <a:prstGeom prst="line">
                          <a:avLst/>
                        </a:prstGeom>
                        <a:ln w="12700">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26"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9pt,31.65pt" to="449.4pt,3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" strokecolor="black [3213]" strokeweight="1pt">
                <v:shadow on="t" color="black" opacity="24903f" origin=",.5" offset="0,.55556mm"/>
              </v:line>
            </w:pict>
          </mc:Fallback>
        </mc:AlternateContent>
      </w:r>
      <w:r>
        <w:t>Part C: Investment Appraisal</w:t>
      </w:r>
      <w:bookmarkEnd w:id="15"/>
    </w:p>
    <w:p w14:paraId="1BE590DB" w14:textId="45524D15" w:rsidR="00286729" w:rsidRDefault="00D97F76" w:rsidP="00D97F76">
      <w:pPr>
        <w:pStyle w:val="Heading2"/>
      </w:pPr>
      <w:bookmarkStart w:id="16" w:name="_Toc175149010"/>
      <w:r>
        <w:t>Evaluation</w:t>
      </w:r>
      <w:bookmarkEnd w:id="16"/>
    </w:p>
    <w:tbl>
      <w:tblPr>
        <w:tblStyle w:val="TableGrid"/>
        <w:tblW w:w="0" w:type="auto"/>
        <w:tblLook w:val="04A0" w:firstRow="1" w:lastRow="0" w:firstColumn="1" w:lastColumn="0" w:noHBand="0" w:noVBand="1"/>
      </w:tblPr>
      <w:tblGrid>
        <w:gridCol w:w="2088"/>
        <w:gridCol w:w="4073"/>
        <w:gridCol w:w="3081"/>
      </w:tblGrid>
      <w:tr w:rsidR="00D97F76" w14:paraId="0392ACB7" w14:textId="77777777" w:rsidTr="00D97F76">
        <w:tc>
          <w:tcPr>
            <w:tcW w:w="2088" w:type="dxa"/>
          </w:tcPr>
          <w:p w14:paraId="4297A7D8" w14:textId="65B21D41" w:rsidR="00D97F76" w:rsidRPr="00D97F76" w:rsidRDefault="00D97F76" w:rsidP="00B61322">
            <w:pPr>
              <w:spacing w:after="0"/>
              <w:jc w:val="center"/>
              <w:rPr>
                <w:b/>
              </w:rPr>
            </w:pPr>
            <w:r>
              <w:rPr>
                <w:b/>
              </w:rPr>
              <w:t>Year</w:t>
            </w:r>
          </w:p>
        </w:tc>
        <w:tc>
          <w:tcPr>
            <w:tcW w:w="4073" w:type="dxa"/>
          </w:tcPr>
          <w:p w14:paraId="4F0EDB37" w14:textId="50D8612F" w:rsidR="00D97F76" w:rsidRPr="00D97F76" w:rsidRDefault="00D97F76" w:rsidP="00B61322">
            <w:pPr>
              <w:spacing w:after="0"/>
              <w:jc w:val="center"/>
              <w:rPr>
                <w:b/>
              </w:rPr>
            </w:pPr>
            <w:r>
              <w:rPr>
                <w:b/>
              </w:rPr>
              <w:t>Project A</w:t>
            </w:r>
            <w:r w:rsidR="001B3C8D">
              <w:rPr>
                <w:b/>
              </w:rPr>
              <w:t xml:space="preserve"> (£ million )</w:t>
            </w:r>
          </w:p>
        </w:tc>
        <w:tc>
          <w:tcPr>
            <w:tcW w:w="3081" w:type="dxa"/>
          </w:tcPr>
          <w:p w14:paraId="07FCAD58" w14:textId="08AD4F0E" w:rsidR="00D97F76" w:rsidRDefault="00D97F76" w:rsidP="00B61322">
            <w:pPr>
              <w:spacing w:after="0"/>
              <w:jc w:val="center"/>
            </w:pPr>
            <w:r>
              <w:rPr>
                <w:b/>
              </w:rPr>
              <w:t>Project B</w:t>
            </w:r>
            <w:r w:rsidR="001B3C8D">
              <w:rPr>
                <w:b/>
              </w:rPr>
              <w:t xml:space="preserve"> (£ million)</w:t>
            </w:r>
          </w:p>
        </w:tc>
      </w:tr>
      <w:tr w:rsidR="001B3C8D" w14:paraId="1C415A48" w14:textId="77777777" w:rsidTr="00D97F76">
        <w:tc>
          <w:tcPr>
            <w:tcW w:w="2088" w:type="dxa"/>
          </w:tcPr>
          <w:p w14:paraId="2CF88E3F" w14:textId="7C0F7467" w:rsidR="001B3C8D" w:rsidRPr="001B3C8D" w:rsidRDefault="001B3C8D" w:rsidP="00B61322">
            <w:pPr>
              <w:spacing w:after="0"/>
              <w:jc w:val="center"/>
              <w:rPr>
                <w:b/>
              </w:rPr>
            </w:pPr>
            <w:r w:rsidRPr="001B3C8D">
              <w:rPr>
                <w:b/>
              </w:rPr>
              <w:t>0</w:t>
            </w:r>
          </w:p>
        </w:tc>
        <w:tc>
          <w:tcPr>
            <w:tcW w:w="4073" w:type="dxa"/>
          </w:tcPr>
          <w:p w14:paraId="5675CF57" w14:textId="77F17C04" w:rsidR="001B3C8D" w:rsidRDefault="001B3C8D" w:rsidP="00B61322">
            <w:pPr>
              <w:spacing w:after="0"/>
              <w:jc w:val="center"/>
            </w:pPr>
            <w:r>
              <w:t>-80</w:t>
            </w:r>
          </w:p>
        </w:tc>
        <w:tc>
          <w:tcPr>
            <w:tcW w:w="3081" w:type="dxa"/>
          </w:tcPr>
          <w:p w14:paraId="00A02F40" w14:textId="062F952D" w:rsidR="001B3C8D" w:rsidRDefault="001B3C8D" w:rsidP="00B61322">
            <w:pPr>
              <w:spacing w:after="0"/>
              <w:jc w:val="center"/>
            </w:pPr>
            <w:r>
              <w:t>-75</w:t>
            </w:r>
          </w:p>
        </w:tc>
      </w:tr>
      <w:tr w:rsidR="001B3C8D" w14:paraId="70F974CA" w14:textId="77777777" w:rsidTr="00D97F76">
        <w:tc>
          <w:tcPr>
            <w:tcW w:w="2088" w:type="dxa"/>
          </w:tcPr>
          <w:p w14:paraId="12314032" w14:textId="6A7A8C3A" w:rsidR="001B3C8D" w:rsidRPr="001B3C8D" w:rsidRDefault="001B3C8D" w:rsidP="00B61322">
            <w:pPr>
              <w:spacing w:after="0"/>
              <w:jc w:val="center"/>
              <w:rPr>
                <w:b/>
              </w:rPr>
            </w:pPr>
            <w:r w:rsidRPr="001B3C8D">
              <w:rPr>
                <w:b/>
              </w:rPr>
              <w:t>1</w:t>
            </w:r>
          </w:p>
        </w:tc>
        <w:tc>
          <w:tcPr>
            <w:tcW w:w="4073" w:type="dxa"/>
          </w:tcPr>
          <w:p w14:paraId="06787A73" w14:textId="7A6285B4" w:rsidR="001B3C8D" w:rsidRDefault="001B3C8D" w:rsidP="00B61322">
            <w:pPr>
              <w:spacing w:after="0"/>
              <w:jc w:val="center"/>
            </w:pPr>
            <w:r>
              <w:t>25</w:t>
            </w:r>
          </w:p>
        </w:tc>
        <w:tc>
          <w:tcPr>
            <w:tcW w:w="3081" w:type="dxa"/>
          </w:tcPr>
          <w:p w14:paraId="56FE330E" w14:textId="30B0352A" w:rsidR="001B3C8D" w:rsidRDefault="001B3C8D" w:rsidP="00B61322">
            <w:pPr>
              <w:spacing w:after="0"/>
              <w:jc w:val="center"/>
            </w:pPr>
            <w:r>
              <w:t>50</w:t>
            </w:r>
          </w:p>
        </w:tc>
      </w:tr>
      <w:tr w:rsidR="001B3C8D" w14:paraId="23CBBB83" w14:textId="77777777" w:rsidTr="00D97F76">
        <w:tc>
          <w:tcPr>
            <w:tcW w:w="2088" w:type="dxa"/>
          </w:tcPr>
          <w:p w14:paraId="2D0263AB" w14:textId="72F45FF3" w:rsidR="001B3C8D" w:rsidRPr="001B3C8D" w:rsidRDefault="001B3C8D" w:rsidP="00B61322">
            <w:pPr>
              <w:spacing w:after="0"/>
              <w:jc w:val="center"/>
              <w:rPr>
                <w:b/>
              </w:rPr>
            </w:pPr>
            <w:r w:rsidRPr="001B3C8D">
              <w:rPr>
                <w:b/>
              </w:rPr>
              <w:t>2</w:t>
            </w:r>
          </w:p>
        </w:tc>
        <w:tc>
          <w:tcPr>
            <w:tcW w:w="4073" w:type="dxa"/>
          </w:tcPr>
          <w:p w14:paraId="4FB65B61" w14:textId="2411E95C" w:rsidR="001B3C8D" w:rsidRDefault="001B3C8D" w:rsidP="00B61322">
            <w:pPr>
              <w:spacing w:after="0"/>
              <w:jc w:val="center"/>
            </w:pPr>
            <w:r>
              <w:t>25</w:t>
            </w:r>
          </w:p>
        </w:tc>
        <w:tc>
          <w:tcPr>
            <w:tcW w:w="3081" w:type="dxa"/>
          </w:tcPr>
          <w:p w14:paraId="21DC8449" w14:textId="5E324078" w:rsidR="001B3C8D" w:rsidRDefault="001B3C8D" w:rsidP="00B61322">
            <w:pPr>
              <w:spacing w:after="0"/>
              <w:jc w:val="center"/>
            </w:pPr>
            <w:r>
              <w:t>20</w:t>
            </w:r>
          </w:p>
        </w:tc>
      </w:tr>
      <w:tr w:rsidR="001B3C8D" w14:paraId="70E1C3C8" w14:textId="77777777" w:rsidTr="00D97F76">
        <w:tc>
          <w:tcPr>
            <w:tcW w:w="2088" w:type="dxa"/>
          </w:tcPr>
          <w:p w14:paraId="59E56602" w14:textId="48E01176" w:rsidR="001B3C8D" w:rsidRPr="001B3C8D" w:rsidRDefault="001B3C8D" w:rsidP="00B61322">
            <w:pPr>
              <w:spacing w:after="0"/>
              <w:jc w:val="center"/>
              <w:rPr>
                <w:b/>
              </w:rPr>
            </w:pPr>
            <w:r w:rsidRPr="001B3C8D">
              <w:rPr>
                <w:b/>
              </w:rPr>
              <w:t>3</w:t>
            </w:r>
          </w:p>
        </w:tc>
        <w:tc>
          <w:tcPr>
            <w:tcW w:w="4073" w:type="dxa"/>
          </w:tcPr>
          <w:p w14:paraId="50873743" w14:textId="570ABBD9" w:rsidR="001B3C8D" w:rsidRDefault="001B3C8D" w:rsidP="00B61322">
            <w:pPr>
              <w:spacing w:after="0"/>
              <w:jc w:val="center"/>
            </w:pPr>
            <w:r>
              <w:t>20</w:t>
            </w:r>
          </w:p>
        </w:tc>
        <w:tc>
          <w:tcPr>
            <w:tcW w:w="3081" w:type="dxa"/>
          </w:tcPr>
          <w:p w14:paraId="6E5FEBB0" w14:textId="51D567D2" w:rsidR="001B3C8D" w:rsidRDefault="001B3C8D" w:rsidP="00B61322">
            <w:pPr>
              <w:spacing w:after="0"/>
              <w:jc w:val="center"/>
            </w:pPr>
            <w:r>
              <w:t>20</w:t>
            </w:r>
          </w:p>
        </w:tc>
      </w:tr>
      <w:tr w:rsidR="001B3C8D" w14:paraId="769DC9EE" w14:textId="77777777" w:rsidTr="00D97F76">
        <w:tc>
          <w:tcPr>
            <w:tcW w:w="2088" w:type="dxa"/>
          </w:tcPr>
          <w:p w14:paraId="492F0FC3" w14:textId="02FCC407" w:rsidR="001B3C8D" w:rsidRPr="001B3C8D" w:rsidRDefault="001B3C8D" w:rsidP="00B61322">
            <w:pPr>
              <w:spacing w:after="0"/>
              <w:jc w:val="center"/>
              <w:rPr>
                <w:b/>
              </w:rPr>
            </w:pPr>
            <w:r w:rsidRPr="001B3C8D">
              <w:rPr>
                <w:b/>
              </w:rPr>
              <w:t>4</w:t>
            </w:r>
          </w:p>
        </w:tc>
        <w:tc>
          <w:tcPr>
            <w:tcW w:w="4073" w:type="dxa"/>
          </w:tcPr>
          <w:p w14:paraId="2D7C8A2D" w14:textId="35F8E0C3" w:rsidR="001B3C8D" w:rsidRDefault="001B3C8D" w:rsidP="00B61322">
            <w:pPr>
              <w:spacing w:after="0"/>
              <w:jc w:val="center"/>
            </w:pPr>
            <w:r>
              <w:t>55</w:t>
            </w:r>
          </w:p>
        </w:tc>
        <w:tc>
          <w:tcPr>
            <w:tcW w:w="3081" w:type="dxa"/>
          </w:tcPr>
          <w:p w14:paraId="1DCDAE20" w14:textId="27D376BB" w:rsidR="001B3C8D" w:rsidRDefault="001B3C8D" w:rsidP="00B61322">
            <w:pPr>
              <w:spacing w:after="0"/>
              <w:jc w:val="center"/>
            </w:pPr>
            <w:r>
              <w:t>20</w:t>
            </w:r>
          </w:p>
        </w:tc>
      </w:tr>
    </w:tbl>
    <w:p w14:paraId="0163F7B9" w14:textId="77777777" w:rsidR="00D97F76" w:rsidRDefault="00D97F76" w:rsidP="00D97F76"/>
    <w:p w14:paraId="18152D74" w14:textId="004BA8B4" w:rsidR="001B3C8D" w:rsidRDefault="001B3C8D" w:rsidP="00D97F76">
      <w:pPr>
        <w:rPr>
          <w:b/>
        </w:rPr>
      </w:pPr>
      <w:r w:rsidRPr="001B3C8D">
        <w:rPr>
          <w:b/>
        </w:rPr>
        <w:t>Assumptions</w:t>
      </w:r>
    </w:p>
    <w:p w14:paraId="2F6E31A4" w14:textId="1ACB62C3" w:rsidR="001B3C8D" w:rsidRPr="001B3C8D" w:rsidRDefault="001B3C8D" w:rsidP="001B3C8D">
      <w:pPr>
        <w:pStyle w:val="ListParagraph"/>
        <w:numPr>
          <w:ilvl w:val="0"/>
          <w:numId w:val="1"/>
        </w:numPr>
      </w:pPr>
      <w:r w:rsidRPr="001B3C8D">
        <w:t>The company’s cost of capital is currently at 9.75</w:t>
      </w:r>
      <w:r>
        <w:t>%</w:t>
      </w:r>
      <w:r w:rsidRPr="001B3C8D">
        <w:t xml:space="preserve">. </w:t>
      </w:r>
    </w:p>
    <w:p w14:paraId="31733C4B" w14:textId="716A314F" w:rsidR="001B3C8D" w:rsidRPr="001B3C8D" w:rsidRDefault="001B3C8D" w:rsidP="001B3C8D">
      <w:pPr>
        <w:pStyle w:val="ListParagraph"/>
        <w:numPr>
          <w:ilvl w:val="0"/>
          <w:numId w:val="1"/>
        </w:numPr>
      </w:pPr>
      <w:r w:rsidRPr="001B3C8D">
        <w:t xml:space="preserve">All cash flows </w:t>
      </w:r>
      <w:r w:rsidR="00B61322">
        <w:t>are mutually exclusive and arise</w:t>
      </w:r>
      <w:r w:rsidRPr="001B3C8D">
        <w:t xml:space="preserve"> at year ends and ignore taxation and inflation. </w:t>
      </w:r>
    </w:p>
    <w:p w14:paraId="000000A4" w14:textId="77777777" w:rsidR="00424676" w:rsidRDefault="006C7EF6" w:rsidP="00B61322">
      <w:pPr>
        <w:pStyle w:val="Heading3"/>
      </w:pPr>
      <w:bookmarkStart w:id="17" w:name="_Toc175149011"/>
      <w:r w:rsidRPr="00F9490E">
        <w:t>Payback Period (PBP)</w:t>
      </w:r>
      <w:bookmarkEnd w:id="17"/>
    </w:p>
    <w:tbl>
      <w:tblPr>
        <w:tblStyle w:val="TableGrid"/>
        <w:tblW w:w="0" w:type="auto"/>
        <w:tblLook w:val="04A0" w:firstRow="1" w:lastRow="0" w:firstColumn="1" w:lastColumn="0" w:noHBand="0" w:noVBand="1"/>
      </w:tblPr>
      <w:tblGrid>
        <w:gridCol w:w="2088"/>
        <w:gridCol w:w="4073"/>
        <w:gridCol w:w="3081"/>
      </w:tblGrid>
      <w:tr w:rsidR="00B61322" w14:paraId="36AA4BE6" w14:textId="77777777" w:rsidTr="00E02107">
        <w:tc>
          <w:tcPr>
            <w:tcW w:w="2088" w:type="dxa"/>
          </w:tcPr>
          <w:p w14:paraId="704CD2BB" w14:textId="77777777" w:rsidR="00B61322" w:rsidRPr="00D97F76" w:rsidRDefault="00B61322" w:rsidP="00E02107">
            <w:pPr>
              <w:spacing w:after="0"/>
              <w:jc w:val="center"/>
              <w:rPr>
                <w:b/>
              </w:rPr>
            </w:pPr>
            <w:r>
              <w:rPr>
                <w:b/>
              </w:rPr>
              <w:t>Year</w:t>
            </w:r>
          </w:p>
        </w:tc>
        <w:tc>
          <w:tcPr>
            <w:tcW w:w="4073" w:type="dxa"/>
          </w:tcPr>
          <w:p w14:paraId="4E3D462B" w14:textId="77777777" w:rsidR="00B61322" w:rsidRPr="00D97F76" w:rsidRDefault="00B61322" w:rsidP="00E02107">
            <w:pPr>
              <w:spacing w:after="0"/>
              <w:jc w:val="center"/>
              <w:rPr>
                <w:b/>
              </w:rPr>
            </w:pPr>
            <w:r>
              <w:rPr>
                <w:b/>
              </w:rPr>
              <w:t>Project A (£ million )</w:t>
            </w:r>
          </w:p>
        </w:tc>
        <w:tc>
          <w:tcPr>
            <w:tcW w:w="3081" w:type="dxa"/>
          </w:tcPr>
          <w:p w14:paraId="1FB9D197" w14:textId="0E587158" w:rsidR="00B61322" w:rsidRDefault="00B61322" w:rsidP="00E02107">
            <w:pPr>
              <w:spacing w:after="0"/>
              <w:jc w:val="center"/>
            </w:pPr>
            <w:r>
              <w:rPr>
                <w:b/>
              </w:rPr>
              <w:t>Cumulative Cash Flow</w:t>
            </w:r>
          </w:p>
        </w:tc>
      </w:tr>
      <w:tr w:rsidR="00B61322" w14:paraId="3553771F" w14:textId="77777777" w:rsidTr="00E02107">
        <w:tc>
          <w:tcPr>
            <w:tcW w:w="2088" w:type="dxa"/>
          </w:tcPr>
          <w:p w14:paraId="3E2E7951" w14:textId="77777777" w:rsidR="00B61322" w:rsidRPr="001B3C8D" w:rsidRDefault="00B61322" w:rsidP="00E02107">
            <w:pPr>
              <w:spacing w:after="0"/>
              <w:jc w:val="center"/>
              <w:rPr>
                <w:b/>
              </w:rPr>
            </w:pPr>
            <w:r w:rsidRPr="001B3C8D">
              <w:rPr>
                <w:b/>
              </w:rPr>
              <w:t>0</w:t>
            </w:r>
          </w:p>
        </w:tc>
        <w:tc>
          <w:tcPr>
            <w:tcW w:w="4073" w:type="dxa"/>
          </w:tcPr>
          <w:p w14:paraId="17F0EC33" w14:textId="77777777" w:rsidR="00B61322" w:rsidRDefault="00B61322" w:rsidP="00E02107">
            <w:pPr>
              <w:spacing w:after="0"/>
              <w:jc w:val="center"/>
            </w:pPr>
            <w:r>
              <w:t>-80</w:t>
            </w:r>
          </w:p>
        </w:tc>
        <w:tc>
          <w:tcPr>
            <w:tcW w:w="3081" w:type="dxa"/>
          </w:tcPr>
          <w:p w14:paraId="10A216DB" w14:textId="6F0F97BE" w:rsidR="00B61322" w:rsidRDefault="00B61322" w:rsidP="00B61322">
            <w:pPr>
              <w:spacing w:after="0"/>
              <w:jc w:val="center"/>
            </w:pPr>
            <w:r>
              <w:t>-80</w:t>
            </w:r>
          </w:p>
        </w:tc>
      </w:tr>
      <w:tr w:rsidR="00B61322" w14:paraId="62F52460" w14:textId="77777777" w:rsidTr="00E02107">
        <w:tc>
          <w:tcPr>
            <w:tcW w:w="2088" w:type="dxa"/>
          </w:tcPr>
          <w:p w14:paraId="5E0DB681" w14:textId="77777777" w:rsidR="00B61322" w:rsidRPr="001B3C8D" w:rsidRDefault="00B61322" w:rsidP="00E02107">
            <w:pPr>
              <w:spacing w:after="0"/>
              <w:jc w:val="center"/>
              <w:rPr>
                <w:b/>
              </w:rPr>
            </w:pPr>
            <w:r w:rsidRPr="001B3C8D">
              <w:rPr>
                <w:b/>
              </w:rPr>
              <w:t>1</w:t>
            </w:r>
          </w:p>
        </w:tc>
        <w:tc>
          <w:tcPr>
            <w:tcW w:w="4073" w:type="dxa"/>
          </w:tcPr>
          <w:p w14:paraId="4F1F4F53" w14:textId="77777777" w:rsidR="00B61322" w:rsidRDefault="00B61322" w:rsidP="00E02107">
            <w:pPr>
              <w:spacing w:after="0"/>
              <w:jc w:val="center"/>
            </w:pPr>
            <w:r>
              <w:t>25</w:t>
            </w:r>
          </w:p>
        </w:tc>
        <w:tc>
          <w:tcPr>
            <w:tcW w:w="3081" w:type="dxa"/>
          </w:tcPr>
          <w:p w14:paraId="7F330288" w14:textId="68157E9D" w:rsidR="00B61322" w:rsidRDefault="00B61322" w:rsidP="00B61322">
            <w:pPr>
              <w:spacing w:after="0"/>
              <w:jc w:val="center"/>
            </w:pPr>
            <w:r>
              <w:t>-55</w:t>
            </w:r>
          </w:p>
        </w:tc>
      </w:tr>
      <w:tr w:rsidR="00B61322" w14:paraId="718E0B3A" w14:textId="77777777" w:rsidTr="00E02107">
        <w:tc>
          <w:tcPr>
            <w:tcW w:w="2088" w:type="dxa"/>
          </w:tcPr>
          <w:p w14:paraId="71815236" w14:textId="77777777" w:rsidR="00B61322" w:rsidRPr="001B3C8D" w:rsidRDefault="00B61322" w:rsidP="00E02107">
            <w:pPr>
              <w:spacing w:after="0"/>
              <w:jc w:val="center"/>
              <w:rPr>
                <w:b/>
              </w:rPr>
            </w:pPr>
            <w:r w:rsidRPr="001B3C8D">
              <w:rPr>
                <w:b/>
              </w:rPr>
              <w:t>2</w:t>
            </w:r>
          </w:p>
        </w:tc>
        <w:tc>
          <w:tcPr>
            <w:tcW w:w="4073" w:type="dxa"/>
          </w:tcPr>
          <w:p w14:paraId="093BCB92" w14:textId="77777777" w:rsidR="00B61322" w:rsidRDefault="00B61322" w:rsidP="00E02107">
            <w:pPr>
              <w:spacing w:after="0"/>
              <w:jc w:val="center"/>
            </w:pPr>
            <w:r>
              <w:t>25</w:t>
            </w:r>
          </w:p>
        </w:tc>
        <w:tc>
          <w:tcPr>
            <w:tcW w:w="3081" w:type="dxa"/>
          </w:tcPr>
          <w:p w14:paraId="55FD4D5F" w14:textId="30D38256" w:rsidR="00B61322" w:rsidRDefault="00B61322" w:rsidP="00E02107">
            <w:pPr>
              <w:spacing w:after="0"/>
              <w:jc w:val="center"/>
            </w:pPr>
            <w:r>
              <w:t>-30</w:t>
            </w:r>
          </w:p>
        </w:tc>
      </w:tr>
      <w:tr w:rsidR="00B61322" w14:paraId="077711A5" w14:textId="77777777" w:rsidTr="00E02107">
        <w:tc>
          <w:tcPr>
            <w:tcW w:w="2088" w:type="dxa"/>
          </w:tcPr>
          <w:p w14:paraId="7151A87A" w14:textId="77777777" w:rsidR="00B61322" w:rsidRPr="00B61322" w:rsidRDefault="00B61322" w:rsidP="00E02107">
            <w:pPr>
              <w:spacing w:after="0"/>
              <w:jc w:val="center"/>
              <w:rPr>
                <w:b/>
              </w:rPr>
            </w:pPr>
            <w:r w:rsidRPr="00B61322">
              <w:rPr>
                <w:b/>
              </w:rPr>
              <w:t>3</w:t>
            </w:r>
          </w:p>
        </w:tc>
        <w:tc>
          <w:tcPr>
            <w:tcW w:w="4073" w:type="dxa"/>
          </w:tcPr>
          <w:p w14:paraId="64B94CA0" w14:textId="77777777" w:rsidR="00B61322" w:rsidRDefault="00B61322" w:rsidP="00E02107">
            <w:pPr>
              <w:spacing w:after="0"/>
              <w:jc w:val="center"/>
            </w:pPr>
            <w:r>
              <w:t>20</w:t>
            </w:r>
          </w:p>
        </w:tc>
        <w:tc>
          <w:tcPr>
            <w:tcW w:w="3081" w:type="dxa"/>
          </w:tcPr>
          <w:p w14:paraId="33BD7D27" w14:textId="26A01F9E" w:rsidR="00B61322" w:rsidRDefault="00B61322" w:rsidP="00E02107">
            <w:pPr>
              <w:spacing w:after="0"/>
              <w:jc w:val="center"/>
            </w:pPr>
            <w:r>
              <w:t>-10</w:t>
            </w:r>
          </w:p>
        </w:tc>
      </w:tr>
      <w:tr w:rsidR="00B61322" w14:paraId="79260047" w14:textId="77777777" w:rsidTr="00E02107">
        <w:tc>
          <w:tcPr>
            <w:tcW w:w="2088" w:type="dxa"/>
          </w:tcPr>
          <w:p w14:paraId="7DEC9D90" w14:textId="77777777" w:rsidR="00B61322" w:rsidRPr="001B3C8D" w:rsidRDefault="00B61322" w:rsidP="00E02107">
            <w:pPr>
              <w:spacing w:after="0"/>
              <w:jc w:val="center"/>
              <w:rPr>
                <w:b/>
              </w:rPr>
            </w:pPr>
            <w:r w:rsidRPr="001B3C8D">
              <w:rPr>
                <w:b/>
              </w:rPr>
              <w:t>4</w:t>
            </w:r>
          </w:p>
        </w:tc>
        <w:tc>
          <w:tcPr>
            <w:tcW w:w="4073" w:type="dxa"/>
          </w:tcPr>
          <w:p w14:paraId="7965871C" w14:textId="77777777" w:rsidR="00B61322" w:rsidRDefault="00B61322" w:rsidP="00E02107">
            <w:pPr>
              <w:spacing w:after="0"/>
              <w:jc w:val="center"/>
            </w:pPr>
            <w:r>
              <w:t>55</w:t>
            </w:r>
          </w:p>
        </w:tc>
        <w:tc>
          <w:tcPr>
            <w:tcW w:w="3081" w:type="dxa"/>
          </w:tcPr>
          <w:p w14:paraId="46FD294B" w14:textId="1F9FB96F" w:rsidR="00B61322" w:rsidRDefault="00B61322" w:rsidP="00E02107">
            <w:pPr>
              <w:spacing w:after="0"/>
              <w:jc w:val="center"/>
            </w:pPr>
            <w:r>
              <w:t>45</w:t>
            </w:r>
          </w:p>
        </w:tc>
      </w:tr>
    </w:tbl>
    <w:p w14:paraId="046D4DC3" w14:textId="77777777" w:rsidR="00B61322" w:rsidRPr="00B61322" w:rsidRDefault="00B61322" w:rsidP="00B61322"/>
    <w:p w14:paraId="11F287A8" w14:textId="4C364C5D" w:rsidR="00B61322" w:rsidRDefault="00B61322" w:rsidP="00B61322">
      <w:r>
        <w:lastRenderedPageBreak/>
        <w:t>The last negative cash flow in project A</w:t>
      </w:r>
      <w:r w:rsidR="0069049D">
        <w:t xml:space="preserve"> </w:t>
      </w:r>
      <w:r>
        <w:t xml:space="preserve">occurs at year 3 while additional £55 million is received the following year resulting in positive </w:t>
      </w:r>
      <w:proofErr w:type="spellStart"/>
      <w:r>
        <w:t>cashflow</w:t>
      </w:r>
      <w:proofErr w:type="spellEnd"/>
      <w:r>
        <w:t xml:space="preserve">. Based on this the PBP will </w:t>
      </w:r>
      <w:proofErr w:type="gramStart"/>
      <w:r>
        <w:t>be ;</w:t>
      </w:r>
      <w:proofErr w:type="gramEnd"/>
    </w:p>
    <w:p w14:paraId="33BBE64D" w14:textId="29732359" w:rsidR="00B61322" w:rsidRDefault="00B61322" w:rsidP="00B61322">
      <w:pPr>
        <w:spacing w:after="0" w:line="276" w:lineRule="auto"/>
      </w:pPr>
      <w:r w:rsidRPr="00B61322">
        <w:rPr>
          <w:b/>
        </w:rPr>
        <w:t>PBP</w:t>
      </w:r>
      <w:r>
        <w:t xml:space="preserve"> = 3 </w:t>
      </w:r>
      <w:proofErr w:type="gramStart"/>
      <w:r>
        <w:t>+(</w:t>
      </w:r>
      <w:proofErr w:type="gramEnd"/>
      <w:r>
        <w:t>10/55)</w:t>
      </w:r>
    </w:p>
    <w:p w14:paraId="030DE122" w14:textId="085B3A15" w:rsidR="00B61322" w:rsidRDefault="00B61322" w:rsidP="00B61322">
      <w:pPr>
        <w:spacing w:after="0" w:line="276" w:lineRule="auto"/>
      </w:pPr>
      <w:r>
        <w:t xml:space="preserve">        = 3.18 years.</w:t>
      </w:r>
    </w:p>
    <w:p w14:paraId="380F3041" w14:textId="77777777" w:rsidR="00E02107" w:rsidRDefault="00E02107" w:rsidP="00B61322">
      <w:pPr>
        <w:spacing w:after="0" w:line="276" w:lineRule="auto"/>
      </w:pPr>
    </w:p>
    <w:tbl>
      <w:tblPr>
        <w:tblStyle w:val="TableGrid"/>
        <w:tblW w:w="0" w:type="auto"/>
        <w:tblLook w:val="04A0" w:firstRow="1" w:lastRow="0" w:firstColumn="1" w:lastColumn="0" w:noHBand="0" w:noVBand="1"/>
      </w:tblPr>
      <w:tblGrid>
        <w:gridCol w:w="2088"/>
        <w:gridCol w:w="4073"/>
        <w:gridCol w:w="3081"/>
      </w:tblGrid>
      <w:tr w:rsidR="00B61322" w14:paraId="325C06FB" w14:textId="77777777" w:rsidTr="00E02107">
        <w:tc>
          <w:tcPr>
            <w:tcW w:w="2088" w:type="dxa"/>
          </w:tcPr>
          <w:p w14:paraId="1F4295AB" w14:textId="77777777" w:rsidR="00B61322" w:rsidRPr="00D97F76" w:rsidRDefault="00B61322" w:rsidP="00E02107">
            <w:pPr>
              <w:spacing w:after="0"/>
              <w:jc w:val="center"/>
              <w:rPr>
                <w:b/>
              </w:rPr>
            </w:pPr>
            <w:r>
              <w:rPr>
                <w:b/>
              </w:rPr>
              <w:t>Year</w:t>
            </w:r>
          </w:p>
        </w:tc>
        <w:tc>
          <w:tcPr>
            <w:tcW w:w="4073" w:type="dxa"/>
          </w:tcPr>
          <w:p w14:paraId="587481A2" w14:textId="5812FDA1" w:rsidR="00B61322" w:rsidRPr="00D97F76" w:rsidRDefault="00B61322" w:rsidP="00DB3870">
            <w:pPr>
              <w:spacing w:after="0"/>
              <w:jc w:val="center"/>
              <w:rPr>
                <w:b/>
              </w:rPr>
            </w:pPr>
            <w:r>
              <w:rPr>
                <w:b/>
              </w:rPr>
              <w:t xml:space="preserve">Project </w:t>
            </w:r>
            <w:r w:rsidR="00DB3870">
              <w:rPr>
                <w:b/>
              </w:rPr>
              <w:t>B</w:t>
            </w:r>
            <w:r>
              <w:rPr>
                <w:b/>
              </w:rPr>
              <w:t xml:space="preserve"> (£ million )</w:t>
            </w:r>
          </w:p>
        </w:tc>
        <w:tc>
          <w:tcPr>
            <w:tcW w:w="3081" w:type="dxa"/>
          </w:tcPr>
          <w:p w14:paraId="089E0CC1" w14:textId="77777777" w:rsidR="00B61322" w:rsidRDefault="00B61322" w:rsidP="00E02107">
            <w:pPr>
              <w:spacing w:after="0"/>
              <w:jc w:val="center"/>
            </w:pPr>
            <w:r>
              <w:rPr>
                <w:b/>
              </w:rPr>
              <w:t>Cumulative Cash Flow</w:t>
            </w:r>
          </w:p>
        </w:tc>
      </w:tr>
      <w:tr w:rsidR="00DB3870" w14:paraId="15865611" w14:textId="77777777" w:rsidTr="00E02107">
        <w:tc>
          <w:tcPr>
            <w:tcW w:w="2088" w:type="dxa"/>
          </w:tcPr>
          <w:p w14:paraId="0F848DE0" w14:textId="77777777" w:rsidR="00DB3870" w:rsidRPr="001B3C8D" w:rsidRDefault="00DB3870" w:rsidP="00E02107">
            <w:pPr>
              <w:spacing w:after="0"/>
              <w:jc w:val="center"/>
              <w:rPr>
                <w:b/>
              </w:rPr>
            </w:pPr>
            <w:r w:rsidRPr="001B3C8D">
              <w:rPr>
                <w:b/>
              </w:rPr>
              <w:t>0</w:t>
            </w:r>
          </w:p>
        </w:tc>
        <w:tc>
          <w:tcPr>
            <w:tcW w:w="4073" w:type="dxa"/>
          </w:tcPr>
          <w:p w14:paraId="6B4370D0" w14:textId="0E5D09F5" w:rsidR="00DB3870" w:rsidRDefault="00DB3870" w:rsidP="00E02107">
            <w:pPr>
              <w:spacing w:after="0"/>
              <w:jc w:val="center"/>
            </w:pPr>
            <w:r>
              <w:t>-75</w:t>
            </w:r>
          </w:p>
        </w:tc>
        <w:tc>
          <w:tcPr>
            <w:tcW w:w="3081" w:type="dxa"/>
          </w:tcPr>
          <w:p w14:paraId="154BBC5F" w14:textId="223B18E7" w:rsidR="00DB3870" w:rsidRDefault="00DB3870" w:rsidP="00E02107">
            <w:pPr>
              <w:spacing w:after="0"/>
              <w:jc w:val="center"/>
            </w:pPr>
            <w:r>
              <w:t>-75</w:t>
            </w:r>
          </w:p>
        </w:tc>
      </w:tr>
      <w:tr w:rsidR="00DB3870" w14:paraId="6DD2D7A8" w14:textId="77777777" w:rsidTr="00E02107">
        <w:tc>
          <w:tcPr>
            <w:tcW w:w="2088" w:type="dxa"/>
          </w:tcPr>
          <w:p w14:paraId="5DA07D93" w14:textId="77777777" w:rsidR="00DB3870" w:rsidRPr="001B3C8D" w:rsidRDefault="00DB3870" w:rsidP="00E02107">
            <w:pPr>
              <w:spacing w:after="0"/>
              <w:jc w:val="center"/>
              <w:rPr>
                <w:b/>
              </w:rPr>
            </w:pPr>
            <w:r w:rsidRPr="001B3C8D">
              <w:rPr>
                <w:b/>
              </w:rPr>
              <w:t>1</w:t>
            </w:r>
          </w:p>
        </w:tc>
        <w:tc>
          <w:tcPr>
            <w:tcW w:w="4073" w:type="dxa"/>
          </w:tcPr>
          <w:p w14:paraId="70FE6177" w14:textId="7FC4D03F" w:rsidR="00DB3870" w:rsidRDefault="00DB3870" w:rsidP="00E02107">
            <w:pPr>
              <w:spacing w:after="0"/>
              <w:jc w:val="center"/>
            </w:pPr>
            <w:r>
              <w:t>50</w:t>
            </w:r>
          </w:p>
        </w:tc>
        <w:tc>
          <w:tcPr>
            <w:tcW w:w="3081" w:type="dxa"/>
          </w:tcPr>
          <w:p w14:paraId="69EE161A" w14:textId="6C6462DC" w:rsidR="00DB3870" w:rsidRDefault="00DB3870" w:rsidP="00E02107">
            <w:pPr>
              <w:spacing w:after="0"/>
              <w:jc w:val="center"/>
            </w:pPr>
            <w:r>
              <w:t>-25</w:t>
            </w:r>
          </w:p>
        </w:tc>
      </w:tr>
      <w:tr w:rsidR="00DB3870" w14:paraId="5651582E" w14:textId="77777777" w:rsidTr="00E02107">
        <w:tc>
          <w:tcPr>
            <w:tcW w:w="2088" w:type="dxa"/>
          </w:tcPr>
          <w:p w14:paraId="4CA83DAB" w14:textId="77777777" w:rsidR="00DB3870" w:rsidRPr="001B3C8D" w:rsidRDefault="00DB3870" w:rsidP="00E02107">
            <w:pPr>
              <w:spacing w:after="0"/>
              <w:jc w:val="center"/>
              <w:rPr>
                <w:b/>
              </w:rPr>
            </w:pPr>
            <w:r w:rsidRPr="001B3C8D">
              <w:rPr>
                <w:b/>
              </w:rPr>
              <w:t>2</w:t>
            </w:r>
          </w:p>
        </w:tc>
        <w:tc>
          <w:tcPr>
            <w:tcW w:w="4073" w:type="dxa"/>
          </w:tcPr>
          <w:p w14:paraId="6D52A9B4" w14:textId="187045F2" w:rsidR="00DB3870" w:rsidRDefault="00DB3870" w:rsidP="00E02107">
            <w:pPr>
              <w:spacing w:after="0"/>
              <w:jc w:val="center"/>
            </w:pPr>
            <w:r>
              <w:t>20</w:t>
            </w:r>
          </w:p>
        </w:tc>
        <w:tc>
          <w:tcPr>
            <w:tcW w:w="3081" w:type="dxa"/>
          </w:tcPr>
          <w:p w14:paraId="17453D67" w14:textId="1EB4D5EE" w:rsidR="00DB3870" w:rsidRDefault="00DB3870" w:rsidP="00E02107">
            <w:pPr>
              <w:spacing w:after="0"/>
              <w:jc w:val="center"/>
            </w:pPr>
            <w:r>
              <w:t>-5</w:t>
            </w:r>
          </w:p>
        </w:tc>
      </w:tr>
      <w:tr w:rsidR="00DB3870" w14:paraId="7466602B" w14:textId="77777777" w:rsidTr="00E02107">
        <w:tc>
          <w:tcPr>
            <w:tcW w:w="2088" w:type="dxa"/>
          </w:tcPr>
          <w:p w14:paraId="09B0CCA8" w14:textId="77777777" w:rsidR="00DB3870" w:rsidRPr="00B61322" w:rsidRDefault="00DB3870" w:rsidP="00E02107">
            <w:pPr>
              <w:spacing w:after="0"/>
              <w:jc w:val="center"/>
              <w:rPr>
                <w:b/>
              </w:rPr>
            </w:pPr>
            <w:r w:rsidRPr="00B61322">
              <w:rPr>
                <w:b/>
              </w:rPr>
              <w:t>3</w:t>
            </w:r>
          </w:p>
        </w:tc>
        <w:tc>
          <w:tcPr>
            <w:tcW w:w="4073" w:type="dxa"/>
          </w:tcPr>
          <w:p w14:paraId="5EA80ABE" w14:textId="522A6D85" w:rsidR="00DB3870" w:rsidRDefault="00DB3870" w:rsidP="00E02107">
            <w:pPr>
              <w:spacing w:after="0"/>
              <w:jc w:val="center"/>
            </w:pPr>
            <w:r>
              <w:t>20</w:t>
            </w:r>
          </w:p>
        </w:tc>
        <w:tc>
          <w:tcPr>
            <w:tcW w:w="3081" w:type="dxa"/>
          </w:tcPr>
          <w:p w14:paraId="6FB10053" w14:textId="36A3B71F" w:rsidR="00DB3870" w:rsidRDefault="00DB3870" w:rsidP="00E02107">
            <w:pPr>
              <w:spacing w:after="0"/>
              <w:jc w:val="center"/>
            </w:pPr>
            <w:r>
              <w:t>15</w:t>
            </w:r>
          </w:p>
        </w:tc>
      </w:tr>
      <w:tr w:rsidR="00DB3870" w14:paraId="79E7A861" w14:textId="77777777" w:rsidTr="00E02107">
        <w:tc>
          <w:tcPr>
            <w:tcW w:w="2088" w:type="dxa"/>
          </w:tcPr>
          <w:p w14:paraId="168440BE" w14:textId="77777777" w:rsidR="00DB3870" w:rsidRPr="001B3C8D" w:rsidRDefault="00DB3870" w:rsidP="00E02107">
            <w:pPr>
              <w:spacing w:after="0"/>
              <w:jc w:val="center"/>
              <w:rPr>
                <w:b/>
              </w:rPr>
            </w:pPr>
            <w:r w:rsidRPr="001B3C8D">
              <w:rPr>
                <w:b/>
              </w:rPr>
              <w:t>4</w:t>
            </w:r>
          </w:p>
        </w:tc>
        <w:tc>
          <w:tcPr>
            <w:tcW w:w="4073" w:type="dxa"/>
          </w:tcPr>
          <w:p w14:paraId="6AB47AE2" w14:textId="7E8D9504" w:rsidR="00DB3870" w:rsidRDefault="00DB3870" w:rsidP="00E02107">
            <w:pPr>
              <w:spacing w:after="0"/>
              <w:jc w:val="center"/>
            </w:pPr>
            <w:r>
              <w:t>20</w:t>
            </w:r>
          </w:p>
        </w:tc>
        <w:tc>
          <w:tcPr>
            <w:tcW w:w="3081" w:type="dxa"/>
          </w:tcPr>
          <w:p w14:paraId="28DB2358" w14:textId="51229DDE" w:rsidR="00DB3870" w:rsidRDefault="00DB3870" w:rsidP="00E02107">
            <w:pPr>
              <w:spacing w:after="0"/>
              <w:jc w:val="center"/>
            </w:pPr>
            <w:r>
              <w:t>35</w:t>
            </w:r>
          </w:p>
        </w:tc>
      </w:tr>
    </w:tbl>
    <w:p w14:paraId="47338108" w14:textId="77777777" w:rsidR="00B61322" w:rsidRDefault="00B61322" w:rsidP="00B61322"/>
    <w:p w14:paraId="2F3A50C4" w14:textId="2AB127A9" w:rsidR="00E02107" w:rsidRDefault="00E02107" w:rsidP="00E02107">
      <w:r>
        <w:t xml:space="preserve">Similarly, the last negative cash flow in project B occurs at year 2 while additional £20 million is received the following year resulting in positive </w:t>
      </w:r>
      <w:proofErr w:type="spellStart"/>
      <w:r>
        <w:t>cashflow</w:t>
      </w:r>
      <w:proofErr w:type="spellEnd"/>
      <w:r>
        <w:t xml:space="preserve">. Based on this the PBP will </w:t>
      </w:r>
      <w:proofErr w:type="gramStart"/>
      <w:r>
        <w:t>be ;</w:t>
      </w:r>
      <w:proofErr w:type="gramEnd"/>
    </w:p>
    <w:p w14:paraId="11C71B69" w14:textId="751AF7D9" w:rsidR="00E02107" w:rsidRDefault="00E02107" w:rsidP="00E02107">
      <w:pPr>
        <w:spacing w:after="0" w:line="276" w:lineRule="auto"/>
      </w:pPr>
      <w:r w:rsidRPr="00B61322">
        <w:rPr>
          <w:b/>
        </w:rPr>
        <w:t>PBP</w:t>
      </w:r>
      <w:r>
        <w:t xml:space="preserve"> = 2 </w:t>
      </w:r>
      <w:proofErr w:type="gramStart"/>
      <w:r>
        <w:t>+(</w:t>
      </w:r>
      <w:proofErr w:type="gramEnd"/>
      <w:r>
        <w:t>5/20)</w:t>
      </w:r>
    </w:p>
    <w:p w14:paraId="1E735314" w14:textId="0B2C1AB8" w:rsidR="00E02107" w:rsidRDefault="00E02107" w:rsidP="00E02107">
      <w:pPr>
        <w:spacing w:after="0" w:line="276" w:lineRule="auto"/>
      </w:pPr>
      <w:r>
        <w:t xml:space="preserve">        = 2.25 years.</w:t>
      </w:r>
    </w:p>
    <w:p w14:paraId="606AFA36" w14:textId="77777777" w:rsidR="00B61322" w:rsidRDefault="00B61322" w:rsidP="00B61322">
      <w:pPr>
        <w:spacing w:line="276" w:lineRule="auto"/>
      </w:pPr>
    </w:p>
    <w:p w14:paraId="3609AE0E" w14:textId="5C4251B7" w:rsidR="00E02107" w:rsidRDefault="00E02107" w:rsidP="00B61322">
      <w:pPr>
        <w:spacing w:line="276" w:lineRule="auto"/>
      </w:pPr>
      <w:r>
        <w:t>Based on the calculations the PBP of project B is quicker than that of Project A.</w:t>
      </w:r>
    </w:p>
    <w:p w14:paraId="2E44E95A" w14:textId="591306A8" w:rsidR="00E02107" w:rsidRDefault="00E02107" w:rsidP="00E02107">
      <w:pPr>
        <w:pStyle w:val="Heading3"/>
      </w:pPr>
      <w:bookmarkStart w:id="18" w:name="_Toc175149012"/>
      <w:r>
        <w:t>Accounting Rate of Return</w:t>
      </w:r>
      <w:r w:rsidRPr="00F9490E">
        <w:t xml:space="preserve"> (</w:t>
      </w:r>
      <w:r w:rsidR="00E82441">
        <w:t>ARR</w:t>
      </w:r>
      <w:r w:rsidRPr="00F9490E">
        <w:t>)</w:t>
      </w:r>
      <w:bookmarkEnd w:id="18"/>
    </w:p>
    <w:p w14:paraId="49F34BF3" w14:textId="210FA0E4" w:rsidR="00E82441" w:rsidRDefault="00E82441" w:rsidP="00E82441">
      <w:r>
        <w:t>The formula for calculating ARR is;</w:t>
      </w:r>
    </w:p>
    <w:p w14:paraId="2F140BDD" w14:textId="7424FD4A" w:rsidR="00E82441" w:rsidRDefault="00E82441" w:rsidP="00E82441">
      <w:pPr>
        <w:spacing w:after="0" w:line="276" w:lineRule="auto"/>
        <w:rPr>
          <w:sz w:val="22"/>
        </w:rPr>
      </w:pPr>
      <w:r>
        <w:rPr>
          <w:b/>
        </w:rPr>
        <w:t>ARR</w:t>
      </w:r>
      <w:r>
        <w:t xml:space="preserve"> = </w:t>
      </w:r>
      <m:oMath>
        <m:f>
          <m:fPr>
            <m:ctrlPr>
              <w:rPr>
                <w:rFonts w:ascii="Cambria Math" w:hAnsi="Cambria Math" w:cs="ArhialkhanMJ"/>
                <w:i/>
                <w:sz w:val="22"/>
              </w:rPr>
            </m:ctrlPr>
          </m:fPr>
          <m:num>
            <m:r>
              <w:rPr>
                <w:rFonts w:ascii="Cambria Math" w:hAnsi="Cambria Math" w:cs="ArhialkhanMJ"/>
                <w:sz w:val="22"/>
              </w:rPr>
              <m:t xml:space="preserve">Average Annual Profit  </m:t>
            </m:r>
          </m:num>
          <m:den>
            <m:r>
              <w:rPr>
                <w:rFonts w:ascii="Cambria Math" w:hAnsi="Cambria Math" w:cs="ArhialkhanMJ"/>
                <w:sz w:val="22"/>
              </w:rPr>
              <m:t>Initial Investment</m:t>
            </m:r>
          </m:den>
        </m:f>
      </m:oMath>
      <w:r w:rsidR="00B13618">
        <w:rPr>
          <w:sz w:val="22"/>
        </w:rPr>
        <w:t xml:space="preserve"> X 100</w:t>
      </w:r>
    </w:p>
    <w:p w14:paraId="58342A74" w14:textId="77777777" w:rsidR="00B6478A" w:rsidRDefault="00B6478A" w:rsidP="00E82441">
      <w:pPr>
        <w:spacing w:after="0" w:line="276" w:lineRule="auto"/>
        <w:rPr>
          <w:sz w:val="22"/>
        </w:rPr>
      </w:pPr>
    </w:p>
    <w:p w14:paraId="644D8792" w14:textId="77777777" w:rsidR="00B6478A" w:rsidRDefault="00B6478A" w:rsidP="00E82441">
      <w:pPr>
        <w:spacing w:after="0" w:line="276" w:lineRule="auto"/>
        <w:rPr>
          <w:sz w:val="22"/>
        </w:rPr>
      </w:pPr>
    </w:p>
    <w:p w14:paraId="4A15E6D6" w14:textId="77777777" w:rsidR="00B13618" w:rsidRDefault="00B13618" w:rsidP="00E82441">
      <w:pPr>
        <w:spacing w:after="0" w:line="276" w:lineRule="auto"/>
        <w:rPr>
          <w:sz w:val="22"/>
        </w:rPr>
      </w:pPr>
    </w:p>
    <w:tbl>
      <w:tblPr>
        <w:tblStyle w:val="TableGrid"/>
        <w:tblW w:w="0" w:type="auto"/>
        <w:tblBorders>
          <w:insideH w:val="none" w:sz="0" w:space="0" w:color="auto"/>
        </w:tblBorders>
        <w:tblLook w:val="04A0" w:firstRow="1" w:lastRow="0" w:firstColumn="1" w:lastColumn="0" w:noHBand="0" w:noVBand="1"/>
      </w:tblPr>
      <w:tblGrid>
        <w:gridCol w:w="4621"/>
        <w:gridCol w:w="4621"/>
      </w:tblGrid>
      <w:tr w:rsidR="00B13618" w:rsidRPr="00B13618" w14:paraId="0A48CC9D" w14:textId="77777777" w:rsidTr="00736824">
        <w:tc>
          <w:tcPr>
            <w:tcW w:w="4621" w:type="dxa"/>
            <w:tcBorders>
              <w:top w:val="single" w:sz="4" w:space="0" w:color="auto"/>
              <w:bottom w:val="single" w:sz="4" w:space="0" w:color="auto"/>
            </w:tcBorders>
          </w:tcPr>
          <w:p w14:paraId="2E034335" w14:textId="5DF588F5" w:rsidR="00B13618" w:rsidRPr="00B13618" w:rsidRDefault="00B13618" w:rsidP="00736824">
            <w:pPr>
              <w:spacing w:before="240" w:line="276" w:lineRule="auto"/>
              <w:jc w:val="center"/>
              <w:rPr>
                <w:b/>
              </w:rPr>
            </w:pPr>
            <w:r w:rsidRPr="00B13618">
              <w:rPr>
                <w:b/>
              </w:rPr>
              <w:lastRenderedPageBreak/>
              <w:t>Project A</w:t>
            </w:r>
            <w:r>
              <w:rPr>
                <w:b/>
              </w:rPr>
              <w:t xml:space="preserve"> (</w:t>
            </w:r>
            <w:r>
              <w:t>£</w:t>
            </w:r>
            <w:r>
              <w:rPr>
                <w:b/>
              </w:rPr>
              <w:t>)</w:t>
            </w:r>
          </w:p>
        </w:tc>
        <w:tc>
          <w:tcPr>
            <w:tcW w:w="4621" w:type="dxa"/>
            <w:tcBorders>
              <w:top w:val="single" w:sz="4" w:space="0" w:color="auto"/>
              <w:bottom w:val="single" w:sz="4" w:space="0" w:color="auto"/>
            </w:tcBorders>
          </w:tcPr>
          <w:p w14:paraId="4E360ACA" w14:textId="40EEFEE4" w:rsidR="00B13618" w:rsidRPr="00B13618" w:rsidRDefault="00B13618" w:rsidP="00736824">
            <w:pPr>
              <w:spacing w:before="240" w:line="276" w:lineRule="auto"/>
              <w:jc w:val="center"/>
              <w:rPr>
                <w:b/>
              </w:rPr>
            </w:pPr>
            <w:r w:rsidRPr="00B13618">
              <w:rPr>
                <w:b/>
              </w:rPr>
              <w:t>Project B</w:t>
            </w:r>
            <w:r>
              <w:rPr>
                <w:b/>
              </w:rPr>
              <w:t>(</w:t>
            </w:r>
            <w:r>
              <w:t>£</w:t>
            </w:r>
            <w:r>
              <w:rPr>
                <w:b/>
              </w:rPr>
              <w:t>)</w:t>
            </w:r>
          </w:p>
        </w:tc>
      </w:tr>
      <w:tr w:rsidR="00B13618" w:rsidRPr="00B13618" w14:paraId="788A6C2E" w14:textId="77777777" w:rsidTr="00736824">
        <w:tc>
          <w:tcPr>
            <w:tcW w:w="4621" w:type="dxa"/>
            <w:tcBorders>
              <w:top w:val="single" w:sz="4" w:space="0" w:color="auto"/>
            </w:tcBorders>
          </w:tcPr>
          <w:p w14:paraId="0329979C" w14:textId="7258247D" w:rsidR="00B6478A" w:rsidRPr="00736824" w:rsidRDefault="00B13618" w:rsidP="00B6478A">
            <w:pPr>
              <w:tabs>
                <w:tab w:val="center" w:pos="2202"/>
              </w:tabs>
              <w:spacing w:after="0" w:line="276" w:lineRule="auto"/>
            </w:pPr>
            <w:r>
              <w:rPr>
                <w:b/>
              </w:rPr>
              <w:t xml:space="preserve">Total Cash Flow </w:t>
            </w:r>
            <w:r w:rsidR="00B6478A">
              <w:rPr>
                <w:b/>
              </w:rPr>
              <w:t xml:space="preserve">            </w:t>
            </w:r>
            <w:r>
              <w:rPr>
                <w:b/>
              </w:rPr>
              <w:t xml:space="preserve">= </w:t>
            </w:r>
            <w:r w:rsidRPr="00736824">
              <w:t>25 + 25 +20 + 55</w:t>
            </w:r>
          </w:p>
          <w:p w14:paraId="0D56C74E" w14:textId="169F69FB" w:rsidR="00B6478A" w:rsidRPr="00736824" w:rsidRDefault="00B6478A" w:rsidP="00B6478A">
            <w:pPr>
              <w:tabs>
                <w:tab w:val="center" w:pos="2202"/>
              </w:tabs>
              <w:spacing w:after="0" w:line="276" w:lineRule="auto"/>
            </w:pPr>
            <w:r w:rsidRPr="00736824">
              <w:t xml:space="preserve">                                          = 125</w:t>
            </w:r>
          </w:p>
          <w:p w14:paraId="3EABF0DB" w14:textId="2FE3C7B1" w:rsidR="00B6478A" w:rsidRPr="00736824" w:rsidRDefault="00B6478A" w:rsidP="00B6478A">
            <w:pPr>
              <w:tabs>
                <w:tab w:val="left" w:pos="794"/>
              </w:tabs>
              <w:spacing w:after="0" w:line="276" w:lineRule="auto"/>
            </w:pPr>
            <w:r>
              <w:rPr>
                <w:b/>
              </w:rPr>
              <w:t xml:space="preserve">Total Profit                     = </w:t>
            </w:r>
            <w:r w:rsidRPr="00736824">
              <w:t>125- 80</w:t>
            </w:r>
          </w:p>
          <w:p w14:paraId="65B2AE3E" w14:textId="6F26EF9F" w:rsidR="00B6478A" w:rsidRPr="00736824" w:rsidRDefault="00B6478A" w:rsidP="00B6478A">
            <w:pPr>
              <w:tabs>
                <w:tab w:val="left" w:pos="794"/>
              </w:tabs>
              <w:spacing w:after="0" w:line="276" w:lineRule="auto"/>
            </w:pPr>
            <w:r w:rsidRPr="00736824">
              <w:t xml:space="preserve">                                          = 45</w:t>
            </w:r>
          </w:p>
          <w:p w14:paraId="0CB94D0A" w14:textId="104ECD4B" w:rsidR="00B6478A" w:rsidRPr="00736824" w:rsidRDefault="00B6478A" w:rsidP="00B6478A">
            <w:pPr>
              <w:tabs>
                <w:tab w:val="left" w:pos="794"/>
              </w:tabs>
              <w:spacing w:after="0" w:line="276" w:lineRule="auto"/>
            </w:pPr>
            <w:r>
              <w:rPr>
                <w:b/>
              </w:rPr>
              <w:t xml:space="preserve">Average Annual Profit = </w:t>
            </w:r>
            <w:r w:rsidRPr="00736824">
              <w:t>45/4</w:t>
            </w:r>
          </w:p>
          <w:p w14:paraId="461B1CA9" w14:textId="2260967A" w:rsidR="00B6478A" w:rsidRPr="00736824" w:rsidRDefault="00B6478A" w:rsidP="00B6478A">
            <w:pPr>
              <w:tabs>
                <w:tab w:val="left" w:pos="794"/>
              </w:tabs>
              <w:spacing w:after="0" w:line="276" w:lineRule="auto"/>
            </w:pPr>
            <w:r w:rsidRPr="00736824">
              <w:t xml:space="preserve">                                         = 11.25</w:t>
            </w:r>
          </w:p>
          <w:p w14:paraId="483F36C2" w14:textId="77777777" w:rsidR="005D0483" w:rsidRDefault="005D0483" w:rsidP="00B6478A">
            <w:pPr>
              <w:tabs>
                <w:tab w:val="left" w:pos="794"/>
              </w:tabs>
              <w:spacing w:after="0" w:line="276" w:lineRule="auto"/>
              <w:rPr>
                <w:b/>
              </w:rPr>
            </w:pPr>
          </w:p>
          <w:p w14:paraId="7070406C" w14:textId="62C328B1" w:rsidR="005D0483" w:rsidRPr="00736824" w:rsidRDefault="005D0483" w:rsidP="005D0483">
            <w:pPr>
              <w:tabs>
                <w:tab w:val="left" w:pos="794"/>
              </w:tabs>
              <w:spacing w:after="0" w:line="276" w:lineRule="auto"/>
            </w:pPr>
            <w:r>
              <w:rPr>
                <w:b/>
              </w:rPr>
              <w:t>ARR  =</w:t>
            </w:r>
            <w:r w:rsidRPr="00736824">
              <w:t>11.25/80</w:t>
            </w:r>
            <w:r>
              <w:rPr>
                <w:b/>
              </w:rPr>
              <w:t xml:space="preserve"> </w:t>
            </w:r>
          </w:p>
          <w:p w14:paraId="3520746C" w14:textId="221AF37E" w:rsidR="00B6478A" w:rsidRPr="00B13618" w:rsidRDefault="005D0483" w:rsidP="00736824">
            <w:pPr>
              <w:tabs>
                <w:tab w:val="left" w:pos="794"/>
              </w:tabs>
              <w:spacing w:after="0" w:line="276" w:lineRule="auto"/>
              <w:rPr>
                <w:b/>
              </w:rPr>
            </w:pPr>
            <w:r>
              <w:rPr>
                <w:b/>
              </w:rPr>
              <w:t xml:space="preserve">         = 14.06%</w:t>
            </w:r>
          </w:p>
        </w:tc>
        <w:tc>
          <w:tcPr>
            <w:tcW w:w="4621" w:type="dxa"/>
            <w:tcBorders>
              <w:top w:val="single" w:sz="4" w:space="0" w:color="auto"/>
            </w:tcBorders>
          </w:tcPr>
          <w:p w14:paraId="02483D03" w14:textId="293D6DB6" w:rsidR="005D0483" w:rsidRPr="00736824" w:rsidRDefault="005D0483" w:rsidP="005D0483">
            <w:pPr>
              <w:tabs>
                <w:tab w:val="center" w:pos="2202"/>
              </w:tabs>
              <w:spacing w:after="0" w:line="276" w:lineRule="auto"/>
            </w:pPr>
            <w:r>
              <w:rPr>
                <w:b/>
              </w:rPr>
              <w:t xml:space="preserve">Total Cash Flow             </w:t>
            </w:r>
            <w:r w:rsidRPr="00736824">
              <w:t>= 50 + 20- +20 + 20</w:t>
            </w:r>
          </w:p>
          <w:p w14:paraId="28595437" w14:textId="5B98D8AE" w:rsidR="005D0483" w:rsidRDefault="005D0483" w:rsidP="005D0483">
            <w:pPr>
              <w:tabs>
                <w:tab w:val="center" w:pos="2202"/>
              </w:tabs>
              <w:spacing w:after="0" w:line="276" w:lineRule="auto"/>
              <w:rPr>
                <w:b/>
              </w:rPr>
            </w:pPr>
            <w:r w:rsidRPr="00736824">
              <w:t xml:space="preserve">                                          = 1</w:t>
            </w:r>
            <w:r w:rsidR="00736824" w:rsidRPr="00736824">
              <w:t>10</w:t>
            </w:r>
          </w:p>
          <w:p w14:paraId="06007756" w14:textId="218C50A3" w:rsidR="005D0483" w:rsidRPr="00736824" w:rsidRDefault="005D0483" w:rsidP="005D0483">
            <w:pPr>
              <w:tabs>
                <w:tab w:val="left" w:pos="794"/>
              </w:tabs>
              <w:spacing w:after="0" w:line="276" w:lineRule="auto"/>
            </w:pPr>
            <w:r>
              <w:rPr>
                <w:b/>
              </w:rPr>
              <w:t xml:space="preserve">Total Profit                     </w:t>
            </w:r>
            <w:r w:rsidRPr="00736824">
              <w:t>= 1</w:t>
            </w:r>
            <w:r w:rsidR="00736824" w:rsidRPr="00736824">
              <w:t>10</w:t>
            </w:r>
            <w:r w:rsidRPr="00736824">
              <w:t xml:space="preserve">- </w:t>
            </w:r>
            <w:r w:rsidR="00736824" w:rsidRPr="00736824">
              <w:t>75</w:t>
            </w:r>
          </w:p>
          <w:p w14:paraId="5AEECEF2" w14:textId="0BB12784" w:rsidR="005D0483" w:rsidRPr="00736824" w:rsidRDefault="005D0483" w:rsidP="005D0483">
            <w:pPr>
              <w:tabs>
                <w:tab w:val="left" w:pos="794"/>
              </w:tabs>
              <w:spacing w:after="0" w:line="276" w:lineRule="auto"/>
            </w:pPr>
            <w:r w:rsidRPr="00736824">
              <w:t xml:space="preserve">                                          =</w:t>
            </w:r>
            <w:r w:rsidR="00736824" w:rsidRPr="00736824">
              <w:t xml:space="preserve"> 35</w:t>
            </w:r>
          </w:p>
          <w:p w14:paraId="1685F64E" w14:textId="445C12A5" w:rsidR="005D0483" w:rsidRPr="00736824" w:rsidRDefault="005D0483" w:rsidP="005D0483">
            <w:pPr>
              <w:tabs>
                <w:tab w:val="left" w:pos="794"/>
              </w:tabs>
              <w:spacing w:after="0" w:line="276" w:lineRule="auto"/>
            </w:pPr>
            <w:r>
              <w:rPr>
                <w:b/>
              </w:rPr>
              <w:t xml:space="preserve">Average Annual Profit </w:t>
            </w:r>
            <w:r w:rsidRPr="00736824">
              <w:t xml:space="preserve">= </w:t>
            </w:r>
            <w:r w:rsidR="00736824" w:rsidRPr="00736824">
              <w:t>35</w:t>
            </w:r>
            <w:r w:rsidRPr="00736824">
              <w:t>/4</w:t>
            </w:r>
          </w:p>
          <w:p w14:paraId="2C46C064" w14:textId="2ED9C4BB" w:rsidR="005D0483" w:rsidRPr="00736824" w:rsidRDefault="005D0483" w:rsidP="005D0483">
            <w:pPr>
              <w:tabs>
                <w:tab w:val="left" w:pos="794"/>
              </w:tabs>
              <w:spacing w:after="0" w:line="276" w:lineRule="auto"/>
            </w:pPr>
            <w:r w:rsidRPr="00736824">
              <w:t xml:space="preserve">                                         = </w:t>
            </w:r>
            <w:r w:rsidR="00736824" w:rsidRPr="00736824">
              <w:t>8.75</w:t>
            </w:r>
          </w:p>
          <w:p w14:paraId="314F7CB1" w14:textId="77777777" w:rsidR="005D0483" w:rsidRDefault="005D0483" w:rsidP="005D0483">
            <w:pPr>
              <w:tabs>
                <w:tab w:val="left" w:pos="794"/>
              </w:tabs>
              <w:spacing w:after="0" w:line="276" w:lineRule="auto"/>
              <w:rPr>
                <w:b/>
              </w:rPr>
            </w:pPr>
          </w:p>
          <w:p w14:paraId="516F6D43" w14:textId="4F711DDC" w:rsidR="005D0483" w:rsidRPr="00736824" w:rsidRDefault="005D0483" w:rsidP="005D0483">
            <w:pPr>
              <w:tabs>
                <w:tab w:val="left" w:pos="794"/>
              </w:tabs>
              <w:spacing w:after="0" w:line="276" w:lineRule="auto"/>
            </w:pPr>
            <w:r>
              <w:rPr>
                <w:b/>
              </w:rPr>
              <w:t>ARR  =</w:t>
            </w:r>
            <w:r w:rsidR="00736824" w:rsidRPr="00736824">
              <w:t>8.75</w:t>
            </w:r>
            <w:r w:rsidRPr="00736824">
              <w:t>/</w:t>
            </w:r>
            <w:r w:rsidR="00736824" w:rsidRPr="00736824">
              <w:t>75</w:t>
            </w:r>
            <w:r w:rsidRPr="00736824">
              <w:t xml:space="preserve"> </w:t>
            </w:r>
          </w:p>
          <w:p w14:paraId="391F158C" w14:textId="7EFBE53D" w:rsidR="00B13618" w:rsidRPr="00B13618" w:rsidRDefault="005D0483" w:rsidP="00736824">
            <w:pPr>
              <w:tabs>
                <w:tab w:val="left" w:pos="794"/>
              </w:tabs>
              <w:spacing w:after="0" w:line="276" w:lineRule="auto"/>
              <w:rPr>
                <w:b/>
              </w:rPr>
            </w:pPr>
            <w:r>
              <w:rPr>
                <w:b/>
              </w:rPr>
              <w:t xml:space="preserve">         = 1</w:t>
            </w:r>
            <w:r w:rsidR="00736824">
              <w:rPr>
                <w:b/>
              </w:rPr>
              <w:t>1</w:t>
            </w:r>
            <w:r>
              <w:rPr>
                <w:b/>
              </w:rPr>
              <w:t>.</w:t>
            </w:r>
            <w:r w:rsidR="00736824">
              <w:rPr>
                <w:b/>
              </w:rPr>
              <w:t>6</w:t>
            </w:r>
            <w:r>
              <w:rPr>
                <w:b/>
              </w:rPr>
              <w:t>6%</w:t>
            </w:r>
          </w:p>
        </w:tc>
      </w:tr>
    </w:tbl>
    <w:p w14:paraId="4545693F" w14:textId="77777777" w:rsidR="00B13618" w:rsidRPr="00B13618" w:rsidRDefault="00B13618" w:rsidP="00B13618">
      <w:pPr>
        <w:spacing w:after="0" w:line="276" w:lineRule="auto"/>
        <w:jc w:val="center"/>
        <w:rPr>
          <w:b/>
        </w:rPr>
      </w:pPr>
    </w:p>
    <w:p w14:paraId="6F9BFE87" w14:textId="4844DE1F" w:rsidR="00E82441" w:rsidRPr="00E82441" w:rsidRDefault="00DA365B" w:rsidP="00E82441">
      <w:r>
        <w:t xml:space="preserve">Based on the calculations the ARR is higher for project </w:t>
      </w:r>
      <w:proofErr w:type="gramStart"/>
      <w:r>
        <w:t>A</w:t>
      </w:r>
      <w:proofErr w:type="gramEnd"/>
      <w:r>
        <w:t xml:space="preserve"> compared to project B </w:t>
      </w:r>
    </w:p>
    <w:p w14:paraId="0D0A4C2C" w14:textId="7568D5C9" w:rsidR="000159FA" w:rsidRDefault="000159FA" w:rsidP="000159FA">
      <w:pPr>
        <w:pStyle w:val="Heading3"/>
      </w:pPr>
      <w:bookmarkStart w:id="19" w:name="_Toc175149013"/>
      <w:r>
        <w:t>Net Present Value</w:t>
      </w:r>
      <w:r w:rsidRPr="00F9490E">
        <w:t xml:space="preserve"> (</w:t>
      </w:r>
      <w:r>
        <w:t>NPV</w:t>
      </w:r>
      <w:r w:rsidRPr="00F9490E">
        <w:t>)</w:t>
      </w:r>
      <w:bookmarkEnd w:id="19"/>
    </w:p>
    <w:p w14:paraId="411FDF01" w14:textId="58CC9F1D" w:rsidR="00B61322" w:rsidRDefault="000159FA" w:rsidP="00B61322">
      <w:r>
        <w:rPr>
          <w:noProof/>
        </w:rPr>
        <w:drawing>
          <wp:inline distT="0" distB="0" distL="0" distR="0" wp14:anchorId="47120426" wp14:editId="69145292">
            <wp:extent cx="1495288" cy="746235"/>
            <wp:effectExtent l="0" t="0" r="0" b="0"/>
            <wp:docPr id="28" name="Picture 28" descr="H:\ARHAN\New folder\image-removebg-previe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ARHAN\New folder\image-removebg-preview.pn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495339" cy="746261"/>
                    </a:xfrm>
                    <a:prstGeom prst="rect">
                      <a:avLst/>
                    </a:prstGeom>
                    <a:noFill/>
                    <a:ln>
                      <a:noFill/>
                    </a:ln>
                  </pic:spPr>
                </pic:pic>
              </a:graphicData>
            </a:graphic>
          </wp:inline>
        </w:drawing>
      </w:r>
    </w:p>
    <w:tbl>
      <w:tblPr>
        <w:tblStyle w:val="TableGrid"/>
        <w:tblW w:w="0" w:type="auto"/>
        <w:tblLook w:val="04A0" w:firstRow="1" w:lastRow="0" w:firstColumn="1" w:lastColumn="0" w:noHBand="0" w:noVBand="1"/>
      </w:tblPr>
      <w:tblGrid>
        <w:gridCol w:w="1585"/>
        <w:gridCol w:w="3081"/>
        <w:gridCol w:w="2481"/>
        <w:gridCol w:w="2095"/>
      </w:tblGrid>
      <w:tr w:rsidR="00DB3870" w14:paraId="7BF74AB4" w14:textId="74A0EB3B" w:rsidTr="00DB3870">
        <w:tc>
          <w:tcPr>
            <w:tcW w:w="1585" w:type="dxa"/>
          </w:tcPr>
          <w:p w14:paraId="066F61F9" w14:textId="77777777" w:rsidR="00DB3870" w:rsidRPr="00D97F76" w:rsidRDefault="00DB3870" w:rsidP="00DB3870">
            <w:pPr>
              <w:spacing w:after="0"/>
              <w:jc w:val="center"/>
              <w:rPr>
                <w:b/>
              </w:rPr>
            </w:pPr>
            <w:r>
              <w:rPr>
                <w:b/>
              </w:rPr>
              <w:t>Year</w:t>
            </w:r>
          </w:p>
        </w:tc>
        <w:tc>
          <w:tcPr>
            <w:tcW w:w="3081" w:type="dxa"/>
          </w:tcPr>
          <w:p w14:paraId="7A0E310B" w14:textId="77777777" w:rsidR="00DB3870" w:rsidRPr="00D97F76" w:rsidRDefault="00DB3870" w:rsidP="00DB3870">
            <w:pPr>
              <w:spacing w:after="0"/>
              <w:jc w:val="center"/>
              <w:rPr>
                <w:b/>
              </w:rPr>
            </w:pPr>
            <w:r>
              <w:rPr>
                <w:b/>
              </w:rPr>
              <w:t>Project A (£ million )</w:t>
            </w:r>
          </w:p>
        </w:tc>
        <w:tc>
          <w:tcPr>
            <w:tcW w:w="2481" w:type="dxa"/>
          </w:tcPr>
          <w:p w14:paraId="0D7C7DEB" w14:textId="6DFDC12A" w:rsidR="00DB3870" w:rsidRDefault="00DB3870" w:rsidP="00DB3870">
            <w:pPr>
              <w:spacing w:after="0"/>
              <w:jc w:val="center"/>
            </w:pPr>
            <w:r>
              <w:rPr>
                <w:b/>
              </w:rPr>
              <w:t>Present Value factor(i=9.5)</w:t>
            </w:r>
          </w:p>
        </w:tc>
        <w:tc>
          <w:tcPr>
            <w:tcW w:w="2095" w:type="dxa"/>
          </w:tcPr>
          <w:p w14:paraId="5C6D2A45" w14:textId="4675780D" w:rsidR="00DB3870" w:rsidRDefault="00DB3870" w:rsidP="00DB3870">
            <w:pPr>
              <w:spacing w:after="0"/>
              <w:jc w:val="center"/>
              <w:rPr>
                <w:b/>
              </w:rPr>
            </w:pPr>
            <w:r>
              <w:rPr>
                <w:b/>
              </w:rPr>
              <w:t xml:space="preserve">Present value </w:t>
            </w:r>
          </w:p>
        </w:tc>
      </w:tr>
      <w:tr w:rsidR="00DB3870" w14:paraId="6EF56ED7" w14:textId="62FB9239" w:rsidTr="00DB3870">
        <w:tc>
          <w:tcPr>
            <w:tcW w:w="1585" w:type="dxa"/>
          </w:tcPr>
          <w:p w14:paraId="58F9CD48" w14:textId="77777777" w:rsidR="00DB3870" w:rsidRPr="001B3C8D" w:rsidRDefault="00DB3870" w:rsidP="00DB3870">
            <w:pPr>
              <w:spacing w:after="0"/>
              <w:jc w:val="center"/>
              <w:rPr>
                <w:b/>
              </w:rPr>
            </w:pPr>
            <w:r w:rsidRPr="001B3C8D">
              <w:rPr>
                <w:b/>
              </w:rPr>
              <w:t>0</w:t>
            </w:r>
          </w:p>
        </w:tc>
        <w:tc>
          <w:tcPr>
            <w:tcW w:w="3081" w:type="dxa"/>
          </w:tcPr>
          <w:p w14:paraId="02452099" w14:textId="77777777" w:rsidR="00DB3870" w:rsidRDefault="00DB3870" w:rsidP="00DB3870">
            <w:pPr>
              <w:spacing w:after="0"/>
              <w:jc w:val="center"/>
            </w:pPr>
            <w:r>
              <w:t>-80</w:t>
            </w:r>
          </w:p>
        </w:tc>
        <w:tc>
          <w:tcPr>
            <w:tcW w:w="2481" w:type="dxa"/>
          </w:tcPr>
          <w:p w14:paraId="31002E1A" w14:textId="63B977B5" w:rsidR="00DB3870" w:rsidRDefault="00DB3870" w:rsidP="00DB3870">
            <w:pPr>
              <w:spacing w:after="0"/>
              <w:jc w:val="center"/>
            </w:pPr>
            <w:r>
              <w:t>1.000</w:t>
            </w:r>
          </w:p>
        </w:tc>
        <w:tc>
          <w:tcPr>
            <w:tcW w:w="2095" w:type="dxa"/>
          </w:tcPr>
          <w:p w14:paraId="682589E5" w14:textId="16EA783C" w:rsidR="00DB3870" w:rsidRDefault="00DB3870" w:rsidP="00DB3870">
            <w:pPr>
              <w:spacing w:after="0"/>
              <w:jc w:val="center"/>
            </w:pPr>
            <w:r>
              <w:t>-80.00</w:t>
            </w:r>
          </w:p>
        </w:tc>
      </w:tr>
      <w:tr w:rsidR="00DB3870" w14:paraId="474BACB4" w14:textId="0327F355" w:rsidTr="00DB3870">
        <w:tc>
          <w:tcPr>
            <w:tcW w:w="1585" w:type="dxa"/>
          </w:tcPr>
          <w:p w14:paraId="58AA2551" w14:textId="77777777" w:rsidR="00DB3870" w:rsidRPr="001B3C8D" w:rsidRDefault="00DB3870" w:rsidP="00DB3870">
            <w:pPr>
              <w:spacing w:after="0"/>
              <w:jc w:val="center"/>
              <w:rPr>
                <w:b/>
              </w:rPr>
            </w:pPr>
            <w:r w:rsidRPr="001B3C8D">
              <w:rPr>
                <w:b/>
              </w:rPr>
              <w:t>1</w:t>
            </w:r>
          </w:p>
        </w:tc>
        <w:tc>
          <w:tcPr>
            <w:tcW w:w="3081" w:type="dxa"/>
          </w:tcPr>
          <w:p w14:paraId="12666DF8" w14:textId="77777777" w:rsidR="00DB3870" w:rsidRDefault="00DB3870" w:rsidP="00DB3870">
            <w:pPr>
              <w:spacing w:after="0"/>
              <w:jc w:val="center"/>
            </w:pPr>
            <w:r>
              <w:t>25</w:t>
            </w:r>
          </w:p>
        </w:tc>
        <w:tc>
          <w:tcPr>
            <w:tcW w:w="2481" w:type="dxa"/>
          </w:tcPr>
          <w:p w14:paraId="7E9578E4" w14:textId="6EB7FE83" w:rsidR="00DB3870" w:rsidRDefault="00DB3870" w:rsidP="00DB3870">
            <w:pPr>
              <w:spacing w:after="0"/>
              <w:jc w:val="center"/>
            </w:pPr>
            <w:r>
              <w:t>0.912</w:t>
            </w:r>
          </w:p>
        </w:tc>
        <w:tc>
          <w:tcPr>
            <w:tcW w:w="2095" w:type="dxa"/>
          </w:tcPr>
          <w:p w14:paraId="2EAEAEE4" w14:textId="74F7773B" w:rsidR="00DB3870" w:rsidRDefault="00DB3870" w:rsidP="00DB3870">
            <w:pPr>
              <w:spacing w:after="0"/>
              <w:jc w:val="center"/>
            </w:pPr>
            <w:r>
              <w:t>22.80</w:t>
            </w:r>
          </w:p>
        </w:tc>
      </w:tr>
      <w:tr w:rsidR="00DB3870" w14:paraId="41B85C79" w14:textId="7E781E58" w:rsidTr="00DB3870">
        <w:tc>
          <w:tcPr>
            <w:tcW w:w="1585" w:type="dxa"/>
          </w:tcPr>
          <w:p w14:paraId="3D2D4231" w14:textId="77777777" w:rsidR="00DB3870" w:rsidRPr="001B3C8D" w:rsidRDefault="00DB3870" w:rsidP="00DB3870">
            <w:pPr>
              <w:spacing w:after="0"/>
              <w:jc w:val="center"/>
              <w:rPr>
                <w:b/>
              </w:rPr>
            </w:pPr>
            <w:r w:rsidRPr="001B3C8D">
              <w:rPr>
                <w:b/>
              </w:rPr>
              <w:t>2</w:t>
            </w:r>
          </w:p>
        </w:tc>
        <w:tc>
          <w:tcPr>
            <w:tcW w:w="3081" w:type="dxa"/>
          </w:tcPr>
          <w:p w14:paraId="0C51329D" w14:textId="77777777" w:rsidR="00DB3870" w:rsidRDefault="00DB3870" w:rsidP="00DB3870">
            <w:pPr>
              <w:spacing w:after="0"/>
              <w:jc w:val="center"/>
            </w:pPr>
            <w:r>
              <w:t>25</w:t>
            </w:r>
          </w:p>
        </w:tc>
        <w:tc>
          <w:tcPr>
            <w:tcW w:w="2481" w:type="dxa"/>
          </w:tcPr>
          <w:p w14:paraId="220F583A" w14:textId="509E0283" w:rsidR="00DB3870" w:rsidRDefault="00DB3870" w:rsidP="00DB3870">
            <w:pPr>
              <w:spacing w:after="0"/>
              <w:jc w:val="center"/>
            </w:pPr>
            <w:r>
              <w:t>0.832</w:t>
            </w:r>
          </w:p>
        </w:tc>
        <w:tc>
          <w:tcPr>
            <w:tcW w:w="2095" w:type="dxa"/>
          </w:tcPr>
          <w:p w14:paraId="61310BAE" w14:textId="47D18086" w:rsidR="00DB3870" w:rsidRDefault="00DB3870" w:rsidP="00DB3870">
            <w:pPr>
              <w:spacing w:after="0"/>
              <w:jc w:val="center"/>
            </w:pPr>
            <w:r>
              <w:t>20.80</w:t>
            </w:r>
          </w:p>
        </w:tc>
      </w:tr>
      <w:tr w:rsidR="00DB3870" w14:paraId="65F359A0" w14:textId="3199F9D7" w:rsidTr="00DB3870">
        <w:tc>
          <w:tcPr>
            <w:tcW w:w="1585" w:type="dxa"/>
          </w:tcPr>
          <w:p w14:paraId="58C058A9" w14:textId="77777777" w:rsidR="00DB3870" w:rsidRPr="00B61322" w:rsidRDefault="00DB3870" w:rsidP="00DB3870">
            <w:pPr>
              <w:spacing w:after="0"/>
              <w:jc w:val="center"/>
              <w:rPr>
                <w:b/>
              </w:rPr>
            </w:pPr>
            <w:r w:rsidRPr="00B61322">
              <w:rPr>
                <w:b/>
              </w:rPr>
              <w:t>3</w:t>
            </w:r>
          </w:p>
        </w:tc>
        <w:tc>
          <w:tcPr>
            <w:tcW w:w="3081" w:type="dxa"/>
          </w:tcPr>
          <w:p w14:paraId="661628E7" w14:textId="77777777" w:rsidR="00DB3870" w:rsidRDefault="00DB3870" w:rsidP="00DB3870">
            <w:pPr>
              <w:spacing w:after="0"/>
              <w:jc w:val="center"/>
            </w:pPr>
            <w:r>
              <w:t>20</w:t>
            </w:r>
          </w:p>
        </w:tc>
        <w:tc>
          <w:tcPr>
            <w:tcW w:w="2481" w:type="dxa"/>
          </w:tcPr>
          <w:p w14:paraId="7B2C1A21" w14:textId="4019161C" w:rsidR="00DB3870" w:rsidRDefault="00DB3870" w:rsidP="00DB3870">
            <w:pPr>
              <w:spacing w:after="0"/>
              <w:jc w:val="center"/>
            </w:pPr>
            <w:r>
              <w:t>0.758</w:t>
            </w:r>
          </w:p>
        </w:tc>
        <w:tc>
          <w:tcPr>
            <w:tcW w:w="2095" w:type="dxa"/>
          </w:tcPr>
          <w:p w14:paraId="7B126898" w14:textId="177049E8" w:rsidR="00DB3870" w:rsidRDefault="00DB3870" w:rsidP="00DB3870">
            <w:pPr>
              <w:spacing w:after="0"/>
              <w:jc w:val="center"/>
            </w:pPr>
            <w:r>
              <w:t>15.16</w:t>
            </w:r>
          </w:p>
        </w:tc>
      </w:tr>
      <w:tr w:rsidR="00DB3870" w14:paraId="596232AC" w14:textId="0C4397F7" w:rsidTr="00DB3870">
        <w:tc>
          <w:tcPr>
            <w:tcW w:w="1585" w:type="dxa"/>
          </w:tcPr>
          <w:p w14:paraId="43C22FB5" w14:textId="77777777" w:rsidR="00DB3870" w:rsidRPr="001B3C8D" w:rsidRDefault="00DB3870" w:rsidP="00DB3870">
            <w:pPr>
              <w:spacing w:after="0"/>
              <w:jc w:val="center"/>
              <w:rPr>
                <w:b/>
              </w:rPr>
            </w:pPr>
            <w:r w:rsidRPr="001B3C8D">
              <w:rPr>
                <w:b/>
              </w:rPr>
              <w:t>4</w:t>
            </w:r>
          </w:p>
        </w:tc>
        <w:tc>
          <w:tcPr>
            <w:tcW w:w="3081" w:type="dxa"/>
          </w:tcPr>
          <w:p w14:paraId="0BAD11C4" w14:textId="77777777" w:rsidR="00DB3870" w:rsidRDefault="00DB3870" w:rsidP="00DB3870">
            <w:pPr>
              <w:spacing w:after="0"/>
              <w:jc w:val="center"/>
            </w:pPr>
            <w:r>
              <w:t>55</w:t>
            </w:r>
          </w:p>
        </w:tc>
        <w:tc>
          <w:tcPr>
            <w:tcW w:w="2481" w:type="dxa"/>
          </w:tcPr>
          <w:p w14:paraId="098F4BF9" w14:textId="350970D5" w:rsidR="00DB3870" w:rsidRDefault="00DB3870" w:rsidP="00DB3870">
            <w:pPr>
              <w:spacing w:after="0"/>
              <w:jc w:val="center"/>
            </w:pPr>
            <w:r>
              <w:t>0.692</w:t>
            </w:r>
          </w:p>
        </w:tc>
        <w:tc>
          <w:tcPr>
            <w:tcW w:w="2095" w:type="dxa"/>
          </w:tcPr>
          <w:p w14:paraId="1829A53E" w14:textId="1E1CE910" w:rsidR="00DB3870" w:rsidRDefault="00DB3870" w:rsidP="00DB3870">
            <w:pPr>
              <w:spacing w:after="0"/>
              <w:jc w:val="center"/>
            </w:pPr>
            <w:r>
              <w:t>3</w:t>
            </w:r>
            <w:r w:rsidRPr="00DB3870">
              <w:t>8.06</w:t>
            </w:r>
          </w:p>
        </w:tc>
      </w:tr>
    </w:tbl>
    <w:p w14:paraId="79C19E64" w14:textId="77777777" w:rsidR="00DB3870" w:rsidRDefault="00DB3870" w:rsidP="00B61322"/>
    <w:p w14:paraId="49121C1C" w14:textId="77777777" w:rsidR="00DB3870" w:rsidRDefault="00DB3870" w:rsidP="00DB3870">
      <w:pPr>
        <w:spacing w:after="0" w:line="276" w:lineRule="auto"/>
        <w:rPr>
          <w:rStyle w:val="mord"/>
        </w:rPr>
      </w:pPr>
      <w:r w:rsidRPr="00DB3870">
        <w:rPr>
          <w:b/>
        </w:rPr>
        <w:t>NPV for Project A</w:t>
      </w:r>
      <w:r>
        <w:t xml:space="preserve"> = (</w:t>
      </w:r>
      <w:r>
        <w:rPr>
          <w:rStyle w:val="mord"/>
        </w:rPr>
        <w:t>−80</w:t>
      </w:r>
      <w:proofErr w:type="gramStart"/>
      <w:r>
        <w:rPr>
          <w:rStyle w:val="mclose"/>
        </w:rPr>
        <w:t>)</w:t>
      </w:r>
      <w:r>
        <w:rPr>
          <w:rStyle w:val="mbin"/>
        </w:rPr>
        <w:t>+</w:t>
      </w:r>
      <w:proofErr w:type="gramEnd"/>
      <w:r>
        <w:rPr>
          <w:rStyle w:val="mord"/>
        </w:rPr>
        <w:t>22.80</w:t>
      </w:r>
      <w:r>
        <w:rPr>
          <w:rStyle w:val="mbin"/>
        </w:rPr>
        <w:t>+</w:t>
      </w:r>
      <w:r>
        <w:rPr>
          <w:rStyle w:val="mord"/>
        </w:rPr>
        <w:t>20.80</w:t>
      </w:r>
      <w:r>
        <w:rPr>
          <w:rStyle w:val="mbin"/>
        </w:rPr>
        <w:t>+</w:t>
      </w:r>
      <w:r>
        <w:rPr>
          <w:rStyle w:val="mord"/>
        </w:rPr>
        <w:t>15.16</w:t>
      </w:r>
      <w:r>
        <w:rPr>
          <w:rStyle w:val="mbin"/>
        </w:rPr>
        <w:t>+</w:t>
      </w:r>
      <w:r>
        <w:rPr>
          <w:rStyle w:val="mord"/>
        </w:rPr>
        <w:t>38.06</w:t>
      </w:r>
    </w:p>
    <w:p w14:paraId="13E65905" w14:textId="567CE148" w:rsidR="00DB3870" w:rsidRDefault="00DB3870" w:rsidP="00DB3870">
      <w:pPr>
        <w:spacing w:after="0" w:line="276" w:lineRule="auto"/>
      </w:pPr>
      <w:r>
        <w:rPr>
          <w:rStyle w:val="mord"/>
        </w:rPr>
        <w:t xml:space="preserve">                                 </w:t>
      </w:r>
      <w:proofErr w:type="gramStart"/>
      <w:r>
        <w:rPr>
          <w:rStyle w:val="mord"/>
        </w:rPr>
        <w:t>=  16.22</w:t>
      </w:r>
      <w:proofErr w:type="gramEnd"/>
      <w:r>
        <w:rPr>
          <w:rStyle w:val="mord"/>
        </w:rPr>
        <w:t> million</w:t>
      </w:r>
    </w:p>
    <w:p w14:paraId="06F1D46F" w14:textId="77777777" w:rsidR="00DB3870" w:rsidRDefault="00DB3870" w:rsidP="00B61322"/>
    <w:tbl>
      <w:tblPr>
        <w:tblStyle w:val="TableGrid"/>
        <w:tblW w:w="0" w:type="auto"/>
        <w:tblLook w:val="04A0" w:firstRow="1" w:lastRow="0" w:firstColumn="1" w:lastColumn="0" w:noHBand="0" w:noVBand="1"/>
      </w:tblPr>
      <w:tblGrid>
        <w:gridCol w:w="1585"/>
        <w:gridCol w:w="3081"/>
        <w:gridCol w:w="2481"/>
        <w:gridCol w:w="2095"/>
      </w:tblGrid>
      <w:tr w:rsidR="00DB3870" w14:paraId="31A169F0" w14:textId="77777777" w:rsidTr="00DB3870">
        <w:tc>
          <w:tcPr>
            <w:tcW w:w="1585" w:type="dxa"/>
          </w:tcPr>
          <w:p w14:paraId="35307A03" w14:textId="77777777" w:rsidR="00DB3870" w:rsidRPr="00D97F76" w:rsidRDefault="00DB3870" w:rsidP="00DB3870">
            <w:pPr>
              <w:spacing w:after="0"/>
              <w:jc w:val="center"/>
              <w:rPr>
                <w:b/>
              </w:rPr>
            </w:pPr>
            <w:r>
              <w:rPr>
                <w:b/>
              </w:rPr>
              <w:lastRenderedPageBreak/>
              <w:t>Year</w:t>
            </w:r>
          </w:p>
        </w:tc>
        <w:tc>
          <w:tcPr>
            <w:tcW w:w="3081" w:type="dxa"/>
          </w:tcPr>
          <w:p w14:paraId="1FC59471" w14:textId="4FA5E3A9" w:rsidR="00DB3870" w:rsidRPr="00D97F76" w:rsidRDefault="00DB3870" w:rsidP="00DB3870">
            <w:pPr>
              <w:spacing w:after="0"/>
              <w:jc w:val="center"/>
              <w:rPr>
                <w:b/>
              </w:rPr>
            </w:pPr>
            <w:r>
              <w:rPr>
                <w:b/>
              </w:rPr>
              <w:t>Project B (£ million )</w:t>
            </w:r>
          </w:p>
        </w:tc>
        <w:tc>
          <w:tcPr>
            <w:tcW w:w="2481" w:type="dxa"/>
          </w:tcPr>
          <w:p w14:paraId="79DC743C" w14:textId="77777777" w:rsidR="00DB3870" w:rsidRDefault="00DB3870" w:rsidP="00DB3870">
            <w:pPr>
              <w:spacing w:after="0"/>
              <w:jc w:val="center"/>
            </w:pPr>
            <w:r>
              <w:rPr>
                <w:b/>
              </w:rPr>
              <w:t>Present Value factor(i=9.5)</w:t>
            </w:r>
          </w:p>
        </w:tc>
        <w:tc>
          <w:tcPr>
            <w:tcW w:w="2095" w:type="dxa"/>
          </w:tcPr>
          <w:p w14:paraId="1964230D" w14:textId="77777777" w:rsidR="00DB3870" w:rsidRDefault="00DB3870" w:rsidP="00DB3870">
            <w:pPr>
              <w:spacing w:after="0"/>
              <w:jc w:val="center"/>
              <w:rPr>
                <w:b/>
              </w:rPr>
            </w:pPr>
            <w:r>
              <w:rPr>
                <w:b/>
              </w:rPr>
              <w:t xml:space="preserve">Present value </w:t>
            </w:r>
          </w:p>
        </w:tc>
      </w:tr>
      <w:tr w:rsidR="00DB3870" w14:paraId="2FC31F51" w14:textId="77777777" w:rsidTr="00DB3870">
        <w:tc>
          <w:tcPr>
            <w:tcW w:w="1585" w:type="dxa"/>
          </w:tcPr>
          <w:p w14:paraId="1869E937" w14:textId="77777777" w:rsidR="00DB3870" w:rsidRPr="001B3C8D" w:rsidRDefault="00DB3870" w:rsidP="00DB3870">
            <w:pPr>
              <w:spacing w:after="0"/>
              <w:jc w:val="center"/>
              <w:rPr>
                <w:b/>
              </w:rPr>
            </w:pPr>
            <w:r w:rsidRPr="001B3C8D">
              <w:rPr>
                <w:b/>
              </w:rPr>
              <w:t>0</w:t>
            </w:r>
          </w:p>
        </w:tc>
        <w:tc>
          <w:tcPr>
            <w:tcW w:w="3081" w:type="dxa"/>
          </w:tcPr>
          <w:p w14:paraId="3224B255" w14:textId="24C1C2E9" w:rsidR="00DB3870" w:rsidRDefault="00DB3870" w:rsidP="00DB3870">
            <w:pPr>
              <w:spacing w:after="0"/>
              <w:jc w:val="center"/>
            </w:pPr>
            <w:r>
              <w:t>-75</w:t>
            </w:r>
          </w:p>
        </w:tc>
        <w:tc>
          <w:tcPr>
            <w:tcW w:w="2481" w:type="dxa"/>
          </w:tcPr>
          <w:p w14:paraId="44DA2811" w14:textId="77777777" w:rsidR="00DB3870" w:rsidRDefault="00DB3870" w:rsidP="00DB3870">
            <w:pPr>
              <w:spacing w:after="0"/>
              <w:jc w:val="center"/>
            </w:pPr>
            <w:r>
              <w:t>1.000</w:t>
            </w:r>
          </w:p>
        </w:tc>
        <w:tc>
          <w:tcPr>
            <w:tcW w:w="2095" w:type="dxa"/>
          </w:tcPr>
          <w:p w14:paraId="003FEF11" w14:textId="3CEACE4B" w:rsidR="00DB3870" w:rsidRDefault="00DB3870" w:rsidP="00DB3870">
            <w:pPr>
              <w:spacing w:after="0"/>
              <w:jc w:val="center"/>
            </w:pPr>
            <w:r>
              <w:t>-75</w:t>
            </w:r>
          </w:p>
        </w:tc>
      </w:tr>
      <w:tr w:rsidR="00DB3870" w14:paraId="2FE72FBB" w14:textId="77777777" w:rsidTr="00DB3870">
        <w:tc>
          <w:tcPr>
            <w:tcW w:w="1585" w:type="dxa"/>
          </w:tcPr>
          <w:p w14:paraId="6B952C7C" w14:textId="77777777" w:rsidR="00DB3870" w:rsidRPr="001B3C8D" w:rsidRDefault="00DB3870" w:rsidP="00DB3870">
            <w:pPr>
              <w:spacing w:after="0"/>
              <w:jc w:val="center"/>
              <w:rPr>
                <w:b/>
              </w:rPr>
            </w:pPr>
            <w:r w:rsidRPr="001B3C8D">
              <w:rPr>
                <w:b/>
              </w:rPr>
              <w:t>1</w:t>
            </w:r>
          </w:p>
        </w:tc>
        <w:tc>
          <w:tcPr>
            <w:tcW w:w="3081" w:type="dxa"/>
          </w:tcPr>
          <w:p w14:paraId="54D872E7" w14:textId="78AB81E4" w:rsidR="00DB3870" w:rsidRDefault="00DB3870" w:rsidP="00DB3870">
            <w:pPr>
              <w:spacing w:after="0"/>
              <w:jc w:val="center"/>
            </w:pPr>
            <w:r>
              <w:t>50</w:t>
            </w:r>
          </w:p>
        </w:tc>
        <w:tc>
          <w:tcPr>
            <w:tcW w:w="2481" w:type="dxa"/>
          </w:tcPr>
          <w:p w14:paraId="0EBCEA4D" w14:textId="77777777" w:rsidR="00DB3870" w:rsidRDefault="00DB3870" w:rsidP="00DB3870">
            <w:pPr>
              <w:spacing w:after="0"/>
              <w:jc w:val="center"/>
            </w:pPr>
            <w:r>
              <w:t>0.912</w:t>
            </w:r>
          </w:p>
        </w:tc>
        <w:tc>
          <w:tcPr>
            <w:tcW w:w="2095" w:type="dxa"/>
          </w:tcPr>
          <w:p w14:paraId="00755269" w14:textId="3FCB9917" w:rsidR="00DB3870" w:rsidRDefault="00DB3870" w:rsidP="00DB3870">
            <w:pPr>
              <w:spacing w:after="0"/>
              <w:jc w:val="center"/>
            </w:pPr>
            <w:r>
              <w:t>45.6</w:t>
            </w:r>
          </w:p>
        </w:tc>
      </w:tr>
      <w:tr w:rsidR="00DB3870" w14:paraId="2A79DDA0" w14:textId="77777777" w:rsidTr="00DB3870">
        <w:tc>
          <w:tcPr>
            <w:tcW w:w="1585" w:type="dxa"/>
          </w:tcPr>
          <w:p w14:paraId="531EEB81" w14:textId="77777777" w:rsidR="00DB3870" w:rsidRPr="001B3C8D" w:rsidRDefault="00DB3870" w:rsidP="00DB3870">
            <w:pPr>
              <w:spacing w:after="0"/>
              <w:jc w:val="center"/>
              <w:rPr>
                <w:b/>
              </w:rPr>
            </w:pPr>
            <w:r w:rsidRPr="001B3C8D">
              <w:rPr>
                <w:b/>
              </w:rPr>
              <w:t>2</w:t>
            </w:r>
          </w:p>
        </w:tc>
        <w:tc>
          <w:tcPr>
            <w:tcW w:w="3081" w:type="dxa"/>
          </w:tcPr>
          <w:p w14:paraId="643D9FA5" w14:textId="5EF9694C" w:rsidR="00DB3870" w:rsidRDefault="00DB3870" w:rsidP="00DB3870">
            <w:pPr>
              <w:spacing w:after="0"/>
              <w:jc w:val="center"/>
            </w:pPr>
            <w:r>
              <w:t>20</w:t>
            </w:r>
          </w:p>
        </w:tc>
        <w:tc>
          <w:tcPr>
            <w:tcW w:w="2481" w:type="dxa"/>
          </w:tcPr>
          <w:p w14:paraId="2B227521" w14:textId="77777777" w:rsidR="00DB3870" w:rsidRDefault="00DB3870" w:rsidP="00DB3870">
            <w:pPr>
              <w:spacing w:after="0"/>
              <w:jc w:val="center"/>
            </w:pPr>
            <w:r>
              <w:t>0.832</w:t>
            </w:r>
          </w:p>
        </w:tc>
        <w:tc>
          <w:tcPr>
            <w:tcW w:w="2095" w:type="dxa"/>
          </w:tcPr>
          <w:p w14:paraId="63F433F3" w14:textId="59662694" w:rsidR="00DB3870" w:rsidRDefault="00DB3870" w:rsidP="00DB3870">
            <w:pPr>
              <w:spacing w:after="0"/>
              <w:jc w:val="center"/>
            </w:pPr>
            <w:r>
              <w:t>16.64</w:t>
            </w:r>
          </w:p>
        </w:tc>
      </w:tr>
      <w:tr w:rsidR="00DB3870" w14:paraId="285595AC" w14:textId="77777777" w:rsidTr="00DB3870">
        <w:tc>
          <w:tcPr>
            <w:tcW w:w="1585" w:type="dxa"/>
          </w:tcPr>
          <w:p w14:paraId="20380FA1" w14:textId="77777777" w:rsidR="00DB3870" w:rsidRPr="00B61322" w:rsidRDefault="00DB3870" w:rsidP="00DB3870">
            <w:pPr>
              <w:spacing w:after="0"/>
              <w:jc w:val="center"/>
              <w:rPr>
                <w:b/>
              </w:rPr>
            </w:pPr>
            <w:r w:rsidRPr="00B61322">
              <w:rPr>
                <w:b/>
              </w:rPr>
              <w:t>3</w:t>
            </w:r>
          </w:p>
        </w:tc>
        <w:tc>
          <w:tcPr>
            <w:tcW w:w="3081" w:type="dxa"/>
          </w:tcPr>
          <w:p w14:paraId="21BC586D" w14:textId="77777777" w:rsidR="00DB3870" w:rsidRDefault="00DB3870" w:rsidP="00DB3870">
            <w:pPr>
              <w:spacing w:after="0"/>
              <w:jc w:val="center"/>
            </w:pPr>
            <w:r>
              <w:t>20</w:t>
            </w:r>
          </w:p>
        </w:tc>
        <w:tc>
          <w:tcPr>
            <w:tcW w:w="2481" w:type="dxa"/>
          </w:tcPr>
          <w:p w14:paraId="51990545" w14:textId="77777777" w:rsidR="00DB3870" w:rsidRDefault="00DB3870" w:rsidP="00DB3870">
            <w:pPr>
              <w:spacing w:after="0"/>
              <w:jc w:val="center"/>
            </w:pPr>
            <w:r>
              <w:t>0.758</w:t>
            </w:r>
          </w:p>
        </w:tc>
        <w:tc>
          <w:tcPr>
            <w:tcW w:w="2095" w:type="dxa"/>
          </w:tcPr>
          <w:p w14:paraId="766C0054" w14:textId="77777777" w:rsidR="00DB3870" w:rsidRDefault="00DB3870" w:rsidP="00DB3870">
            <w:pPr>
              <w:spacing w:after="0"/>
              <w:jc w:val="center"/>
            </w:pPr>
            <w:r>
              <w:t>15.16</w:t>
            </w:r>
          </w:p>
        </w:tc>
      </w:tr>
      <w:tr w:rsidR="00DB3870" w14:paraId="4960CC07" w14:textId="77777777" w:rsidTr="00DB3870">
        <w:tc>
          <w:tcPr>
            <w:tcW w:w="1585" w:type="dxa"/>
          </w:tcPr>
          <w:p w14:paraId="765BA466" w14:textId="77777777" w:rsidR="00DB3870" w:rsidRPr="001B3C8D" w:rsidRDefault="00DB3870" w:rsidP="00DB3870">
            <w:pPr>
              <w:spacing w:after="0"/>
              <w:jc w:val="center"/>
              <w:rPr>
                <w:b/>
              </w:rPr>
            </w:pPr>
            <w:r w:rsidRPr="001B3C8D">
              <w:rPr>
                <w:b/>
              </w:rPr>
              <w:t>4</w:t>
            </w:r>
          </w:p>
        </w:tc>
        <w:tc>
          <w:tcPr>
            <w:tcW w:w="3081" w:type="dxa"/>
          </w:tcPr>
          <w:p w14:paraId="34BED0BF" w14:textId="1A014F4F" w:rsidR="00DB3870" w:rsidRDefault="00DB3870" w:rsidP="00DB3870">
            <w:pPr>
              <w:spacing w:after="0"/>
              <w:jc w:val="center"/>
            </w:pPr>
            <w:r>
              <w:t>20</w:t>
            </w:r>
          </w:p>
        </w:tc>
        <w:tc>
          <w:tcPr>
            <w:tcW w:w="2481" w:type="dxa"/>
          </w:tcPr>
          <w:p w14:paraId="175AF440" w14:textId="77777777" w:rsidR="00DB3870" w:rsidRDefault="00DB3870" w:rsidP="00DB3870">
            <w:pPr>
              <w:spacing w:after="0"/>
              <w:jc w:val="center"/>
            </w:pPr>
            <w:r>
              <w:t>0.692</w:t>
            </w:r>
          </w:p>
        </w:tc>
        <w:tc>
          <w:tcPr>
            <w:tcW w:w="2095" w:type="dxa"/>
          </w:tcPr>
          <w:p w14:paraId="1758EBF5" w14:textId="106A98FF" w:rsidR="00DB3870" w:rsidRDefault="00E222FD" w:rsidP="00DB3870">
            <w:pPr>
              <w:spacing w:after="0"/>
              <w:jc w:val="center"/>
            </w:pPr>
            <w:r>
              <w:t>13.84</w:t>
            </w:r>
          </w:p>
        </w:tc>
      </w:tr>
    </w:tbl>
    <w:p w14:paraId="4D99937E" w14:textId="77777777" w:rsidR="00B61322" w:rsidRPr="00B61322" w:rsidRDefault="00B61322" w:rsidP="00B61322"/>
    <w:p w14:paraId="1ADDDA01" w14:textId="71601834" w:rsidR="00E222FD" w:rsidRDefault="00E222FD" w:rsidP="00E222FD">
      <w:pPr>
        <w:spacing w:after="0" w:line="360" w:lineRule="auto"/>
        <w:rPr>
          <w:rStyle w:val="mord"/>
        </w:rPr>
      </w:pPr>
      <w:r w:rsidRPr="00E222FD">
        <w:rPr>
          <w:rStyle w:val="mord"/>
          <w:b/>
        </w:rPr>
        <w:t>NPV for Project B</w:t>
      </w:r>
      <w:r>
        <w:rPr>
          <w:rStyle w:val="mrel"/>
        </w:rPr>
        <w:t xml:space="preserve">= </w:t>
      </w:r>
      <w:r>
        <w:rPr>
          <w:rStyle w:val="mopen"/>
        </w:rPr>
        <w:t>(</w:t>
      </w:r>
      <w:r>
        <w:rPr>
          <w:rStyle w:val="mord"/>
        </w:rPr>
        <w:t>−75</w:t>
      </w:r>
      <w:proofErr w:type="gramStart"/>
      <w:r>
        <w:rPr>
          <w:rStyle w:val="mclose"/>
        </w:rPr>
        <w:t>)</w:t>
      </w:r>
      <w:r>
        <w:rPr>
          <w:rStyle w:val="mbin"/>
        </w:rPr>
        <w:t>+</w:t>
      </w:r>
      <w:proofErr w:type="gramEnd"/>
      <w:r>
        <w:rPr>
          <w:rStyle w:val="mord"/>
        </w:rPr>
        <w:t>45.60</w:t>
      </w:r>
      <w:r>
        <w:rPr>
          <w:rStyle w:val="mbin"/>
        </w:rPr>
        <w:t>+</w:t>
      </w:r>
      <w:r>
        <w:rPr>
          <w:rStyle w:val="mord"/>
        </w:rPr>
        <w:t>16.64</w:t>
      </w:r>
      <w:r>
        <w:rPr>
          <w:rStyle w:val="mbin"/>
        </w:rPr>
        <w:t>+</w:t>
      </w:r>
      <w:r>
        <w:rPr>
          <w:rStyle w:val="mord"/>
        </w:rPr>
        <w:t>15.16</w:t>
      </w:r>
      <w:r>
        <w:rPr>
          <w:rStyle w:val="mbin"/>
        </w:rPr>
        <w:t>+</w:t>
      </w:r>
      <w:r>
        <w:rPr>
          <w:rStyle w:val="mord"/>
        </w:rPr>
        <w:t>13.84</w:t>
      </w:r>
    </w:p>
    <w:p w14:paraId="647C239C" w14:textId="564D5FC6" w:rsidR="00E222FD" w:rsidRDefault="00E222FD" w:rsidP="00B50438">
      <w:pPr>
        <w:rPr>
          <w:rStyle w:val="mord"/>
        </w:rPr>
      </w:pPr>
      <w:r>
        <w:rPr>
          <w:rStyle w:val="mrel"/>
        </w:rPr>
        <w:t xml:space="preserve">                                = </w:t>
      </w:r>
      <w:r>
        <w:rPr>
          <w:rStyle w:val="mord"/>
        </w:rPr>
        <w:t>15.24 million</w:t>
      </w:r>
    </w:p>
    <w:p w14:paraId="0E8D649A" w14:textId="6E2848E3" w:rsidR="00E222FD" w:rsidRDefault="00E222FD" w:rsidP="00E222FD">
      <w:pPr>
        <w:pStyle w:val="Heading3"/>
        <w:rPr>
          <w:rStyle w:val="mord"/>
        </w:rPr>
      </w:pPr>
      <w:bookmarkStart w:id="20" w:name="_Toc175149014"/>
      <w:r>
        <w:rPr>
          <w:rStyle w:val="mord"/>
        </w:rPr>
        <w:t>Discussion</w:t>
      </w:r>
      <w:bookmarkEnd w:id="20"/>
    </w:p>
    <w:p w14:paraId="1A8110DF" w14:textId="18F2C3C6" w:rsidR="00E222FD" w:rsidRDefault="00E222FD" w:rsidP="00E222FD">
      <w:r w:rsidRPr="00E222FD">
        <w:t xml:space="preserve">Based on the calculations, Project B has a shorter payback period of 2.25 years compared to Project A's 3.18 years allowing for a quicker recovery of the initial investment. However, Project A demonstrates a higher Accounting Rate of Return (ARR) at 14.06% </w:t>
      </w:r>
      <w:proofErr w:type="gramStart"/>
      <w:r>
        <w:t xml:space="preserve">whereas </w:t>
      </w:r>
      <w:r w:rsidRPr="00E222FD">
        <w:t xml:space="preserve"> Project</w:t>
      </w:r>
      <w:proofErr w:type="gramEnd"/>
      <w:r w:rsidRPr="00E222FD">
        <w:t xml:space="preserve"> B's </w:t>
      </w:r>
      <w:r>
        <w:t xml:space="preserve">ARR is </w:t>
      </w:r>
      <w:r w:rsidRPr="00E222FD">
        <w:t>11.67%</w:t>
      </w:r>
      <w:r>
        <w:t xml:space="preserve"> which </w:t>
      </w:r>
      <w:r w:rsidRPr="00E222FD">
        <w:t>indicat</w:t>
      </w:r>
      <w:r>
        <w:t>es</w:t>
      </w:r>
      <w:r w:rsidRPr="00E222FD">
        <w:t xml:space="preserve"> a better return relative to the initial investment. </w:t>
      </w:r>
      <w:r>
        <w:t>Moreover</w:t>
      </w:r>
      <w:r w:rsidRPr="00E222FD">
        <w:t>, Project A has a slightly higher Net Present Value (NPV) of £16.82 million compared to Project B's £15.24 million</w:t>
      </w:r>
      <w:r>
        <w:t xml:space="preserve"> proving</w:t>
      </w:r>
      <w:r w:rsidRPr="00E222FD">
        <w:t xml:space="preserve"> greater value in present terms. </w:t>
      </w:r>
      <w:r>
        <w:t>Although</w:t>
      </w:r>
      <w:r w:rsidRPr="00E222FD">
        <w:t xml:space="preserve"> both projects are financially viable</w:t>
      </w:r>
      <w:r>
        <w:t>,</w:t>
      </w:r>
      <w:r w:rsidRPr="00E222FD">
        <w:t xml:space="preserve"> Project A is recommended due to its superior ARR and marginally higher NPV despite its longer payback period. However,</w:t>
      </w:r>
      <w:r>
        <w:t xml:space="preserve"> </w:t>
      </w:r>
      <w:r w:rsidRPr="00E222FD">
        <w:t>Project B's shorter payback period should be considered if quicker liquidity is a priority.</w:t>
      </w:r>
    </w:p>
    <w:p w14:paraId="344D3BA7" w14:textId="77777777" w:rsidR="00E222FD" w:rsidRPr="00E222FD" w:rsidRDefault="00E222FD" w:rsidP="00E222FD"/>
    <w:p w14:paraId="517B382E" w14:textId="77777777" w:rsidR="00E222FD" w:rsidRDefault="00E222FD" w:rsidP="00B50438"/>
    <w:p w14:paraId="7F27260E" w14:textId="665C778D" w:rsidR="00E222FD" w:rsidRDefault="00E222FD" w:rsidP="00E222FD">
      <w:pPr>
        <w:pStyle w:val="Heading2"/>
      </w:pPr>
      <w:bookmarkStart w:id="21" w:name="_Toc175149015"/>
      <w:r>
        <w:lastRenderedPageBreak/>
        <w:t>Comparing PBP, NPV and ARR</w:t>
      </w:r>
      <w:bookmarkEnd w:id="21"/>
      <w:r>
        <w:t xml:space="preserve">  </w:t>
      </w:r>
    </w:p>
    <w:p w14:paraId="0463595B" w14:textId="62CCD223" w:rsidR="00E222FD" w:rsidRDefault="00E222FD" w:rsidP="00E222FD">
      <w:pPr>
        <w:pStyle w:val="Heading3"/>
      </w:pPr>
      <w:bookmarkStart w:id="22" w:name="_Toc175149016"/>
      <w:r w:rsidRPr="00F9490E">
        <w:t>Payback Period (PBP</w:t>
      </w:r>
      <w:r>
        <w:t>)</w:t>
      </w:r>
      <w:bookmarkEnd w:id="22"/>
    </w:p>
    <w:p w14:paraId="7E1F247A" w14:textId="77777777" w:rsidR="00E222FD" w:rsidRDefault="006C7EF6" w:rsidP="00B50438">
      <w:r w:rsidRPr="00F9490E">
        <w:t xml:space="preserve">The Payback Period (PBP) is a straightforward and widely used method for evaluating capital projects, primarily due to its simplicity and focus on liquidity. It measures the time required for a project to recoup its initial investment, which makes it particularly appealing for </w:t>
      </w:r>
      <w:r w:rsidR="00E222FD">
        <w:t xml:space="preserve">investors </w:t>
      </w:r>
      <w:r w:rsidRPr="00F9490E">
        <w:t xml:space="preserve">that prioritize liquidity and risk aversion. </w:t>
      </w:r>
    </w:p>
    <w:p w14:paraId="000000A8" w14:textId="2A5DD4A6" w:rsidR="00424676" w:rsidRPr="00F9490E" w:rsidRDefault="006C7EF6" w:rsidP="00B50438">
      <w:r w:rsidRPr="00F9490E">
        <w:t>One of the main advantages of PBP is its ease of calculation and understanding, which allows decision-makers to quickly assess the risk associated with a project. Projects with shorter payback periods are often preferred because they reduce exposure to uncertainty and financial risk, especially in volatile markets where long-term predictions are less reliable.</w:t>
      </w:r>
      <w:r w:rsidR="00E222FD">
        <w:t xml:space="preserve"> </w:t>
      </w:r>
      <w:r w:rsidRPr="00F9490E">
        <w:t>However, the PBP method has significant limitations that undermine its effectiveness as a comprehensive evaluation tool. One major shortcoming is its disregard for the time value of money (TVM)</w:t>
      </w:r>
      <w:r w:rsidR="0069049D">
        <w:t xml:space="preserve"> </w:t>
      </w:r>
      <w:r w:rsidR="0069049D" w:rsidRPr="0069049D">
        <w:rPr>
          <w:rFonts w:ascii="Times New Roman" w:eastAsia="Times New Roman" w:hAnsi="Times New Roman" w:cs="Times New Roman"/>
        </w:rPr>
        <w:t xml:space="preserve">(De Souza </w:t>
      </w:r>
      <w:proofErr w:type="spellStart"/>
      <w:r w:rsidR="0069049D" w:rsidRPr="0069049D">
        <w:rPr>
          <w:rFonts w:ascii="Times New Roman" w:eastAsia="Times New Roman" w:hAnsi="Times New Roman" w:cs="Times New Roman"/>
        </w:rPr>
        <w:t>Michelon</w:t>
      </w:r>
      <w:proofErr w:type="spellEnd"/>
      <w:r w:rsidR="0069049D" w:rsidRPr="0069049D">
        <w:rPr>
          <w:rFonts w:ascii="Times New Roman" w:eastAsia="Times New Roman" w:hAnsi="Times New Roman" w:cs="Times New Roman"/>
        </w:rPr>
        <w:t xml:space="preserve"> et al., 2021)</w:t>
      </w:r>
      <w:r w:rsidRPr="00F9490E">
        <w:t>. By treating cash flows occurring in different periods as equivalent, PBP can mislead decision-makers into favoring projects that recover their costs quickly but do not necessarily add the most value over time. Additionally, PBP does not account for cash flows generated after the payback period, which can result in the rejection of projects with longer payback periods that could be more profitable in the long run</w:t>
      </w:r>
      <w:r w:rsidR="00E222FD">
        <w:t>.</w:t>
      </w:r>
      <w:r w:rsidRPr="00F9490E">
        <w:t xml:space="preserve"> PBP method’s exclusion of post-payback cash flows and time value considerations can lead to suboptimal investment decisions, especially when comparing projects with different durations and cash flow profiles.</w:t>
      </w:r>
    </w:p>
    <w:p w14:paraId="000000AA" w14:textId="2D7F722D" w:rsidR="00424676" w:rsidRPr="00F9490E" w:rsidRDefault="006C7EF6" w:rsidP="00B50438">
      <w:r w:rsidRPr="00F9490E">
        <w:lastRenderedPageBreak/>
        <w:t xml:space="preserve">Furthermore, PBP tends to bias decisions toward short-term projects, potentially at the expense of more strategically important long-term investments. In industries where long-term growth and sustainability are critical, such as technology or infrastructure, reliance on PBP alone can result in missed opportunities for significant value </w:t>
      </w:r>
      <w:proofErr w:type="gramStart"/>
      <w:r w:rsidRPr="00F9490E">
        <w:t>creation</w:t>
      </w:r>
      <w:r w:rsidR="0069049D" w:rsidRPr="0069049D">
        <w:rPr>
          <w:rFonts w:ascii="Times New Roman" w:eastAsia="Times New Roman" w:hAnsi="Times New Roman" w:cs="Times New Roman"/>
        </w:rPr>
        <w:t>(</w:t>
      </w:r>
      <w:proofErr w:type="spellStart"/>
      <w:proofErr w:type="gramEnd"/>
      <w:r w:rsidR="0069049D" w:rsidRPr="0069049D">
        <w:rPr>
          <w:rFonts w:ascii="Times New Roman" w:eastAsia="Times New Roman" w:hAnsi="Times New Roman" w:cs="Times New Roman"/>
        </w:rPr>
        <w:t>Mota</w:t>
      </w:r>
      <w:proofErr w:type="spellEnd"/>
      <w:r w:rsidR="0069049D" w:rsidRPr="0069049D">
        <w:rPr>
          <w:rFonts w:ascii="Times New Roman" w:eastAsia="Times New Roman" w:hAnsi="Times New Roman" w:cs="Times New Roman"/>
        </w:rPr>
        <w:t xml:space="preserve"> &amp; Moreira, 2023)</w:t>
      </w:r>
      <w:r w:rsidRPr="00F9490E">
        <w:t>. The method’s simplicity, while an advantage in certain contexts, also means that it lacks the depth needed for complex investment decisions where multiple factors, including the strategic alignment of the project, must be considered.</w:t>
      </w:r>
    </w:p>
    <w:p w14:paraId="000000AC" w14:textId="77777777" w:rsidR="00424676" w:rsidRPr="00F9490E" w:rsidRDefault="006C7EF6" w:rsidP="00E222FD">
      <w:pPr>
        <w:pStyle w:val="Heading3"/>
      </w:pPr>
      <w:r w:rsidRPr="00F9490E">
        <w:t xml:space="preserve"> </w:t>
      </w:r>
      <w:bookmarkStart w:id="23" w:name="_Toc175149017"/>
      <w:r w:rsidRPr="00F9490E">
        <w:t>Accounting Rate of Return (ARR)</w:t>
      </w:r>
      <w:bookmarkEnd w:id="23"/>
    </w:p>
    <w:p w14:paraId="292BF23B" w14:textId="23AB055C" w:rsidR="00E222FD" w:rsidRDefault="00E222FD" w:rsidP="00B50438">
      <w:r>
        <w:t>The Accounting Rate of Return (ARR) method offers a more intuitive approach by expressing profitability as a percentage of the initial investment. ARR is useful for firms that prioritize accounting profitability and require a simple comparison of projects based on expected returns. However, ARR also fails to consider the time value of money, leading to inaccurate assessments of a project’s true profitability</w:t>
      </w:r>
      <w:r w:rsidR="0069049D">
        <w:t xml:space="preserve"> </w:t>
      </w:r>
      <w:r w:rsidR="0069049D" w:rsidRPr="0069049D">
        <w:rPr>
          <w:rFonts w:ascii="Times New Roman" w:eastAsia="Times New Roman" w:hAnsi="Times New Roman" w:cs="Times New Roman"/>
        </w:rPr>
        <w:t>(Brief &amp; Lawson, 2014)</w:t>
      </w:r>
      <w:r>
        <w:t>. Additionally, ARR relies on accounting profits, which can be influenced by non-cash items like depreciation, and may not accurately reflect a project's cash-generating potential.</w:t>
      </w:r>
    </w:p>
    <w:p w14:paraId="000000B4" w14:textId="15F87B22" w:rsidR="00424676" w:rsidRPr="00E222FD" w:rsidRDefault="006C7EF6" w:rsidP="00E222FD">
      <w:pPr>
        <w:pStyle w:val="Heading3"/>
      </w:pPr>
      <w:r w:rsidRPr="00E222FD">
        <w:t xml:space="preserve"> </w:t>
      </w:r>
      <w:bookmarkStart w:id="24" w:name="_Toc175149018"/>
      <w:r w:rsidRPr="00E222FD">
        <w:t>Net Present Value (NPV)</w:t>
      </w:r>
      <w:bookmarkEnd w:id="24"/>
    </w:p>
    <w:p w14:paraId="000000BC" w14:textId="075F716A" w:rsidR="00424676" w:rsidRPr="00F9490E" w:rsidRDefault="00E222FD" w:rsidP="00B50438">
      <w:r>
        <w:t xml:space="preserve">Net Present Value (NPV) is widely regarded as the most robust method for evaluating capital projects, as it considers the time value of money and provides a direct measure of value creation. NPV calculates the present value of a project’s future cash flows, discounted at the firm’s cost of capital, and subtracts the initial investment to determine the net benefit of the project. A positive NPV indicates that a project is expected to generate more value than the </w:t>
      </w:r>
      <w:r>
        <w:lastRenderedPageBreak/>
        <w:t>cost of the capital invested</w:t>
      </w:r>
      <w:r w:rsidR="008816DA">
        <w:t xml:space="preserve"> </w:t>
      </w:r>
      <w:r w:rsidR="008816DA" w:rsidRPr="008816DA">
        <w:rPr>
          <w:rFonts w:ascii="Times New Roman" w:eastAsia="Times New Roman" w:hAnsi="Times New Roman" w:cs="Times New Roman"/>
        </w:rPr>
        <w:t>(</w:t>
      </w:r>
      <w:proofErr w:type="spellStart"/>
      <w:r w:rsidR="008816DA" w:rsidRPr="008816DA">
        <w:rPr>
          <w:rFonts w:ascii="Times New Roman" w:eastAsia="Times New Roman" w:hAnsi="Times New Roman" w:cs="Times New Roman"/>
        </w:rPr>
        <w:t>Magni</w:t>
      </w:r>
      <w:proofErr w:type="spellEnd"/>
      <w:r w:rsidR="008816DA" w:rsidRPr="008816DA">
        <w:rPr>
          <w:rFonts w:ascii="Times New Roman" w:eastAsia="Times New Roman" w:hAnsi="Times New Roman" w:cs="Times New Roman"/>
        </w:rPr>
        <w:t xml:space="preserve"> &amp; </w:t>
      </w:r>
      <w:proofErr w:type="spellStart"/>
      <w:r w:rsidR="008816DA" w:rsidRPr="008816DA">
        <w:rPr>
          <w:rFonts w:ascii="Times New Roman" w:eastAsia="Times New Roman" w:hAnsi="Times New Roman" w:cs="Times New Roman"/>
        </w:rPr>
        <w:t>Marchioni</w:t>
      </w:r>
      <w:proofErr w:type="spellEnd"/>
      <w:r w:rsidR="008816DA" w:rsidRPr="008816DA">
        <w:rPr>
          <w:rFonts w:ascii="Times New Roman" w:eastAsia="Times New Roman" w:hAnsi="Times New Roman" w:cs="Times New Roman"/>
        </w:rPr>
        <w:t>, 2020)</w:t>
      </w:r>
      <w:r>
        <w:t>. However, NPV is sensitive to the discount rate and requires reliable forecasting of future cash flows. Despite its complexity, NPV remains the preferred method for evaluating capital projects, particularly for firms focused on long-term value creation.</w:t>
      </w:r>
      <w:r w:rsidRPr="00F9490E">
        <w:t xml:space="preserve"> </w:t>
      </w:r>
      <w:r w:rsidR="006C7EF6" w:rsidRPr="00F9490E">
        <w:t>Another potential limitation of NPV is its complexity, which can make it less accessible to decision-makers who may lack the necessary financial expertise. While NPV provides a more accurate and comprehensive evaluation of a project’s value, its reliance on complex calculations and assumptions may be seen as a drawback in situations where simplicity and speed are prioritized</w:t>
      </w:r>
      <w:r w:rsidR="0069049D">
        <w:t xml:space="preserve"> </w:t>
      </w:r>
      <w:r w:rsidR="0069049D" w:rsidRPr="0069049D">
        <w:rPr>
          <w:rFonts w:ascii="Times New Roman" w:eastAsia="Times New Roman" w:hAnsi="Times New Roman" w:cs="Times New Roman"/>
        </w:rPr>
        <w:t>(</w:t>
      </w:r>
      <w:proofErr w:type="spellStart"/>
      <w:r w:rsidR="0069049D" w:rsidRPr="0069049D">
        <w:rPr>
          <w:rFonts w:ascii="Times New Roman" w:eastAsia="Times New Roman" w:hAnsi="Times New Roman" w:cs="Times New Roman"/>
        </w:rPr>
        <w:t>Willigers</w:t>
      </w:r>
      <w:proofErr w:type="spellEnd"/>
      <w:r w:rsidR="0069049D" w:rsidRPr="0069049D">
        <w:rPr>
          <w:rFonts w:ascii="Times New Roman" w:eastAsia="Times New Roman" w:hAnsi="Times New Roman" w:cs="Times New Roman"/>
        </w:rPr>
        <w:t xml:space="preserve"> et al., 2017)</w:t>
      </w:r>
      <w:r w:rsidR="006C7EF6" w:rsidRPr="00F9490E">
        <w:t>. Despite these challenges, NPV remains the preferred method for evaluating capital projects, particularly for firms focused on long-term value creation and strategic alignment.</w:t>
      </w:r>
    </w:p>
    <w:p w14:paraId="000000BE" w14:textId="77777777" w:rsidR="00424676" w:rsidRPr="00E222FD" w:rsidRDefault="006C7EF6" w:rsidP="00E222FD">
      <w:pPr>
        <w:pStyle w:val="Heading3"/>
      </w:pPr>
      <w:r w:rsidRPr="00E222FD">
        <w:t xml:space="preserve"> </w:t>
      </w:r>
      <w:bookmarkStart w:id="25" w:name="_Toc175149019"/>
      <w:r w:rsidRPr="00E222FD">
        <w:t>Non-Financial Factors in Capital Project Evaluation</w:t>
      </w:r>
      <w:bookmarkEnd w:id="25"/>
    </w:p>
    <w:p w14:paraId="000000C4" w14:textId="0CDD92B8" w:rsidR="00424676" w:rsidRPr="00F9490E" w:rsidRDefault="006C7EF6" w:rsidP="00B50438">
      <w:r w:rsidRPr="00F9490E">
        <w:t>While financial metrics such as PBP, ARR, and NPV are essential for evaluating the economic viability of capital projects, non-financial factors also play a critical role in the decision-making process. Strategic alignment is one of the most important non-financial considerations, as projects that align with the company’s long-term goals and vision are more likely to contribute to sustainable growth</w:t>
      </w:r>
      <w:r w:rsidR="0069049D">
        <w:t xml:space="preserve"> </w:t>
      </w:r>
      <w:r w:rsidR="0069049D" w:rsidRPr="0069049D">
        <w:rPr>
          <w:rFonts w:ascii="Times New Roman" w:eastAsia="Times New Roman" w:hAnsi="Times New Roman" w:cs="Times New Roman"/>
        </w:rPr>
        <w:t>(</w:t>
      </w:r>
      <w:proofErr w:type="spellStart"/>
      <w:r w:rsidR="0069049D" w:rsidRPr="0069049D">
        <w:rPr>
          <w:rFonts w:ascii="Times New Roman" w:eastAsia="Times New Roman" w:hAnsi="Times New Roman" w:cs="Times New Roman"/>
        </w:rPr>
        <w:t>Mota</w:t>
      </w:r>
      <w:proofErr w:type="spellEnd"/>
      <w:r w:rsidR="0069049D" w:rsidRPr="0069049D">
        <w:rPr>
          <w:rFonts w:ascii="Times New Roman" w:eastAsia="Times New Roman" w:hAnsi="Times New Roman" w:cs="Times New Roman"/>
        </w:rPr>
        <w:t xml:space="preserve"> &amp; Moreira, 2023)</w:t>
      </w:r>
      <w:r w:rsidRPr="00F9490E">
        <w:t>. A project that supports the company’s strategic objectives, such as entering a new market or developing a new technology, may be prioritized even if its financial metrics are less favorable.</w:t>
      </w:r>
      <w:r w:rsidR="00E222FD">
        <w:t xml:space="preserve">  </w:t>
      </w:r>
      <w:r w:rsidR="0052434F">
        <w:t xml:space="preserve">Moreover, </w:t>
      </w:r>
      <w:proofErr w:type="gramStart"/>
      <w:r w:rsidR="0052434F">
        <w:t>m</w:t>
      </w:r>
      <w:r w:rsidRPr="00F9490E">
        <w:t>arket conditions</w:t>
      </w:r>
      <w:r w:rsidR="0052434F">
        <w:t xml:space="preserve"> which </w:t>
      </w:r>
      <w:r w:rsidRPr="00F9490E">
        <w:t>includ</w:t>
      </w:r>
      <w:r w:rsidR="0052434F">
        <w:t>es</w:t>
      </w:r>
      <w:proofErr w:type="gramEnd"/>
      <w:r w:rsidRPr="00F9490E">
        <w:t xml:space="preserve"> competitor actions, technological advancements, and consumer preferences also influence project outcomes. A project that appears financially sound may be less viable if it does not account for changing market dynamics or competitive pressures. Similarly, organizational capability, including the </w:t>
      </w:r>
      <w:r w:rsidRPr="00F9490E">
        <w:lastRenderedPageBreak/>
        <w:t>company’s ability to execute the project, manage risks, and adapt to challenges, is essential for ensuring project success.</w:t>
      </w:r>
    </w:p>
    <w:p w14:paraId="6CACED26" w14:textId="13124535" w:rsidR="0052434F" w:rsidRDefault="0052434F" w:rsidP="0052434F">
      <w:pPr>
        <w:pStyle w:val="Heading3"/>
      </w:pPr>
      <w:bookmarkStart w:id="26" w:name="_Toc175149020"/>
      <w:r>
        <w:t>Conclusion</w:t>
      </w:r>
      <w:bookmarkEnd w:id="26"/>
    </w:p>
    <w:p w14:paraId="000000C6" w14:textId="45FEE45C" w:rsidR="00424676" w:rsidRPr="00F9490E" w:rsidRDefault="0052434F" w:rsidP="00B50438">
      <w:r>
        <w:t>W</w:t>
      </w:r>
      <w:r w:rsidR="006C7EF6" w:rsidRPr="00F9490E">
        <w:t>hile PBP, ARR, and NPV</w:t>
      </w:r>
      <w:r w:rsidR="00466125">
        <w:t xml:space="preserve"> have been widely used and can also be </w:t>
      </w:r>
      <w:proofErr w:type="gramStart"/>
      <w:r w:rsidR="00466125">
        <w:t>equally  instrumental</w:t>
      </w:r>
      <w:proofErr w:type="gramEnd"/>
      <w:r w:rsidR="00466125">
        <w:t xml:space="preserve"> in </w:t>
      </w:r>
      <w:r w:rsidR="006C7EF6" w:rsidRPr="00F9490E">
        <w:t xml:space="preserve">  the financial aspects of capital project evaluation, they must be complemented by a thorough consideration of non-financial factors. Balancing these considerations ensures that investment decisions are not only financially sound but also strategically aligned and sustainable in the long term. By integrating financial analysis with non-financial factors, firms can make more informed and holistic investment decisions that support their overall objectives and enhance long-term value creation.</w:t>
      </w:r>
    </w:p>
    <w:p w14:paraId="000000C7" w14:textId="77777777" w:rsidR="00424676" w:rsidRPr="00F9490E" w:rsidRDefault="00424676" w:rsidP="00B50438"/>
    <w:p w14:paraId="000000C8" w14:textId="77777777" w:rsidR="00424676" w:rsidRPr="00F9490E" w:rsidRDefault="00424676" w:rsidP="00B50438"/>
    <w:p w14:paraId="000000C9" w14:textId="2C561DAD" w:rsidR="00C44200" w:rsidRDefault="00C44200">
      <w:pPr>
        <w:spacing w:after="0" w:line="276" w:lineRule="auto"/>
        <w:jc w:val="left"/>
      </w:pPr>
      <w:r>
        <w:br w:type="page"/>
      </w:r>
    </w:p>
    <w:p w14:paraId="7EBD4139" w14:textId="69082546" w:rsidR="00424676" w:rsidRDefault="00C44200" w:rsidP="00197F21">
      <w:pPr>
        <w:pStyle w:val="Heading1"/>
      </w:pPr>
      <w:bookmarkStart w:id="27" w:name="_Toc175149021"/>
      <w:r>
        <w:lastRenderedPageBreak/>
        <w:t>References</w:t>
      </w:r>
      <w:bookmarkEnd w:id="27"/>
    </w:p>
    <w:p w14:paraId="5233F071" w14:textId="77777777" w:rsidR="00197F21" w:rsidRDefault="00197F21" w:rsidP="00197F21">
      <w:pPr>
        <w:pStyle w:val="NormalWeb"/>
        <w:spacing w:before="0" w:beforeAutospacing="0" w:after="0" w:afterAutospacing="0" w:line="480" w:lineRule="auto"/>
        <w:ind w:left="720" w:hanging="720"/>
      </w:pPr>
      <w:proofErr w:type="spellStart"/>
      <w:r>
        <w:t>Alarussi</w:t>
      </w:r>
      <w:proofErr w:type="spellEnd"/>
      <w:r>
        <w:t xml:space="preserve">, A. S. A. (2021). Financial ratios and efficiency in Malaysian listed companies. </w:t>
      </w:r>
      <w:r>
        <w:rPr>
          <w:i/>
          <w:iCs/>
        </w:rPr>
        <w:t>Asian Journal of Economics and Banking</w:t>
      </w:r>
      <w:r>
        <w:t xml:space="preserve">, </w:t>
      </w:r>
      <w:r>
        <w:rPr>
          <w:i/>
          <w:iCs/>
        </w:rPr>
        <w:t>5</w:t>
      </w:r>
      <w:r>
        <w:t xml:space="preserve">(2), 116–135. </w:t>
      </w:r>
      <w:r>
        <w:rPr>
          <w:rStyle w:val="url"/>
        </w:rPr>
        <w:t>https://doi.org/10.1108/ajeb-06-2020-0014</w:t>
      </w:r>
    </w:p>
    <w:p w14:paraId="2D9C0ACD" w14:textId="77777777" w:rsidR="00197F21" w:rsidRDefault="00197F21" w:rsidP="00197F21">
      <w:pPr>
        <w:pStyle w:val="NormalWeb"/>
        <w:spacing w:before="0" w:beforeAutospacing="0" w:after="0" w:afterAutospacing="0" w:line="480" w:lineRule="auto"/>
        <w:ind w:left="720" w:hanging="720"/>
      </w:pPr>
      <w:proofErr w:type="gramStart"/>
      <w:r>
        <w:t>Brief, R. P., &amp; Lawson, R. A. (2014).</w:t>
      </w:r>
      <w:proofErr w:type="gramEnd"/>
      <w:r>
        <w:t xml:space="preserve"> </w:t>
      </w:r>
      <w:proofErr w:type="gramStart"/>
      <w:r>
        <w:t>The role of the accounting rate of return in financial statement analysis.</w:t>
      </w:r>
      <w:proofErr w:type="gramEnd"/>
      <w:r>
        <w:t xml:space="preserve"> </w:t>
      </w:r>
      <w:proofErr w:type="gramStart"/>
      <w:r>
        <w:t xml:space="preserve">In </w:t>
      </w:r>
      <w:proofErr w:type="spellStart"/>
      <w:r>
        <w:rPr>
          <w:i/>
          <w:iCs/>
        </w:rPr>
        <w:t>Routledge</w:t>
      </w:r>
      <w:proofErr w:type="spellEnd"/>
      <w:r>
        <w:rPr>
          <w:i/>
          <w:iCs/>
        </w:rPr>
        <w:t xml:space="preserve"> eBooks</w:t>
      </w:r>
      <w:r>
        <w:t xml:space="preserve"> (pp. 235–250).</w:t>
      </w:r>
      <w:proofErr w:type="gramEnd"/>
      <w:r>
        <w:t xml:space="preserve"> </w:t>
      </w:r>
      <w:r>
        <w:rPr>
          <w:rStyle w:val="url"/>
        </w:rPr>
        <w:t>https://doi.org/10.4324/9781315886398-22</w:t>
      </w:r>
    </w:p>
    <w:p w14:paraId="56571597" w14:textId="77777777" w:rsidR="00197F21" w:rsidRDefault="00197F21" w:rsidP="00197F21">
      <w:pPr>
        <w:pStyle w:val="NormalWeb"/>
        <w:spacing w:before="0" w:beforeAutospacing="0" w:after="0" w:afterAutospacing="0" w:line="480" w:lineRule="auto"/>
        <w:ind w:left="720" w:hanging="720"/>
      </w:pPr>
      <w:proofErr w:type="spellStart"/>
      <w:proofErr w:type="gramStart"/>
      <w:r>
        <w:t>Cantaluppi</w:t>
      </w:r>
      <w:proofErr w:type="spellEnd"/>
      <w:r>
        <w:t>, L., &amp; Hug, R. (2000).</w:t>
      </w:r>
      <w:proofErr w:type="gramEnd"/>
      <w:r>
        <w:t xml:space="preserve"> </w:t>
      </w:r>
      <w:proofErr w:type="gramStart"/>
      <w:r>
        <w:t>Efficiency Ratio.</w:t>
      </w:r>
      <w:proofErr w:type="gramEnd"/>
      <w:r>
        <w:t xml:space="preserve"> </w:t>
      </w:r>
      <w:r>
        <w:rPr>
          <w:i/>
          <w:iCs/>
        </w:rPr>
        <w:t>The Journal of Investing</w:t>
      </w:r>
      <w:r>
        <w:t xml:space="preserve">, </w:t>
      </w:r>
      <w:r>
        <w:rPr>
          <w:i/>
          <w:iCs/>
        </w:rPr>
        <w:t>9</w:t>
      </w:r>
      <w:r>
        <w:t xml:space="preserve">(2), 19–25. </w:t>
      </w:r>
      <w:r>
        <w:rPr>
          <w:rStyle w:val="url"/>
        </w:rPr>
        <w:t>https://doi.org/10.3905/joi.2000.319419</w:t>
      </w:r>
    </w:p>
    <w:p w14:paraId="65E427C2" w14:textId="77777777" w:rsidR="00197F21" w:rsidRDefault="00197F21" w:rsidP="00197F21">
      <w:pPr>
        <w:pStyle w:val="NormalWeb"/>
        <w:spacing w:before="0" w:beforeAutospacing="0" w:after="0" w:afterAutospacing="0" w:line="480" w:lineRule="auto"/>
        <w:ind w:left="720" w:hanging="720"/>
      </w:pPr>
      <w:r>
        <w:t xml:space="preserve">De Souza </w:t>
      </w:r>
      <w:proofErr w:type="spellStart"/>
      <w:r>
        <w:t>Michelon</w:t>
      </w:r>
      <w:proofErr w:type="spellEnd"/>
      <w:r>
        <w:t xml:space="preserve">, P., </w:t>
      </w:r>
      <w:proofErr w:type="spellStart"/>
      <w:r>
        <w:t>Lunkes</w:t>
      </w:r>
      <w:proofErr w:type="spellEnd"/>
      <w:r>
        <w:t xml:space="preserve">, R. J., &amp; </w:t>
      </w:r>
      <w:proofErr w:type="spellStart"/>
      <w:r>
        <w:t>Bornia</w:t>
      </w:r>
      <w:proofErr w:type="spellEnd"/>
      <w:r>
        <w:t xml:space="preserve">, A. C. (2021). Use of capital budgeting practices: an integrative review. </w:t>
      </w:r>
      <w:proofErr w:type="spellStart"/>
      <w:r>
        <w:rPr>
          <w:i/>
          <w:iCs/>
        </w:rPr>
        <w:t>Enfoque</w:t>
      </w:r>
      <w:proofErr w:type="spellEnd"/>
      <w:r>
        <w:rPr>
          <w:i/>
          <w:iCs/>
        </w:rPr>
        <w:t xml:space="preserve"> </w:t>
      </w:r>
      <w:proofErr w:type="spellStart"/>
      <w:r>
        <w:rPr>
          <w:i/>
          <w:iCs/>
        </w:rPr>
        <w:t>Reflexão</w:t>
      </w:r>
      <w:proofErr w:type="spellEnd"/>
      <w:r>
        <w:rPr>
          <w:i/>
          <w:iCs/>
        </w:rPr>
        <w:t xml:space="preserve"> </w:t>
      </w:r>
      <w:proofErr w:type="spellStart"/>
      <w:r>
        <w:rPr>
          <w:i/>
          <w:iCs/>
        </w:rPr>
        <w:t>Contábil</w:t>
      </w:r>
      <w:proofErr w:type="spellEnd"/>
      <w:r>
        <w:t xml:space="preserve">, </w:t>
      </w:r>
      <w:r>
        <w:rPr>
          <w:i/>
          <w:iCs/>
        </w:rPr>
        <w:t>40</w:t>
      </w:r>
      <w:r>
        <w:t xml:space="preserve">(3), 139–157. </w:t>
      </w:r>
      <w:r>
        <w:rPr>
          <w:rStyle w:val="url"/>
        </w:rPr>
        <w:t>https://doi.org/10.4025/enfoque.v40i3.48838</w:t>
      </w:r>
    </w:p>
    <w:p w14:paraId="7CD61883" w14:textId="77777777" w:rsidR="00197F21" w:rsidRDefault="00197F21" w:rsidP="00197F21">
      <w:pPr>
        <w:pStyle w:val="NormalWeb"/>
        <w:spacing w:before="0" w:beforeAutospacing="0" w:after="0" w:afterAutospacing="0" w:line="480" w:lineRule="auto"/>
        <w:ind w:left="720" w:hanging="720"/>
      </w:pPr>
      <w:r>
        <w:t xml:space="preserve">Kingfisher PLC. </w:t>
      </w:r>
      <w:proofErr w:type="gramStart"/>
      <w:r>
        <w:t xml:space="preserve">(2021). </w:t>
      </w:r>
      <w:r>
        <w:rPr>
          <w:i/>
          <w:iCs/>
        </w:rPr>
        <w:t>Kingfisher PLC Annual Report 2019/20</w:t>
      </w:r>
      <w:r>
        <w:t>.</w:t>
      </w:r>
      <w:proofErr w:type="gramEnd"/>
      <w:r>
        <w:t xml:space="preserve"> </w:t>
      </w:r>
      <w:r>
        <w:rPr>
          <w:rStyle w:val="url"/>
        </w:rPr>
        <w:t>https://www.kingfisher.com/content/dam/kingfisher/Corporate/Documents/Investors/Annual-Reports/KF054-Book-LR-200625.pdf.downloadasset.pdf</w:t>
      </w:r>
    </w:p>
    <w:p w14:paraId="3C774E07" w14:textId="77777777" w:rsidR="00197F21" w:rsidRDefault="00197F21" w:rsidP="00197F21">
      <w:pPr>
        <w:pStyle w:val="NormalWeb"/>
        <w:spacing w:before="0" w:beforeAutospacing="0" w:after="0" w:afterAutospacing="0" w:line="480" w:lineRule="auto"/>
        <w:ind w:left="720" w:hanging="720"/>
      </w:pPr>
      <w:r>
        <w:t xml:space="preserve">Kingfisher PLC. </w:t>
      </w:r>
      <w:proofErr w:type="gramStart"/>
      <w:r>
        <w:t xml:space="preserve">(2022). </w:t>
      </w:r>
      <w:r>
        <w:rPr>
          <w:i/>
          <w:iCs/>
        </w:rPr>
        <w:t xml:space="preserve">Kingfisher </w:t>
      </w:r>
      <w:proofErr w:type="spellStart"/>
      <w:r>
        <w:rPr>
          <w:i/>
          <w:iCs/>
        </w:rPr>
        <w:t>PLCAnnual</w:t>
      </w:r>
      <w:proofErr w:type="spellEnd"/>
      <w:r>
        <w:rPr>
          <w:i/>
          <w:iCs/>
        </w:rPr>
        <w:t xml:space="preserve"> Report 2021/22</w:t>
      </w:r>
      <w:r>
        <w:t>.</w:t>
      </w:r>
      <w:proofErr w:type="gramEnd"/>
      <w:r>
        <w:t xml:space="preserve"> </w:t>
      </w:r>
      <w:r>
        <w:rPr>
          <w:rStyle w:val="url"/>
        </w:rPr>
        <w:t>https://www.kingfisher.com/content/dam/kingfisher/Corporate/Images/RB-Report-2022/Kingfisher-plc-2021-22-Annual-Report.pdf</w:t>
      </w:r>
    </w:p>
    <w:p w14:paraId="47F946B9" w14:textId="77777777" w:rsidR="00197F21" w:rsidRDefault="00197F21" w:rsidP="00197F21">
      <w:pPr>
        <w:pStyle w:val="NormalWeb"/>
        <w:spacing w:before="0" w:beforeAutospacing="0" w:after="0" w:afterAutospacing="0" w:line="480" w:lineRule="auto"/>
        <w:ind w:left="720" w:hanging="720"/>
      </w:pPr>
      <w:proofErr w:type="gramStart"/>
      <w:r>
        <w:rPr>
          <w:i/>
          <w:iCs/>
        </w:rPr>
        <w:t>Kingfisher PLC - about us</w:t>
      </w:r>
      <w:r>
        <w:t>.</w:t>
      </w:r>
      <w:proofErr w:type="gramEnd"/>
      <w:r>
        <w:t xml:space="preserve"> </w:t>
      </w:r>
      <w:proofErr w:type="gramStart"/>
      <w:r>
        <w:t>(2024). Kingfisher PLC.</w:t>
      </w:r>
      <w:proofErr w:type="gramEnd"/>
      <w:r>
        <w:t xml:space="preserve"> </w:t>
      </w:r>
      <w:r>
        <w:rPr>
          <w:rStyle w:val="url"/>
        </w:rPr>
        <w:t>https://www.kingfisher.com/en/about-us.html</w:t>
      </w:r>
    </w:p>
    <w:p w14:paraId="411AFB6D" w14:textId="77777777" w:rsidR="00197F21" w:rsidRDefault="00197F21" w:rsidP="00197F21">
      <w:pPr>
        <w:pStyle w:val="NormalWeb"/>
        <w:spacing w:before="0" w:beforeAutospacing="0" w:after="0" w:afterAutospacing="0" w:line="480" w:lineRule="auto"/>
        <w:ind w:left="720" w:hanging="720"/>
      </w:pPr>
      <w:proofErr w:type="gramStart"/>
      <w:r>
        <w:rPr>
          <w:i/>
          <w:iCs/>
        </w:rPr>
        <w:t>Kingfisher PLC Annual Report 2023/24</w:t>
      </w:r>
      <w:r>
        <w:t>.</w:t>
      </w:r>
      <w:proofErr w:type="gramEnd"/>
      <w:r>
        <w:t xml:space="preserve"> </w:t>
      </w:r>
      <w:proofErr w:type="gramStart"/>
      <w:r>
        <w:t>(2024). Kingfisher.</w:t>
      </w:r>
      <w:proofErr w:type="gramEnd"/>
      <w:r>
        <w:t xml:space="preserve"> </w:t>
      </w:r>
      <w:r>
        <w:rPr>
          <w:rStyle w:val="url"/>
        </w:rPr>
        <w:t>https://www.kingfisher.com/content/dam/kingfisher/Corporate/Documents/Other/2024/Kingfisher-Annual-Report-202324.pdf</w:t>
      </w:r>
    </w:p>
    <w:p w14:paraId="432C64BB" w14:textId="77777777" w:rsidR="00197F21" w:rsidRDefault="00197F21" w:rsidP="00197F21">
      <w:pPr>
        <w:pStyle w:val="NormalWeb"/>
        <w:spacing w:before="0" w:beforeAutospacing="0" w:after="0" w:afterAutospacing="0" w:line="480" w:lineRule="auto"/>
        <w:ind w:left="720" w:hanging="720"/>
      </w:pPr>
      <w:proofErr w:type="spellStart"/>
      <w:proofErr w:type="gramStart"/>
      <w:r>
        <w:lastRenderedPageBreak/>
        <w:t>Kontuš</w:t>
      </w:r>
      <w:proofErr w:type="spellEnd"/>
      <w:r>
        <w:t xml:space="preserve">, E., &amp; </w:t>
      </w:r>
      <w:proofErr w:type="spellStart"/>
      <w:r>
        <w:t>Mihanović</w:t>
      </w:r>
      <w:proofErr w:type="spellEnd"/>
      <w:r>
        <w:t>, D. (2019).</w:t>
      </w:r>
      <w:proofErr w:type="gramEnd"/>
      <w:r>
        <w:t xml:space="preserve"> </w:t>
      </w:r>
      <w:proofErr w:type="gramStart"/>
      <w:r>
        <w:t>Management of liquidity and liquid assets in small and medium-sized enterprises.</w:t>
      </w:r>
      <w:proofErr w:type="gramEnd"/>
      <w:r>
        <w:t xml:space="preserve"> </w:t>
      </w:r>
      <w:proofErr w:type="gramStart"/>
      <w:r>
        <w:rPr>
          <w:i/>
          <w:iCs/>
        </w:rPr>
        <w:t>Economic Research-</w:t>
      </w:r>
      <w:proofErr w:type="spellStart"/>
      <w:r>
        <w:rPr>
          <w:i/>
          <w:iCs/>
        </w:rPr>
        <w:t>Ekonomska</w:t>
      </w:r>
      <w:proofErr w:type="spellEnd"/>
      <w:r>
        <w:rPr>
          <w:i/>
          <w:iCs/>
        </w:rPr>
        <w:t xml:space="preserve"> </w:t>
      </w:r>
      <w:proofErr w:type="spellStart"/>
      <w:r>
        <w:rPr>
          <w:i/>
          <w:iCs/>
        </w:rPr>
        <w:t>Istraživanja</w:t>
      </w:r>
      <w:proofErr w:type="spellEnd"/>
      <w:r>
        <w:t xml:space="preserve">, </w:t>
      </w:r>
      <w:r>
        <w:rPr>
          <w:i/>
          <w:iCs/>
        </w:rPr>
        <w:t>32</w:t>
      </w:r>
      <w:r>
        <w:t>(1), 3253–3271.</w:t>
      </w:r>
      <w:proofErr w:type="gramEnd"/>
      <w:r>
        <w:t xml:space="preserve"> </w:t>
      </w:r>
      <w:r>
        <w:rPr>
          <w:rStyle w:val="url"/>
        </w:rPr>
        <w:t>https://doi.org/10.1080/1331677x.2019.1660198</w:t>
      </w:r>
    </w:p>
    <w:p w14:paraId="19213580" w14:textId="77777777" w:rsidR="00197F21" w:rsidRDefault="00197F21" w:rsidP="00197F21">
      <w:pPr>
        <w:pStyle w:val="NormalWeb"/>
        <w:spacing w:before="0" w:beforeAutospacing="0" w:after="0" w:afterAutospacing="0" w:line="480" w:lineRule="auto"/>
        <w:ind w:left="720" w:hanging="720"/>
      </w:pPr>
      <w:proofErr w:type="spellStart"/>
      <w:proofErr w:type="gramStart"/>
      <w:r>
        <w:t>Magni</w:t>
      </w:r>
      <w:proofErr w:type="spellEnd"/>
      <w:r>
        <w:t xml:space="preserve">, C. A., &amp; </w:t>
      </w:r>
      <w:proofErr w:type="spellStart"/>
      <w:r>
        <w:t>Marchioni</w:t>
      </w:r>
      <w:proofErr w:type="spellEnd"/>
      <w:r>
        <w:t>, A. (2020).</w:t>
      </w:r>
      <w:proofErr w:type="gramEnd"/>
      <w:r>
        <w:t xml:space="preserve"> Average rates of return, working capital, and NPV-consistency in project appraisal: A sensitivity analysis approach. </w:t>
      </w:r>
      <w:proofErr w:type="gramStart"/>
      <w:r>
        <w:rPr>
          <w:i/>
          <w:iCs/>
        </w:rPr>
        <w:t>International Journal of Production Economics</w:t>
      </w:r>
      <w:r>
        <w:t xml:space="preserve">, </w:t>
      </w:r>
      <w:r>
        <w:rPr>
          <w:i/>
          <w:iCs/>
        </w:rPr>
        <w:t>229</w:t>
      </w:r>
      <w:r>
        <w:t>, 107769.</w:t>
      </w:r>
      <w:proofErr w:type="gramEnd"/>
      <w:r>
        <w:t xml:space="preserve"> </w:t>
      </w:r>
      <w:r>
        <w:rPr>
          <w:rStyle w:val="url"/>
        </w:rPr>
        <w:t>https://doi.org/10.1016/j.ijpe.2020.107769</w:t>
      </w:r>
    </w:p>
    <w:p w14:paraId="2A0E21A1" w14:textId="77777777" w:rsidR="00197F21" w:rsidRDefault="00197F21" w:rsidP="00197F21">
      <w:pPr>
        <w:pStyle w:val="NormalWeb"/>
        <w:spacing w:before="0" w:beforeAutospacing="0" w:after="0" w:afterAutospacing="0" w:line="480" w:lineRule="auto"/>
        <w:ind w:left="720" w:hanging="720"/>
      </w:pPr>
      <w:proofErr w:type="spellStart"/>
      <w:proofErr w:type="gramStart"/>
      <w:r>
        <w:t>Mota</w:t>
      </w:r>
      <w:proofErr w:type="spellEnd"/>
      <w:r>
        <w:t>, J., &amp; Moreira, A. C. (2023).</w:t>
      </w:r>
      <w:proofErr w:type="gramEnd"/>
      <w:r>
        <w:t xml:space="preserve"> Capital Budgeting Practices: A survey of two industries. </w:t>
      </w:r>
      <w:proofErr w:type="gramStart"/>
      <w:r>
        <w:rPr>
          <w:i/>
          <w:iCs/>
        </w:rPr>
        <w:t>Journal of Risk and Financial Management</w:t>
      </w:r>
      <w:r>
        <w:t xml:space="preserve">, </w:t>
      </w:r>
      <w:r>
        <w:rPr>
          <w:i/>
          <w:iCs/>
        </w:rPr>
        <w:t>16</w:t>
      </w:r>
      <w:r>
        <w:t>(3), 191.</w:t>
      </w:r>
      <w:proofErr w:type="gramEnd"/>
      <w:r>
        <w:t xml:space="preserve"> </w:t>
      </w:r>
      <w:r>
        <w:rPr>
          <w:rStyle w:val="url"/>
        </w:rPr>
        <w:t>https://doi.org/10.3390/jrfm16030191</w:t>
      </w:r>
    </w:p>
    <w:p w14:paraId="7B2CE4D1" w14:textId="77777777" w:rsidR="00197F21" w:rsidRDefault="00197F21" w:rsidP="00197F21">
      <w:pPr>
        <w:pStyle w:val="NormalWeb"/>
        <w:spacing w:before="0" w:beforeAutospacing="0" w:after="0" w:afterAutospacing="0" w:line="480" w:lineRule="auto"/>
        <w:ind w:left="720" w:hanging="720"/>
      </w:pPr>
      <w:r>
        <w:t xml:space="preserve">Travis Perkins. </w:t>
      </w:r>
      <w:proofErr w:type="gramStart"/>
      <w:r>
        <w:t xml:space="preserve">(2018). </w:t>
      </w:r>
      <w:r>
        <w:rPr>
          <w:i/>
          <w:iCs/>
        </w:rPr>
        <w:t>Travis Perkins Annual Report 2019</w:t>
      </w:r>
      <w:r>
        <w:t>.</w:t>
      </w:r>
      <w:proofErr w:type="gramEnd"/>
      <w:r>
        <w:t xml:space="preserve"> </w:t>
      </w:r>
      <w:r>
        <w:rPr>
          <w:rStyle w:val="url"/>
        </w:rPr>
        <w:t>https://www.travisperkinsplc.co.uk/media/ixlp2qle/travisperkins-annual-report-19-1.pdf</w:t>
      </w:r>
    </w:p>
    <w:p w14:paraId="04532323" w14:textId="77777777" w:rsidR="00197F21" w:rsidRDefault="00197F21" w:rsidP="00197F21">
      <w:pPr>
        <w:pStyle w:val="NormalWeb"/>
        <w:spacing w:before="0" w:beforeAutospacing="0" w:after="0" w:afterAutospacing="0" w:line="480" w:lineRule="auto"/>
        <w:ind w:left="720" w:hanging="720"/>
      </w:pPr>
      <w:r>
        <w:t xml:space="preserve">Travis Perkins. </w:t>
      </w:r>
      <w:proofErr w:type="gramStart"/>
      <w:r>
        <w:t xml:space="preserve">(2020). </w:t>
      </w:r>
      <w:r>
        <w:rPr>
          <w:i/>
          <w:iCs/>
        </w:rPr>
        <w:t>Travis Perkins Annual Report 21</w:t>
      </w:r>
      <w:r>
        <w:t>.</w:t>
      </w:r>
      <w:proofErr w:type="gramEnd"/>
      <w:r>
        <w:t xml:space="preserve"> </w:t>
      </w:r>
      <w:r>
        <w:rPr>
          <w:rStyle w:val="url"/>
        </w:rPr>
        <w:t>https://www.travisperkinsplc.co.uk/media/ntpnlwkh/travis-perkins-annual-report-2021.pdf</w:t>
      </w:r>
    </w:p>
    <w:p w14:paraId="047796E9" w14:textId="77777777" w:rsidR="00197F21" w:rsidRDefault="00197F21" w:rsidP="00197F21">
      <w:pPr>
        <w:pStyle w:val="NormalWeb"/>
        <w:spacing w:before="0" w:beforeAutospacing="0" w:after="0" w:afterAutospacing="0" w:line="480" w:lineRule="auto"/>
        <w:ind w:left="720" w:hanging="720"/>
      </w:pPr>
      <w:r>
        <w:t xml:space="preserve">Travis Perkins. </w:t>
      </w:r>
      <w:proofErr w:type="gramStart"/>
      <w:r>
        <w:t xml:space="preserve">(2022). </w:t>
      </w:r>
      <w:r>
        <w:rPr>
          <w:i/>
          <w:iCs/>
        </w:rPr>
        <w:t>Travis Perkins Annual Report 2023</w:t>
      </w:r>
      <w:r>
        <w:t>.</w:t>
      </w:r>
      <w:proofErr w:type="gramEnd"/>
      <w:r>
        <w:t xml:space="preserve"> </w:t>
      </w:r>
      <w:r>
        <w:rPr>
          <w:rStyle w:val="url"/>
        </w:rPr>
        <w:t>https://www.travisperkinsplc.co.uk/media/4mznqoer/travis-perkins-annual-report-2023.pdf</w:t>
      </w:r>
    </w:p>
    <w:p w14:paraId="7AE52E06" w14:textId="77777777" w:rsidR="00197F21" w:rsidRDefault="00197F21" w:rsidP="00197F21">
      <w:pPr>
        <w:pStyle w:val="NormalWeb"/>
        <w:spacing w:before="0" w:beforeAutospacing="0" w:after="0" w:afterAutospacing="0" w:line="480" w:lineRule="auto"/>
        <w:ind w:left="720" w:hanging="720"/>
      </w:pPr>
      <w:proofErr w:type="spellStart"/>
      <w:proofErr w:type="gramStart"/>
      <w:r>
        <w:t>Willigers</w:t>
      </w:r>
      <w:proofErr w:type="spellEnd"/>
      <w:r>
        <w:t xml:space="preserve">, B. J., Jones, B., &amp; </w:t>
      </w:r>
      <w:proofErr w:type="spellStart"/>
      <w:r>
        <w:t>Bratvold</w:t>
      </w:r>
      <w:proofErr w:type="spellEnd"/>
      <w:r>
        <w:t>, R. B. (2017).</w:t>
      </w:r>
      <w:proofErr w:type="gramEnd"/>
      <w:r>
        <w:t xml:space="preserve"> The Net-Present-Value paradox: criticized by many, applied by all. </w:t>
      </w:r>
      <w:r>
        <w:rPr>
          <w:i/>
          <w:iCs/>
        </w:rPr>
        <w:t>SPE Economics &amp; Management</w:t>
      </w:r>
      <w:r>
        <w:t xml:space="preserve">, </w:t>
      </w:r>
      <w:r>
        <w:rPr>
          <w:i/>
          <w:iCs/>
        </w:rPr>
        <w:t>9</w:t>
      </w:r>
      <w:r>
        <w:t xml:space="preserve">(04), 090–102. </w:t>
      </w:r>
      <w:r>
        <w:rPr>
          <w:rStyle w:val="url"/>
        </w:rPr>
        <w:t>https://doi.org/10.2118/187937-pa</w:t>
      </w:r>
    </w:p>
    <w:p w14:paraId="788ACE7C" w14:textId="00206602" w:rsidR="00C44200" w:rsidRDefault="00C44200">
      <w:pPr>
        <w:spacing w:after="0" w:line="276" w:lineRule="auto"/>
        <w:jc w:val="left"/>
      </w:pPr>
      <w:r>
        <w:br w:type="page"/>
      </w:r>
    </w:p>
    <w:p w14:paraId="75F6110C" w14:textId="4B45B681" w:rsidR="00C44200" w:rsidRDefault="00C44200" w:rsidP="00197F21">
      <w:pPr>
        <w:pStyle w:val="Heading1"/>
      </w:pPr>
      <w:bookmarkStart w:id="28" w:name="_Toc175149022"/>
      <w:r>
        <w:lastRenderedPageBreak/>
        <w:t>Appendix A</w:t>
      </w:r>
      <w:bookmarkEnd w:id="28"/>
    </w:p>
    <w:p w14:paraId="4C775000" w14:textId="1B0D62F6" w:rsidR="00C44200" w:rsidRPr="00C44200" w:rsidRDefault="00C44200" w:rsidP="00C44200">
      <w:pPr>
        <w:rPr>
          <w:b/>
        </w:rPr>
      </w:pPr>
      <w:r w:rsidRPr="00C44200">
        <w:rPr>
          <w:b/>
        </w:rPr>
        <w:t xml:space="preserve">Kingfisher PLC Financials </w:t>
      </w:r>
    </w:p>
    <w:tbl>
      <w:tblPr>
        <w:tblW w:w="95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603"/>
        <w:gridCol w:w="1852"/>
        <w:gridCol w:w="990"/>
        <w:gridCol w:w="1440"/>
        <w:gridCol w:w="1170"/>
        <w:gridCol w:w="1530"/>
      </w:tblGrid>
      <w:tr w:rsidR="00C44200" w:rsidRPr="00C44200" w14:paraId="119D955F" w14:textId="77777777" w:rsidTr="00C44200">
        <w:trPr>
          <w:trHeight w:val="315"/>
        </w:trPr>
        <w:tc>
          <w:tcPr>
            <w:tcW w:w="0" w:type="auto"/>
            <w:vMerge w:val="restart"/>
            <w:tcMar>
              <w:top w:w="30" w:type="dxa"/>
              <w:left w:w="45" w:type="dxa"/>
              <w:bottom w:w="30" w:type="dxa"/>
              <w:right w:w="45" w:type="dxa"/>
            </w:tcMar>
            <w:vAlign w:val="bottom"/>
            <w:hideMark/>
          </w:tcPr>
          <w:p w14:paraId="4FC04EC6" w14:textId="77777777" w:rsidR="00C44200" w:rsidRPr="00C44200" w:rsidRDefault="00C44200" w:rsidP="00C44200">
            <w:pPr>
              <w:spacing w:after="0" w:line="240" w:lineRule="auto"/>
              <w:jc w:val="left"/>
              <w:rPr>
                <w:rFonts w:ascii="Arial" w:eastAsia="Times New Roman" w:hAnsi="Arial" w:cs="Arial"/>
                <w:sz w:val="20"/>
                <w:szCs w:val="20"/>
              </w:rPr>
            </w:pPr>
          </w:p>
        </w:tc>
        <w:tc>
          <w:tcPr>
            <w:tcW w:w="6982" w:type="dxa"/>
            <w:gridSpan w:val="5"/>
            <w:tcMar>
              <w:top w:w="30" w:type="dxa"/>
              <w:left w:w="45" w:type="dxa"/>
              <w:bottom w:w="30" w:type="dxa"/>
              <w:right w:w="45" w:type="dxa"/>
            </w:tcMar>
            <w:vAlign w:val="bottom"/>
            <w:hideMark/>
          </w:tcPr>
          <w:p w14:paraId="1F9AD301" w14:textId="77777777" w:rsidR="00C44200" w:rsidRPr="00C44200" w:rsidRDefault="00C44200" w:rsidP="00C44200">
            <w:pPr>
              <w:spacing w:after="0" w:line="240" w:lineRule="auto"/>
              <w:jc w:val="center"/>
              <w:rPr>
                <w:rFonts w:ascii="Times New Roman" w:eastAsia="Times New Roman" w:hAnsi="Times New Roman" w:cs="Times New Roman"/>
                <w:b/>
                <w:bCs/>
              </w:rPr>
            </w:pPr>
            <w:r w:rsidRPr="00C44200">
              <w:rPr>
                <w:rFonts w:ascii="Times New Roman" w:eastAsia="Times New Roman" w:hAnsi="Times New Roman" w:cs="Times New Roman"/>
                <w:b/>
                <w:bCs/>
              </w:rPr>
              <w:t xml:space="preserve">Year </w:t>
            </w:r>
            <w:r w:rsidRPr="00C44200">
              <w:rPr>
                <w:rFonts w:ascii="Times New Roman" w:eastAsia="Times New Roman" w:hAnsi="Times New Roman" w:cs="Times New Roman"/>
                <w:b/>
                <w:bCs/>
              </w:rPr>
              <w:br/>
              <w:t>(figures £ million)</w:t>
            </w:r>
          </w:p>
        </w:tc>
      </w:tr>
      <w:tr w:rsidR="00C44200" w:rsidRPr="00C44200" w14:paraId="17E52D0D" w14:textId="77777777" w:rsidTr="00C44200">
        <w:trPr>
          <w:trHeight w:val="315"/>
        </w:trPr>
        <w:tc>
          <w:tcPr>
            <w:tcW w:w="0" w:type="auto"/>
            <w:vMerge/>
            <w:tcMar>
              <w:top w:w="30" w:type="dxa"/>
              <w:left w:w="45" w:type="dxa"/>
              <w:bottom w:w="30" w:type="dxa"/>
              <w:right w:w="45" w:type="dxa"/>
            </w:tcMar>
            <w:vAlign w:val="bottom"/>
            <w:hideMark/>
          </w:tcPr>
          <w:p w14:paraId="65782657" w14:textId="77777777" w:rsidR="00C44200" w:rsidRPr="00C44200" w:rsidRDefault="00C44200" w:rsidP="00C44200">
            <w:pPr>
              <w:spacing w:after="0" w:line="240" w:lineRule="auto"/>
              <w:jc w:val="left"/>
              <w:rPr>
                <w:rFonts w:ascii="Arial" w:eastAsia="Times New Roman" w:hAnsi="Arial" w:cs="Arial"/>
                <w:sz w:val="20"/>
                <w:szCs w:val="20"/>
              </w:rPr>
            </w:pPr>
          </w:p>
        </w:tc>
        <w:tc>
          <w:tcPr>
            <w:tcW w:w="1852" w:type="dxa"/>
            <w:tcMar>
              <w:top w:w="30" w:type="dxa"/>
              <w:left w:w="45" w:type="dxa"/>
              <w:bottom w:w="30" w:type="dxa"/>
              <w:right w:w="45" w:type="dxa"/>
            </w:tcMar>
            <w:vAlign w:val="bottom"/>
            <w:hideMark/>
          </w:tcPr>
          <w:p w14:paraId="4D63C6B9" w14:textId="77777777" w:rsidR="00C44200" w:rsidRPr="00C44200" w:rsidRDefault="00C44200" w:rsidP="00C44200">
            <w:pPr>
              <w:spacing w:after="0" w:line="240" w:lineRule="auto"/>
              <w:jc w:val="center"/>
              <w:rPr>
                <w:rFonts w:ascii="Times New Roman" w:eastAsia="Times New Roman" w:hAnsi="Times New Roman" w:cs="Times New Roman"/>
                <w:b/>
                <w:bCs/>
              </w:rPr>
            </w:pPr>
            <w:r w:rsidRPr="00C44200">
              <w:rPr>
                <w:rFonts w:ascii="Times New Roman" w:eastAsia="Times New Roman" w:hAnsi="Times New Roman" w:cs="Times New Roman"/>
                <w:b/>
                <w:bCs/>
              </w:rPr>
              <w:t>2019</w:t>
            </w:r>
          </w:p>
        </w:tc>
        <w:tc>
          <w:tcPr>
            <w:tcW w:w="990" w:type="dxa"/>
            <w:tcMar>
              <w:top w:w="30" w:type="dxa"/>
              <w:left w:w="45" w:type="dxa"/>
              <w:bottom w:w="30" w:type="dxa"/>
              <w:right w:w="45" w:type="dxa"/>
            </w:tcMar>
            <w:vAlign w:val="bottom"/>
            <w:hideMark/>
          </w:tcPr>
          <w:p w14:paraId="07CB8F5C" w14:textId="77777777" w:rsidR="00C44200" w:rsidRPr="00C44200" w:rsidRDefault="00C44200" w:rsidP="00C44200">
            <w:pPr>
              <w:spacing w:after="0" w:line="240" w:lineRule="auto"/>
              <w:jc w:val="center"/>
              <w:rPr>
                <w:rFonts w:ascii="Times New Roman" w:eastAsia="Times New Roman" w:hAnsi="Times New Roman" w:cs="Times New Roman"/>
                <w:b/>
                <w:bCs/>
              </w:rPr>
            </w:pPr>
            <w:r w:rsidRPr="00C44200">
              <w:rPr>
                <w:rFonts w:ascii="Times New Roman" w:eastAsia="Times New Roman" w:hAnsi="Times New Roman" w:cs="Times New Roman"/>
                <w:b/>
                <w:bCs/>
              </w:rPr>
              <w:t>2020</w:t>
            </w:r>
          </w:p>
        </w:tc>
        <w:tc>
          <w:tcPr>
            <w:tcW w:w="1440" w:type="dxa"/>
            <w:tcMar>
              <w:top w:w="30" w:type="dxa"/>
              <w:left w:w="45" w:type="dxa"/>
              <w:bottom w:w="30" w:type="dxa"/>
              <w:right w:w="45" w:type="dxa"/>
            </w:tcMar>
            <w:vAlign w:val="bottom"/>
            <w:hideMark/>
          </w:tcPr>
          <w:p w14:paraId="27478255" w14:textId="77777777" w:rsidR="00C44200" w:rsidRPr="00C44200" w:rsidRDefault="00C44200" w:rsidP="00C44200">
            <w:pPr>
              <w:spacing w:after="0" w:line="240" w:lineRule="auto"/>
              <w:jc w:val="center"/>
              <w:rPr>
                <w:rFonts w:ascii="Times New Roman" w:eastAsia="Times New Roman" w:hAnsi="Times New Roman" w:cs="Times New Roman"/>
                <w:b/>
                <w:bCs/>
              </w:rPr>
            </w:pPr>
            <w:r w:rsidRPr="00C44200">
              <w:rPr>
                <w:rFonts w:ascii="Times New Roman" w:eastAsia="Times New Roman" w:hAnsi="Times New Roman" w:cs="Times New Roman"/>
                <w:b/>
                <w:bCs/>
              </w:rPr>
              <w:t>2021</w:t>
            </w:r>
          </w:p>
        </w:tc>
        <w:tc>
          <w:tcPr>
            <w:tcW w:w="1170" w:type="dxa"/>
            <w:tcMar>
              <w:top w:w="30" w:type="dxa"/>
              <w:left w:w="45" w:type="dxa"/>
              <w:bottom w:w="30" w:type="dxa"/>
              <w:right w:w="45" w:type="dxa"/>
            </w:tcMar>
            <w:vAlign w:val="bottom"/>
            <w:hideMark/>
          </w:tcPr>
          <w:p w14:paraId="7D5FBC69" w14:textId="77777777" w:rsidR="00C44200" w:rsidRPr="00C44200" w:rsidRDefault="00C44200" w:rsidP="00C44200">
            <w:pPr>
              <w:spacing w:after="0" w:line="240" w:lineRule="auto"/>
              <w:jc w:val="center"/>
              <w:rPr>
                <w:rFonts w:ascii="Times New Roman" w:eastAsia="Times New Roman" w:hAnsi="Times New Roman" w:cs="Times New Roman"/>
                <w:b/>
                <w:bCs/>
              </w:rPr>
            </w:pPr>
            <w:r w:rsidRPr="00C44200">
              <w:rPr>
                <w:rFonts w:ascii="Times New Roman" w:eastAsia="Times New Roman" w:hAnsi="Times New Roman" w:cs="Times New Roman"/>
                <w:b/>
                <w:bCs/>
              </w:rPr>
              <w:t>2022</w:t>
            </w:r>
          </w:p>
        </w:tc>
        <w:tc>
          <w:tcPr>
            <w:tcW w:w="1530" w:type="dxa"/>
            <w:tcMar>
              <w:top w:w="30" w:type="dxa"/>
              <w:left w:w="45" w:type="dxa"/>
              <w:bottom w:w="30" w:type="dxa"/>
              <w:right w:w="45" w:type="dxa"/>
            </w:tcMar>
            <w:vAlign w:val="bottom"/>
            <w:hideMark/>
          </w:tcPr>
          <w:p w14:paraId="5CCBF790" w14:textId="77777777" w:rsidR="00C44200" w:rsidRPr="00C44200" w:rsidRDefault="00C44200" w:rsidP="00C44200">
            <w:pPr>
              <w:spacing w:after="0" w:line="240" w:lineRule="auto"/>
              <w:jc w:val="center"/>
              <w:rPr>
                <w:rFonts w:ascii="Times New Roman" w:eastAsia="Times New Roman" w:hAnsi="Times New Roman" w:cs="Times New Roman"/>
                <w:b/>
                <w:bCs/>
              </w:rPr>
            </w:pPr>
            <w:r w:rsidRPr="00C44200">
              <w:rPr>
                <w:rFonts w:ascii="Times New Roman" w:eastAsia="Times New Roman" w:hAnsi="Times New Roman" w:cs="Times New Roman"/>
                <w:b/>
                <w:bCs/>
              </w:rPr>
              <w:t>2023</w:t>
            </w:r>
          </w:p>
        </w:tc>
      </w:tr>
      <w:tr w:rsidR="00C44200" w:rsidRPr="00C44200" w14:paraId="191EB69C" w14:textId="77777777" w:rsidTr="00C44200">
        <w:trPr>
          <w:trHeight w:val="315"/>
        </w:trPr>
        <w:tc>
          <w:tcPr>
            <w:tcW w:w="0" w:type="auto"/>
            <w:tcMar>
              <w:top w:w="30" w:type="dxa"/>
              <w:left w:w="45" w:type="dxa"/>
              <w:bottom w:w="30" w:type="dxa"/>
              <w:right w:w="45" w:type="dxa"/>
            </w:tcMar>
            <w:vAlign w:val="bottom"/>
            <w:hideMark/>
          </w:tcPr>
          <w:p w14:paraId="4DFE081D" w14:textId="77777777" w:rsidR="00C44200" w:rsidRPr="00C44200" w:rsidRDefault="00C44200" w:rsidP="00C44200">
            <w:pPr>
              <w:spacing w:after="0" w:line="240" w:lineRule="auto"/>
              <w:jc w:val="left"/>
              <w:rPr>
                <w:rFonts w:ascii="Arial" w:eastAsia="Times New Roman" w:hAnsi="Arial" w:cs="Arial"/>
                <w:b/>
                <w:sz w:val="20"/>
                <w:szCs w:val="20"/>
              </w:rPr>
            </w:pPr>
            <w:r w:rsidRPr="00C44200">
              <w:rPr>
                <w:rFonts w:ascii="Arial" w:eastAsia="Times New Roman" w:hAnsi="Arial" w:cs="Arial"/>
                <w:b/>
                <w:sz w:val="20"/>
                <w:szCs w:val="20"/>
              </w:rPr>
              <w:t>Sales</w:t>
            </w:r>
          </w:p>
        </w:tc>
        <w:tc>
          <w:tcPr>
            <w:tcW w:w="1852" w:type="dxa"/>
            <w:tcMar>
              <w:top w:w="30" w:type="dxa"/>
              <w:left w:w="45" w:type="dxa"/>
              <w:bottom w:w="30" w:type="dxa"/>
              <w:right w:w="45" w:type="dxa"/>
            </w:tcMar>
            <w:vAlign w:val="bottom"/>
            <w:hideMark/>
          </w:tcPr>
          <w:p w14:paraId="258A29D0" w14:textId="77777777" w:rsidR="00C44200" w:rsidRPr="00C44200" w:rsidRDefault="00C44200" w:rsidP="00C44200">
            <w:pPr>
              <w:spacing w:after="0" w:line="240" w:lineRule="auto"/>
              <w:jc w:val="right"/>
              <w:rPr>
                <w:rFonts w:ascii="Arial" w:eastAsia="Times New Roman" w:hAnsi="Arial" w:cs="Arial"/>
                <w:sz w:val="20"/>
                <w:szCs w:val="20"/>
              </w:rPr>
            </w:pPr>
            <w:r w:rsidRPr="00C44200">
              <w:rPr>
                <w:rFonts w:ascii="Arial" w:eastAsia="Times New Roman" w:hAnsi="Arial" w:cs="Arial"/>
                <w:sz w:val="20"/>
                <w:szCs w:val="20"/>
              </w:rPr>
              <w:t>11,513</w:t>
            </w:r>
          </w:p>
        </w:tc>
        <w:tc>
          <w:tcPr>
            <w:tcW w:w="990" w:type="dxa"/>
            <w:tcMar>
              <w:top w:w="30" w:type="dxa"/>
              <w:left w:w="45" w:type="dxa"/>
              <w:bottom w:w="30" w:type="dxa"/>
              <w:right w:w="45" w:type="dxa"/>
            </w:tcMar>
            <w:vAlign w:val="bottom"/>
            <w:hideMark/>
          </w:tcPr>
          <w:p w14:paraId="4072CBE8" w14:textId="77777777" w:rsidR="00C44200" w:rsidRPr="00C44200" w:rsidRDefault="00C44200" w:rsidP="00C44200">
            <w:pPr>
              <w:spacing w:after="0" w:line="240" w:lineRule="auto"/>
              <w:jc w:val="right"/>
              <w:rPr>
                <w:rFonts w:ascii="Arial" w:eastAsia="Times New Roman" w:hAnsi="Arial" w:cs="Arial"/>
                <w:sz w:val="20"/>
                <w:szCs w:val="20"/>
              </w:rPr>
            </w:pPr>
            <w:r w:rsidRPr="00C44200">
              <w:rPr>
                <w:rFonts w:ascii="Arial" w:eastAsia="Times New Roman" w:hAnsi="Arial" w:cs="Arial"/>
                <w:sz w:val="20"/>
                <w:szCs w:val="20"/>
              </w:rPr>
              <w:t>12,343</w:t>
            </w:r>
          </w:p>
        </w:tc>
        <w:tc>
          <w:tcPr>
            <w:tcW w:w="1440" w:type="dxa"/>
            <w:tcMar>
              <w:top w:w="30" w:type="dxa"/>
              <w:left w:w="45" w:type="dxa"/>
              <w:bottom w:w="30" w:type="dxa"/>
              <w:right w:w="45" w:type="dxa"/>
            </w:tcMar>
            <w:vAlign w:val="bottom"/>
            <w:hideMark/>
          </w:tcPr>
          <w:p w14:paraId="0F0557BB" w14:textId="77777777" w:rsidR="00C44200" w:rsidRPr="00C44200" w:rsidRDefault="00C44200" w:rsidP="00C44200">
            <w:pPr>
              <w:spacing w:after="0" w:line="240" w:lineRule="auto"/>
              <w:jc w:val="right"/>
              <w:rPr>
                <w:rFonts w:ascii="Arial" w:eastAsia="Times New Roman" w:hAnsi="Arial" w:cs="Arial"/>
                <w:sz w:val="20"/>
                <w:szCs w:val="20"/>
              </w:rPr>
            </w:pPr>
            <w:r w:rsidRPr="00C44200">
              <w:rPr>
                <w:rFonts w:ascii="Arial" w:eastAsia="Times New Roman" w:hAnsi="Arial" w:cs="Arial"/>
                <w:sz w:val="20"/>
                <w:szCs w:val="20"/>
              </w:rPr>
              <w:t>13,183</w:t>
            </w:r>
          </w:p>
        </w:tc>
        <w:tc>
          <w:tcPr>
            <w:tcW w:w="1170" w:type="dxa"/>
            <w:tcMar>
              <w:top w:w="30" w:type="dxa"/>
              <w:left w:w="45" w:type="dxa"/>
              <w:bottom w:w="30" w:type="dxa"/>
              <w:right w:w="45" w:type="dxa"/>
            </w:tcMar>
            <w:vAlign w:val="bottom"/>
            <w:hideMark/>
          </w:tcPr>
          <w:p w14:paraId="5B03493E" w14:textId="77777777" w:rsidR="00C44200" w:rsidRPr="00C44200" w:rsidRDefault="00C44200" w:rsidP="00C44200">
            <w:pPr>
              <w:spacing w:after="0" w:line="240" w:lineRule="auto"/>
              <w:jc w:val="right"/>
              <w:rPr>
                <w:rFonts w:ascii="Arial" w:eastAsia="Times New Roman" w:hAnsi="Arial" w:cs="Arial"/>
                <w:sz w:val="20"/>
                <w:szCs w:val="20"/>
              </w:rPr>
            </w:pPr>
            <w:r w:rsidRPr="00C44200">
              <w:rPr>
                <w:rFonts w:ascii="Arial" w:eastAsia="Times New Roman" w:hAnsi="Arial" w:cs="Arial"/>
                <w:sz w:val="20"/>
                <w:szCs w:val="20"/>
              </w:rPr>
              <w:t>13,059</w:t>
            </w:r>
          </w:p>
        </w:tc>
        <w:tc>
          <w:tcPr>
            <w:tcW w:w="1530" w:type="dxa"/>
            <w:tcMar>
              <w:top w:w="30" w:type="dxa"/>
              <w:left w:w="45" w:type="dxa"/>
              <w:bottom w:w="30" w:type="dxa"/>
              <w:right w:w="45" w:type="dxa"/>
            </w:tcMar>
            <w:vAlign w:val="bottom"/>
            <w:hideMark/>
          </w:tcPr>
          <w:p w14:paraId="281DC516" w14:textId="77777777" w:rsidR="00C44200" w:rsidRPr="00C44200" w:rsidRDefault="00C44200" w:rsidP="00C44200">
            <w:pPr>
              <w:spacing w:after="0" w:line="240" w:lineRule="auto"/>
              <w:jc w:val="right"/>
              <w:rPr>
                <w:rFonts w:ascii="Arial" w:eastAsia="Times New Roman" w:hAnsi="Arial" w:cs="Arial"/>
                <w:sz w:val="20"/>
                <w:szCs w:val="20"/>
              </w:rPr>
            </w:pPr>
            <w:r w:rsidRPr="00C44200">
              <w:rPr>
                <w:rFonts w:ascii="Arial" w:eastAsia="Times New Roman" w:hAnsi="Arial" w:cs="Arial"/>
                <w:sz w:val="20"/>
                <w:szCs w:val="20"/>
              </w:rPr>
              <w:t>12,980</w:t>
            </w:r>
          </w:p>
        </w:tc>
      </w:tr>
      <w:tr w:rsidR="00C44200" w:rsidRPr="00C44200" w14:paraId="5A5C73A7" w14:textId="77777777" w:rsidTr="00C44200">
        <w:trPr>
          <w:trHeight w:val="315"/>
        </w:trPr>
        <w:tc>
          <w:tcPr>
            <w:tcW w:w="0" w:type="auto"/>
            <w:tcMar>
              <w:top w:w="30" w:type="dxa"/>
              <w:left w:w="45" w:type="dxa"/>
              <w:bottom w:w="30" w:type="dxa"/>
              <w:right w:w="45" w:type="dxa"/>
            </w:tcMar>
            <w:vAlign w:val="bottom"/>
            <w:hideMark/>
          </w:tcPr>
          <w:p w14:paraId="4A503B70" w14:textId="77777777" w:rsidR="00C44200" w:rsidRPr="00C44200" w:rsidRDefault="00C44200" w:rsidP="00C44200">
            <w:pPr>
              <w:spacing w:after="0" w:line="240" w:lineRule="auto"/>
              <w:jc w:val="left"/>
              <w:rPr>
                <w:rFonts w:ascii="Arial" w:eastAsia="Times New Roman" w:hAnsi="Arial" w:cs="Arial"/>
                <w:b/>
                <w:sz w:val="20"/>
                <w:szCs w:val="20"/>
              </w:rPr>
            </w:pPr>
            <w:r w:rsidRPr="00C44200">
              <w:rPr>
                <w:rFonts w:ascii="Arial" w:eastAsia="Times New Roman" w:hAnsi="Arial" w:cs="Arial"/>
                <w:b/>
                <w:sz w:val="20"/>
                <w:szCs w:val="20"/>
              </w:rPr>
              <w:t>Cost of Goods Sold (COGS)</w:t>
            </w:r>
          </w:p>
        </w:tc>
        <w:tc>
          <w:tcPr>
            <w:tcW w:w="1852" w:type="dxa"/>
            <w:tcMar>
              <w:top w:w="30" w:type="dxa"/>
              <w:left w:w="45" w:type="dxa"/>
              <w:bottom w:w="30" w:type="dxa"/>
              <w:right w:w="45" w:type="dxa"/>
            </w:tcMar>
            <w:vAlign w:val="bottom"/>
            <w:hideMark/>
          </w:tcPr>
          <w:p w14:paraId="03051D72" w14:textId="77777777" w:rsidR="00C44200" w:rsidRPr="00C44200" w:rsidRDefault="00C44200" w:rsidP="00C44200">
            <w:pPr>
              <w:spacing w:after="0" w:line="240" w:lineRule="auto"/>
              <w:jc w:val="right"/>
              <w:rPr>
                <w:rFonts w:ascii="Arial" w:eastAsia="Times New Roman" w:hAnsi="Arial" w:cs="Arial"/>
                <w:sz w:val="20"/>
                <w:szCs w:val="20"/>
              </w:rPr>
            </w:pPr>
            <w:r w:rsidRPr="00C44200">
              <w:rPr>
                <w:rFonts w:ascii="Arial" w:eastAsia="Times New Roman" w:hAnsi="Arial" w:cs="Arial"/>
                <w:sz w:val="20"/>
                <w:szCs w:val="20"/>
              </w:rPr>
              <w:t>7,258</w:t>
            </w:r>
          </w:p>
        </w:tc>
        <w:tc>
          <w:tcPr>
            <w:tcW w:w="990" w:type="dxa"/>
            <w:tcMar>
              <w:top w:w="30" w:type="dxa"/>
              <w:left w:w="45" w:type="dxa"/>
              <w:bottom w:w="30" w:type="dxa"/>
              <w:right w:w="45" w:type="dxa"/>
            </w:tcMar>
            <w:vAlign w:val="bottom"/>
            <w:hideMark/>
          </w:tcPr>
          <w:p w14:paraId="76474526" w14:textId="77777777" w:rsidR="00C44200" w:rsidRPr="00C44200" w:rsidRDefault="00C44200" w:rsidP="00C44200">
            <w:pPr>
              <w:spacing w:after="0" w:line="240" w:lineRule="auto"/>
              <w:jc w:val="right"/>
              <w:rPr>
                <w:rFonts w:ascii="Arial" w:eastAsia="Times New Roman" w:hAnsi="Arial" w:cs="Arial"/>
                <w:sz w:val="20"/>
                <w:szCs w:val="20"/>
              </w:rPr>
            </w:pPr>
            <w:r w:rsidRPr="00C44200">
              <w:rPr>
                <w:rFonts w:ascii="Arial" w:eastAsia="Times New Roman" w:hAnsi="Arial" w:cs="Arial"/>
                <w:sz w:val="20"/>
                <w:szCs w:val="20"/>
              </w:rPr>
              <w:t>7,770</w:t>
            </w:r>
          </w:p>
        </w:tc>
        <w:tc>
          <w:tcPr>
            <w:tcW w:w="1440" w:type="dxa"/>
            <w:tcMar>
              <w:top w:w="30" w:type="dxa"/>
              <w:left w:w="45" w:type="dxa"/>
              <w:bottom w:w="30" w:type="dxa"/>
              <w:right w:w="45" w:type="dxa"/>
            </w:tcMar>
            <w:vAlign w:val="bottom"/>
            <w:hideMark/>
          </w:tcPr>
          <w:p w14:paraId="2734BF7D" w14:textId="77777777" w:rsidR="00C44200" w:rsidRPr="00C44200" w:rsidRDefault="00C44200" w:rsidP="00C44200">
            <w:pPr>
              <w:spacing w:after="0" w:line="240" w:lineRule="auto"/>
              <w:jc w:val="right"/>
              <w:rPr>
                <w:rFonts w:ascii="Arial" w:eastAsia="Times New Roman" w:hAnsi="Arial" w:cs="Arial"/>
                <w:sz w:val="20"/>
                <w:szCs w:val="20"/>
              </w:rPr>
            </w:pPr>
            <w:r w:rsidRPr="00C44200">
              <w:rPr>
                <w:rFonts w:ascii="Arial" w:eastAsia="Times New Roman" w:hAnsi="Arial" w:cs="Arial"/>
                <w:sz w:val="20"/>
                <w:szCs w:val="20"/>
              </w:rPr>
              <w:t>8,248</w:t>
            </w:r>
          </w:p>
        </w:tc>
        <w:tc>
          <w:tcPr>
            <w:tcW w:w="1170" w:type="dxa"/>
            <w:tcMar>
              <w:top w:w="30" w:type="dxa"/>
              <w:left w:w="45" w:type="dxa"/>
              <w:bottom w:w="30" w:type="dxa"/>
              <w:right w:w="45" w:type="dxa"/>
            </w:tcMar>
            <w:vAlign w:val="bottom"/>
            <w:hideMark/>
          </w:tcPr>
          <w:p w14:paraId="2DA2F268" w14:textId="77777777" w:rsidR="00C44200" w:rsidRPr="00C44200" w:rsidRDefault="00C44200" w:rsidP="00C44200">
            <w:pPr>
              <w:spacing w:after="0" w:line="240" w:lineRule="auto"/>
              <w:jc w:val="right"/>
              <w:rPr>
                <w:rFonts w:ascii="Arial" w:eastAsia="Times New Roman" w:hAnsi="Arial" w:cs="Arial"/>
                <w:sz w:val="20"/>
                <w:szCs w:val="20"/>
              </w:rPr>
            </w:pPr>
            <w:r w:rsidRPr="00C44200">
              <w:rPr>
                <w:rFonts w:ascii="Arial" w:eastAsia="Times New Roman" w:hAnsi="Arial" w:cs="Arial"/>
                <w:sz w:val="20"/>
                <w:szCs w:val="20"/>
              </w:rPr>
              <w:t>8,264</w:t>
            </w:r>
          </w:p>
        </w:tc>
        <w:tc>
          <w:tcPr>
            <w:tcW w:w="1530" w:type="dxa"/>
            <w:tcMar>
              <w:top w:w="30" w:type="dxa"/>
              <w:left w:w="45" w:type="dxa"/>
              <w:bottom w:w="30" w:type="dxa"/>
              <w:right w:w="45" w:type="dxa"/>
            </w:tcMar>
            <w:vAlign w:val="bottom"/>
            <w:hideMark/>
          </w:tcPr>
          <w:p w14:paraId="5F3A4B02" w14:textId="77777777" w:rsidR="00C44200" w:rsidRPr="00C44200" w:rsidRDefault="00C44200" w:rsidP="00C44200">
            <w:pPr>
              <w:spacing w:after="0" w:line="240" w:lineRule="auto"/>
              <w:jc w:val="right"/>
              <w:rPr>
                <w:rFonts w:ascii="Arial" w:eastAsia="Times New Roman" w:hAnsi="Arial" w:cs="Arial"/>
                <w:sz w:val="20"/>
                <w:szCs w:val="20"/>
              </w:rPr>
            </w:pPr>
            <w:r w:rsidRPr="00C44200">
              <w:rPr>
                <w:rFonts w:ascii="Arial" w:eastAsia="Times New Roman" w:hAnsi="Arial" w:cs="Arial"/>
                <w:sz w:val="20"/>
                <w:szCs w:val="20"/>
              </w:rPr>
              <w:t>8,204</w:t>
            </w:r>
          </w:p>
        </w:tc>
      </w:tr>
      <w:tr w:rsidR="00C44200" w:rsidRPr="00C44200" w14:paraId="67DF3ED7" w14:textId="77777777" w:rsidTr="00C44200">
        <w:trPr>
          <w:trHeight w:val="315"/>
        </w:trPr>
        <w:tc>
          <w:tcPr>
            <w:tcW w:w="0" w:type="auto"/>
            <w:tcMar>
              <w:top w:w="30" w:type="dxa"/>
              <w:left w:w="45" w:type="dxa"/>
              <w:bottom w:w="30" w:type="dxa"/>
              <w:right w:w="45" w:type="dxa"/>
            </w:tcMar>
            <w:vAlign w:val="bottom"/>
            <w:hideMark/>
          </w:tcPr>
          <w:p w14:paraId="27CDA509" w14:textId="77777777" w:rsidR="00C44200" w:rsidRPr="00C44200" w:rsidRDefault="00C44200" w:rsidP="00C44200">
            <w:pPr>
              <w:spacing w:after="0" w:line="240" w:lineRule="auto"/>
              <w:jc w:val="left"/>
              <w:rPr>
                <w:rFonts w:ascii="Arial" w:eastAsia="Times New Roman" w:hAnsi="Arial" w:cs="Arial"/>
                <w:b/>
                <w:sz w:val="20"/>
                <w:szCs w:val="20"/>
              </w:rPr>
            </w:pPr>
            <w:r w:rsidRPr="00C44200">
              <w:rPr>
                <w:rFonts w:ascii="Arial" w:eastAsia="Times New Roman" w:hAnsi="Arial" w:cs="Arial"/>
                <w:b/>
                <w:sz w:val="20"/>
                <w:szCs w:val="20"/>
              </w:rPr>
              <w:t>Gross Profit</w:t>
            </w:r>
          </w:p>
        </w:tc>
        <w:tc>
          <w:tcPr>
            <w:tcW w:w="1852" w:type="dxa"/>
            <w:tcMar>
              <w:top w:w="30" w:type="dxa"/>
              <w:left w:w="45" w:type="dxa"/>
              <w:bottom w:w="30" w:type="dxa"/>
              <w:right w:w="45" w:type="dxa"/>
            </w:tcMar>
            <w:vAlign w:val="bottom"/>
            <w:hideMark/>
          </w:tcPr>
          <w:p w14:paraId="17411C2B" w14:textId="77777777" w:rsidR="00C44200" w:rsidRPr="00C44200" w:rsidRDefault="00C44200" w:rsidP="00C44200">
            <w:pPr>
              <w:spacing w:after="0" w:line="240" w:lineRule="auto"/>
              <w:jc w:val="right"/>
              <w:rPr>
                <w:rFonts w:ascii="Arial" w:eastAsia="Times New Roman" w:hAnsi="Arial" w:cs="Arial"/>
                <w:sz w:val="20"/>
                <w:szCs w:val="20"/>
              </w:rPr>
            </w:pPr>
            <w:r w:rsidRPr="00C44200">
              <w:rPr>
                <w:rFonts w:ascii="Arial" w:eastAsia="Times New Roman" w:hAnsi="Arial" w:cs="Arial"/>
                <w:sz w:val="20"/>
                <w:szCs w:val="20"/>
              </w:rPr>
              <w:t>4,255</w:t>
            </w:r>
          </w:p>
        </w:tc>
        <w:tc>
          <w:tcPr>
            <w:tcW w:w="990" w:type="dxa"/>
            <w:tcMar>
              <w:top w:w="30" w:type="dxa"/>
              <w:left w:w="45" w:type="dxa"/>
              <w:bottom w:w="30" w:type="dxa"/>
              <w:right w:w="45" w:type="dxa"/>
            </w:tcMar>
            <w:vAlign w:val="bottom"/>
            <w:hideMark/>
          </w:tcPr>
          <w:p w14:paraId="37E2658E" w14:textId="77777777" w:rsidR="00C44200" w:rsidRPr="00C44200" w:rsidRDefault="00C44200" w:rsidP="00C44200">
            <w:pPr>
              <w:spacing w:after="0" w:line="240" w:lineRule="auto"/>
              <w:jc w:val="right"/>
              <w:rPr>
                <w:rFonts w:ascii="Arial" w:eastAsia="Times New Roman" w:hAnsi="Arial" w:cs="Arial"/>
                <w:sz w:val="20"/>
                <w:szCs w:val="20"/>
              </w:rPr>
            </w:pPr>
            <w:r w:rsidRPr="00C44200">
              <w:rPr>
                <w:rFonts w:ascii="Arial" w:eastAsia="Times New Roman" w:hAnsi="Arial" w:cs="Arial"/>
                <w:sz w:val="20"/>
                <w:szCs w:val="20"/>
              </w:rPr>
              <w:t>4,573</w:t>
            </w:r>
          </w:p>
        </w:tc>
        <w:tc>
          <w:tcPr>
            <w:tcW w:w="1440" w:type="dxa"/>
            <w:tcMar>
              <w:top w:w="30" w:type="dxa"/>
              <w:left w:w="45" w:type="dxa"/>
              <w:bottom w:w="30" w:type="dxa"/>
              <w:right w:w="45" w:type="dxa"/>
            </w:tcMar>
            <w:vAlign w:val="bottom"/>
            <w:hideMark/>
          </w:tcPr>
          <w:p w14:paraId="035EBA74" w14:textId="77777777" w:rsidR="00C44200" w:rsidRPr="00C44200" w:rsidRDefault="00C44200" w:rsidP="00C44200">
            <w:pPr>
              <w:spacing w:after="0" w:line="240" w:lineRule="auto"/>
              <w:jc w:val="right"/>
              <w:rPr>
                <w:rFonts w:ascii="Arial" w:eastAsia="Times New Roman" w:hAnsi="Arial" w:cs="Arial"/>
                <w:sz w:val="20"/>
                <w:szCs w:val="20"/>
              </w:rPr>
            </w:pPr>
            <w:r w:rsidRPr="00C44200">
              <w:rPr>
                <w:rFonts w:ascii="Arial" w:eastAsia="Times New Roman" w:hAnsi="Arial" w:cs="Arial"/>
                <w:sz w:val="20"/>
                <w:szCs w:val="20"/>
              </w:rPr>
              <w:t>4,935</w:t>
            </w:r>
          </w:p>
        </w:tc>
        <w:tc>
          <w:tcPr>
            <w:tcW w:w="1170" w:type="dxa"/>
            <w:tcMar>
              <w:top w:w="30" w:type="dxa"/>
              <w:left w:w="45" w:type="dxa"/>
              <w:bottom w:w="30" w:type="dxa"/>
              <w:right w:w="45" w:type="dxa"/>
            </w:tcMar>
            <w:vAlign w:val="bottom"/>
            <w:hideMark/>
          </w:tcPr>
          <w:p w14:paraId="64239AA7" w14:textId="77777777" w:rsidR="00C44200" w:rsidRPr="00C44200" w:rsidRDefault="00C44200" w:rsidP="00C44200">
            <w:pPr>
              <w:spacing w:after="0" w:line="240" w:lineRule="auto"/>
              <w:jc w:val="right"/>
              <w:rPr>
                <w:rFonts w:ascii="Arial" w:eastAsia="Times New Roman" w:hAnsi="Arial" w:cs="Arial"/>
                <w:sz w:val="20"/>
                <w:szCs w:val="20"/>
              </w:rPr>
            </w:pPr>
            <w:r w:rsidRPr="00C44200">
              <w:rPr>
                <w:rFonts w:ascii="Arial" w:eastAsia="Times New Roman" w:hAnsi="Arial" w:cs="Arial"/>
                <w:sz w:val="20"/>
                <w:szCs w:val="20"/>
              </w:rPr>
              <w:t>4,795</w:t>
            </w:r>
          </w:p>
        </w:tc>
        <w:tc>
          <w:tcPr>
            <w:tcW w:w="1530" w:type="dxa"/>
            <w:tcMar>
              <w:top w:w="30" w:type="dxa"/>
              <w:left w:w="45" w:type="dxa"/>
              <w:bottom w:w="30" w:type="dxa"/>
              <w:right w:w="45" w:type="dxa"/>
            </w:tcMar>
            <w:vAlign w:val="bottom"/>
            <w:hideMark/>
          </w:tcPr>
          <w:p w14:paraId="44F0E072" w14:textId="77777777" w:rsidR="00C44200" w:rsidRPr="00C44200" w:rsidRDefault="00C44200" w:rsidP="00C44200">
            <w:pPr>
              <w:spacing w:after="0" w:line="240" w:lineRule="auto"/>
              <w:jc w:val="right"/>
              <w:rPr>
                <w:rFonts w:ascii="Arial" w:eastAsia="Times New Roman" w:hAnsi="Arial" w:cs="Arial"/>
                <w:sz w:val="20"/>
                <w:szCs w:val="20"/>
              </w:rPr>
            </w:pPr>
            <w:r w:rsidRPr="00C44200">
              <w:rPr>
                <w:rFonts w:ascii="Arial" w:eastAsia="Times New Roman" w:hAnsi="Arial" w:cs="Arial"/>
                <w:sz w:val="20"/>
                <w:szCs w:val="20"/>
              </w:rPr>
              <w:t>4,776</w:t>
            </w:r>
          </w:p>
        </w:tc>
      </w:tr>
      <w:tr w:rsidR="00C44200" w:rsidRPr="00C44200" w14:paraId="1BCDCE95" w14:textId="77777777" w:rsidTr="00C44200">
        <w:trPr>
          <w:trHeight w:val="315"/>
        </w:trPr>
        <w:tc>
          <w:tcPr>
            <w:tcW w:w="0" w:type="auto"/>
            <w:tcMar>
              <w:top w:w="30" w:type="dxa"/>
              <w:left w:w="45" w:type="dxa"/>
              <w:bottom w:w="30" w:type="dxa"/>
              <w:right w:w="45" w:type="dxa"/>
            </w:tcMar>
            <w:vAlign w:val="bottom"/>
            <w:hideMark/>
          </w:tcPr>
          <w:p w14:paraId="7A7ABE9B" w14:textId="77777777" w:rsidR="00C44200" w:rsidRPr="00C44200" w:rsidRDefault="00C44200" w:rsidP="00C44200">
            <w:pPr>
              <w:spacing w:after="0" w:line="240" w:lineRule="auto"/>
              <w:jc w:val="left"/>
              <w:rPr>
                <w:rFonts w:ascii="Arial" w:eastAsia="Times New Roman" w:hAnsi="Arial" w:cs="Arial"/>
                <w:b/>
                <w:sz w:val="20"/>
                <w:szCs w:val="20"/>
              </w:rPr>
            </w:pPr>
            <w:r w:rsidRPr="00C44200">
              <w:rPr>
                <w:rFonts w:ascii="Arial" w:eastAsia="Times New Roman" w:hAnsi="Arial" w:cs="Arial"/>
                <w:b/>
                <w:sz w:val="20"/>
                <w:szCs w:val="20"/>
              </w:rPr>
              <w:t>Operating Profit (EBIT)</w:t>
            </w:r>
          </w:p>
        </w:tc>
        <w:tc>
          <w:tcPr>
            <w:tcW w:w="1852" w:type="dxa"/>
            <w:tcMar>
              <w:top w:w="30" w:type="dxa"/>
              <w:left w:w="45" w:type="dxa"/>
              <w:bottom w:w="30" w:type="dxa"/>
              <w:right w:w="45" w:type="dxa"/>
            </w:tcMar>
            <w:vAlign w:val="bottom"/>
            <w:hideMark/>
          </w:tcPr>
          <w:p w14:paraId="51EF2DDA" w14:textId="77777777" w:rsidR="00C44200" w:rsidRPr="00C44200" w:rsidRDefault="00C44200" w:rsidP="00C44200">
            <w:pPr>
              <w:spacing w:after="0" w:line="240" w:lineRule="auto"/>
              <w:jc w:val="right"/>
              <w:rPr>
                <w:rFonts w:ascii="Arial" w:eastAsia="Times New Roman" w:hAnsi="Arial" w:cs="Arial"/>
                <w:sz w:val="20"/>
                <w:szCs w:val="20"/>
              </w:rPr>
            </w:pPr>
            <w:r w:rsidRPr="00C44200">
              <w:rPr>
                <w:rFonts w:ascii="Arial" w:eastAsia="Times New Roman" w:hAnsi="Arial" w:cs="Arial"/>
                <w:sz w:val="20"/>
                <w:szCs w:val="20"/>
              </w:rPr>
              <w:t>283</w:t>
            </w:r>
          </w:p>
        </w:tc>
        <w:tc>
          <w:tcPr>
            <w:tcW w:w="990" w:type="dxa"/>
            <w:tcMar>
              <w:top w:w="30" w:type="dxa"/>
              <w:left w:w="45" w:type="dxa"/>
              <w:bottom w:w="30" w:type="dxa"/>
              <w:right w:w="45" w:type="dxa"/>
            </w:tcMar>
            <w:vAlign w:val="bottom"/>
            <w:hideMark/>
          </w:tcPr>
          <w:p w14:paraId="5FBEF376" w14:textId="77777777" w:rsidR="00C44200" w:rsidRPr="00C44200" w:rsidRDefault="00C44200" w:rsidP="00C44200">
            <w:pPr>
              <w:spacing w:after="0" w:line="240" w:lineRule="auto"/>
              <w:jc w:val="right"/>
              <w:rPr>
                <w:rFonts w:ascii="Arial" w:eastAsia="Times New Roman" w:hAnsi="Arial" w:cs="Arial"/>
                <w:sz w:val="20"/>
                <w:szCs w:val="20"/>
              </w:rPr>
            </w:pPr>
            <w:r w:rsidRPr="00C44200">
              <w:rPr>
                <w:rFonts w:ascii="Arial" w:eastAsia="Times New Roman" w:hAnsi="Arial" w:cs="Arial"/>
                <w:sz w:val="20"/>
                <w:szCs w:val="20"/>
              </w:rPr>
              <w:t>916</w:t>
            </w:r>
          </w:p>
        </w:tc>
        <w:tc>
          <w:tcPr>
            <w:tcW w:w="1440" w:type="dxa"/>
            <w:tcMar>
              <w:top w:w="30" w:type="dxa"/>
              <w:left w:w="45" w:type="dxa"/>
              <w:bottom w:w="30" w:type="dxa"/>
              <w:right w:w="45" w:type="dxa"/>
            </w:tcMar>
            <w:vAlign w:val="bottom"/>
            <w:hideMark/>
          </w:tcPr>
          <w:p w14:paraId="3B8EEBF4" w14:textId="77777777" w:rsidR="00C44200" w:rsidRPr="00C44200" w:rsidRDefault="00C44200" w:rsidP="00C44200">
            <w:pPr>
              <w:spacing w:after="0" w:line="240" w:lineRule="auto"/>
              <w:jc w:val="right"/>
              <w:rPr>
                <w:rFonts w:ascii="Arial" w:eastAsia="Times New Roman" w:hAnsi="Arial" w:cs="Arial"/>
                <w:sz w:val="20"/>
                <w:szCs w:val="20"/>
              </w:rPr>
            </w:pPr>
            <w:r w:rsidRPr="00C44200">
              <w:rPr>
                <w:rFonts w:ascii="Arial" w:eastAsia="Times New Roman" w:hAnsi="Arial" w:cs="Arial"/>
                <w:sz w:val="20"/>
                <w:szCs w:val="20"/>
              </w:rPr>
              <w:t>1,144</w:t>
            </w:r>
          </w:p>
        </w:tc>
        <w:tc>
          <w:tcPr>
            <w:tcW w:w="1170" w:type="dxa"/>
            <w:tcMar>
              <w:top w:w="30" w:type="dxa"/>
              <w:left w:w="45" w:type="dxa"/>
              <w:bottom w:w="30" w:type="dxa"/>
              <w:right w:w="45" w:type="dxa"/>
            </w:tcMar>
            <w:vAlign w:val="bottom"/>
            <w:hideMark/>
          </w:tcPr>
          <w:p w14:paraId="74FED3AB" w14:textId="77777777" w:rsidR="00C44200" w:rsidRPr="00C44200" w:rsidRDefault="00C44200" w:rsidP="00C44200">
            <w:pPr>
              <w:spacing w:after="0" w:line="240" w:lineRule="auto"/>
              <w:jc w:val="right"/>
              <w:rPr>
                <w:rFonts w:ascii="Arial" w:eastAsia="Times New Roman" w:hAnsi="Arial" w:cs="Arial"/>
                <w:sz w:val="20"/>
                <w:szCs w:val="20"/>
              </w:rPr>
            </w:pPr>
            <w:r w:rsidRPr="00C44200">
              <w:rPr>
                <w:rFonts w:ascii="Arial" w:eastAsia="Times New Roman" w:hAnsi="Arial" w:cs="Arial"/>
                <w:sz w:val="20"/>
                <w:szCs w:val="20"/>
              </w:rPr>
              <w:t>723</w:t>
            </w:r>
          </w:p>
        </w:tc>
        <w:tc>
          <w:tcPr>
            <w:tcW w:w="1530" w:type="dxa"/>
            <w:tcMar>
              <w:top w:w="30" w:type="dxa"/>
              <w:left w:w="45" w:type="dxa"/>
              <w:bottom w:w="30" w:type="dxa"/>
              <w:right w:w="45" w:type="dxa"/>
            </w:tcMar>
            <w:vAlign w:val="bottom"/>
            <w:hideMark/>
          </w:tcPr>
          <w:p w14:paraId="6F0B33C4" w14:textId="77777777" w:rsidR="00C44200" w:rsidRPr="00C44200" w:rsidRDefault="00C44200" w:rsidP="00C44200">
            <w:pPr>
              <w:spacing w:after="0" w:line="240" w:lineRule="auto"/>
              <w:jc w:val="right"/>
              <w:rPr>
                <w:rFonts w:ascii="Arial" w:eastAsia="Times New Roman" w:hAnsi="Arial" w:cs="Arial"/>
                <w:sz w:val="20"/>
                <w:szCs w:val="20"/>
              </w:rPr>
            </w:pPr>
            <w:r w:rsidRPr="00C44200">
              <w:rPr>
                <w:rFonts w:ascii="Arial" w:eastAsia="Times New Roman" w:hAnsi="Arial" w:cs="Arial"/>
                <w:sz w:val="20"/>
                <w:szCs w:val="20"/>
              </w:rPr>
              <w:t>580</w:t>
            </w:r>
          </w:p>
        </w:tc>
      </w:tr>
      <w:tr w:rsidR="00C44200" w:rsidRPr="00C44200" w14:paraId="458A1E8B" w14:textId="77777777" w:rsidTr="00C44200">
        <w:trPr>
          <w:trHeight w:val="315"/>
        </w:trPr>
        <w:tc>
          <w:tcPr>
            <w:tcW w:w="0" w:type="auto"/>
            <w:tcMar>
              <w:top w:w="30" w:type="dxa"/>
              <w:left w:w="45" w:type="dxa"/>
              <w:bottom w:w="30" w:type="dxa"/>
              <w:right w:w="45" w:type="dxa"/>
            </w:tcMar>
            <w:vAlign w:val="bottom"/>
            <w:hideMark/>
          </w:tcPr>
          <w:p w14:paraId="417ADEA7" w14:textId="77777777" w:rsidR="00C44200" w:rsidRPr="00C44200" w:rsidRDefault="00C44200" w:rsidP="00C44200">
            <w:pPr>
              <w:spacing w:after="0" w:line="240" w:lineRule="auto"/>
              <w:jc w:val="left"/>
              <w:rPr>
                <w:rFonts w:ascii="Arial" w:eastAsia="Times New Roman" w:hAnsi="Arial" w:cs="Arial"/>
                <w:b/>
                <w:sz w:val="20"/>
                <w:szCs w:val="20"/>
              </w:rPr>
            </w:pPr>
            <w:r w:rsidRPr="00C44200">
              <w:rPr>
                <w:rFonts w:ascii="Arial" w:eastAsia="Times New Roman" w:hAnsi="Arial" w:cs="Arial"/>
                <w:b/>
                <w:sz w:val="20"/>
                <w:szCs w:val="20"/>
              </w:rPr>
              <w:t>Net Profit</w:t>
            </w:r>
          </w:p>
        </w:tc>
        <w:tc>
          <w:tcPr>
            <w:tcW w:w="1852" w:type="dxa"/>
            <w:tcMar>
              <w:top w:w="30" w:type="dxa"/>
              <w:left w:w="45" w:type="dxa"/>
              <w:bottom w:w="30" w:type="dxa"/>
              <w:right w:w="45" w:type="dxa"/>
            </w:tcMar>
            <w:vAlign w:val="bottom"/>
            <w:hideMark/>
          </w:tcPr>
          <w:p w14:paraId="21BC932C" w14:textId="77777777" w:rsidR="00C44200" w:rsidRPr="00C44200" w:rsidRDefault="00C44200" w:rsidP="00C44200">
            <w:pPr>
              <w:spacing w:after="0" w:line="240" w:lineRule="auto"/>
              <w:jc w:val="right"/>
              <w:rPr>
                <w:rFonts w:ascii="Arial" w:eastAsia="Times New Roman" w:hAnsi="Arial" w:cs="Arial"/>
                <w:sz w:val="20"/>
                <w:szCs w:val="20"/>
              </w:rPr>
            </w:pPr>
            <w:r w:rsidRPr="00C44200">
              <w:rPr>
                <w:rFonts w:ascii="Arial" w:eastAsia="Times New Roman" w:hAnsi="Arial" w:cs="Arial"/>
                <w:sz w:val="20"/>
                <w:szCs w:val="20"/>
              </w:rPr>
              <w:t>8</w:t>
            </w:r>
          </w:p>
        </w:tc>
        <w:tc>
          <w:tcPr>
            <w:tcW w:w="990" w:type="dxa"/>
            <w:tcMar>
              <w:top w:w="30" w:type="dxa"/>
              <w:left w:w="45" w:type="dxa"/>
              <w:bottom w:w="30" w:type="dxa"/>
              <w:right w:w="45" w:type="dxa"/>
            </w:tcMar>
            <w:vAlign w:val="bottom"/>
            <w:hideMark/>
          </w:tcPr>
          <w:p w14:paraId="5A66C50B" w14:textId="77777777" w:rsidR="00C44200" w:rsidRPr="00C44200" w:rsidRDefault="00C44200" w:rsidP="00C44200">
            <w:pPr>
              <w:spacing w:after="0" w:line="240" w:lineRule="auto"/>
              <w:jc w:val="right"/>
              <w:rPr>
                <w:rFonts w:ascii="Arial" w:eastAsia="Times New Roman" w:hAnsi="Arial" w:cs="Arial"/>
                <w:sz w:val="20"/>
                <w:szCs w:val="20"/>
              </w:rPr>
            </w:pPr>
            <w:r w:rsidRPr="00C44200">
              <w:rPr>
                <w:rFonts w:ascii="Arial" w:eastAsia="Times New Roman" w:hAnsi="Arial" w:cs="Arial"/>
                <w:sz w:val="20"/>
                <w:szCs w:val="20"/>
              </w:rPr>
              <w:t>592</w:t>
            </w:r>
          </w:p>
        </w:tc>
        <w:tc>
          <w:tcPr>
            <w:tcW w:w="1440" w:type="dxa"/>
            <w:tcMar>
              <w:top w:w="30" w:type="dxa"/>
              <w:left w:w="45" w:type="dxa"/>
              <w:bottom w:w="30" w:type="dxa"/>
              <w:right w:w="45" w:type="dxa"/>
            </w:tcMar>
            <w:vAlign w:val="bottom"/>
            <w:hideMark/>
          </w:tcPr>
          <w:p w14:paraId="33A20A78" w14:textId="77777777" w:rsidR="00C44200" w:rsidRPr="00C44200" w:rsidRDefault="00C44200" w:rsidP="00C44200">
            <w:pPr>
              <w:spacing w:after="0" w:line="240" w:lineRule="auto"/>
              <w:jc w:val="right"/>
              <w:rPr>
                <w:rFonts w:ascii="Arial" w:eastAsia="Times New Roman" w:hAnsi="Arial" w:cs="Arial"/>
                <w:sz w:val="20"/>
                <w:szCs w:val="20"/>
              </w:rPr>
            </w:pPr>
            <w:r w:rsidRPr="00C44200">
              <w:rPr>
                <w:rFonts w:ascii="Arial" w:eastAsia="Times New Roman" w:hAnsi="Arial" w:cs="Arial"/>
                <w:sz w:val="20"/>
                <w:szCs w:val="20"/>
              </w:rPr>
              <w:t>843</w:t>
            </w:r>
          </w:p>
        </w:tc>
        <w:tc>
          <w:tcPr>
            <w:tcW w:w="1170" w:type="dxa"/>
            <w:tcMar>
              <w:top w:w="30" w:type="dxa"/>
              <w:left w:w="45" w:type="dxa"/>
              <w:bottom w:w="30" w:type="dxa"/>
              <w:right w:w="45" w:type="dxa"/>
            </w:tcMar>
            <w:vAlign w:val="bottom"/>
            <w:hideMark/>
          </w:tcPr>
          <w:p w14:paraId="6A785E68" w14:textId="77777777" w:rsidR="00C44200" w:rsidRPr="00C44200" w:rsidRDefault="00C44200" w:rsidP="00C44200">
            <w:pPr>
              <w:spacing w:after="0" w:line="240" w:lineRule="auto"/>
              <w:jc w:val="right"/>
              <w:rPr>
                <w:rFonts w:ascii="Arial" w:eastAsia="Times New Roman" w:hAnsi="Arial" w:cs="Arial"/>
                <w:sz w:val="20"/>
                <w:szCs w:val="20"/>
              </w:rPr>
            </w:pPr>
            <w:r w:rsidRPr="00C44200">
              <w:rPr>
                <w:rFonts w:ascii="Arial" w:eastAsia="Times New Roman" w:hAnsi="Arial" w:cs="Arial"/>
                <w:sz w:val="20"/>
                <w:szCs w:val="20"/>
              </w:rPr>
              <w:t>471</w:t>
            </w:r>
          </w:p>
        </w:tc>
        <w:tc>
          <w:tcPr>
            <w:tcW w:w="1530" w:type="dxa"/>
            <w:tcMar>
              <w:top w:w="30" w:type="dxa"/>
              <w:left w:w="45" w:type="dxa"/>
              <w:bottom w:w="30" w:type="dxa"/>
              <w:right w:w="45" w:type="dxa"/>
            </w:tcMar>
            <w:vAlign w:val="bottom"/>
            <w:hideMark/>
          </w:tcPr>
          <w:p w14:paraId="26CA9A31" w14:textId="77777777" w:rsidR="00C44200" w:rsidRPr="00C44200" w:rsidRDefault="00C44200" w:rsidP="00C44200">
            <w:pPr>
              <w:spacing w:after="0" w:line="240" w:lineRule="auto"/>
              <w:jc w:val="right"/>
              <w:rPr>
                <w:rFonts w:ascii="Arial" w:eastAsia="Times New Roman" w:hAnsi="Arial" w:cs="Arial"/>
                <w:sz w:val="20"/>
                <w:szCs w:val="20"/>
              </w:rPr>
            </w:pPr>
            <w:r w:rsidRPr="00C44200">
              <w:rPr>
                <w:rFonts w:ascii="Arial" w:eastAsia="Times New Roman" w:hAnsi="Arial" w:cs="Arial"/>
                <w:sz w:val="20"/>
                <w:szCs w:val="20"/>
              </w:rPr>
              <w:t>345</w:t>
            </w:r>
          </w:p>
        </w:tc>
      </w:tr>
      <w:tr w:rsidR="00C44200" w:rsidRPr="00C44200" w14:paraId="551AC716" w14:textId="77777777" w:rsidTr="00C44200">
        <w:trPr>
          <w:trHeight w:val="315"/>
        </w:trPr>
        <w:tc>
          <w:tcPr>
            <w:tcW w:w="0" w:type="auto"/>
            <w:tcMar>
              <w:top w:w="30" w:type="dxa"/>
              <w:left w:w="45" w:type="dxa"/>
              <w:bottom w:w="30" w:type="dxa"/>
              <w:right w:w="45" w:type="dxa"/>
            </w:tcMar>
            <w:vAlign w:val="bottom"/>
            <w:hideMark/>
          </w:tcPr>
          <w:p w14:paraId="5EC2A50B" w14:textId="77777777" w:rsidR="00C44200" w:rsidRPr="00C44200" w:rsidRDefault="00C44200" w:rsidP="00C44200">
            <w:pPr>
              <w:spacing w:after="0" w:line="240" w:lineRule="auto"/>
              <w:jc w:val="left"/>
              <w:rPr>
                <w:rFonts w:ascii="Arial" w:eastAsia="Times New Roman" w:hAnsi="Arial" w:cs="Arial"/>
                <w:b/>
                <w:sz w:val="20"/>
                <w:szCs w:val="20"/>
              </w:rPr>
            </w:pPr>
          </w:p>
        </w:tc>
        <w:tc>
          <w:tcPr>
            <w:tcW w:w="1852" w:type="dxa"/>
            <w:tcMar>
              <w:top w:w="30" w:type="dxa"/>
              <w:left w:w="45" w:type="dxa"/>
              <w:bottom w:w="30" w:type="dxa"/>
              <w:right w:w="45" w:type="dxa"/>
            </w:tcMar>
            <w:vAlign w:val="bottom"/>
            <w:hideMark/>
          </w:tcPr>
          <w:p w14:paraId="6C427C12" w14:textId="77777777" w:rsidR="00C44200" w:rsidRPr="00C44200" w:rsidRDefault="00C44200" w:rsidP="00C44200">
            <w:pPr>
              <w:spacing w:after="0" w:line="240" w:lineRule="auto"/>
              <w:jc w:val="left"/>
              <w:rPr>
                <w:rFonts w:ascii="Arial" w:eastAsia="Times New Roman" w:hAnsi="Arial" w:cs="Arial"/>
                <w:sz w:val="20"/>
                <w:szCs w:val="20"/>
              </w:rPr>
            </w:pPr>
          </w:p>
        </w:tc>
        <w:tc>
          <w:tcPr>
            <w:tcW w:w="990" w:type="dxa"/>
            <w:tcMar>
              <w:top w:w="30" w:type="dxa"/>
              <w:left w:w="45" w:type="dxa"/>
              <w:bottom w:w="30" w:type="dxa"/>
              <w:right w:w="45" w:type="dxa"/>
            </w:tcMar>
            <w:vAlign w:val="bottom"/>
            <w:hideMark/>
          </w:tcPr>
          <w:p w14:paraId="4D9EC004" w14:textId="77777777" w:rsidR="00C44200" w:rsidRPr="00C44200" w:rsidRDefault="00C44200" w:rsidP="00C44200">
            <w:pPr>
              <w:spacing w:after="0" w:line="240" w:lineRule="auto"/>
              <w:jc w:val="left"/>
              <w:rPr>
                <w:rFonts w:ascii="Arial" w:eastAsia="Times New Roman" w:hAnsi="Arial" w:cs="Arial"/>
                <w:sz w:val="20"/>
                <w:szCs w:val="20"/>
              </w:rPr>
            </w:pPr>
          </w:p>
        </w:tc>
        <w:tc>
          <w:tcPr>
            <w:tcW w:w="1440" w:type="dxa"/>
            <w:tcMar>
              <w:top w:w="30" w:type="dxa"/>
              <w:left w:w="45" w:type="dxa"/>
              <w:bottom w:w="30" w:type="dxa"/>
              <w:right w:w="45" w:type="dxa"/>
            </w:tcMar>
            <w:vAlign w:val="bottom"/>
            <w:hideMark/>
          </w:tcPr>
          <w:p w14:paraId="5E392E7F" w14:textId="77777777" w:rsidR="00C44200" w:rsidRPr="00C44200" w:rsidRDefault="00C44200" w:rsidP="00C44200">
            <w:pPr>
              <w:spacing w:after="0" w:line="240" w:lineRule="auto"/>
              <w:jc w:val="left"/>
              <w:rPr>
                <w:rFonts w:ascii="Arial" w:eastAsia="Times New Roman" w:hAnsi="Arial" w:cs="Arial"/>
                <w:sz w:val="20"/>
                <w:szCs w:val="20"/>
              </w:rPr>
            </w:pPr>
          </w:p>
        </w:tc>
        <w:tc>
          <w:tcPr>
            <w:tcW w:w="1170" w:type="dxa"/>
            <w:tcMar>
              <w:top w:w="30" w:type="dxa"/>
              <w:left w:w="45" w:type="dxa"/>
              <w:bottom w:w="30" w:type="dxa"/>
              <w:right w:w="45" w:type="dxa"/>
            </w:tcMar>
            <w:vAlign w:val="bottom"/>
            <w:hideMark/>
          </w:tcPr>
          <w:p w14:paraId="52B99E32" w14:textId="77777777" w:rsidR="00C44200" w:rsidRPr="00C44200" w:rsidRDefault="00C44200" w:rsidP="00C44200">
            <w:pPr>
              <w:spacing w:after="0" w:line="240" w:lineRule="auto"/>
              <w:jc w:val="left"/>
              <w:rPr>
                <w:rFonts w:ascii="Arial" w:eastAsia="Times New Roman" w:hAnsi="Arial" w:cs="Arial"/>
                <w:sz w:val="20"/>
                <w:szCs w:val="20"/>
              </w:rPr>
            </w:pPr>
          </w:p>
        </w:tc>
        <w:tc>
          <w:tcPr>
            <w:tcW w:w="1530" w:type="dxa"/>
            <w:tcMar>
              <w:top w:w="30" w:type="dxa"/>
              <w:left w:w="45" w:type="dxa"/>
              <w:bottom w:w="30" w:type="dxa"/>
              <w:right w:w="45" w:type="dxa"/>
            </w:tcMar>
            <w:vAlign w:val="bottom"/>
            <w:hideMark/>
          </w:tcPr>
          <w:p w14:paraId="35F6B8C2" w14:textId="77777777" w:rsidR="00C44200" w:rsidRPr="00C44200" w:rsidRDefault="00C44200" w:rsidP="00C44200">
            <w:pPr>
              <w:spacing w:after="0" w:line="240" w:lineRule="auto"/>
              <w:jc w:val="left"/>
              <w:rPr>
                <w:rFonts w:ascii="Arial" w:eastAsia="Times New Roman" w:hAnsi="Arial" w:cs="Arial"/>
                <w:sz w:val="20"/>
                <w:szCs w:val="20"/>
              </w:rPr>
            </w:pPr>
          </w:p>
        </w:tc>
      </w:tr>
      <w:tr w:rsidR="00C44200" w:rsidRPr="00C44200" w14:paraId="127B4535" w14:textId="77777777" w:rsidTr="00C44200">
        <w:trPr>
          <w:trHeight w:val="315"/>
        </w:trPr>
        <w:tc>
          <w:tcPr>
            <w:tcW w:w="0" w:type="auto"/>
            <w:tcMar>
              <w:top w:w="30" w:type="dxa"/>
              <w:left w:w="45" w:type="dxa"/>
              <w:bottom w:w="30" w:type="dxa"/>
              <w:right w:w="45" w:type="dxa"/>
            </w:tcMar>
            <w:vAlign w:val="bottom"/>
            <w:hideMark/>
          </w:tcPr>
          <w:p w14:paraId="7F54844F" w14:textId="77777777" w:rsidR="00C44200" w:rsidRPr="00C44200" w:rsidRDefault="00C44200" w:rsidP="00C44200">
            <w:pPr>
              <w:spacing w:after="0" w:line="240" w:lineRule="auto"/>
              <w:jc w:val="left"/>
              <w:rPr>
                <w:rFonts w:ascii="Arial" w:eastAsia="Times New Roman" w:hAnsi="Arial" w:cs="Arial"/>
                <w:b/>
                <w:sz w:val="20"/>
                <w:szCs w:val="20"/>
              </w:rPr>
            </w:pPr>
            <w:r w:rsidRPr="00C44200">
              <w:rPr>
                <w:rFonts w:ascii="Arial" w:eastAsia="Times New Roman" w:hAnsi="Arial" w:cs="Arial"/>
                <w:b/>
                <w:sz w:val="20"/>
                <w:szCs w:val="20"/>
              </w:rPr>
              <w:t>Current Assets</w:t>
            </w:r>
          </w:p>
        </w:tc>
        <w:tc>
          <w:tcPr>
            <w:tcW w:w="1852" w:type="dxa"/>
            <w:tcMar>
              <w:top w:w="30" w:type="dxa"/>
              <w:left w:w="45" w:type="dxa"/>
              <w:bottom w:w="30" w:type="dxa"/>
              <w:right w:w="45" w:type="dxa"/>
            </w:tcMar>
            <w:vAlign w:val="bottom"/>
            <w:hideMark/>
          </w:tcPr>
          <w:p w14:paraId="6864CB6D" w14:textId="77777777" w:rsidR="00C44200" w:rsidRPr="00C44200" w:rsidRDefault="00C44200" w:rsidP="00C44200">
            <w:pPr>
              <w:spacing w:after="0" w:line="240" w:lineRule="auto"/>
              <w:jc w:val="right"/>
              <w:rPr>
                <w:rFonts w:ascii="Arial" w:eastAsia="Times New Roman" w:hAnsi="Arial" w:cs="Arial"/>
                <w:sz w:val="20"/>
                <w:szCs w:val="20"/>
              </w:rPr>
            </w:pPr>
            <w:r w:rsidRPr="00C44200">
              <w:rPr>
                <w:rFonts w:ascii="Arial" w:eastAsia="Times New Roman" w:hAnsi="Arial" w:cs="Arial"/>
                <w:sz w:val="20"/>
                <w:szCs w:val="20"/>
              </w:rPr>
              <w:t>3,186</w:t>
            </w:r>
          </w:p>
        </w:tc>
        <w:tc>
          <w:tcPr>
            <w:tcW w:w="990" w:type="dxa"/>
            <w:tcMar>
              <w:top w:w="30" w:type="dxa"/>
              <w:left w:w="45" w:type="dxa"/>
              <w:bottom w:w="30" w:type="dxa"/>
              <w:right w:w="45" w:type="dxa"/>
            </w:tcMar>
            <w:vAlign w:val="bottom"/>
            <w:hideMark/>
          </w:tcPr>
          <w:p w14:paraId="7DDCF0AE" w14:textId="77777777" w:rsidR="00C44200" w:rsidRPr="00C44200" w:rsidRDefault="00C44200" w:rsidP="00C44200">
            <w:pPr>
              <w:spacing w:after="0" w:line="240" w:lineRule="auto"/>
              <w:jc w:val="right"/>
              <w:rPr>
                <w:rFonts w:ascii="Arial" w:eastAsia="Times New Roman" w:hAnsi="Arial" w:cs="Arial"/>
                <w:sz w:val="20"/>
                <w:szCs w:val="20"/>
              </w:rPr>
            </w:pPr>
            <w:r w:rsidRPr="00C44200">
              <w:rPr>
                <w:rFonts w:ascii="Arial" w:eastAsia="Times New Roman" w:hAnsi="Arial" w:cs="Arial"/>
                <w:sz w:val="20"/>
                <w:szCs w:val="20"/>
              </w:rPr>
              <w:t>3,957</w:t>
            </w:r>
          </w:p>
        </w:tc>
        <w:tc>
          <w:tcPr>
            <w:tcW w:w="1440" w:type="dxa"/>
            <w:tcMar>
              <w:top w:w="30" w:type="dxa"/>
              <w:left w:w="45" w:type="dxa"/>
              <w:bottom w:w="30" w:type="dxa"/>
              <w:right w:w="45" w:type="dxa"/>
            </w:tcMar>
            <w:vAlign w:val="bottom"/>
            <w:hideMark/>
          </w:tcPr>
          <w:p w14:paraId="200A4C7B" w14:textId="77777777" w:rsidR="00C44200" w:rsidRPr="00C44200" w:rsidRDefault="00C44200" w:rsidP="00C44200">
            <w:pPr>
              <w:spacing w:after="0" w:line="240" w:lineRule="auto"/>
              <w:jc w:val="right"/>
              <w:rPr>
                <w:rFonts w:ascii="Arial" w:eastAsia="Times New Roman" w:hAnsi="Arial" w:cs="Arial"/>
                <w:sz w:val="20"/>
                <w:szCs w:val="20"/>
              </w:rPr>
            </w:pPr>
            <w:r w:rsidRPr="00C44200">
              <w:rPr>
                <w:rFonts w:ascii="Arial" w:eastAsia="Times New Roman" w:hAnsi="Arial" w:cs="Arial"/>
                <w:sz w:val="20"/>
                <w:szCs w:val="20"/>
              </w:rPr>
              <w:t>3,948</w:t>
            </w:r>
          </w:p>
        </w:tc>
        <w:tc>
          <w:tcPr>
            <w:tcW w:w="1170" w:type="dxa"/>
            <w:tcMar>
              <w:top w:w="30" w:type="dxa"/>
              <w:left w:w="45" w:type="dxa"/>
              <w:bottom w:w="30" w:type="dxa"/>
              <w:right w:w="45" w:type="dxa"/>
            </w:tcMar>
            <w:vAlign w:val="bottom"/>
            <w:hideMark/>
          </w:tcPr>
          <w:p w14:paraId="4624DB88" w14:textId="77777777" w:rsidR="00C44200" w:rsidRPr="00C44200" w:rsidRDefault="00C44200" w:rsidP="00C44200">
            <w:pPr>
              <w:spacing w:after="0" w:line="240" w:lineRule="auto"/>
              <w:jc w:val="right"/>
              <w:rPr>
                <w:rFonts w:ascii="Arial" w:eastAsia="Times New Roman" w:hAnsi="Arial" w:cs="Arial"/>
                <w:sz w:val="20"/>
                <w:szCs w:val="20"/>
              </w:rPr>
            </w:pPr>
            <w:r w:rsidRPr="00C44200">
              <w:rPr>
                <w:rFonts w:ascii="Arial" w:eastAsia="Times New Roman" w:hAnsi="Arial" w:cs="Arial"/>
                <w:sz w:val="20"/>
                <w:szCs w:val="20"/>
              </w:rPr>
              <w:t>3,762</w:t>
            </w:r>
          </w:p>
        </w:tc>
        <w:tc>
          <w:tcPr>
            <w:tcW w:w="1530" w:type="dxa"/>
            <w:tcMar>
              <w:top w:w="30" w:type="dxa"/>
              <w:left w:w="45" w:type="dxa"/>
              <w:bottom w:w="30" w:type="dxa"/>
              <w:right w:w="45" w:type="dxa"/>
            </w:tcMar>
            <w:vAlign w:val="bottom"/>
            <w:hideMark/>
          </w:tcPr>
          <w:p w14:paraId="0F06C9E0" w14:textId="77777777" w:rsidR="00C44200" w:rsidRPr="00C44200" w:rsidRDefault="00C44200" w:rsidP="00C44200">
            <w:pPr>
              <w:spacing w:after="0" w:line="240" w:lineRule="auto"/>
              <w:jc w:val="right"/>
              <w:rPr>
                <w:rFonts w:ascii="Arial" w:eastAsia="Times New Roman" w:hAnsi="Arial" w:cs="Arial"/>
                <w:sz w:val="20"/>
                <w:szCs w:val="20"/>
              </w:rPr>
            </w:pPr>
            <w:r w:rsidRPr="00C44200">
              <w:rPr>
                <w:rFonts w:ascii="Arial" w:eastAsia="Times New Roman" w:hAnsi="Arial" w:cs="Arial"/>
                <w:sz w:val="20"/>
                <w:szCs w:val="20"/>
              </w:rPr>
              <w:t>3,696</w:t>
            </w:r>
          </w:p>
        </w:tc>
      </w:tr>
      <w:tr w:rsidR="00C44200" w:rsidRPr="00C44200" w14:paraId="130BA10F" w14:textId="77777777" w:rsidTr="00C44200">
        <w:trPr>
          <w:trHeight w:val="315"/>
        </w:trPr>
        <w:tc>
          <w:tcPr>
            <w:tcW w:w="0" w:type="auto"/>
            <w:tcMar>
              <w:top w:w="30" w:type="dxa"/>
              <w:left w:w="45" w:type="dxa"/>
              <w:bottom w:w="30" w:type="dxa"/>
              <w:right w:w="45" w:type="dxa"/>
            </w:tcMar>
            <w:vAlign w:val="bottom"/>
            <w:hideMark/>
          </w:tcPr>
          <w:p w14:paraId="1E1AC9E3" w14:textId="77777777" w:rsidR="00C44200" w:rsidRPr="00C44200" w:rsidRDefault="00C44200" w:rsidP="00C44200">
            <w:pPr>
              <w:spacing w:after="0" w:line="240" w:lineRule="auto"/>
              <w:jc w:val="left"/>
              <w:rPr>
                <w:rFonts w:ascii="Arial" w:eastAsia="Times New Roman" w:hAnsi="Arial" w:cs="Arial"/>
                <w:b/>
                <w:sz w:val="20"/>
                <w:szCs w:val="20"/>
              </w:rPr>
            </w:pPr>
            <w:r w:rsidRPr="00C44200">
              <w:rPr>
                <w:rFonts w:ascii="Arial" w:eastAsia="Times New Roman" w:hAnsi="Arial" w:cs="Arial"/>
                <w:b/>
                <w:sz w:val="20"/>
                <w:szCs w:val="20"/>
              </w:rPr>
              <w:t>Current Liabilities</w:t>
            </w:r>
          </w:p>
        </w:tc>
        <w:tc>
          <w:tcPr>
            <w:tcW w:w="1852" w:type="dxa"/>
            <w:tcMar>
              <w:top w:w="30" w:type="dxa"/>
              <w:left w:w="45" w:type="dxa"/>
              <w:bottom w:w="30" w:type="dxa"/>
              <w:right w:w="45" w:type="dxa"/>
            </w:tcMar>
            <w:vAlign w:val="bottom"/>
            <w:hideMark/>
          </w:tcPr>
          <w:p w14:paraId="04BFD5D2" w14:textId="77777777" w:rsidR="00C44200" w:rsidRPr="00C44200" w:rsidRDefault="00C44200" w:rsidP="00C44200">
            <w:pPr>
              <w:spacing w:after="0" w:line="240" w:lineRule="auto"/>
              <w:jc w:val="right"/>
              <w:rPr>
                <w:rFonts w:ascii="Arial" w:eastAsia="Times New Roman" w:hAnsi="Arial" w:cs="Arial"/>
                <w:sz w:val="20"/>
                <w:szCs w:val="20"/>
              </w:rPr>
            </w:pPr>
            <w:r w:rsidRPr="00C44200">
              <w:rPr>
                <w:rFonts w:ascii="Arial" w:eastAsia="Times New Roman" w:hAnsi="Arial" w:cs="Arial"/>
                <w:sz w:val="20"/>
                <w:szCs w:val="20"/>
              </w:rPr>
              <w:t>2,833</w:t>
            </w:r>
          </w:p>
        </w:tc>
        <w:tc>
          <w:tcPr>
            <w:tcW w:w="990" w:type="dxa"/>
            <w:tcMar>
              <w:top w:w="30" w:type="dxa"/>
              <w:left w:w="45" w:type="dxa"/>
              <w:bottom w:w="30" w:type="dxa"/>
              <w:right w:w="45" w:type="dxa"/>
            </w:tcMar>
            <w:vAlign w:val="bottom"/>
            <w:hideMark/>
          </w:tcPr>
          <w:p w14:paraId="4E7A9049" w14:textId="77777777" w:rsidR="00C44200" w:rsidRPr="00C44200" w:rsidRDefault="00C44200" w:rsidP="00C44200">
            <w:pPr>
              <w:spacing w:after="0" w:line="240" w:lineRule="auto"/>
              <w:jc w:val="right"/>
              <w:rPr>
                <w:rFonts w:ascii="Arial" w:eastAsia="Times New Roman" w:hAnsi="Arial" w:cs="Arial"/>
                <w:sz w:val="20"/>
                <w:szCs w:val="20"/>
              </w:rPr>
            </w:pPr>
            <w:r w:rsidRPr="00C44200">
              <w:rPr>
                <w:rFonts w:ascii="Arial" w:eastAsia="Times New Roman" w:hAnsi="Arial" w:cs="Arial"/>
                <w:sz w:val="20"/>
                <w:szCs w:val="20"/>
              </w:rPr>
              <w:t>3,183</w:t>
            </w:r>
          </w:p>
        </w:tc>
        <w:tc>
          <w:tcPr>
            <w:tcW w:w="1440" w:type="dxa"/>
            <w:tcMar>
              <w:top w:w="30" w:type="dxa"/>
              <w:left w:w="45" w:type="dxa"/>
              <w:bottom w:w="30" w:type="dxa"/>
              <w:right w:w="45" w:type="dxa"/>
            </w:tcMar>
            <w:vAlign w:val="bottom"/>
            <w:hideMark/>
          </w:tcPr>
          <w:p w14:paraId="4EFE26CC" w14:textId="77777777" w:rsidR="00C44200" w:rsidRPr="00C44200" w:rsidRDefault="00C44200" w:rsidP="00C44200">
            <w:pPr>
              <w:spacing w:after="0" w:line="240" w:lineRule="auto"/>
              <w:jc w:val="right"/>
              <w:rPr>
                <w:rFonts w:ascii="Arial" w:eastAsia="Times New Roman" w:hAnsi="Arial" w:cs="Arial"/>
                <w:sz w:val="20"/>
                <w:szCs w:val="20"/>
              </w:rPr>
            </w:pPr>
            <w:r w:rsidRPr="00C44200">
              <w:rPr>
                <w:rFonts w:ascii="Arial" w:eastAsia="Times New Roman" w:hAnsi="Arial" w:cs="Arial"/>
                <w:sz w:val="20"/>
                <w:szCs w:val="20"/>
              </w:rPr>
              <w:t>3,116</w:t>
            </w:r>
          </w:p>
        </w:tc>
        <w:tc>
          <w:tcPr>
            <w:tcW w:w="1170" w:type="dxa"/>
            <w:tcMar>
              <w:top w:w="30" w:type="dxa"/>
              <w:left w:w="45" w:type="dxa"/>
              <w:bottom w:w="30" w:type="dxa"/>
              <w:right w:w="45" w:type="dxa"/>
            </w:tcMar>
            <w:vAlign w:val="bottom"/>
            <w:hideMark/>
          </w:tcPr>
          <w:p w14:paraId="072337A1" w14:textId="77777777" w:rsidR="00C44200" w:rsidRPr="00C44200" w:rsidRDefault="00C44200" w:rsidP="00C44200">
            <w:pPr>
              <w:spacing w:after="0" w:line="240" w:lineRule="auto"/>
              <w:jc w:val="right"/>
              <w:rPr>
                <w:rFonts w:ascii="Arial" w:eastAsia="Times New Roman" w:hAnsi="Arial" w:cs="Arial"/>
                <w:sz w:val="20"/>
                <w:szCs w:val="20"/>
              </w:rPr>
            </w:pPr>
            <w:r w:rsidRPr="00C44200">
              <w:rPr>
                <w:rFonts w:ascii="Arial" w:eastAsia="Times New Roman" w:hAnsi="Arial" w:cs="Arial"/>
                <w:sz w:val="20"/>
                <w:szCs w:val="20"/>
              </w:rPr>
              <w:t>2,899</w:t>
            </w:r>
          </w:p>
        </w:tc>
        <w:tc>
          <w:tcPr>
            <w:tcW w:w="1530" w:type="dxa"/>
            <w:tcMar>
              <w:top w:w="30" w:type="dxa"/>
              <w:left w:w="45" w:type="dxa"/>
              <w:bottom w:w="30" w:type="dxa"/>
              <w:right w:w="45" w:type="dxa"/>
            </w:tcMar>
            <w:vAlign w:val="bottom"/>
            <w:hideMark/>
          </w:tcPr>
          <w:p w14:paraId="6D19D4F5" w14:textId="77777777" w:rsidR="00C44200" w:rsidRPr="00C44200" w:rsidRDefault="00C44200" w:rsidP="00C44200">
            <w:pPr>
              <w:spacing w:after="0" w:line="240" w:lineRule="auto"/>
              <w:jc w:val="right"/>
              <w:rPr>
                <w:rFonts w:ascii="Arial" w:eastAsia="Times New Roman" w:hAnsi="Arial" w:cs="Arial"/>
                <w:sz w:val="20"/>
                <w:szCs w:val="20"/>
              </w:rPr>
            </w:pPr>
            <w:r w:rsidRPr="00C44200">
              <w:rPr>
                <w:rFonts w:ascii="Arial" w:eastAsia="Times New Roman" w:hAnsi="Arial" w:cs="Arial"/>
                <w:sz w:val="20"/>
                <w:szCs w:val="20"/>
              </w:rPr>
              <w:t>2,862</w:t>
            </w:r>
          </w:p>
        </w:tc>
      </w:tr>
      <w:tr w:rsidR="00C44200" w:rsidRPr="00C44200" w14:paraId="4BCD2597" w14:textId="77777777" w:rsidTr="00C44200">
        <w:trPr>
          <w:trHeight w:val="315"/>
        </w:trPr>
        <w:tc>
          <w:tcPr>
            <w:tcW w:w="0" w:type="auto"/>
            <w:tcMar>
              <w:top w:w="30" w:type="dxa"/>
              <w:left w:w="45" w:type="dxa"/>
              <w:bottom w:w="30" w:type="dxa"/>
              <w:right w:w="45" w:type="dxa"/>
            </w:tcMar>
            <w:vAlign w:val="bottom"/>
            <w:hideMark/>
          </w:tcPr>
          <w:p w14:paraId="402E7F10" w14:textId="77777777" w:rsidR="00C44200" w:rsidRPr="00C44200" w:rsidRDefault="00C44200" w:rsidP="00C44200">
            <w:pPr>
              <w:spacing w:after="0" w:line="240" w:lineRule="auto"/>
              <w:jc w:val="left"/>
              <w:rPr>
                <w:rFonts w:ascii="Arial" w:eastAsia="Times New Roman" w:hAnsi="Arial" w:cs="Arial"/>
                <w:b/>
                <w:sz w:val="20"/>
                <w:szCs w:val="20"/>
              </w:rPr>
            </w:pPr>
            <w:r w:rsidRPr="00C44200">
              <w:rPr>
                <w:rFonts w:ascii="Arial" w:eastAsia="Times New Roman" w:hAnsi="Arial" w:cs="Arial"/>
                <w:b/>
                <w:sz w:val="20"/>
                <w:szCs w:val="20"/>
              </w:rPr>
              <w:t>Inventory</w:t>
            </w:r>
          </w:p>
        </w:tc>
        <w:tc>
          <w:tcPr>
            <w:tcW w:w="1852" w:type="dxa"/>
            <w:tcMar>
              <w:top w:w="30" w:type="dxa"/>
              <w:left w:w="45" w:type="dxa"/>
              <w:bottom w:w="30" w:type="dxa"/>
              <w:right w:w="45" w:type="dxa"/>
            </w:tcMar>
            <w:vAlign w:val="bottom"/>
            <w:hideMark/>
          </w:tcPr>
          <w:p w14:paraId="52CD4EA5" w14:textId="77777777" w:rsidR="00C44200" w:rsidRPr="00C44200" w:rsidRDefault="00C44200" w:rsidP="00C44200">
            <w:pPr>
              <w:spacing w:after="0" w:line="240" w:lineRule="auto"/>
              <w:jc w:val="right"/>
              <w:rPr>
                <w:rFonts w:ascii="Arial" w:eastAsia="Times New Roman" w:hAnsi="Arial" w:cs="Arial"/>
                <w:sz w:val="20"/>
                <w:szCs w:val="20"/>
              </w:rPr>
            </w:pPr>
            <w:r w:rsidRPr="00C44200">
              <w:rPr>
                <w:rFonts w:ascii="Arial" w:eastAsia="Times New Roman" w:hAnsi="Arial" w:cs="Arial"/>
                <w:sz w:val="20"/>
                <w:szCs w:val="20"/>
              </w:rPr>
              <w:t>2,485</w:t>
            </w:r>
          </w:p>
        </w:tc>
        <w:tc>
          <w:tcPr>
            <w:tcW w:w="990" w:type="dxa"/>
            <w:tcMar>
              <w:top w:w="30" w:type="dxa"/>
              <w:left w:w="45" w:type="dxa"/>
              <w:bottom w:w="30" w:type="dxa"/>
              <w:right w:w="45" w:type="dxa"/>
            </w:tcMar>
            <w:vAlign w:val="bottom"/>
            <w:hideMark/>
          </w:tcPr>
          <w:p w14:paraId="294EF4DF" w14:textId="77777777" w:rsidR="00C44200" w:rsidRPr="00C44200" w:rsidRDefault="00C44200" w:rsidP="00C44200">
            <w:pPr>
              <w:spacing w:after="0" w:line="240" w:lineRule="auto"/>
              <w:jc w:val="right"/>
              <w:rPr>
                <w:rFonts w:ascii="Arial" w:eastAsia="Times New Roman" w:hAnsi="Arial" w:cs="Arial"/>
                <w:sz w:val="20"/>
                <w:szCs w:val="20"/>
              </w:rPr>
            </w:pPr>
            <w:r w:rsidRPr="00C44200">
              <w:rPr>
                <w:rFonts w:ascii="Arial" w:eastAsia="Times New Roman" w:hAnsi="Arial" w:cs="Arial"/>
                <w:sz w:val="20"/>
                <w:szCs w:val="20"/>
              </w:rPr>
              <w:t>2,488</w:t>
            </w:r>
          </w:p>
        </w:tc>
        <w:tc>
          <w:tcPr>
            <w:tcW w:w="1440" w:type="dxa"/>
            <w:tcMar>
              <w:top w:w="30" w:type="dxa"/>
              <w:left w:w="45" w:type="dxa"/>
              <w:bottom w:w="30" w:type="dxa"/>
              <w:right w:w="45" w:type="dxa"/>
            </w:tcMar>
            <w:vAlign w:val="bottom"/>
            <w:hideMark/>
          </w:tcPr>
          <w:p w14:paraId="5514DC30" w14:textId="77777777" w:rsidR="00C44200" w:rsidRPr="00C44200" w:rsidRDefault="00C44200" w:rsidP="00C44200">
            <w:pPr>
              <w:spacing w:after="0" w:line="240" w:lineRule="auto"/>
              <w:jc w:val="right"/>
              <w:rPr>
                <w:rFonts w:ascii="Arial" w:eastAsia="Times New Roman" w:hAnsi="Arial" w:cs="Arial"/>
                <w:sz w:val="20"/>
                <w:szCs w:val="20"/>
              </w:rPr>
            </w:pPr>
            <w:r w:rsidRPr="00C44200">
              <w:rPr>
                <w:rFonts w:ascii="Arial" w:eastAsia="Times New Roman" w:hAnsi="Arial" w:cs="Arial"/>
                <w:sz w:val="20"/>
                <w:szCs w:val="20"/>
              </w:rPr>
              <w:t>2,749</w:t>
            </w:r>
          </w:p>
        </w:tc>
        <w:tc>
          <w:tcPr>
            <w:tcW w:w="1170" w:type="dxa"/>
            <w:tcMar>
              <w:top w:w="30" w:type="dxa"/>
              <w:left w:w="45" w:type="dxa"/>
              <w:bottom w:w="30" w:type="dxa"/>
              <w:right w:w="45" w:type="dxa"/>
            </w:tcMar>
            <w:vAlign w:val="bottom"/>
            <w:hideMark/>
          </w:tcPr>
          <w:p w14:paraId="1C4FFABA" w14:textId="77777777" w:rsidR="00C44200" w:rsidRPr="00C44200" w:rsidRDefault="00C44200" w:rsidP="00C44200">
            <w:pPr>
              <w:spacing w:after="0" w:line="240" w:lineRule="auto"/>
              <w:jc w:val="right"/>
              <w:rPr>
                <w:rFonts w:ascii="Arial" w:eastAsia="Times New Roman" w:hAnsi="Arial" w:cs="Arial"/>
                <w:sz w:val="20"/>
                <w:szCs w:val="20"/>
              </w:rPr>
            </w:pPr>
            <w:r w:rsidRPr="00C44200">
              <w:rPr>
                <w:rFonts w:ascii="Arial" w:eastAsia="Times New Roman" w:hAnsi="Arial" w:cs="Arial"/>
                <w:sz w:val="20"/>
                <w:szCs w:val="20"/>
              </w:rPr>
              <w:t>3,070</w:t>
            </w:r>
          </w:p>
        </w:tc>
        <w:tc>
          <w:tcPr>
            <w:tcW w:w="1530" w:type="dxa"/>
            <w:tcMar>
              <w:top w:w="30" w:type="dxa"/>
              <w:left w:w="45" w:type="dxa"/>
              <w:bottom w:w="30" w:type="dxa"/>
              <w:right w:w="45" w:type="dxa"/>
            </w:tcMar>
            <w:vAlign w:val="bottom"/>
            <w:hideMark/>
          </w:tcPr>
          <w:p w14:paraId="43526A84" w14:textId="77777777" w:rsidR="00C44200" w:rsidRPr="00C44200" w:rsidRDefault="00C44200" w:rsidP="00C44200">
            <w:pPr>
              <w:spacing w:after="0" w:line="240" w:lineRule="auto"/>
              <w:jc w:val="right"/>
              <w:rPr>
                <w:rFonts w:ascii="Arial" w:eastAsia="Times New Roman" w:hAnsi="Arial" w:cs="Arial"/>
                <w:sz w:val="20"/>
                <w:szCs w:val="20"/>
              </w:rPr>
            </w:pPr>
            <w:r w:rsidRPr="00C44200">
              <w:rPr>
                <w:rFonts w:ascii="Arial" w:eastAsia="Times New Roman" w:hAnsi="Arial" w:cs="Arial"/>
                <w:sz w:val="20"/>
                <w:szCs w:val="20"/>
              </w:rPr>
              <w:t>2,914</w:t>
            </w:r>
          </w:p>
        </w:tc>
      </w:tr>
      <w:tr w:rsidR="00C44200" w:rsidRPr="00C44200" w14:paraId="51C7F836" w14:textId="77777777" w:rsidTr="00C44200">
        <w:trPr>
          <w:trHeight w:val="315"/>
        </w:trPr>
        <w:tc>
          <w:tcPr>
            <w:tcW w:w="0" w:type="auto"/>
            <w:tcMar>
              <w:top w:w="30" w:type="dxa"/>
              <w:left w:w="45" w:type="dxa"/>
              <w:bottom w:w="30" w:type="dxa"/>
              <w:right w:w="45" w:type="dxa"/>
            </w:tcMar>
            <w:vAlign w:val="bottom"/>
            <w:hideMark/>
          </w:tcPr>
          <w:p w14:paraId="1827F151" w14:textId="77777777" w:rsidR="00C44200" w:rsidRPr="00C44200" w:rsidRDefault="00C44200" w:rsidP="00C44200">
            <w:pPr>
              <w:spacing w:after="0" w:line="240" w:lineRule="auto"/>
              <w:jc w:val="left"/>
              <w:rPr>
                <w:rFonts w:ascii="Arial" w:eastAsia="Times New Roman" w:hAnsi="Arial" w:cs="Arial"/>
                <w:b/>
                <w:sz w:val="20"/>
                <w:szCs w:val="20"/>
              </w:rPr>
            </w:pPr>
            <w:r w:rsidRPr="00C44200">
              <w:rPr>
                <w:rFonts w:ascii="Arial" w:eastAsia="Times New Roman" w:hAnsi="Arial" w:cs="Arial"/>
                <w:b/>
                <w:sz w:val="20"/>
                <w:szCs w:val="20"/>
              </w:rPr>
              <w:t>Cash and Cash Equivalents</w:t>
            </w:r>
          </w:p>
        </w:tc>
        <w:tc>
          <w:tcPr>
            <w:tcW w:w="1852" w:type="dxa"/>
            <w:tcMar>
              <w:top w:w="30" w:type="dxa"/>
              <w:left w:w="45" w:type="dxa"/>
              <w:bottom w:w="30" w:type="dxa"/>
              <w:right w:w="45" w:type="dxa"/>
            </w:tcMar>
            <w:vAlign w:val="bottom"/>
            <w:hideMark/>
          </w:tcPr>
          <w:p w14:paraId="4F6173A3" w14:textId="77777777" w:rsidR="00C44200" w:rsidRPr="00C44200" w:rsidRDefault="00C44200" w:rsidP="00C44200">
            <w:pPr>
              <w:spacing w:after="0" w:line="240" w:lineRule="auto"/>
              <w:jc w:val="right"/>
              <w:rPr>
                <w:rFonts w:ascii="Arial" w:eastAsia="Times New Roman" w:hAnsi="Arial" w:cs="Arial"/>
                <w:sz w:val="20"/>
                <w:szCs w:val="20"/>
              </w:rPr>
            </w:pPr>
            <w:r w:rsidRPr="00C44200">
              <w:rPr>
                <w:rFonts w:ascii="Arial" w:eastAsia="Times New Roman" w:hAnsi="Arial" w:cs="Arial"/>
                <w:sz w:val="20"/>
                <w:szCs w:val="20"/>
              </w:rPr>
              <w:t>189</w:t>
            </w:r>
          </w:p>
        </w:tc>
        <w:tc>
          <w:tcPr>
            <w:tcW w:w="990" w:type="dxa"/>
            <w:tcMar>
              <w:top w:w="30" w:type="dxa"/>
              <w:left w:w="45" w:type="dxa"/>
              <w:bottom w:w="30" w:type="dxa"/>
              <w:right w:w="45" w:type="dxa"/>
            </w:tcMar>
            <w:vAlign w:val="bottom"/>
            <w:hideMark/>
          </w:tcPr>
          <w:p w14:paraId="689E0B6E" w14:textId="77777777" w:rsidR="00C44200" w:rsidRPr="00C44200" w:rsidRDefault="00C44200" w:rsidP="00C44200">
            <w:pPr>
              <w:spacing w:after="0" w:line="240" w:lineRule="auto"/>
              <w:jc w:val="right"/>
              <w:rPr>
                <w:rFonts w:ascii="Arial" w:eastAsia="Times New Roman" w:hAnsi="Arial" w:cs="Arial"/>
                <w:sz w:val="20"/>
                <w:szCs w:val="20"/>
              </w:rPr>
            </w:pPr>
            <w:r w:rsidRPr="00C44200">
              <w:rPr>
                <w:rFonts w:ascii="Arial" w:eastAsia="Times New Roman" w:hAnsi="Arial" w:cs="Arial"/>
                <w:sz w:val="20"/>
                <w:szCs w:val="20"/>
              </w:rPr>
              <w:t>1,142</w:t>
            </w:r>
          </w:p>
        </w:tc>
        <w:tc>
          <w:tcPr>
            <w:tcW w:w="1440" w:type="dxa"/>
            <w:tcMar>
              <w:top w:w="30" w:type="dxa"/>
              <w:left w:w="45" w:type="dxa"/>
              <w:bottom w:w="30" w:type="dxa"/>
              <w:right w:w="45" w:type="dxa"/>
            </w:tcMar>
            <w:vAlign w:val="bottom"/>
            <w:hideMark/>
          </w:tcPr>
          <w:p w14:paraId="1229654A" w14:textId="77777777" w:rsidR="00C44200" w:rsidRPr="00C44200" w:rsidRDefault="00C44200" w:rsidP="00C44200">
            <w:pPr>
              <w:spacing w:after="0" w:line="240" w:lineRule="auto"/>
              <w:jc w:val="right"/>
              <w:rPr>
                <w:rFonts w:ascii="Arial" w:eastAsia="Times New Roman" w:hAnsi="Arial" w:cs="Arial"/>
                <w:sz w:val="20"/>
                <w:szCs w:val="20"/>
              </w:rPr>
            </w:pPr>
            <w:r w:rsidRPr="00C44200">
              <w:rPr>
                <w:rFonts w:ascii="Arial" w:eastAsia="Times New Roman" w:hAnsi="Arial" w:cs="Arial"/>
                <w:sz w:val="20"/>
                <w:szCs w:val="20"/>
              </w:rPr>
              <w:t>823</w:t>
            </w:r>
          </w:p>
        </w:tc>
        <w:tc>
          <w:tcPr>
            <w:tcW w:w="1170" w:type="dxa"/>
            <w:tcMar>
              <w:top w:w="30" w:type="dxa"/>
              <w:left w:w="45" w:type="dxa"/>
              <w:bottom w:w="30" w:type="dxa"/>
              <w:right w:w="45" w:type="dxa"/>
            </w:tcMar>
            <w:vAlign w:val="bottom"/>
            <w:hideMark/>
          </w:tcPr>
          <w:p w14:paraId="591F71B1" w14:textId="77777777" w:rsidR="00C44200" w:rsidRPr="00C44200" w:rsidRDefault="00C44200" w:rsidP="00C44200">
            <w:pPr>
              <w:spacing w:after="0" w:line="240" w:lineRule="auto"/>
              <w:jc w:val="right"/>
              <w:rPr>
                <w:rFonts w:ascii="Arial" w:eastAsia="Times New Roman" w:hAnsi="Arial" w:cs="Arial"/>
                <w:sz w:val="20"/>
                <w:szCs w:val="20"/>
              </w:rPr>
            </w:pPr>
            <w:r w:rsidRPr="00C44200">
              <w:rPr>
                <w:rFonts w:ascii="Arial" w:eastAsia="Times New Roman" w:hAnsi="Arial" w:cs="Arial"/>
                <w:sz w:val="20"/>
                <w:szCs w:val="20"/>
              </w:rPr>
              <w:t>286</w:t>
            </w:r>
          </w:p>
        </w:tc>
        <w:tc>
          <w:tcPr>
            <w:tcW w:w="1530" w:type="dxa"/>
            <w:tcMar>
              <w:top w:w="30" w:type="dxa"/>
              <w:left w:w="45" w:type="dxa"/>
              <w:bottom w:w="30" w:type="dxa"/>
              <w:right w:w="45" w:type="dxa"/>
            </w:tcMar>
            <w:vAlign w:val="bottom"/>
            <w:hideMark/>
          </w:tcPr>
          <w:p w14:paraId="26597AC7" w14:textId="77777777" w:rsidR="00C44200" w:rsidRPr="00C44200" w:rsidRDefault="00C44200" w:rsidP="00C44200">
            <w:pPr>
              <w:spacing w:after="0" w:line="240" w:lineRule="auto"/>
              <w:jc w:val="right"/>
              <w:rPr>
                <w:rFonts w:ascii="Arial" w:eastAsia="Times New Roman" w:hAnsi="Arial" w:cs="Arial"/>
                <w:sz w:val="20"/>
                <w:szCs w:val="20"/>
              </w:rPr>
            </w:pPr>
            <w:r w:rsidRPr="00C44200">
              <w:rPr>
                <w:rFonts w:ascii="Arial" w:eastAsia="Times New Roman" w:hAnsi="Arial" w:cs="Arial"/>
                <w:sz w:val="20"/>
                <w:szCs w:val="20"/>
              </w:rPr>
              <w:t>360</w:t>
            </w:r>
          </w:p>
        </w:tc>
      </w:tr>
      <w:tr w:rsidR="00C44200" w:rsidRPr="00C44200" w14:paraId="233A778D" w14:textId="77777777" w:rsidTr="00C44200">
        <w:trPr>
          <w:trHeight w:val="315"/>
        </w:trPr>
        <w:tc>
          <w:tcPr>
            <w:tcW w:w="0" w:type="auto"/>
            <w:tcMar>
              <w:top w:w="30" w:type="dxa"/>
              <w:left w:w="45" w:type="dxa"/>
              <w:bottom w:w="30" w:type="dxa"/>
              <w:right w:w="45" w:type="dxa"/>
            </w:tcMar>
            <w:vAlign w:val="bottom"/>
            <w:hideMark/>
          </w:tcPr>
          <w:p w14:paraId="7F8A1A3D" w14:textId="77777777" w:rsidR="00C44200" w:rsidRPr="00C44200" w:rsidRDefault="00C44200" w:rsidP="00C44200">
            <w:pPr>
              <w:spacing w:after="0" w:line="240" w:lineRule="auto"/>
              <w:jc w:val="left"/>
              <w:rPr>
                <w:rFonts w:ascii="Arial" w:eastAsia="Times New Roman" w:hAnsi="Arial" w:cs="Arial"/>
                <w:b/>
                <w:sz w:val="20"/>
                <w:szCs w:val="20"/>
              </w:rPr>
            </w:pPr>
            <w:r w:rsidRPr="00C44200">
              <w:rPr>
                <w:rFonts w:ascii="Arial" w:eastAsia="Times New Roman" w:hAnsi="Arial" w:cs="Arial"/>
                <w:b/>
                <w:sz w:val="20"/>
                <w:szCs w:val="20"/>
              </w:rPr>
              <w:t>Total Assets</w:t>
            </w:r>
          </w:p>
        </w:tc>
        <w:tc>
          <w:tcPr>
            <w:tcW w:w="1852" w:type="dxa"/>
            <w:tcMar>
              <w:top w:w="30" w:type="dxa"/>
              <w:left w:w="45" w:type="dxa"/>
              <w:bottom w:w="30" w:type="dxa"/>
              <w:right w:w="45" w:type="dxa"/>
            </w:tcMar>
            <w:vAlign w:val="bottom"/>
            <w:hideMark/>
          </w:tcPr>
          <w:p w14:paraId="701D8234" w14:textId="77777777" w:rsidR="00C44200" w:rsidRPr="00C44200" w:rsidRDefault="00C44200" w:rsidP="00C44200">
            <w:pPr>
              <w:spacing w:after="0" w:line="240" w:lineRule="auto"/>
              <w:jc w:val="right"/>
              <w:rPr>
                <w:rFonts w:ascii="Arial" w:eastAsia="Times New Roman" w:hAnsi="Arial" w:cs="Arial"/>
                <w:sz w:val="20"/>
                <w:szCs w:val="20"/>
              </w:rPr>
            </w:pPr>
            <w:r w:rsidRPr="00C44200">
              <w:rPr>
                <w:rFonts w:ascii="Arial" w:eastAsia="Times New Roman" w:hAnsi="Arial" w:cs="Arial"/>
                <w:sz w:val="20"/>
                <w:szCs w:val="20"/>
              </w:rPr>
              <w:t>11,312</w:t>
            </w:r>
          </w:p>
        </w:tc>
        <w:tc>
          <w:tcPr>
            <w:tcW w:w="990" w:type="dxa"/>
            <w:tcMar>
              <w:top w:w="30" w:type="dxa"/>
              <w:left w:w="45" w:type="dxa"/>
              <w:bottom w:w="30" w:type="dxa"/>
              <w:right w:w="45" w:type="dxa"/>
            </w:tcMar>
            <w:vAlign w:val="bottom"/>
            <w:hideMark/>
          </w:tcPr>
          <w:p w14:paraId="3719023F" w14:textId="77777777" w:rsidR="00C44200" w:rsidRPr="00C44200" w:rsidRDefault="00C44200" w:rsidP="00C44200">
            <w:pPr>
              <w:spacing w:after="0" w:line="240" w:lineRule="auto"/>
              <w:jc w:val="right"/>
              <w:rPr>
                <w:rFonts w:ascii="Arial" w:eastAsia="Times New Roman" w:hAnsi="Arial" w:cs="Arial"/>
                <w:sz w:val="20"/>
                <w:szCs w:val="20"/>
              </w:rPr>
            </w:pPr>
            <w:r w:rsidRPr="00C44200">
              <w:rPr>
                <w:rFonts w:ascii="Arial" w:eastAsia="Times New Roman" w:hAnsi="Arial" w:cs="Arial"/>
                <w:sz w:val="20"/>
                <w:szCs w:val="20"/>
              </w:rPr>
              <w:t>12,269</w:t>
            </w:r>
          </w:p>
        </w:tc>
        <w:tc>
          <w:tcPr>
            <w:tcW w:w="1440" w:type="dxa"/>
            <w:tcMar>
              <w:top w:w="30" w:type="dxa"/>
              <w:left w:w="45" w:type="dxa"/>
              <w:bottom w:w="30" w:type="dxa"/>
              <w:right w:w="45" w:type="dxa"/>
            </w:tcMar>
            <w:vAlign w:val="bottom"/>
            <w:hideMark/>
          </w:tcPr>
          <w:p w14:paraId="55780061" w14:textId="77777777" w:rsidR="00C44200" w:rsidRPr="00C44200" w:rsidRDefault="00C44200" w:rsidP="00C44200">
            <w:pPr>
              <w:spacing w:after="0" w:line="240" w:lineRule="auto"/>
              <w:jc w:val="right"/>
              <w:rPr>
                <w:rFonts w:ascii="Arial" w:eastAsia="Times New Roman" w:hAnsi="Arial" w:cs="Arial"/>
                <w:sz w:val="20"/>
                <w:szCs w:val="20"/>
              </w:rPr>
            </w:pPr>
            <w:r w:rsidRPr="00C44200">
              <w:rPr>
                <w:rFonts w:ascii="Arial" w:eastAsia="Times New Roman" w:hAnsi="Arial" w:cs="Arial"/>
                <w:sz w:val="20"/>
                <w:szCs w:val="20"/>
              </w:rPr>
              <w:t>12,352</w:t>
            </w:r>
          </w:p>
        </w:tc>
        <w:tc>
          <w:tcPr>
            <w:tcW w:w="1170" w:type="dxa"/>
            <w:tcMar>
              <w:top w:w="30" w:type="dxa"/>
              <w:left w:w="45" w:type="dxa"/>
              <w:bottom w:w="30" w:type="dxa"/>
              <w:right w:w="45" w:type="dxa"/>
            </w:tcMar>
            <w:vAlign w:val="bottom"/>
            <w:hideMark/>
          </w:tcPr>
          <w:p w14:paraId="77B36CBD" w14:textId="77777777" w:rsidR="00C44200" w:rsidRPr="00C44200" w:rsidRDefault="00C44200" w:rsidP="00C44200">
            <w:pPr>
              <w:spacing w:after="0" w:line="240" w:lineRule="auto"/>
              <w:jc w:val="right"/>
              <w:rPr>
                <w:rFonts w:ascii="Arial" w:eastAsia="Times New Roman" w:hAnsi="Arial" w:cs="Arial"/>
                <w:sz w:val="20"/>
                <w:szCs w:val="20"/>
              </w:rPr>
            </w:pPr>
            <w:r w:rsidRPr="00C44200">
              <w:rPr>
                <w:rFonts w:ascii="Arial" w:eastAsia="Times New Roman" w:hAnsi="Arial" w:cs="Arial"/>
                <w:sz w:val="20"/>
                <w:szCs w:val="20"/>
              </w:rPr>
              <w:t>12,103</w:t>
            </w:r>
          </w:p>
        </w:tc>
        <w:tc>
          <w:tcPr>
            <w:tcW w:w="1530" w:type="dxa"/>
            <w:tcMar>
              <w:top w:w="30" w:type="dxa"/>
              <w:left w:w="45" w:type="dxa"/>
              <w:bottom w:w="30" w:type="dxa"/>
              <w:right w:w="45" w:type="dxa"/>
            </w:tcMar>
            <w:vAlign w:val="bottom"/>
            <w:hideMark/>
          </w:tcPr>
          <w:p w14:paraId="395F9741" w14:textId="77777777" w:rsidR="00C44200" w:rsidRPr="00C44200" w:rsidRDefault="00C44200" w:rsidP="00C44200">
            <w:pPr>
              <w:spacing w:after="0" w:line="240" w:lineRule="auto"/>
              <w:jc w:val="right"/>
              <w:rPr>
                <w:rFonts w:ascii="Arial" w:eastAsia="Times New Roman" w:hAnsi="Arial" w:cs="Arial"/>
                <w:sz w:val="20"/>
                <w:szCs w:val="20"/>
              </w:rPr>
            </w:pPr>
            <w:r w:rsidRPr="00C44200">
              <w:rPr>
                <w:rFonts w:ascii="Arial" w:eastAsia="Times New Roman" w:hAnsi="Arial" w:cs="Arial"/>
                <w:sz w:val="20"/>
                <w:szCs w:val="20"/>
              </w:rPr>
              <w:t>11,900</w:t>
            </w:r>
          </w:p>
        </w:tc>
      </w:tr>
      <w:tr w:rsidR="00C44200" w:rsidRPr="00C44200" w14:paraId="05374BB2" w14:textId="77777777" w:rsidTr="00C44200">
        <w:trPr>
          <w:trHeight w:val="315"/>
        </w:trPr>
        <w:tc>
          <w:tcPr>
            <w:tcW w:w="0" w:type="auto"/>
            <w:tcMar>
              <w:top w:w="30" w:type="dxa"/>
              <w:left w:w="45" w:type="dxa"/>
              <w:bottom w:w="30" w:type="dxa"/>
              <w:right w:w="45" w:type="dxa"/>
            </w:tcMar>
            <w:vAlign w:val="bottom"/>
            <w:hideMark/>
          </w:tcPr>
          <w:p w14:paraId="15091505" w14:textId="77777777" w:rsidR="00C44200" w:rsidRPr="00C44200" w:rsidRDefault="00C44200" w:rsidP="00C44200">
            <w:pPr>
              <w:spacing w:after="0" w:line="240" w:lineRule="auto"/>
              <w:jc w:val="left"/>
              <w:rPr>
                <w:rFonts w:ascii="Arial" w:eastAsia="Times New Roman" w:hAnsi="Arial" w:cs="Arial"/>
                <w:b/>
                <w:sz w:val="20"/>
                <w:szCs w:val="20"/>
              </w:rPr>
            </w:pPr>
            <w:r w:rsidRPr="00C44200">
              <w:rPr>
                <w:rFonts w:ascii="Arial" w:eastAsia="Times New Roman" w:hAnsi="Arial" w:cs="Arial"/>
                <w:b/>
                <w:sz w:val="20"/>
                <w:szCs w:val="20"/>
              </w:rPr>
              <w:t>Shareholder's Equity</w:t>
            </w:r>
          </w:p>
        </w:tc>
        <w:tc>
          <w:tcPr>
            <w:tcW w:w="1852" w:type="dxa"/>
            <w:tcMar>
              <w:top w:w="30" w:type="dxa"/>
              <w:left w:w="45" w:type="dxa"/>
              <w:bottom w:w="30" w:type="dxa"/>
              <w:right w:w="45" w:type="dxa"/>
            </w:tcMar>
            <w:vAlign w:val="bottom"/>
            <w:hideMark/>
          </w:tcPr>
          <w:p w14:paraId="18782E85" w14:textId="77777777" w:rsidR="00C44200" w:rsidRPr="00C44200" w:rsidRDefault="00C44200" w:rsidP="00C44200">
            <w:pPr>
              <w:spacing w:after="0" w:line="240" w:lineRule="auto"/>
              <w:jc w:val="right"/>
              <w:rPr>
                <w:rFonts w:ascii="Arial" w:eastAsia="Times New Roman" w:hAnsi="Arial" w:cs="Arial"/>
                <w:sz w:val="20"/>
                <w:szCs w:val="20"/>
              </w:rPr>
            </w:pPr>
            <w:r w:rsidRPr="00C44200">
              <w:rPr>
                <w:rFonts w:ascii="Arial" w:eastAsia="Times New Roman" w:hAnsi="Arial" w:cs="Arial"/>
                <w:sz w:val="20"/>
                <w:szCs w:val="20"/>
              </w:rPr>
              <w:t>5,802</w:t>
            </w:r>
          </w:p>
        </w:tc>
        <w:tc>
          <w:tcPr>
            <w:tcW w:w="990" w:type="dxa"/>
            <w:tcMar>
              <w:top w:w="30" w:type="dxa"/>
              <w:left w:w="45" w:type="dxa"/>
              <w:bottom w:w="30" w:type="dxa"/>
              <w:right w:w="45" w:type="dxa"/>
            </w:tcMar>
            <w:vAlign w:val="bottom"/>
            <w:hideMark/>
          </w:tcPr>
          <w:p w14:paraId="559D65A7" w14:textId="77777777" w:rsidR="00C44200" w:rsidRPr="00C44200" w:rsidRDefault="00C44200" w:rsidP="00C44200">
            <w:pPr>
              <w:spacing w:after="0" w:line="240" w:lineRule="auto"/>
              <w:jc w:val="right"/>
              <w:rPr>
                <w:rFonts w:ascii="Arial" w:eastAsia="Times New Roman" w:hAnsi="Arial" w:cs="Arial"/>
                <w:sz w:val="20"/>
                <w:szCs w:val="20"/>
              </w:rPr>
            </w:pPr>
            <w:r w:rsidRPr="00C44200">
              <w:rPr>
                <w:rFonts w:ascii="Arial" w:eastAsia="Times New Roman" w:hAnsi="Arial" w:cs="Arial"/>
                <w:sz w:val="20"/>
                <w:szCs w:val="20"/>
              </w:rPr>
              <w:t>6,571</w:t>
            </w:r>
          </w:p>
        </w:tc>
        <w:tc>
          <w:tcPr>
            <w:tcW w:w="1440" w:type="dxa"/>
            <w:tcMar>
              <w:top w:w="30" w:type="dxa"/>
              <w:left w:w="45" w:type="dxa"/>
              <w:bottom w:w="30" w:type="dxa"/>
              <w:right w:w="45" w:type="dxa"/>
            </w:tcMar>
            <w:vAlign w:val="bottom"/>
            <w:hideMark/>
          </w:tcPr>
          <w:p w14:paraId="1251A07F" w14:textId="77777777" w:rsidR="00C44200" w:rsidRPr="00C44200" w:rsidRDefault="00C44200" w:rsidP="00C44200">
            <w:pPr>
              <w:spacing w:after="0" w:line="240" w:lineRule="auto"/>
              <w:jc w:val="right"/>
              <w:rPr>
                <w:rFonts w:ascii="Arial" w:eastAsia="Times New Roman" w:hAnsi="Arial" w:cs="Arial"/>
                <w:sz w:val="20"/>
                <w:szCs w:val="20"/>
              </w:rPr>
            </w:pPr>
            <w:r w:rsidRPr="00C44200">
              <w:rPr>
                <w:rFonts w:ascii="Arial" w:eastAsia="Times New Roman" w:hAnsi="Arial" w:cs="Arial"/>
                <w:sz w:val="20"/>
                <w:szCs w:val="20"/>
              </w:rPr>
              <w:t>6,778</w:t>
            </w:r>
          </w:p>
        </w:tc>
        <w:tc>
          <w:tcPr>
            <w:tcW w:w="1170" w:type="dxa"/>
            <w:tcMar>
              <w:top w:w="30" w:type="dxa"/>
              <w:left w:w="45" w:type="dxa"/>
              <w:bottom w:w="30" w:type="dxa"/>
              <w:right w:w="45" w:type="dxa"/>
            </w:tcMar>
            <w:vAlign w:val="bottom"/>
            <w:hideMark/>
          </w:tcPr>
          <w:p w14:paraId="6086E008" w14:textId="77777777" w:rsidR="00C44200" w:rsidRPr="00C44200" w:rsidRDefault="00C44200" w:rsidP="00C44200">
            <w:pPr>
              <w:spacing w:after="0" w:line="240" w:lineRule="auto"/>
              <w:jc w:val="right"/>
              <w:rPr>
                <w:rFonts w:ascii="Arial" w:eastAsia="Times New Roman" w:hAnsi="Arial" w:cs="Arial"/>
                <w:sz w:val="20"/>
                <w:szCs w:val="20"/>
              </w:rPr>
            </w:pPr>
            <w:r w:rsidRPr="00C44200">
              <w:rPr>
                <w:rFonts w:ascii="Arial" w:eastAsia="Times New Roman" w:hAnsi="Arial" w:cs="Arial"/>
                <w:sz w:val="20"/>
                <w:szCs w:val="20"/>
              </w:rPr>
              <w:t>6,663</w:t>
            </w:r>
          </w:p>
        </w:tc>
        <w:tc>
          <w:tcPr>
            <w:tcW w:w="1530" w:type="dxa"/>
            <w:tcMar>
              <w:top w:w="30" w:type="dxa"/>
              <w:left w:w="45" w:type="dxa"/>
              <w:bottom w:w="30" w:type="dxa"/>
              <w:right w:w="45" w:type="dxa"/>
            </w:tcMar>
            <w:vAlign w:val="bottom"/>
            <w:hideMark/>
          </w:tcPr>
          <w:p w14:paraId="314D8014" w14:textId="77777777" w:rsidR="00C44200" w:rsidRPr="00C44200" w:rsidRDefault="00C44200" w:rsidP="00C44200">
            <w:pPr>
              <w:spacing w:after="0" w:line="240" w:lineRule="auto"/>
              <w:jc w:val="right"/>
              <w:rPr>
                <w:rFonts w:ascii="Arial" w:eastAsia="Times New Roman" w:hAnsi="Arial" w:cs="Arial"/>
                <w:sz w:val="20"/>
                <w:szCs w:val="20"/>
              </w:rPr>
            </w:pPr>
            <w:r w:rsidRPr="00C44200">
              <w:rPr>
                <w:rFonts w:ascii="Arial" w:eastAsia="Times New Roman" w:hAnsi="Arial" w:cs="Arial"/>
                <w:sz w:val="20"/>
                <w:szCs w:val="20"/>
              </w:rPr>
              <w:t>6,663</w:t>
            </w:r>
          </w:p>
        </w:tc>
      </w:tr>
      <w:tr w:rsidR="00C44200" w:rsidRPr="00C44200" w14:paraId="4083E863" w14:textId="77777777" w:rsidTr="00C44200">
        <w:trPr>
          <w:trHeight w:val="315"/>
        </w:trPr>
        <w:tc>
          <w:tcPr>
            <w:tcW w:w="0" w:type="auto"/>
            <w:tcMar>
              <w:top w:w="30" w:type="dxa"/>
              <w:left w:w="45" w:type="dxa"/>
              <w:bottom w:w="30" w:type="dxa"/>
              <w:right w:w="45" w:type="dxa"/>
            </w:tcMar>
            <w:vAlign w:val="bottom"/>
            <w:hideMark/>
          </w:tcPr>
          <w:p w14:paraId="355FA9A1" w14:textId="77777777" w:rsidR="00C44200" w:rsidRPr="00C44200" w:rsidRDefault="00C44200" w:rsidP="00C44200">
            <w:pPr>
              <w:spacing w:after="0" w:line="240" w:lineRule="auto"/>
              <w:jc w:val="left"/>
              <w:rPr>
                <w:rFonts w:ascii="Arial" w:eastAsia="Times New Roman" w:hAnsi="Arial" w:cs="Arial"/>
                <w:b/>
                <w:sz w:val="20"/>
                <w:szCs w:val="20"/>
              </w:rPr>
            </w:pPr>
            <w:r w:rsidRPr="00C44200">
              <w:rPr>
                <w:rFonts w:ascii="Arial" w:eastAsia="Times New Roman" w:hAnsi="Arial" w:cs="Arial"/>
                <w:b/>
                <w:sz w:val="20"/>
                <w:szCs w:val="20"/>
              </w:rPr>
              <w:t>Average Inventory</w:t>
            </w:r>
          </w:p>
        </w:tc>
        <w:tc>
          <w:tcPr>
            <w:tcW w:w="1852" w:type="dxa"/>
            <w:tcMar>
              <w:top w:w="30" w:type="dxa"/>
              <w:left w:w="45" w:type="dxa"/>
              <w:bottom w:w="30" w:type="dxa"/>
              <w:right w:w="45" w:type="dxa"/>
            </w:tcMar>
            <w:vAlign w:val="bottom"/>
            <w:hideMark/>
          </w:tcPr>
          <w:p w14:paraId="31FB67A5" w14:textId="77777777" w:rsidR="00C44200" w:rsidRPr="00C44200" w:rsidRDefault="00C44200" w:rsidP="00C44200">
            <w:pPr>
              <w:spacing w:after="0" w:line="240" w:lineRule="auto"/>
              <w:jc w:val="right"/>
              <w:rPr>
                <w:rFonts w:ascii="Arial" w:eastAsia="Times New Roman" w:hAnsi="Arial" w:cs="Arial"/>
                <w:sz w:val="20"/>
                <w:szCs w:val="20"/>
              </w:rPr>
            </w:pPr>
            <w:r w:rsidRPr="00C44200">
              <w:rPr>
                <w:rFonts w:ascii="Arial" w:eastAsia="Times New Roman" w:hAnsi="Arial" w:cs="Arial"/>
                <w:sz w:val="20"/>
                <w:szCs w:val="20"/>
              </w:rPr>
              <w:t>2530</w:t>
            </w:r>
          </w:p>
        </w:tc>
        <w:tc>
          <w:tcPr>
            <w:tcW w:w="990" w:type="dxa"/>
            <w:tcMar>
              <w:top w:w="30" w:type="dxa"/>
              <w:left w:w="45" w:type="dxa"/>
              <w:bottom w:w="30" w:type="dxa"/>
              <w:right w:w="45" w:type="dxa"/>
            </w:tcMar>
            <w:vAlign w:val="bottom"/>
            <w:hideMark/>
          </w:tcPr>
          <w:p w14:paraId="14C3FCD6" w14:textId="77777777" w:rsidR="00C44200" w:rsidRPr="00C44200" w:rsidRDefault="00C44200" w:rsidP="00C44200">
            <w:pPr>
              <w:spacing w:after="0" w:line="240" w:lineRule="auto"/>
              <w:jc w:val="right"/>
              <w:rPr>
                <w:rFonts w:ascii="Arial" w:eastAsia="Times New Roman" w:hAnsi="Arial" w:cs="Arial"/>
                <w:sz w:val="20"/>
                <w:szCs w:val="20"/>
              </w:rPr>
            </w:pPr>
            <w:r w:rsidRPr="00C44200">
              <w:rPr>
                <w:rFonts w:ascii="Arial" w:eastAsia="Times New Roman" w:hAnsi="Arial" w:cs="Arial"/>
                <w:sz w:val="20"/>
                <w:szCs w:val="20"/>
              </w:rPr>
              <w:t>2,487</w:t>
            </w:r>
          </w:p>
        </w:tc>
        <w:tc>
          <w:tcPr>
            <w:tcW w:w="1440" w:type="dxa"/>
            <w:tcMar>
              <w:top w:w="30" w:type="dxa"/>
              <w:left w:w="45" w:type="dxa"/>
              <w:bottom w:w="30" w:type="dxa"/>
              <w:right w:w="45" w:type="dxa"/>
            </w:tcMar>
            <w:vAlign w:val="bottom"/>
            <w:hideMark/>
          </w:tcPr>
          <w:p w14:paraId="3DC753B1" w14:textId="77777777" w:rsidR="00C44200" w:rsidRPr="00C44200" w:rsidRDefault="00C44200" w:rsidP="00C44200">
            <w:pPr>
              <w:spacing w:after="0" w:line="240" w:lineRule="auto"/>
              <w:jc w:val="right"/>
              <w:rPr>
                <w:rFonts w:ascii="Arial" w:eastAsia="Times New Roman" w:hAnsi="Arial" w:cs="Arial"/>
                <w:sz w:val="20"/>
                <w:szCs w:val="20"/>
              </w:rPr>
            </w:pPr>
            <w:r w:rsidRPr="00C44200">
              <w:rPr>
                <w:rFonts w:ascii="Arial" w:eastAsia="Times New Roman" w:hAnsi="Arial" w:cs="Arial"/>
                <w:sz w:val="20"/>
                <w:szCs w:val="20"/>
              </w:rPr>
              <w:t>2619</w:t>
            </w:r>
          </w:p>
        </w:tc>
        <w:tc>
          <w:tcPr>
            <w:tcW w:w="1170" w:type="dxa"/>
            <w:tcMar>
              <w:top w:w="30" w:type="dxa"/>
              <w:left w:w="45" w:type="dxa"/>
              <w:bottom w:w="30" w:type="dxa"/>
              <w:right w:w="45" w:type="dxa"/>
            </w:tcMar>
            <w:vAlign w:val="bottom"/>
            <w:hideMark/>
          </w:tcPr>
          <w:p w14:paraId="22E27EC0" w14:textId="77777777" w:rsidR="00C44200" w:rsidRPr="00C44200" w:rsidRDefault="00C44200" w:rsidP="00C44200">
            <w:pPr>
              <w:spacing w:after="0" w:line="240" w:lineRule="auto"/>
              <w:jc w:val="right"/>
              <w:rPr>
                <w:rFonts w:ascii="Arial" w:eastAsia="Times New Roman" w:hAnsi="Arial" w:cs="Arial"/>
                <w:sz w:val="20"/>
                <w:szCs w:val="20"/>
              </w:rPr>
            </w:pPr>
            <w:r w:rsidRPr="00C44200">
              <w:rPr>
                <w:rFonts w:ascii="Arial" w:eastAsia="Times New Roman" w:hAnsi="Arial" w:cs="Arial"/>
                <w:sz w:val="20"/>
                <w:szCs w:val="20"/>
              </w:rPr>
              <w:t>2910</w:t>
            </w:r>
          </w:p>
        </w:tc>
        <w:tc>
          <w:tcPr>
            <w:tcW w:w="1530" w:type="dxa"/>
            <w:tcMar>
              <w:top w:w="30" w:type="dxa"/>
              <w:left w:w="45" w:type="dxa"/>
              <w:bottom w:w="30" w:type="dxa"/>
              <w:right w:w="45" w:type="dxa"/>
            </w:tcMar>
            <w:vAlign w:val="bottom"/>
            <w:hideMark/>
          </w:tcPr>
          <w:p w14:paraId="6625503C" w14:textId="77777777" w:rsidR="00C44200" w:rsidRPr="00C44200" w:rsidRDefault="00C44200" w:rsidP="00C44200">
            <w:pPr>
              <w:spacing w:after="0" w:line="240" w:lineRule="auto"/>
              <w:jc w:val="right"/>
              <w:rPr>
                <w:rFonts w:ascii="Arial" w:eastAsia="Times New Roman" w:hAnsi="Arial" w:cs="Arial"/>
                <w:sz w:val="20"/>
                <w:szCs w:val="20"/>
              </w:rPr>
            </w:pPr>
            <w:r w:rsidRPr="00C44200">
              <w:rPr>
                <w:rFonts w:ascii="Arial" w:eastAsia="Times New Roman" w:hAnsi="Arial" w:cs="Arial"/>
                <w:sz w:val="20"/>
                <w:szCs w:val="20"/>
              </w:rPr>
              <w:t>2992</w:t>
            </w:r>
          </w:p>
        </w:tc>
      </w:tr>
      <w:tr w:rsidR="00C44200" w:rsidRPr="00C44200" w14:paraId="345A3C02" w14:textId="77777777" w:rsidTr="00C44200">
        <w:trPr>
          <w:trHeight w:val="315"/>
        </w:trPr>
        <w:tc>
          <w:tcPr>
            <w:tcW w:w="0" w:type="auto"/>
            <w:tcMar>
              <w:top w:w="30" w:type="dxa"/>
              <w:left w:w="45" w:type="dxa"/>
              <w:bottom w:w="30" w:type="dxa"/>
              <w:right w:w="45" w:type="dxa"/>
            </w:tcMar>
            <w:vAlign w:val="bottom"/>
            <w:hideMark/>
          </w:tcPr>
          <w:p w14:paraId="1F76E899" w14:textId="77777777" w:rsidR="00C44200" w:rsidRPr="00C44200" w:rsidRDefault="00C44200" w:rsidP="00C44200">
            <w:pPr>
              <w:spacing w:after="0" w:line="240" w:lineRule="auto"/>
              <w:jc w:val="left"/>
              <w:rPr>
                <w:rFonts w:ascii="Arial" w:eastAsia="Times New Roman" w:hAnsi="Arial" w:cs="Arial"/>
                <w:b/>
                <w:sz w:val="20"/>
                <w:szCs w:val="20"/>
              </w:rPr>
            </w:pPr>
            <w:r w:rsidRPr="00C44200">
              <w:rPr>
                <w:rFonts w:ascii="Arial" w:eastAsia="Times New Roman" w:hAnsi="Arial" w:cs="Arial"/>
                <w:b/>
                <w:sz w:val="20"/>
                <w:szCs w:val="20"/>
              </w:rPr>
              <w:t>Average Total Assets</w:t>
            </w:r>
          </w:p>
        </w:tc>
        <w:tc>
          <w:tcPr>
            <w:tcW w:w="1852" w:type="dxa"/>
            <w:tcMar>
              <w:top w:w="30" w:type="dxa"/>
              <w:left w:w="45" w:type="dxa"/>
              <w:bottom w:w="30" w:type="dxa"/>
              <w:right w:w="45" w:type="dxa"/>
            </w:tcMar>
            <w:vAlign w:val="bottom"/>
            <w:hideMark/>
          </w:tcPr>
          <w:p w14:paraId="2FC5E5C3" w14:textId="77777777" w:rsidR="00C44200" w:rsidRPr="00C44200" w:rsidRDefault="00C44200" w:rsidP="00C44200">
            <w:pPr>
              <w:spacing w:after="0" w:line="240" w:lineRule="auto"/>
              <w:jc w:val="right"/>
              <w:rPr>
                <w:rFonts w:ascii="Arial" w:eastAsia="Times New Roman" w:hAnsi="Arial" w:cs="Arial"/>
                <w:sz w:val="20"/>
                <w:szCs w:val="20"/>
              </w:rPr>
            </w:pPr>
            <w:r w:rsidRPr="00C44200">
              <w:rPr>
                <w:rFonts w:ascii="Arial" w:eastAsia="Times New Roman" w:hAnsi="Arial" w:cs="Arial"/>
                <w:sz w:val="20"/>
                <w:szCs w:val="20"/>
              </w:rPr>
              <w:t>11580</w:t>
            </w:r>
          </w:p>
        </w:tc>
        <w:tc>
          <w:tcPr>
            <w:tcW w:w="990" w:type="dxa"/>
            <w:tcMar>
              <w:top w:w="30" w:type="dxa"/>
              <w:left w:w="45" w:type="dxa"/>
              <w:bottom w:w="30" w:type="dxa"/>
              <w:right w:w="45" w:type="dxa"/>
            </w:tcMar>
            <w:vAlign w:val="bottom"/>
            <w:hideMark/>
          </w:tcPr>
          <w:p w14:paraId="560C3BCF" w14:textId="77777777" w:rsidR="00C44200" w:rsidRPr="00C44200" w:rsidRDefault="00C44200" w:rsidP="00C44200">
            <w:pPr>
              <w:spacing w:after="0" w:line="240" w:lineRule="auto"/>
              <w:jc w:val="right"/>
              <w:rPr>
                <w:rFonts w:ascii="Arial" w:eastAsia="Times New Roman" w:hAnsi="Arial" w:cs="Arial"/>
                <w:sz w:val="20"/>
                <w:szCs w:val="20"/>
              </w:rPr>
            </w:pPr>
            <w:r w:rsidRPr="00C44200">
              <w:rPr>
                <w:rFonts w:ascii="Arial" w:eastAsia="Times New Roman" w:hAnsi="Arial" w:cs="Arial"/>
                <w:sz w:val="20"/>
                <w:szCs w:val="20"/>
              </w:rPr>
              <w:t>11924.5</w:t>
            </w:r>
          </w:p>
        </w:tc>
        <w:tc>
          <w:tcPr>
            <w:tcW w:w="1440" w:type="dxa"/>
            <w:tcMar>
              <w:top w:w="30" w:type="dxa"/>
              <w:left w:w="45" w:type="dxa"/>
              <w:bottom w:w="30" w:type="dxa"/>
              <w:right w:w="45" w:type="dxa"/>
            </w:tcMar>
            <w:vAlign w:val="bottom"/>
            <w:hideMark/>
          </w:tcPr>
          <w:p w14:paraId="2E5F6977" w14:textId="77777777" w:rsidR="00C44200" w:rsidRPr="00C44200" w:rsidRDefault="00C44200" w:rsidP="00C44200">
            <w:pPr>
              <w:spacing w:after="0" w:line="240" w:lineRule="auto"/>
              <w:jc w:val="right"/>
              <w:rPr>
                <w:rFonts w:ascii="Arial" w:eastAsia="Times New Roman" w:hAnsi="Arial" w:cs="Arial"/>
                <w:sz w:val="20"/>
                <w:szCs w:val="20"/>
              </w:rPr>
            </w:pPr>
            <w:r w:rsidRPr="00C44200">
              <w:rPr>
                <w:rFonts w:ascii="Arial" w:eastAsia="Times New Roman" w:hAnsi="Arial" w:cs="Arial"/>
                <w:sz w:val="20"/>
                <w:szCs w:val="20"/>
              </w:rPr>
              <w:t>12311</w:t>
            </w:r>
          </w:p>
        </w:tc>
        <w:tc>
          <w:tcPr>
            <w:tcW w:w="1170" w:type="dxa"/>
            <w:tcMar>
              <w:top w:w="30" w:type="dxa"/>
              <w:left w:w="45" w:type="dxa"/>
              <w:bottom w:w="30" w:type="dxa"/>
              <w:right w:w="45" w:type="dxa"/>
            </w:tcMar>
            <w:vAlign w:val="bottom"/>
            <w:hideMark/>
          </w:tcPr>
          <w:p w14:paraId="1D5DB7F9" w14:textId="77777777" w:rsidR="00C44200" w:rsidRPr="00C44200" w:rsidRDefault="00C44200" w:rsidP="00C44200">
            <w:pPr>
              <w:spacing w:after="0" w:line="240" w:lineRule="auto"/>
              <w:jc w:val="right"/>
              <w:rPr>
                <w:rFonts w:ascii="Arial" w:eastAsia="Times New Roman" w:hAnsi="Arial" w:cs="Arial"/>
                <w:sz w:val="20"/>
                <w:szCs w:val="20"/>
              </w:rPr>
            </w:pPr>
            <w:r w:rsidRPr="00C44200">
              <w:rPr>
                <w:rFonts w:ascii="Arial" w:eastAsia="Times New Roman" w:hAnsi="Arial" w:cs="Arial"/>
                <w:sz w:val="20"/>
                <w:szCs w:val="20"/>
              </w:rPr>
              <w:t>12228</w:t>
            </w:r>
          </w:p>
        </w:tc>
        <w:tc>
          <w:tcPr>
            <w:tcW w:w="1530" w:type="dxa"/>
            <w:tcMar>
              <w:top w:w="30" w:type="dxa"/>
              <w:left w:w="45" w:type="dxa"/>
              <w:bottom w:w="30" w:type="dxa"/>
              <w:right w:w="45" w:type="dxa"/>
            </w:tcMar>
            <w:vAlign w:val="bottom"/>
            <w:hideMark/>
          </w:tcPr>
          <w:p w14:paraId="2F6798B6" w14:textId="77777777" w:rsidR="00C44200" w:rsidRPr="00C44200" w:rsidRDefault="00C44200" w:rsidP="00C44200">
            <w:pPr>
              <w:spacing w:after="0" w:line="240" w:lineRule="auto"/>
              <w:jc w:val="right"/>
              <w:rPr>
                <w:rFonts w:ascii="Arial" w:eastAsia="Times New Roman" w:hAnsi="Arial" w:cs="Arial"/>
                <w:sz w:val="20"/>
                <w:szCs w:val="20"/>
              </w:rPr>
            </w:pPr>
            <w:r w:rsidRPr="00C44200">
              <w:rPr>
                <w:rFonts w:ascii="Arial" w:eastAsia="Times New Roman" w:hAnsi="Arial" w:cs="Arial"/>
                <w:sz w:val="20"/>
                <w:szCs w:val="20"/>
              </w:rPr>
              <w:t>12,002</w:t>
            </w:r>
          </w:p>
        </w:tc>
      </w:tr>
      <w:tr w:rsidR="00C44200" w:rsidRPr="00C44200" w14:paraId="60271992" w14:textId="77777777" w:rsidTr="00C44200">
        <w:trPr>
          <w:trHeight w:val="315"/>
        </w:trPr>
        <w:tc>
          <w:tcPr>
            <w:tcW w:w="0" w:type="auto"/>
            <w:tcMar>
              <w:top w:w="30" w:type="dxa"/>
              <w:left w:w="45" w:type="dxa"/>
              <w:bottom w:w="30" w:type="dxa"/>
              <w:right w:w="45" w:type="dxa"/>
            </w:tcMar>
            <w:vAlign w:val="bottom"/>
            <w:hideMark/>
          </w:tcPr>
          <w:p w14:paraId="04BCF3EB" w14:textId="77777777" w:rsidR="00C44200" w:rsidRPr="00C44200" w:rsidRDefault="00C44200" w:rsidP="00C44200">
            <w:pPr>
              <w:spacing w:after="0" w:line="240" w:lineRule="auto"/>
              <w:jc w:val="left"/>
              <w:rPr>
                <w:rFonts w:ascii="Arial" w:eastAsia="Times New Roman" w:hAnsi="Arial" w:cs="Arial"/>
                <w:b/>
                <w:sz w:val="20"/>
                <w:szCs w:val="20"/>
              </w:rPr>
            </w:pPr>
            <w:r w:rsidRPr="00C44200">
              <w:rPr>
                <w:rFonts w:ascii="Arial" w:eastAsia="Times New Roman" w:hAnsi="Arial" w:cs="Arial"/>
                <w:b/>
                <w:sz w:val="20"/>
                <w:szCs w:val="20"/>
              </w:rPr>
              <w:t>Total Liabilities</w:t>
            </w:r>
          </w:p>
        </w:tc>
        <w:tc>
          <w:tcPr>
            <w:tcW w:w="1852" w:type="dxa"/>
            <w:tcMar>
              <w:top w:w="30" w:type="dxa"/>
              <w:left w:w="45" w:type="dxa"/>
              <w:bottom w:w="30" w:type="dxa"/>
              <w:right w:w="45" w:type="dxa"/>
            </w:tcMar>
            <w:vAlign w:val="bottom"/>
            <w:hideMark/>
          </w:tcPr>
          <w:p w14:paraId="5FE63405" w14:textId="77777777" w:rsidR="00C44200" w:rsidRPr="00C44200" w:rsidRDefault="00C44200" w:rsidP="00C44200">
            <w:pPr>
              <w:spacing w:after="0" w:line="240" w:lineRule="auto"/>
              <w:jc w:val="right"/>
              <w:rPr>
                <w:rFonts w:ascii="Arial" w:eastAsia="Times New Roman" w:hAnsi="Arial" w:cs="Arial"/>
                <w:sz w:val="20"/>
                <w:szCs w:val="20"/>
              </w:rPr>
            </w:pPr>
            <w:r w:rsidRPr="00C44200">
              <w:rPr>
                <w:rFonts w:ascii="Arial" w:eastAsia="Times New Roman" w:hAnsi="Arial" w:cs="Arial"/>
                <w:sz w:val="20"/>
                <w:szCs w:val="20"/>
              </w:rPr>
              <w:t>5,510</w:t>
            </w:r>
          </w:p>
        </w:tc>
        <w:tc>
          <w:tcPr>
            <w:tcW w:w="990" w:type="dxa"/>
            <w:tcMar>
              <w:top w:w="30" w:type="dxa"/>
              <w:left w:w="45" w:type="dxa"/>
              <w:bottom w:w="30" w:type="dxa"/>
              <w:right w:w="45" w:type="dxa"/>
            </w:tcMar>
            <w:vAlign w:val="bottom"/>
            <w:hideMark/>
          </w:tcPr>
          <w:p w14:paraId="1D667FC1" w14:textId="77777777" w:rsidR="00C44200" w:rsidRPr="00C44200" w:rsidRDefault="00C44200" w:rsidP="00C44200">
            <w:pPr>
              <w:spacing w:after="0" w:line="240" w:lineRule="auto"/>
              <w:jc w:val="right"/>
              <w:rPr>
                <w:rFonts w:ascii="Arial" w:eastAsia="Times New Roman" w:hAnsi="Arial" w:cs="Arial"/>
                <w:sz w:val="20"/>
                <w:szCs w:val="20"/>
              </w:rPr>
            </w:pPr>
            <w:r w:rsidRPr="00C44200">
              <w:rPr>
                <w:rFonts w:ascii="Arial" w:eastAsia="Times New Roman" w:hAnsi="Arial" w:cs="Arial"/>
                <w:sz w:val="20"/>
                <w:szCs w:val="20"/>
              </w:rPr>
              <w:t>5,698</w:t>
            </w:r>
          </w:p>
        </w:tc>
        <w:tc>
          <w:tcPr>
            <w:tcW w:w="1440" w:type="dxa"/>
            <w:tcMar>
              <w:top w:w="30" w:type="dxa"/>
              <w:left w:w="45" w:type="dxa"/>
              <w:bottom w:w="30" w:type="dxa"/>
              <w:right w:w="45" w:type="dxa"/>
            </w:tcMar>
            <w:vAlign w:val="bottom"/>
            <w:hideMark/>
          </w:tcPr>
          <w:p w14:paraId="003FE416" w14:textId="77777777" w:rsidR="00C44200" w:rsidRPr="00C44200" w:rsidRDefault="00C44200" w:rsidP="00C44200">
            <w:pPr>
              <w:spacing w:after="0" w:line="240" w:lineRule="auto"/>
              <w:jc w:val="right"/>
              <w:rPr>
                <w:rFonts w:ascii="Arial" w:eastAsia="Times New Roman" w:hAnsi="Arial" w:cs="Arial"/>
                <w:sz w:val="20"/>
                <w:szCs w:val="20"/>
              </w:rPr>
            </w:pPr>
            <w:r w:rsidRPr="00C44200">
              <w:rPr>
                <w:rFonts w:ascii="Arial" w:eastAsia="Times New Roman" w:hAnsi="Arial" w:cs="Arial"/>
                <w:sz w:val="20"/>
                <w:szCs w:val="20"/>
              </w:rPr>
              <w:t>5,574</w:t>
            </w:r>
          </w:p>
        </w:tc>
        <w:tc>
          <w:tcPr>
            <w:tcW w:w="1170" w:type="dxa"/>
            <w:tcMar>
              <w:top w:w="30" w:type="dxa"/>
              <w:left w:w="45" w:type="dxa"/>
              <w:bottom w:w="30" w:type="dxa"/>
              <w:right w:w="45" w:type="dxa"/>
            </w:tcMar>
            <w:vAlign w:val="bottom"/>
            <w:hideMark/>
          </w:tcPr>
          <w:p w14:paraId="2E1DD2B8" w14:textId="77777777" w:rsidR="00C44200" w:rsidRPr="00C44200" w:rsidRDefault="00C44200" w:rsidP="00C44200">
            <w:pPr>
              <w:spacing w:after="0" w:line="240" w:lineRule="auto"/>
              <w:jc w:val="right"/>
              <w:rPr>
                <w:rFonts w:ascii="Arial" w:eastAsia="Times New Roman" w:hAnsi="Arial" w:cs="Arial"/>
                <w:sz w:val="20"/>
                <w:szCs w:val="20"/>
              </w:rPr>
            </w:pPr>
            <w:r w:rsidRPr="00C44200">
              <w:rPr>
                <w:rFonts w:ascii="Arial" w:eastAsia="Times New Roman" w:hAnsi="Arial" w:cs="Arial"/>
                <w:sz w:val="20"/>
                <w:szCs w:val="20"/>
              </w:rPr>
              <w:t>5,440</w:t>
            </w:r>
          </w:p>
        </w:tc>
        <w:tc>
          <w:tcPr>
            <w:tcW w:w="1530" w:type="dxa"/>
            <w:tcMar>
              <w:top w:w="30" w:type="dxa"/>
              <w:left w:w="45" w:type="dxa"/>
              <w:bottom w:w="30" w:type="dxa"/>
              <w:right w:w="45" w:type="dxa"/>
            </w:tcMar>
            <w:vAlign w:val="bottom"/>
            <w:hideMark/>
          </w:tcPr>
          <w:p w14:paraId="4929B58F" w14:textId="77777777" w:rsidR="00C44200" w:rsidRPr="00C44200" w:rsidRDefault="00C44200" w:rsidP="00C44200">
            <w:pPr>
              <w:spacing w:after="0" w:line="240" w:lineRule="auto"/>
              <w:jc w:val="right"/>
              <w:rPr>
                <w:rFonts w:ascii="Arial" w:eastAsia="Times New Roman" w:hAnsi="Arial" w:cs="Arial"/>
                <w:sz w:val="20"/>
                <w:szCs w:val="20"/>
              </w:rPr>
            </w:pPr>
            <w:r w:rsidRPr="00C44200">
              <w:rPr>
                <w:rFonts w:ascii="Arial" w:eastAsia="Times New Roman" w:hAnsi="Arial" w:cs="Arial"/>
                <w:sz w:val="20"/>
                <w:szCs w:val="20"/>
              </w:rPr>
              <w:t>5,296</w:t>
            </w:r>
          </w:p>
        </w:tc>
      </w:tr>
      <w:tr w:rsidR="00C44200" w:rsidRPr="00C44200" w14:paraId="35918AC1" w14:textId="77777777" w:rsidTr="00C44200">
        <w:trPr>
          <w:trHeight w:val="315"/>
        </w:trPr>
        <w:tc>
          <w:tcPr>
            <w:tcW w:w="0" w:type="auto"/>
            <w:tcMar>
              <w:top w:w="30" w:type="dxa"/>
              <w:left w:w="45" w:type="dxa"/>
              <w:bottom w:w="30" w:type="dxa"/>
              <w:right w:w="45" w:type="dxa"/>
            </w:tcMar>
            <w:vAlign w:val="bottom"/>
            <w:hideMark/>
          </w:tcPr>
          <w:p w14:paraId="570CE216" w14:textId="77777777" w:rsidR="00C44200" w:rsidRPr="00C44200" w:rsidRDefault="00C44200" w:rsidP="00C44200">
            <w:pPr>
              <w:spacing w:after="0" w:line="240" w:lineRule="auto"/>
              <w:jc w:val="left"/>
              <w:rPr>
                <w:rFonts w:ascii="Arial" w:eastAsia="Times New Roman" w:hAnsi="Arial" w:cs="Arial"/>
                <w:b/>
                <w:sz w:val="20"/>
                <w:szCs w:val="20"/>
              </w:rPr>
            </w:pPr>
            <w:r w:rsidRPr="00C44200">
              <w:rPr>
                <w:rFonts w:ascii="Arial" w:eastAsia="Times New Roman" w:hAnsi="Arial" w:cs="Arial"/>
                <w:b/>
                <w:sz w:val="20"/>
                <w:szCs w:val="20"/>
              </w:rPr>
              <w:t>Interest Expense</w:t>
            </w:r>
          </w:p>
        </w:tc>
        <w:tc>
          <w:tcPr>
            <w:tcW w:w="1852" w:type="dxa"/>
            <w:tcMar>
              <w:top w:w="30" w:type="dxa"/>
              <w:left w:w="45" w:type="dxa"/>
              <w:bottom w:w="30" w:type="dxa"/>
              <w:right w:w="45" w:type="dxa"/>
            </w:tcMar>
            <w:vAlign w:val="bottom"/>
            <w:hideMark/>
          </w:tcPr>
          <w:p w14:paraId="244A3CFC" w14:textId="77777777" w:rsidR="00C44200" w:rsidRPr="00C44200" w:rsidRDefault="00C44200" w:rsidP="00C44200">
            <w:pPr>
              <w:spacing w:after="0" w:line="240" w:lineRule="auto"/>
              <w:jc w:val="right"/>
              <w:rPr>
                <w:rFonts w:ascii="Arial" w:eastAsia="Times New Roman" w:hAnsi="Arial" w:cs="Arial"/>
                <w:sz w:val="20"/>
                <w:szCs w:val="20"/>
              </w:rPr>
            </w:pPr>
            <w:r w:rsidRPr="00C44200">
              <w:rPr>
                <w:rFonts w:ascii="Arial" w:eastAsia="Times New Roman" w:hAnsi="Arial" w:cs="Arial"/>
                <w:sz w:val="20"/>
                <w:szCs w:val="20"/>
              </w:rPr>
              <w:t>191</w:t>
            </w:r>
          </w:p>
        </w:tc>
        <w:tc>
          <w:tcPr>
            <w:tcW w:w="990" w:type="dxa"/>
            <w:tcMar>
              <w:top w:w="30" w:type="dxa"/>
              <w:left w:w="45" w:type="dxa"/>
              <w:bottom w:w="30" w:type="dxa"/>
              <w:right w:w="45" w:type="dxa"/>
            </w:tcMar>
            <w:vAlign w:val="bottom"/>
            <w:hideMark/>
          </w:tcPr>
          <w:p w14:paraId="4F1264F7" w14:textId="77777777" w:rsidR="00C44200" w:rsidRPr="00C44200" w:rsidRDefault="00C44200" w:rsidP="00C44200">
            <w:pPr>
              <w:spacing w:after="0" w:line="240" w:lineRule="auto"/>
              <w:jc w:val="right"/>
              <w:rPr>
                <w:rFonts w:ascii="Arial" w:eastAsia="Times New Roman" w:hAnsi="Arial" w:cs="Arial"/>
                <w:sz w:val="20"/>
                <w:szCs w:val="20"/>
              </w:rPr>
            </w:pPr>
            <w:r w:rsidRPr="00C44200">
              <w:rPr>
                <w:rFonts w:ascii="Arial" w:eastAsia="Times New Roman" w:hAnsi="Arial" w:cs="Arial"/>
                <w:sz w:val="20"/>
                <w:szCs w:val="20"/>
              </w:rPr>
              <w:t>180</w:t>
            </w:r>
          </w:p>
        </w:tc>
        <w:tc>
          <w:tcPr>
            <w:tcW w:w="1440" w:type="dxa"/>
            <w:tcMar>
              <w:top w:w="30" w:type="dxa"/>
              <w:left w:w="45" w:type="dxa"/>
              <w:bottom w:w="30" w:type="dxa"/>
              <w:right w:w="45" w:type="dxa"/>
            </w:tcMar>
            <w:vAlign w:val="bottom"/>
            <w:hideMark/>
          </w:tcPr>
          <w:p w14:paraId="0FB83445" w14:textId="77777777" w:rsidR="00C44200" w:rsidRPr="00C44200" w:rsidRDefault="00C44200" w:rsidP="00C44200">
            <w:pPr>
              <w:spacing w:after="0" w:line="240" w:lineRule="auto"/>
              <w:jc w:val="right"/>
              <w:rPr>
                <w:rFonts w:ascii="Arial" w:eastAsia="Times New Roman" w:hAnsi="Arial" w:cs="Arial"/>
                <w:sz w:val="20"/>
                <w:szCs w:val="20"/>
              </w:rPr>
            </w:pPr>
            <w:r w:rsidRPr="00C44200">
              <w:rPr>
                <w:rFonts w:ascii="Arial" w:eastAsia="Times New Roman" w:hAnsi="Arial" w:cs="Arial"/>
                <w:sz w:val="20"/>
                <w:szCs w:val="20"/>
              </w:rPr>
              <w:t>148</w:t>
            </w:r>
          </w:p>
        </w:tc>
        <w:tc>
          <w:tcPr>
            <w:tcW w:w="1170" w:type="dxa"/>
            <w:tcMar>
              <w:top w:w="30" w:type="dxa"/>
              <w:left w:w="45" w:type="dxa"/>
              <w:bottom w:w="30" w:type="dxa"/>
              <w:right w:w="45" w:type="dxa"/>
            </w:tcMar>
            <w:vAlign w:val="bottom"/>
            <w:hideMark/>
          </w:tcPr>
          <w:p w14:paraId="28B9FB0F" w14:textId="77777777" w:rsidR="00C44200" w:rsidRPr="00C44200" w:rsidRDefault="00C44200" w:rsidP="00C44200">
            <w:pPr>
              <w:spacing w:after="0" w:line="240" w:lineRule="auto"/>
              <w:jc w:val="right"/>
              <w:rPr>
                <w:rFonts w:ascii="Arial" w:eastAsia="Times New Roman" w:hAnsi="Arial" w:cs="Arial"/>
                <w:sz w:val="20"/>
                <w:szCs w:val="20"/>
              </w:rPr>
            </w:pPr>
            <w:r w:rsidRPr="00C44200">
              <w:rPr>
                <w:rFonts w:ascii="Arial" w:eastAsia="Times New Roman" w:hAnsi="Arial" w:cs="Arial"/>
                <w:sz w:val="20"/>
                <w:szCs w:val="20"/>
              </w:rPr>
              <w:t>129</w:t>
            </w:r>
          </w:p>
        </w:tc>
        <w:tc>
          <w:tcPr>
            <w:tcW w:w="1530" w:type="dxa"/>
            <w:tcMar>
              <w:top w:w="30" w:type="dxa"/>
              <w:left w:w="45" w:type="dxa"/>
              <w:bottom w:w="30" w:type="dxa"/>
              <w:right w:w="45" w:type="dxa"/>
            </w:tcMar>
            <w:vAlign w:val="bottom"/>
            <w:hideMark/>
          </w:tcPr>
          <w:p w14:paraId="01E12693" w14:textId="77777777" w:rsidR="00C44200" w:rsidRPr="00C44200" w:rsidRDefault="00C44200" w:rsidP="00C44200">
            <w:pPr>
              <w:spacing w:after="0" w:line="240" w:lineRule="auto"/>
              <w:jc w:val="right"/>
              <w:rPr>
                <w:rFonts w:ascii="Arial" w:eastAsia="Times New Roman" w:hAnsi="Arial" w:cs="Arial"/>
                <w:sz w:val="20"/>
                <w:szCs w:val="20"/>
              </w:rPr>
            </w:pPr>
            <w:r w:rsidRPr="00C44200">
              <w:rPr>
                <w:rFonts w:ascii="Arial" w:eastAsia="Times New Roman" w:hAnsi="Arial" w:cs="Arial"/>
                <w:sz w:val="20"/>
                <w:szCs w:val="20"/>
              </w:rPr>
              <w:t>133</w:t>
            </w:r>
          </w:p>
        </w:tc>
      </w:tr>
    </w:tbl>
    <w:p w14:paraId="0BEF8E65" w14:textId="77777777" w:rsidR="00C44200" w:rsidRDefault="00C44200" w:rsidP="00C44200"/>
    <w:p w14:paraId="10E8AD5D" w14:textId="0E9B546A" w:rsidR="00C44200" w:rsidRDefault="00C44200" w:rsidP="00C44200">
      <w:pPr>
        <w:rPr>
          <w:b/>
        </w:rPr>
      </w:pPr>
      <w:r w:rsidRPr="00C44200">
        <w:rPr>
          <w:b/>
        </w:rPr>
        <w:t xml:space="preserve">Travis Perkins PLC Financials </w:t>
      </w:r>
    </w:p>
    <w:tbl>
      <w:tblPr>
        <w:tblW w:w="95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603"/>
        <w:gridCol w:w="1852"/>
        <w:gridCol w:w="990"/>
        <w:gridCol w:w="1440"/>
        <w:gridCol w:w="1170"/>
        <w:gridCol w:w="1530"/>
      </w:tblGrid>
      <w:tr w:rsidR="0090401F" w:rsidRPr="00C44200" w14:paraId="0CBCFBDD" w14:textId="77777777" w:rsidTr="004E1A3B">
        <w:trPr>
          <w:trHeight w:val="315"/>
        </w:trPr>
        <w:tc>
          <w:tcPr>
            <w:tcW w:w="0" w:type="auto"/>
            <w:vMerge w:val="restart"/>
            <w:tcMar>
              <w:top w:w="30" w:type="dxa"/>
              <w:left w:w="45" w:type="dxa"/>
              <w:bottom w:w="30" w:type="dxa"/>
              <w:right w:w="45" w:type="dxa"/>
            </w:tcMar>
            <w:vAlign w:val="bottom"/>
            <w:hideMark/>
          </w:tcPr>
          <w:p w14:paraId="01B6BF2B" w14:textId="77777777" w:rsidR="0090401F" w:rsidRPr="00C44200" w:rsidRDefault="0090401F" w:rsidP="004E1A3B">
            <w:pPr>
              <w:spacing w:after="0" w:line="240" w:lineRule="auto"/>
              <w:jc w:val="left"/>
              <w:rPr>
                <w:rFonts w:ascii="Arial" w:eastAsia="Times New Roman" w:hAnsi="Arial" w:cs="Arial"/>
                <w:sz w:val="20"/>
                <w:szCs w:val="20"/>
              </w:rPr>
            </w:pPr>
          </w:p>
        </w:tc>
        <w:tc>
          <w:tcPr>
            <w:tcW w:w="6982" w:type="dxa"/>
            <w:gridSpan w:val="5"/>
            <w:tcMar>
              <w:top w:w="30" w:type="dxa"/>
              <w:left w:w="45" w:type="dxa"/>
              <w:bottom w:w="30" w:type="dxa"/>
              <w:right w:w="45" w:type="dxa"/>
            </w:tcMar>
            <w:vAlign w:val="bottom"/>
            <w:hideMark/>
          </w:tcPr>
          <w:p w14:paraId="5AD0864C" w14:textId="77777777" w:rsidR="0090401F" w:rsidRPr="00C44200" w:rsidRDefault="0090401F" w:rsidP="004E1A3B">
            <w:pPr>
              <w:spacing w:after="0" w:line="240" w:lineRule="auto"/>
              <w:jc w:val="center"/>
              <w:rPr>
                <w:rFonts w:ascii="Times New Roman" w:eastAsia="Times New Roman" w:hAnsi="Times New Roman" w:cs="Times New Roman"/>
                <w:b/>
                <w:bCs/>
              </w:rPr>
            </w:pPr>
            <w:r w:rsidRPr="00C44200">
              <w:rPr>
                <w:rFonts w:ascii="Times New Roman" w:eastAsia="Times New Roman" w:hAnsi="Times New Roman" w:cs="Times New Roman"/>
                <w:b/>
                <w:bCs/>
              </w:rPr>
              <w:t xml:space="preserve">Year </w:t>
            </w:r>
            <w:r w:rsidRPr="00C44200">
              <w:rPr>
                <w:rFonts w:ascii="Times New Roman" w:eastAsia="Times New Roman" w:hAnsi="Times New Roman" w:cs="Times New Roman"/>
                <w:b/>
                <w:bCs/>
              </w:rPr>
              <w:br/>
              <w:t>(figures £ million)</w:t>
            </w:r>
          </w:p>
        </w:tc>
      </w:tr>
      <w:tr w:rsidR="0090401F" w:rsidRPr="00C44200" w14:paraId="26E3586C" w14:textId="77777777" w:rsidTr="004E1A3B">
        <w:trPr>
          <w:trHeight w:val="315"/>
        </w:trPr>
        <w:tc>
          <w:tcPr>
            <w:tcW w:w="0" w:type="auto"/>
            <w:vMerge/>
            <w:tcMar>
              <w:top w:w="30" w:type="dxa"/>
              <w:left w:w="45" w:type="dxa"/>
              <w:bottom w:w="30" w:type="dxa"/>
              <w:right w:w="45" w:type="dxa"/>
            </w:tcMar>
            <w:vAlign w:val="bottom"/>
            <w:hideMark/>
          </w:tcPr>
          <w:p w14:paraId="49170721" w14:textId="77777777" w:rsidR="0090401F" w:rsidRPr="00C44200" w:rsidRDefault="0090401F" w:rsidP="004E1A3B">
            <w:pPr>
              <w:spacing w:after="0" w:line="240" w:lineRule="auto"/>
              <w:jc w:val="left"/>
              <w:rPr>
                <w:rFonts w:ascii="Arial" w:eastAsia="Times New Roman" w:hAnsi="Arial" w:cs="Arial"/>
                <w:sz w:val="20"/>
                <w:szCs w:val="20"/>
              </w:rPr>
            </w:pPr>
          </w:p>
        </w:tc>
        <w:tc>
          <w:tcPr>
            <w:tcW w:w="1852" w:type="dxa"/>
            <w:tcMar>
              <w:top w:w="30" w:type="dxa"/>
              <w:left w:w="45" w:type="dxa"/>
              <w:bottom w:w="30" w:type="dxa"/>
              <w:right w:w="45" w:type="dxa"/>
            </w:tcMar>
            <w:vAlign w:val="bottom"/>
            <w:hideMark/>
          </w:tcPr>
          <w:p w14:paraId="13795F86" w14:textId="77777777" w:rsidR="0090401F" w:rsidRPr="00C44200" w:rsidRDefault="0090401F" w:rsidP="004E1A3B">
            <w:pPr>
              <w:spacing w:after="0" w:line="240" w:lineRule="auto"/>
              <w:jc w:val="center"/>
              <w:rPr>
                <w:rFonts w:ascii="Times New Roman" w:eastAsia="Times New Roman" w:hAnsi="Times New Roman" w:cs="Times New Roman"/>
                <w:b/>
                <w:bCs/>
              </w:rPr>
            </w:pPr>
            <w:r w:rsidRPr="00C44200">
              <w:rPr>
                <w:rFonts w:ascii="Times New Roman" w:eastAsia="Times New Roman" w:hAnsi="Times New Roman" w:cs="Times New Roman"/>
                <w:b/>
                <w:bCs/>
              </w:rPr>
              <w:t>2019</w:t>
            </w:r>
          </w:p>
        </w:tc>
        <w:tc>
          <w:tcPr>
            <w:tcW w:w="990" w:type="dxa"/>
            <w:tcMar>
              <w:top w:w="30" w:type="dxa"/>
              <w:left w:w="45" w:type="dxa"/>
              <w:bottom w:w="30" w:type="dxa"/>
              <w:right w:w="45" w:type="dxa"/>
            </w:tcMar>
            <w:vAlign w:val="bottom"/>
            <w:hideMark/>
          </w:tcPr>
          <w:p w14:paraId="325245B0" w14:textId="77777777" w:rsidR="0090401F" w:rsidRPr="00C44200" w:rsidRDefault="0090401F" w:rsidP="004E1A3B">
            <w:pPr>
              <w:spacing w:after="0" w:line="240" w:lineRule="auto"/>
              <w:jc w:val="center"/>
              <w:rPr>
                <w:rFonts w:ascii="Times New Roman" w:eastAsia="Times New Roman" w:hAnsi="Times New Roman" w:cs="Times New Roman"/>
                <w:b/>
                <w:bCs/>
              </w:rPr>
            </w:pPr>
            <w:r w:rsidRPr="00C44200">
              <w:rPr>
                <w:rFonts w:ascii="Times New Roman" w:eastAsia="Times New Roman" w:hAnsi="Times New Roman" w:cs="Times New Roman"/>
                <w:b/>
                <w:bCs/>
              </w:rPr>
              <w:t>2020</w:t>
            </w:r>
          </w:p>
        </w:tc>
        <w:tc>
          <w:tcPr>
            <w:tcW w:w="1440" w:type="dxa"/>
            <w:tcMar>
              <w:top w:w="30" w:type="dxa"/>
              <w:left w:w="45" w:type="dxa"/>
              <w:bottom w:w="30" w:type="dxa"/>
              <w:right w:w="45" w:type="dxa"/>
            </w:tcMar>
            <w:vAlign w:val="bottom"/>
            <w:hideMark/>
          </w:tcPr>
          <w:p w14:paraId="194838A6" w14:textId="77777777" w:rsidR="0090401F" w:rsidRPr="00C44200" w:rsidRDefault="0090401F" w:rsidP="004E1A3B">
            <w:pPr>
              <w:spacing w:after="0" w:line="240" w:lineRule="auto"/>
              <w:jc w:val="center"/>
              <w:rPr>
                <w:rFonts w:ascii="Times New Roman" w:eastAsia="Times New Roman" w:hAnsi="Times New Roman" w:cs="Times New Roman"/>
                <w:b/>
                <w:bCs/>
              </w:rPr>
            </w:pPr>
            <w:r w:rsidRPr="00C44200">
              <w:rPr>
                <w:rFonts w:ascii="Times New Roman" w:eastAsia="Times New Roman" w:hAnsi="Times New Roman" w:cs="Times New Roman"/>
                <w:b/>
                <w:bCs/>
              </w:rPr>
              <w:t>2021</w:t>
            </w:r>
          </w:p>
        </w:tc>
        <w:tc>
          <w:tcPr>
            <w:tcW w:w="1170" w:type="dxa"/>
            <w:tcMar>
              <w:top w:w="30" w:type="dxa"/>
              <w:left w:w="45" w:type="dxa"/>
              <w:bottom w:w="30" w:type="dxa"/>
              <w:right w:w="45" w:type="dxa"/>
            </w:tcMar>
            <w:vAlign w:val="bottom"/>
            <w:hideMark/>
          </w:tcPr>
          <w:p w14:paraId="02B1E544" w14:textId="77777777" w:rsidR="0090401F" w:rsidRPr="00C44200" w:rsidRDefault="0090401F" w:rsidP="004E1A3B">
            <w:pPr>
              <w:spacing w:after="0" w:line="240" w:lineRule="auto"/>
              <w:jc w:val="center"/>
              <w:rPr>
                <w:rFonts w:ascii="Times New Roman" w:eastAsia="Times New Roman" w:hAnsi="Times New Roman" w:cs="Times New Roman"/>
                <w:b/>
                <w:bCs/>
              </w:rPr>
            </w:pPr>
            <w:r w:rsidRPr="00C44200">
              <w:rPr>
                <w:rFonts w:ascii="Times New Roman" w:eastAsia="Times New Roman" w:hAnsi="Times New Roman" w:cs="Times New Roman"/>
                <w:b/>
                <w:bCs/>
              </w:rPr>
              <w:t>2022</w:t>
            </w:r>
          </w:p>
        </w:tc>
        <w:tc>
          <w:tcPr>
            <w:tcW w:w="1530" w:type="dxa"/>
            <w:tcMar>
              <w:top w:w="30" w:type="dxa"/>
              <w:left w:w="45" w:type="dxa"/>
              <w:bottom w:w="30" w:type="dxa"/>
              <w:right w:w="45" w:type="dxa"/>
            </w:tcMar>
            <w:vAlign w:val="bottom"/>
            <w:hideMark/>
          </w:tcPr>
          <w:p w14:paraId="7DB51493" w14:textId="77777777" w:rsidR="0090401F" w:rsidRPr="00C44200" w:rsidRDefault="0090401F" w:rsidP="004E1A3B">
            <w:pPr>
              <w:spacing w:after="0" w:line="240" w:lineRule="auto"/>
              <w:jc w:val="center"/>
              <w:rPr>
                <w:rFonts w:ascii="Times New Roman" w:eastAsia="Times New Roman" w:hAnsi="Times New Roman" w:cs="Times New Roman"/>
                <w:b/>
                <w:bCs/>
              </w:rPr>
            </w:pPr>
            <w:r w:rsidRPr="00C44200">
              <w:rPr>
                <w:rFonts w:ascii="Times New Roman" w:eastAsia="Times New Roman" w:hAnsi="Times New Roman" w:cs="Times New Roman"/>
                <w:b/>
                <w:bCs/>
              </w:rPr>
              <w:t>2023</w:t>
            </w:r>
          </w:p>
        </w:tc>
      </w:tr>
      <w:tr w:rsidR="0090401F" w:rsidRPr="00C44200" w14:paraId="11B3471C" w14:textId="77777777" w:rsidTr="004E1A3B">
        <w:trPr>
          <w:trHeight w:val="315"/>
        </w:trPr>
        <w:tc>
          <w:tcPr>
            <w:tcW w:w="0" w:type="auto"/>
            <w:tcMar>
              <w:top w:w="30" w:type="dxa"/>
              <w:left w:w="45" w:type="dxa"/>
              <w:bottom w:w="30" w:type="dxa"/>
              <w:right w:w="45" w:type="dxa"/>
            </w:tcMar>
            <w:vAlign w:val="bottom"/>
            <w:hideMark/>
          </w:tcPr>
          <w:p w14:paraId="7AC3EBCA" w14:textId="77777777" w:rsidR="0090401F" w:rsidRPr="00C44200" w:rsidRDefault="0090401F" w:rsidP="004E1A3B">
            <w:pPr>
              <w:spacing w:after="0" w:line="240" w:lineRule="auto"/>
              <w:jc w:val="left"/>
              <w:rPr>
                <w:rFonts w:ascii="Arial" w:eastAsia="Times New Roman" w:hAnsi="Arial" w:cs="Arial"/>
                <w:b/>
                <w:sz w:val="20"/>
                <w:szCs w:val="20"/>
              </w:rPr>
            </w:pPr>
            <w:r w:rsidRPr="00C44200">
              <w:rPr>
                <w:rFonts w:ascii="Arial" w:eastAsia="Times New Roman" w:hAnsi="Arial" w:cs="Arial"/>
                <w:b/>
                <w:sz w:val="20"/>
                <w:szCs w:val="20"/>
              </w:rPr>
              <w:t>Sales</w:t>
            </w:r>
          </w:p>
        </w:tc>
        <w:tc>
          <w:tcPr>
            <w:tcW w:w="1852" w:type="dxa"/>
            <w:tcMar>
              <w:top w:w="30" w:type="dxa"/>
              <w:left w:w="45" w:type="dxa"/>
              <w:bottom w:w="30" w:type="dxa"/>
              <w:right w:w="45" w:type="dxa"/>
            </w:tcMar>
            <w:vAlign w:val="bottom"/>
            <w:hideMark/>
          </w:tcPr>
          <w:p w14:paraId="4939AC4D" w14:textId="0229CB1C" w:rsidR="0090401F" w:rsidRPr="00C44200" w:rsidRDefault="0090401F" w:rsidP="004E1A3B">
            <w:pPr>
              <w:spacing w:after="0" w:line="240" w:lineRule="auto"/>
              <w:jc w:val="right"/>
              <w:rPr>
                <w:rFonts w:ascii="Arial" w:eastAsia="Times New Roman" w:hAnsi="Arial" w:cs="Arial"/>
                <w:sz w:val="20"/>
                <w:szCs w:val="20"/>
              </w:rPr>
            </w:pPr>
            <w:r>
              <w:rPr>
                <w:rFonts w:ascii="Arial" w:hAnsi="Arial" w:cs="Arial"/>
                <w:sz w:val="20"/>
                <w:szCs w:val="20"/>
              </w:rPr>
              <w:t>6,956</w:t>
            </w:r>
          </w:p>
        </w:tc>
        <w:tc>
          <w:tcPr>
            <w:tcW w:w="990" w:type="dxa"/>
            <w:tcMar>
              <w:top w:w="30" w:type="dxa"/>
              <w:left w:w="45" w:type="dxa"/>
              <w:bottom w:w="30" w:type="dxa"/>
              <w:right w:w="45" w:type="dxa"/>
            </w:tcMar>
            <w:vAlign w:val="bottom"/>
            <w:hideMark/>
          </w:tcPr>
          <w:p w14:paraId="4493F2D8" w14:textId="751304AF" w:rsidR="0090401F" w:rsidRPr="00C44200" w:rsidRDefault="0090401F" w:rsidP="004E1A3B">
            <w:pPr>
              <w:spacing w:after="0" w:line="240" w:lineRule="auto"/>
              <w:jc w:val="right"/>
              <w:rPr>
                <w:rFonts w:ascii="Arial" w:eastAsia="Times New Roman" w:hAnsi="Arial" w:cs="Arial"/>
                <w:sz w:val="20"/>
                <w:szCs w:val="20"/>
              </w:rPr>
            </w:pPr>
            <w:r>
              <w:rPr>
                <w:rFonts w:ascii="Arial" w:hAnsi="Arial" w:cs="Arial"/>
                <w:sz w:val="20"/>
                <w:szCs w:val="20"/>
              </w:rPr>
              <w:t>3,698</w:t>
            </w:r>
          </w:p>
        </w:tc>
        <w:tc>
          <w:tcPr>
            <w:tcW w:w="1440" w:type="dxa"/>
            <w:tcMar>
              <w:top w:w="30" w:type="dxa"/>
              <w:left w:w="45" w:type="dxa"/>
              <w:bottom w:w="30" w:type="dxa"/>
              <w:right w:w="45" w:type="dxa"/>
            </w:tcMar>
            <w:vAlign w:val="bottom"/>
            <w:hideMark/>
          </w:tcPr>
          <w:p w14:paraId="7AD81F62" w14:textId="39F6BD2B" w:rsidR="0090401F" w:rsidRPr="00C44200" w:rsidRDefault="0090401F" w:rsidP="004E1A3B">
            <w:pPr>
              <w:spacing w:after="0" w:line="240" w:lineRule="auto"/>
              <w:jc w:val="right"/>
              <w:rPr>
                <w:rFonts w:ascii="Arial" w:eastAsia="Times New Roman" w:hAnsi="Arial" w:cs="Arial"/>
                <w:sz w:val="20"/>
                <w:szCs w:val="20"/>
              </w:rPr>
            </w:pPr>
            <w:r>
              <w:rPr>
                <w:rFonts w:ascii="Arial" w:hAnsi="Arial" w:cs="Arial"/>
                <w:sz w:val="20"/>
                <w:szCs w:val="20"/>
              </w:rPr>
              <w:t>4,587</w:t>
            </w:r>
          </w:p>
        </w:tc>
        <w:tc>
          <w:tcPr>
            <w:tcW w:w="1170" w:type="dxa"/>
            <w:tcMar>
              <w:top w:w="30" w:type="dxa"/>
              <w:left w:w="45" w:type="dxa"/>
              <w:bottom w:w="30" w:type="dxa"/>
              <w:right w:w="45" w:type="dxa"/>
            </w:tcMar>
            <w:vAlign w:val="bottom"/>
            <w:hideMark/>
          </w:tcPr>
          <w:p w14:paraId="5038E76A" w14:textId="7C04F5DE" w:rsidR="0090401F" w:rsidRPr="00C44200" w:rsidRDefault="0090401F" w:rsidP="004E1A3B">
            <w:pPr>
              <w:spacing w:after="0" w:line="240" w:lineRule="auto"/>
              <w:jc w:val="right"/>
              <w:rPr>
                <w:rFonts w:ascii="Arial" w:eastAsia="Times New Roman" w:hAnsi="Arial" w:cs="Arial"/>
                <w:sz w:val="20"/>
                <w:szCs w:val="20"/>
              </w:rPr>
            </w:pPr>
            <w:r>
              <w:rPr>
                <w:rFonts w:ascii="Arial" w:hAnsi="Arial" w:cs="Arial"/>
                <w:sz w:val="20"/>
                <w:szCs w:val="20"/>
              </w:rPr>
              <w:t>4,995</w:t>
            </w:r>
          </w:p>
        </w:tc>
        <w:tc>
          <w:tcPr>
            <w:tcW w:w="1530" w:type="dxa"/>
            <w:tcMar>
              <w:top w:w="30" w:type="dxa"/>
              <w:left w:w="45" w:type="dxa"/>
              <w:bottom w:w="30" w:type="dxa"/>
              <w:right w:w="45" w:type="dxa"/>
            </w:tcMar>
            <w:vAlign w:val="bottom"/>
            <w:hideMark/>
          </w:tcPr>
          <w:p w14:paraId="3212AE3E" w14:textId="294D36D0" w:rsidR="0090401F" w:rsidRPr="00C44200" w:rsidRDefault="0090401F" w:rsidP="004E1A3B">
            <w:pPr>
              <w:spacing w:after="0" w:line="240" w:lineRule="auto"/>
              <w:jc w:val="right"/>
              <w:rPr>
                <w:rFonts w:ascii="Arial" w:eastAsia="Times New Roman" w:hAnsi="Arial" w:cs="Arial"/>
                <w:sz w:val="20"/>
                <w:szCs w:val="20"/>
              </w:rPr>
            </w:pPr>
            <w:r>
              <w:rPr>
                <w:rFonts w:ascii="Arial" w:hAnsi="Arial" w:cs="Arial"/>
                <w:sz w:val="20"/>
                <w:szCs w:val="20"/>
              </w:rPr>
              <w:t>4,862</w:t>
            </w:r>
          </w:p>
        </w:tc>
      </w:tr>
      <w:tr w:rsidR="0090401F" w:rsidRPr="00C44200" w14:paraId="5F4CB0CC" w14:textId="77777777" w:rsidTr="004E1A3B">
        <w:trPr>
          <w:trHeight w:val="315"/>
        </w:trPr>
        <w:tc>
          <w:tcPr>
            <w:tcW w:w="0" w:type="auto"/>
            <w:tcMar>
              <w:top w:w="30" w:type="dxa"/>
              <w:left w:w="45" w:type="dxa"/>
              <w:bottom w:w="30" w:type="dxa"/>
              <w:right w:w="45" w:type="dxa"/>
            </w:tcMar>
            <w:vAlign w:val="bottom"/>
            <w:hideMark/>
          </w:tcPr>
          <w:p w14:paraId="25BBB4B2" w14:textId="77777777" w:rsidR="0090401F" w:rsidRPr="00C44200" w:rsidRDefault="0090401F" w:rsidP="004E1A3B">
            <w:pPr>
              <w:spacing w:after="0" w:line="240" w:lineRule="auto"/>
              <w:jc w:val="left"/>
              <w:rPr>
                <w:rFonts w:ascii="Arial" w:eastAsia="Times New Roman" w:hAnsi="Arial" w:cs="Arial"/>
                <w:b/>
                <w:sz w:val="20"/>
                <w:szCs w:val="20"/>
              </w:rPr>
            </w:pPr>
            <w:r w:rsidRPr="00C44200">
              <w:rPr>
                <w:rFonts w:ascii="Arial" w:eastAsia="Times New Roman" w:hAnsi="Arial" w:cs="Arial"/>
                <w:b/>
                <w:sz w:val="20"/>
                <w:szCs w:val="20"/>
              </w:rPr>
              <w:t>Cost of Goods Sold (COGS)</w:t>
            </w:r>
          </w:p>
        </w:tc>
        <w:tc>
          <w:tcPr>
            <w:tcW w:w="1852" w:type="dxa"/>
            <w:tcMar>
              <w:top w:w="30" w:type="dxa"/>
              <w:left w:w="45" w:type="dxa"/>
              <w:bottom w:w="30" w:type="dxa"/>
              <w:right w:w="45" w:type="dxa"/>
            </w:tcMar>
            <w:vAlign w:val="bottom"/>
            <w:hideMark/>
          </w:tcPr>
          <w:p w14:paraId="2D0FDAFF" w14:textId="363F52AD" w:rsidR="0090401F" w:rsidRPr="00C44200" w:rsidRDefault="0090401F" w:rsidP="004E1A3B">
            <w:pPr>
              <w:spacing w:after="0" w:line="240" w:lineRule="auto"/>
              <w:jc w:val="right"/>
              <w:rPr>
                <w:rFonts w:ascii="Arial" w:eastAsia="Times New Roman" w:hAnsi="Arial" w:cs="Arial"/>
                <w:sz w:val="20"/>
                <w:szCs w:val="20"/>
              </w:rPr>
            </w:pPr>
            <w:r>
              <w:rPr>
                <w:rFonts w:ascii="Arial" w:hAnsi="Arial" w:cs="Arial"/>
                <w:sz w:val="20"/>
                <w:szCs w:val="20"/>
              </w:rPr>
              <w:t>4,921</w:t>
            </w:r>
          </w:p>
        </w:tc>
        <w:tc>
          <w:tcPr>
            <w:tcW w:w="990" w:type="dxa"/>
            <w:tcMar>
              <w:top w:w="30" w:type="dxa"/>
              <w:left w:w="45" w:type="dxa"/>
              <w:bottom w:w="30" w:type="dxa"/>
              <w:right w:w="45" w:type="dxa"/>
            </w:tcMar>
            <w:vAlign w:val="bottom"/>
            <w:hideMark/>
          </w:tcPr>
          <w:p w14:paraId="5451234E" w14:textId="3CDFF8C2" w:rsidR="0090401F" w:rsidRPr="00C44200" w:rsidRDefault="0090401F" w:rsidP="004E1A3B">
            <w:pPr>
              <w:spacing w:after="0" w:line="240" w:lineRule="auto"/>
              <w:jc w:val="right"/>
              <w:rPr>
                <w:rFonts w:ascii="Arial" w:eastAsia="Times New Roman" w:hAnsi="Arial" w:cs="Arial"/>
                <w:sz w:val="20"/>
                <w:szCs w:val="20"/>
              </w:rPr>
            </w:pPr>
            <w:r>
              <w:rPr>
                <w:rFonts w:ascii="Arial" w:hAnsi="Arial" w:cs="Arial"/>
                <w:sz w:val="20"/>
                <w:szCs w:val="20"/>
              </w:rPr>
              <w:t>2,661</w:t>
            </w:r>
          </w:p>
        </w:tc>
        <w:tc>
          <w:tcPr>
            <w:tcW w:w="1440" w:type="dxa"/>
            <w:tcMar>
              <w:top w:w="30" w:type="dxa"/>
              <w:left w:w="45" w:type="dxa"/>
              <w:bottom w:w="30" w:type="dxa"/>
              <w:right w:w="45" w:type="dxa"/>
            </w:tcMar>
            <w:vAlign w:val="bottom"/>
            <w:hideMark/>
          </w:tcPr>
          <w:p w14:paraId="47C449CB" w14:textId="618C7ABE" w:rsidR="0090401F" w:rsidRPr="00C44200" w:rsidRDefault="0090401F" w:rsidP="004E1A3B">
            <w:pPr>
              <w:spacing w:after="0" w:line="240" w:lineRule="auto"/>
              <w:jc w:val="right"/>
              <w:rPr>
                <w:rFonts w:ascii="Arial" w:eastAsia="Times New Roman" w:hAnsi="Arial" w:cs="Arial"/>
                <w:sz w:val="20"/>
                <w:szCs w:val="20"/>
              </w:rPr>
            </w:pPr>
            <w:r>
              <w:rPr>
                <w:rFonts w:ascii="Arial" w:hAnsi="Arial" w:cs="Arial"/>
                <w:sz w:val="20"/>
                <w:szCs w:val="20"/>
              </w:rPr>
              <w:t>3,278</w:t>
            </w:r>
          </w:p>
        </w:tc>
        <w:tc>
          <w:tcPr>
            <w:tcW w:w="1170" w:type="dxa"/>
            <w:tcMar>
              <w:top w:w="30" w:type="dxa"/>
              <w:left w:w="45" w:type="dxa"/>
              <w:bottom w:w="30" w:type="dxa"/>
              <w:right w:w="45" w:type="dxa"/>
            </w:tcMar>
            <w:vAlign w:val="bottom"/>
            <w:hideMark/>
          </w:tcPr>
          <w:p w14:paraId="504FBE25" w14:textId="6F1C3F8F" w:rsidR="0090401F" w:rsidRPr="00C44200" w:rsidRDefault="0090401F" w:rsidP="004E1A3B">
            <w:pPr>
              <w:spacing w:after="0" w:line="240" w:lineRule="auto"/>
              <w:jc w:val="right"/>
              <w:rPr>
                <w:rFonts w:ascii="Arial" w:eastAsia="Times New Roman" w:hAnsi="Arial" w:cs="Arial"/>
                <w:sz w:val="20"/>
                <w:szCs w:val="20"/>
              </w:rPr>
            </w:pPr>
            <w:r>
              <w:rPr>
                <w:rFonts w:ascii="Arial" w:hAnsi="Arial" w:cs="Arial"/>
                <w:sz w:val="20"/>
                <w:szCs w:val="20"/>
              </w:rPr>
              <w:t>3,610</w:t>
            </w:r>
          </w:p>
        </w:tc>
        <w:tc>
          <w:tcPr>
            <w:tcW w:w="1530" w:type="dxa"/>
            <w:tcMar>
              <w:top w:w="30" w:type="dxa"/>
              <w:left w:w="45" w:type="dxa"/>
              <w:bottom w:w="30" w:type="dxa"/>
              <w:right w:w="45" w:type="dxa"/>
            </w:tcMar>
            <w:vAlign w:val="bottom"/>
            <w:hideMark/>
          </w:tcPr>
          <w:p w14:paraId="1E3E83A2" w14:textId="27C7C2E3" w:rsidR="0090401F" w:rsidRPr="00C44200" w:rsidRDefault="0090401F" w:rsidP="004E1A3B">
            <w:pPr>
              <w:spacing w:after="0" w:line="240" w:lineRule="auto"/>
              <w:jc w:val="right"/>
              <w:rPr>
                <w:rFonts w:ascii="Arial" w:eastAsia="Times New Roman" w:hAnsi="Arial" w:cs="Arial"/>
                <w:sz w:val="20"/>
                <w:szCs w:val="20"/>
              </w:rPr>
            </w:pPr>
            <w:r>
              <w:rPr>
                <w:rFonts w:ascii="Arial" w:hAnsi="Arial" w:cs="Arial"/>
                <w:sz w:val="20"/>
                <w:szCs w:val="20"/>
              </w:rPr>
              <w:t>3,556</w:t>
            </w:r>
          </w:p>
        </w:tc>
      </w:tr>
      <w:tr w:rsidR="0090401F" w:rsidRPr="00C44200" w14:paraId="0FC8B901" w14:textId="77777777" w:rsidTr="004E1A3B">
        <w:trPr>
          <w:trHeight w:val="315"/>
        </w:trPr>
        <w:tc>
          <w:tcPr>
            <w:tcW w:w="0" w:type="auto"/>
            <w:tcMar>
              <w:top w:w="30" w:type="dxa"/>
              <w:left w:w="45" w:type="dxa"/>
              <w:bottom w:w="30" w:type="dxa"/>
              <w:right w:w="45" w:type="dxa"/>
            </w:tcMar>
            <w:vAlign w:val="bottom"/>
            <w:hideMark/>
          </w:tcPr>
          <w:p w14:paraId="1C275EE0" w14:textId="77777777" w:rsidR="0090401F" w:rsidRPr="00C44200" w:rsidRDefault="0090401F" w:rsidP="004E1A3B">
            <w:pPr>
              <w:spacing w:after="0" w:line="240" w:lineRule="auto"/>
              <w:jc w:val="left"/>
              <w:rPr>
                <w:rFonts w:ascii="Arial" w:eastAsia="Times New Roman" w:hAnsi="Arial" w:cs="Arial"/>
                <w:b/>
                <w:sz w:val="20"/>
                <w:szCs w:val="20"/>
              </w:rPr>
            </w:pPr>
            <w:r w:rsidRPr="00C44200">
              <w:rPr>
                <w:rFonts w:ascii="Arial" w:eastAsia="Times New Roman" w:hAnsi="Arial" w:cs="Arial"/>
                <w:b/>
                <w:sz w:val="20"/>
                <w:szCs w:val="20"/>
              </w:rPr>
              <w:t>Gross Profit</w:t>
            </w:r>
          </w:p>
        </w:tc>
        <w:tc>
          <w:tcPr>
            <w:tcW w:w="1852" w:type="dxa"/>
            <w:tcMar>
              <w:top w:w="30" w:type="dxa"/>
              <w:left w:w="45" w:type="dxa"/>
              <w:bottom w:w="30" w:type="dxa"/>
              <w:right w:w="45" w:type="dxa"/>
            </w:tcMar>
            <w:vAlign w:val="bottom"/>
            <w:hideMark/>
          </w:tcPr>
          <w:p w14:paraId="2D6F65E8" w14:textId="62612E4F" w:rsidR="0090401F" w:rsidRPr="00C44200" w:rsidRDefault="0090401F" w:rsidP="004E1A3B">
            <w:pPr>
              <w:spacing w:after="0" w:line="240" w:lineRule="auto"/>
              <w:jc w:val="right"/>
              <w:rPr>
                <w:rFonts w:ascii="Arial" w:eastAsia="Times New Roman" w:hAnsi="Arial" w:cs="Arial"/>
                <w:sz w:val="20"/>
                <w:szCs w:val="20"/>
              </w:rPr>
            </w:pPr>
            <w:r>
              <w:rPr>
                <w:rFonts w:ascii="Arial" w:hAnsi="Arial" w:cs="Arial"/>
                <w:sz w:val="20"/>
                <w:szCs w:val="20"/>
              </w:rPr>
              <w:t>2,035</w:t>
            </w:r>
          </w:p>
        </w:tc>
        <w:tc>
          <w:tcPr>
            <w:tcW w:w="990" w:type="dxa"/>
            <w:tcMar>
              <w:top w:w="30" w:type="dxa"/>
              <w:left w:w="45" w:type="dxa"/>
              <w:bottom w:w="30" w:type="dxa"/>
              <w:right w:w="45" w:type="dxa"/>
            </w:tcMar>
            <w:vAlign w:val="bottom"/>
            <w:hideMark/>
          </w:tcPr>
          <w:p w14:paraId="25A54768" w14:textId="7164B549" w:rsidR="0090401F" w:rsidRPr="00C44200" w:rsidRDefault="0090401F" w:rsidP="004E1A3B">
            <w:pPr>
              <w:spacing w:after="0" w:line="240" w:lineRule="auto"/>
              <w:jc w:val="right"/>
              <w:rPr>
                <w:rFonts w:ascii="Arial" w:eastAsia="Times New Roman" w:hAnsi="Arial" w:cs="Arial"/>
                <w:sz w:val="20"/>
                <w:szCs w:val="20"/>
              </w:rPr>
            </w:pPr>
            <w:r>
              <w:rPr>
                <w:rFonts w:ascii="Arial" w:hAnsi="Arial" w:cs="Arial"/>
                <w:sz w:val="20"/>
                <w:szCs w:val="20"/>
              </w:rPr>
              <w:t>1,036</w:t>
            </w:r>
          </w:p>
        </w:tc>
        <w:tc>
          <w:tcPr>
            <w:tcW w:w="1440" w:type="dxa"/>
            <w:tcMar>
              <w:top w:w="30" w:type="dxa"/>
              <w:left w:w="45" w:type="dxa"/>
              <w:bottom w:w="30" w:type="dxa"/>
              <w:right w:w="45" w:type="dxa"/>
            </w:tcMar>
            <w:vAlign w:val="bottom"/>
            <w:hideMark/>
          </w:tcPr>
          <w:p w14:paraId="50B11741" w14:textId="6D6FF4E7" w:rsidR="0090401F" w:rsidRPr="00C44200" w:rsidRDefault="0090401F" w:rsidP="004E1A3B">
            <w:pPr>
              <w:spacing w:after="0" w:line="240" w:lineRule="auto"/>
              <w:jc w:val="right"/>
              <w:rPr>
                <w:rFonts w:ascii="Arial" w:eastAsia="Times New Roman" w:hAnsi="Arial" w:cs="Arial"/>
                <w:sz w:val="20"/>
                <w:szCs w:val="20"/>
              </w:rPr>
            </w:pPr>
            <w:r>
              <w:rPr>
                <w:rFonts w:ascii="Arial" w:hAnsi="Arial" w:cs="Arial"/>
                <w:sz w:val="20"/>
                <w:szCs w:val="20"/>
              </w:rPr>
              <w:t>1,309</w:t>
            </w:r>
          </w:p>
        </w:tc>
        <w:tc>
          <w:tcPr>
            <w:tcW w:w="1170" w:type="dxa"/>
            <w:tcMar>
              <w:top w:w="30" w:type="dxa"/>
              <w:left w:w="45" w:type="dxa"/>
              <w:bottom w:w="30" w:type="dxa"/>
              <w:right w:w="45" w:type="dxa"/>
            </w:tcMar>
            <w:vAlign w:val="bottom"/>
            <w:hideMark/>
          </w:tcPr>
          <w:p w14:paraId="34D5F47A" w14:textId="2A1670E1" w:rsidR="0090401F" w:rsidRPr="00C44200" w:rsidRDefault="0090401F" w:rsidP="004E1A3B">
            <w:pPr>
              <w:spacing w:after="0" w:line="240" w:lineRule="auto"/>
              <w:jc w:val="right"/>
              <w:rPr>
                <w:rFonts w:ascii="Arial" w:eastAsia="Times New Roman" w:hAnsi="Arial" w:cs="Arial"/>
                <w:sz w:val="20"/>
                <w:szCs w:val="20"/>
              </w:rPr>
            </w:pPr>
            <w:r>
              <w:rPr>
                <w:rFonts w:ascii="Arial" w:hAnsi="Arial" w:cs="Arial"/>
                <w:sz w:val="20"/>
                <w:szCs w:val="20"/>
              </w:rPr>
              <w:t>1,385</w:t>
            </w:r>
          </w:p>
        </w:tc>
        <w:tc>
          <w:tcPr>
            <w:tcW w:w="1530" w:type="dxa"/>
            <w:tcMar>
              <w:top w:w="30" w:type="dxa"/>
              <w:left w:w="45" w:type="dxa"/>
              <w:bottom w:w="30" w:type="dxa"/>
              <w:right w:w="45" w:type="dxa"/>
            </w:tcMar>
            <w:vAlign w:val="bottom"/>
            <w:hideMark/>
          </w:tcPr>
          <w:p w14:paraId="0F10BA53" w14:textId="0E243BFF" w:rsidR="0090401F" w:rsidRPr="00C44200" w:rsidRDefault="0090401F" w:rsidP="004E1A3B">
            <w:pPr>
              <w:spacing w:after="0" w:line="240" w:lineRule="auto"/>
              <w:jc w:val="right"/>
              <w:rPr>
                <w:rFonts w:ascii="Arial" w:eastAsia="Times New Roman" w:hAnsi="Arial" w:cs="Arial"/>
                <w:sz w:val="20"/>
                <w:szCs w:val="20"/>
              </w:rPr>
            </w:pPr>
            <w:r>
              <w:rPr>
                <w:rFonts w:ascii="Arial" w:hAnsi="Arial" w:cs="Arial"/>
                <w:sz w:val="20"/>
                <w:szCs w:val="20"/>
              </w:rPr>
              <w:t>1,305.8</w:t>
            </w:r>
          </w:p>
        </w:tc>
      </w:tr>
      <w:tr w:rsidR="0090401F" w:rsidRPr="00C44200" w14:paraId="6401786E" w14:textId="77777777" w:rsidTr="004E1A3B">
        <w:trPr>
          <w:trHeight w:val="315"/>
        </w:trPr>
        <w:tc>
          <w:tcPr>
            <w:tcW w:w="0" w:type="auto"/>
            <w:tcMar>
              <w:top w:w="30" w:type="dxa"/>
              <w:left w:w="45" w:type="dxa"/>
              <w:bottom w:w="30" w:type="dxa"/>
              <w:right w:w="45" w:type="dxa"/>
            </w:tcMar>
            <w:vAlign w:val="bottom"/>
            <w:hideMark/>
          </w:tcPr>
          <w:p w14:paraId="226E0D58" w14:textId="77777777" w:rsidR="0090401F" w:rsidRPr="00C44200" w:rsidRDefault="0090401F" w:rsidP="004E1A3B">
            <w:pPr>
              <w:spacing w:after="0" w:line="240" w:lineRule="auto"/>
              <w:jc w:val="left"/>
              <w:rPr>
                <w:rFonts w:ascii="Arial" w:eastAsia="Times New Roman" w:hAnsi="Arial" w:cs="Arial"/>
                <w:b/>
                <w:sz w:val="20"/>
                <w:szCs w:val="20"/>
              </w:rPr>
            </w:pPr>
            <w:r w:rsidRPr="00C44200">
              <w:rPr>
                <w:rFonts w:ascii="Arial" w:eastAsia="Times New Roman" w:hAnsi="Arial" w:cs="Arial"/>
                <w:b/>
                <w:sz w:val="20"/>
                <w:szCs w:val="20"/>
              </w:rPr>
              <w:lastRenderedPageBreak/>
              <w:t>Operating Profit (EBIT)</w:t>
            </w:r>
          </w:p>
        </w:tc>
        <w:tc>
          <w:tcPr>
            <w:tcW w:w="1852" w:type="dxa"/>
            <w:tcMar>
              <w:top w:w="30" w:type="dxa"/>
              <w:left w:w="45" w:type="dxa"/>
              <w:bottom w:w="30" w:type="dxa"/>
              <w:right w:w="45" w:type="dxa"/>
            </w:tcMar>
            <w:vAlign w:val="bottom"/>
            <w:hideMark/>
          </w:tcPr>
          <w:p w14:paraId="7302A25C" w14:textId="6B72B203" w:rsidR="0090401F" w:rsidRPr="00C44200" w:rsidRDefault="0090401F" w:rsidP="004E1A3B">
            <w:pPr>
              <w:spacing w:after="0" w:line="240" w:lineRule="auto"/>
              <w:jc w:val="right"/>
              <w:rPr>
                <w:rFonts w:ascii="Arial" w:eastAsia="Times New Roman" w:hAnsi="Arial" w:cs="Arial"/>
                <w:sz w:val="20"/>
                <w:szCs w:val="20"/>
              </w:rPr>
            </w:pPr>
            <w:r>
              <w:rPr>
                <w:rFonts w:ascii="Arial" w:hAnsi="Arial" w:cs="Arial"/>
                <w:sz w:val="20"/>
                <w:szCs w:val="20"/>
              </w:rPr>
              <w:t>232.1</w:t>
            </w:r>
          </w:p>
        </w:tc>
        <w:tc>
          <w:tcPr>
            <w:tcW w:w="990" w:type="dxa"/>
            <w:tcMar>
              <w:top w:w="30" w:type="dxa"/>
              <w:left w:w="45" w:type="dxa"/>
              <w:bottom w:w="30" w:type="dxa"/>
              <w:right w:w="45" w:type="dxa"/>
            </w:tcMar>
            <w:vAlign w:val="bottom"/>
            <w:hideMark/>
          </w:tcPr>
          <w:p w14:paraId="471BA8DE" w14:textId="46B295EC" w:rsidR="0090401F" w:rsidRPr="00C44200" w:rsidRDefault="0090401F" w:rsidP="004E1A3B">
            <w:pPr>
              <w:spacing w:after="0" w:line="240" w:lineRule="auto"/>
              <w:jc w:val="right"/>
              <w:rPr>
                <w:rFonts w:ascii="Arial" w:eastAsia="Times New Roman" w:hAnsi="Arial" w:cs="Arial"/>
                <w:sz w:val="20"/>
                <w:szCs w:val="20"/>
              </w:rPr>
            </w:pPr>
            <w:r>
              <w:rPr>
                <w:rFonts w:ascii="Arial" w:hAnsi="Arial" w:cs="Arial"/>
                <w:sz w:val="20"/>
                <w:szCs w:val="20"/>
              </w:rPr>
              <w:t>27</w:t>
            </w:r>
          </w:p>
        </w:tc>
        <w:tc>
          <w:tcPr>
            <w:tcW w:w="1440" w:type="dxa"/>
            <w:tcMar>
              <w:top w:w="30" w:type="dxa"/>
              <w:left w:w="45" w:type="dxa"/>
              <w:bottom w:w="30" w:type="dxa"/>
              <w:right w:w="45" w:type="dxa"/>
            </w:tcMar>
            <w:vAlign w:val="bottom"/>
            <w:hideMark/>
          </w:tcPr>
          <w:p w14:paraId="0B2A39D3" w14:textId="2BA0D334" w:rsidR="0090401F" w:rsidRPr="00C44200" w:rsidRDefault="0090401F" w:rsidP="004E1A3B">
            <w:pPr>
              <w:spacing w:after="0" w:line="240" w:lineRule="auto"/>
              <w:jc w:val="right"/>
              <w:rPr>
                <w:rFonts w:ascii="Arial" w:eastAsia="Times New Roman" w:hAnsi="Arial" w:cs="Arial"/>
                <w:sz w:val="20"/>
                <w:szCs w:val="20"/>
              </w:rPr>
            </w:pPr>
            <w:r>
              <w:rPr>
                <w:rFonts w:ascii="Arial" w:hAnsi="Arial" w:cs="Arial"/>
                <w:sz w:val="20"/>
                <w:szCs w:val="20"/>
              </w:rPr>
              <w:t>348.5</w:t>
            </w:r>
          </w:p>
        </w:tc>
        <w:tc>
          <w:tcPr>
            <w:tcW w:w="1170" w:type="dxa"/>
            <w:tcMar>
              <w:top w:w="30" w:type="dxa"/>
              <w:left w:w="45" w:type="dxa"/>
              <w:bottom w:w="30" w:type="dxa"/>
              <w:right w:w="45" w:type="dxa"/>
            </w:tcMar>
            <w:vAlign w:val="bottom"/>
            <w:hideMark/>
          </w:tcPr>
          <w:p w14:paraId="6DF8F9B7" w14:textId="674D2D4F" w:rsidR="0090401F" w:rsidRPr="00C44200" w:rsidRDefault="0090401F" w:rsidP="004E1A3B">
            <w:pPr>
              <w:spacing w:after="0" w:line="240" w:lineRule="auto"/>
              <w:jc w:val="right"/>
              <w:rPr>
                <w:rFonts w:ascii="Arial" w:eastAsia="Times New Roman" w:hAnsi="Arial" w:cs="Arial"/>
                <w:sz w:val="20"/>
                <w:szCs w:val="20"/>
              </w:rPr>
            </w:pPr>
            <w:r>
              <w:rPr>
                <w:rFonts w:ascii="Arial" w:hAnsi="Arial" w:cs="Arial"/>
                <w:sz w:val="20"/>
                <w:szCs w:val="20"/>
              </w:rPr>
              <w:t>295.3</w:t>
            </w:r>
          </w:p>
        </w:tc>
        <w:tc>
          <w:tcPr>
            <w:tcW w:w="1530" w:type="dxa"/>
            <w:tcMar>
              <w:top w:w="30" w:type="dxa"/>
              <w:left w:w="45" w:type="dxa"/>
              <w:bottom w:w="30" w:type="dxa"/>
              <w:right w:w="45" w:type="dxa"/>
            </w:tcMar>
            <w:vAlign w:val="bottom"/>
            <w:hideMark/>
          </w:tcPr>
          <w:p w14:paraId="0390C5D0" w14:textId="4880487B" w:rsidR="0090401F" w:rsidRPr="00C44200" w:rsidRDefault="0090401F" w:rsidP="004E1A3B">
            <w:pPr>
              <w:spacing w:after="0" w:line="240" w:lineRule="auto"/>
              <w:jc w:val="right"/>
              <w:rPr>
                <w:rFonts w:ascii="Arial" w:eastAsia="Times New Roman" w:hAnsi="Arial" w:cs="Arial"/>
                <w:sz w:val="20"/>
                <w:szCs w:val="20"/>
              </w:rPr>
            </w:pPr>
            <w:r>
              <w:rPr>
                <w:rFonts w:ascii="Arial" w:hAnsi="Arial" w:cs="Arial"/>
                <w:sz w:val="20"/>
                <w:szCs w:val="20"/>
              </w:rPr>
              <w:t>109.9</w:t>
            </w:r>
          </w:p>
        </w:tc>
      </w:tr>
      <w:tr w:rsidR="0090401F" w:rsidRPr="00C44200" w14:paraId="757D1B9C" w14:textId="77777777" w:rsidTr="004E1A3B">
        <w:trPr>
          <w:trHeight w:val="315"/>
        </w:trPr>
        <w:tc>
          <w:tcPr>
            <w:tcW w:w="0" w:type="auto"/>
            <w:tcMar>
              <w:top w:w="30" w:type="dxa"/>
              <w:left w:w="45" w:type="dxa"/>
              <w:bottom w:w="30" w:type="dxa"/>
              <w:right w:w="45" w:type="dxa"/>
            </w:tcMar>
            <w:vAlign w:val="bottom"/>
            <w:hideMark/>
          </w:tcPr>
          <w:p w14:paraId="2775F2D2" w14:textId="77777777" w:rsidR="0090401F" w:rsidRPr="00C44200" w:rsidRDefault="0090401F" w:rsidP="004E1A3B">
            <w:pPr>
              <w:spacing w:after="0" w:line="240" w:lineRule="auto"/>
              <w:jc w:val="left"/>
              <w:rPr>
                <w:rFonts w:ascii="Arial" w:eastAsia="Times New Roman" w:hAnsi="Arial" w:cs="Arial"/>
                <w:b/>
                <w:sz w:val="20"/>
                <w:szCs w:val="20"/>
              </w:rPr>
            </w:pPr>
            <w:r w:rsidRPr="00C44200">
              <w:rPr>
                <w:rFonts w:ascii="Arial" w:eastAsia="Times New Roman" w:hAnsi="Arial" w:cs="Arial"/>
                <w:b/>
                <w:sz w:val="20"/>
                <w:szCs w:val="20"/>
              </w:rPr>
              <w:t>Net Profit</w:t>
            </w:r>
          </w:p>
        </w:tc>
        <w:tc>
          <w:tcPr>
            <w:tcW w:w="1852" w:type="dxa"/>
            <w:tcMar>
              <w:top w:w="30" w:type="dxa"/>
              <w:left w:w="45" w:type="dxa"/>
              <w:bottom w:w="30" w:type="dxa"/>
              <w:right w:w="45" w:type="dxa"/>
            </w:tcMar>
            <w:vAlign w:val="bottom"/>
            <w:hideMark/>
          </w:tcPr>
          <w:p w14:paraId="72F13A7A" w14:textId="76B7D7B3" w:rsidR="0090401F" w:rsidRPr="00C44200" w:rsidRDefault="0090401F" w:rsidP="004E1A3B">
            <w:pPr>
              <w:spacing w:after="0" w:line="240" w:lineRule="auto"/>
              <w:jc w:val="right"/>
              <w:rPr>
                <w:rFonts w:ascii="Arial" w:eastAsia="Times New Roman" w:hAnsi="Arial" w:cs="Arial"/>
                <w:sz w:val="20"/>
                <w:szCs w:val="20"/>
              </w:rPr>
            </w:pPr>
            <w:r>
              <w:rPr>
                <w:rFonts w:ascii="Arial" w:hAnsi="Arial" w:cs="Arial"/>
                <w:sz w:val="20"/>
                <w:szCs w:val="20"/>
              </w:rPr>
              <w:t>122.8</w:t>
            </w:r>
          </w:p>
        </w:tc>
        <w:tc>
          <w:tcPr>
            <w:tcW w:w="990" w:type="dxa"/>
            <w:tcMar>
              <w:top w:w="30" w:type="dxa"/>
              <w:left w:w="45" w:type="dxa"/>
              <w:bottom w:w="30" w:type="dxa"/>
              <w:right w:w="45" w:type="dxa"/>
            </w:tcMar>
            <w:vAlign w:val="bottom"/>
            <w:hideMark/>
          </w:tcPr>
          <w:p w14:paraId="2B5D5282" w14:textId="38403E38" w:rsidR="0090401F" w:rsidRPr="00C44200" w:rsidRDefault="0090401F" w:rsidP="004E1A3B">
            <w:pPr>
              <w:spacing w:after="0" w:line="240" w:lineRule="auto"/>
              <w:jc w:val="right"/>
              <w:rPr>
                <w:rFonts w:ascii="Arial" w:eastAsia="Times New Roman" w:hAnsi="Arial" w:cs="Arial"/>
                <w:sz w:val="20"/>
                <w:szCs w:val="20"/>
              </w:rPr>
            </w:pPr>
            <w:r>
              <w:rPr>
                <w:rFonts w:ascii="Arial" w:hAnsi="Arial" w:cs="Arial"/>
                <w:sz w:val="20"/>
                <w:szCs w:val="20"/>
              </w:rPr>
              <w:t>-21.9</w:t>
            </w:r>
          </w:p>
        </w:tc>
        <w:tc>
          <w:tcPr>
            <w:tcW w:w="1440" w:type="dxa"/>
            <w:tcMar>
              <w:top w:w="30" w:type="dxa"/>
              <w:left w:w="45" w:type="dxa"/>
              <w:bottom w:w="30" w:type="dxa"/>
              <w:right w:w="45" w:type="dxa"/>
            </w:tcMar>
            <w:vAlign w:val="bottom"/>
            <w:hideMark/>
          </w:tcPr>
          <w:p w14:paraId="36330631" w14:textId="72EE33FA" w:rsidR="0090401F" w:rsidRPr="00C44200" w:rsidRDefault="0090401F" w:rsidP="004E1A3B">
            <w:pPr>
              <w:spacing w:after="0" w:line="240" w:lineRule="auto"/>
              <w:jc w:val="right"/>
              <w:rPr>
                <w:rFonts w:ascii="Arial" w:eastAsia="Times New Roman" w:hAnsi="Arial" w:cs="Arial"/>
                <w:sz w:val="20"/>
                <w:szCs w:val="20"/>
              </w:rPr>
            </w:pPr>
            <w:r>
              <w:rPr>
                <w:rFonts w:ascii="Arial" w:hAnsi="Arial" w:cs="Arial"/>
                <w:sz w:val="20"/>
                <w:szCs w:val="20"/>
              </w:rPr>
              <w:t>279</w:t>
            </w:r>
          </w:p>
        </w:tc>
        <w:tc>
          <w:tcPr>
            <w:tcW w:w="1170" w:type="dxa"/>
            <w:tcMar>
              <w:top w:w="30" w:type="dxa"/>
              <w:left w:w="45" w:type="dxa"/>
              <w:bottom w:w="30" w:type="dxa"/>
              <w:right w:w="45" w:type="dxa"/>
            </w:tcMar>
            <w:vAlign w:val="bottom"/>
            <w:hideMark/>
          </w:tcPr>
          <w:p w14:paraId="5E814BC8" w14:textId="1DD9F374" w:rsidR="0090401F" w:rsidRPr="00C44200" w:rsidRDefault="0090401F" w:rsidP="004E1A3B">
            <w:pPr>
              <w:spacing w:after="0" w:line="240" w:lineRule="auto"/>
              <w:jc w:val="right"/>
              <w:rPr>
                <w:rFonts w:ascii="Arial" w:eastAsia="Times New Roman" w:hAnsi="Arial" w:cs="Arial"/>
                <w:sz w:val="20"/>
                <w:szCs w:val="20"/>
              </w:rPr>
            </w:pPr>
            <w:r>
              <w:rPr>
                <w:rFonts w:ascii="Arial" w:hAnsi="Arial" w:cs="Arial"/>
                <w:sz w:val="20"/>
                <w:szCs w:val="20"/>
              </w:rPr>
              <w:t>192.2</w:t>
            </w:r>
          </w:p>
        </w:tc>
        <w:tc>
          <w:tcPr>
            <w:tcW w:w="1530" w:type="dxa"/>
            <w:tcMar>
              <w:top w:w="30" w:type="dxa"/>
              <w:left w:w="45" w:type="dxa"/>
              <w:bottom w:w="30" w:type="dxa"/>
              <w:right w:w="45" w:type="dxa"/>
            </w:tcMar>
            <w:vAlign w:val="bottom"/>
            <w:hideMark/>
          </w:tcPr>
          <w:p w14:paraId="21452A86" w14:textId="114C8FDC" w:rsidR="0090401F" w:rsidRPr="00C44200" w:rsidRDefault="0090401F" w:rsidP="004E1A3B">
            <w:pPr>
              <w:spacing w:after="0" w:line="240" w:lineRule="auto"/>
              <w:jc w:val="right"/>
              <w:rPr>
                <w:rFonts w:ascii="Arial" w:eastAsia="Times New Roman" w:hAnsi="Arial" w:cs="Arial"/>
                <w:sz w:val="20"/>
                <w:szCs w:val="20"/>
              </w:rPr>
            </w:pPr>
            <w:r>
              <w:rPr>
                <w:rFonts w:ascii="Arial" w:hAnsi="Arial" w:cs="Arial"/>
                <w:sz w:val="20"/>
                <w:szCs w:val="20"/>
              </w:rPr>
              <w:t>38.1</w:t>
            </w:r>
          </w:p>
        </w:tc>
      </w:tr>
      <w:tr w:rsidR="0090401F" w:rsidRPr="00C44200" w14:paraId="28FF00C1" w14:textId="77777777" w:rsidTr="004E1A3B">
        <w:trPr>
          <w:trHeight w:val="315"/>
        </w:trPr>
        <w:tc>
          <w:tcPr>
            <w:tcW w:w="0" w:type="auto"/>
            <w:tcMar>
              <w:top w:w="30" w:type="dxa"/>
              <w:left w:w="45" w:type="dxa"/>
              <w:bottom w:w="30" w:type="dxa"/>
              <w:right w:w="45" w:type="dxa"/>
            </w:tcMar>
            <w:vAlign w:val="bottom"/>
            <w:hideMark/>
          </w:tcPr>
          <w:p w14:paraId="5B993412" w14:textId="77777777" w:rsidR="0090401F" w:rsidRPr="00C44200" w:rsidRDefault="0090401F" w:rsidP="004E1A3B">
            <w:pPr>
              <w:spacing w:after="0" w:line="240" w:lineRule="auto"/>
              <w:jc w:val="left"/>
              <w:rPr>
                <w:rFonts w:ascii="Arial" w:eastAsia="Times New Roman" w:hAnsi="Arial" w:cs="Arial"/>
                <w:b/>
                <w:sz w:val="20"/>
                <w:szCs w:val="20"/>
              </w:rPr>
            </w:pPr>
          </w:p>
        </w:tc>
        <w:tc>
          <w:tcPr>
            <w:tcW w:w="1852" w:type="dxa"/>
            <w:tcMar>
              <w:top w:w="30" w:type="dxa"/>
              <w:left w:w="45" w:type="dxa"/>
              <w:bottom w:w="30" w:type="dxa"/>
              <w:right w:w="45" w:type="dxa"/>
            </w:tcMar>
            <w:vAlign w:val="bottom"/>
            <w:hideMark/>
          </w:tcPr>
          <w:p w14:paraId="1F6F6EE2" w14:textId="77777777" w:rsidR="0090401F" w:rsidRPr="00C44200" w:rsidRDefault="0090401F" w:rsidP="004E1A3B">
            <w:pPr>
              <w:spacing w:after="0" w:line="240" w:lineRule="auto"/>
              <w:jc w:val="left"/>
              <w:rPr>
                <w:rFonts w:ascii="Arial" w:eastAsia="Times New Roman" w:hAnsi="Arial" w:cs="Arial"/>
                <w:sz w:val="20"/>
                <w:szCs w:val="20"/>
              </w:rPr>
            </w:pPr>
          </w:p>
        </w:tc>
        <w:tc>
          <w:tcPr>
            <w:tcW w:w="990" w:type="dxa"/>
            <w:tcMar>
              <w:top w:w="30" w:type="dxa"/>
              <w:left w:w="45" w:type="dxa"/>
              <w:bottom w:w="30" w:type="dxa"/>
              <w:right w:w="45" w:type="dxa"/>
            </w:tcMar>
            <w:vAlign w:val="bottom"/>
            <w:hideMark/>
          </w:tcPr>
          <w:p w14:paraId="10FD8D80" w14:textId="77777777" w:rsidR="0090401F" w:rsidRPr="00C44200" w:rsidRDefault="0090401F" w:rsidP="004E1A3B">
            <w:pPr>
              <w:spacing w:after="0" w:line="240" w:lineRule="auto"/>
              <w:jc w:val="left"/>
              <w:rPr>
                <w:rFonts w:ascii="Arial" w:eastAsia="Times New Roman" w:hAnsi="Arial" w:cs="Arial"/>
                <w:sz w:val="20"/>
                <w:szCs w:val="20"/>
              </w:rPr>
            </w:pPr>
          </w:p>
        </w:tc>
        <w:tc>
          <w:tcPr>
            <w:tcW w:w="1440" w:type="dxa"/>
            <w:tcMar>
              <w:top w:w="30" w:type="dxa"/>
              <w:left w:w="45" w:type="dxa"/>
              <w:bottom w:w="30" w:type="dxa"/>
              <w:right w:w="45" w:type="dxa"/>
            </w:tcMar>
            <w:vAlign w:val="bottom"/>
            <w:hideMark/>
          </w:tcPr>
          <w:p w14:paraId="6A2A2038" w14:textId="77777777" w:rsidR="0090401F" w:rsidRPr="00C44200" w:rsidRDefault="0090401F" w:rsidP="004E1A3B">
            <w:pPr>
              <w:spacing w:after="0" w:line="240" w:lineRule="auto"/>
              <w:jc w:val="left"/>
              <w:rPr>
                <w:rFonts w:ascii="Arial" w:eastAsia="Times New Roman" w:hAnsi="Arial" w:cs="Arial"/>
                <w:sz w:val="20"/>
                <w:szCs w:val="20"/>
              </w:rPr>
            </w:pPr>
          </w:p>
        </w:tc>
        <w:tc>
          <w:tcPr>
            <w:tcW w:w="1170" w:type="dxa"/>
            <w:tcMar>
              <w:top w:w="30" w:type="dxa"/>
              <w:left w:w="45" w:type="dxa"/>
              <w:bottom w:w="30" w:type="dxa"/>
              <w:right w:w="45" w:type="dxa"/>
            </w:tcMar>
            <w:vAlign w:val="bottom"/>
            <w:hideMark/>
          </w:tcPr>
          <w:p w14:paraId="6D22F170" w14:textId="77777777" w:rsidR="0090401F" w:rsidRPr="00C44200" w:rsidRDefault="0090401F" w:rsidP="004E1A3B">
            <w:pPr>
              <w:spacing w:after="0" w:line="240" w:lineRule="auto"/>
              <w:jc w:val="left"/>
              <w:rPr>
                <w:rFonts w:ascii="Arial" w:eastAsia="Times New Roman" w:hAnsi="Arial" w:cs="Arial"/>
                <w:sz w:val="20"/>
                <w:szCs w:val="20"/>
              </w:rPr>
            </w:pPr>
          </w:p>
        </w:tc>
        <w:tc>
          <w:tcPr>
            <w:tcW w:w="1530" w:type="dxa"/>
            <w:tcMar>
              <w:top w:w="30" w:type="dxa"/>
              <w:left w:w="45" w:type="dxa"/>
              <w:bottom w:w="30" w:type="dxa"/>
              <w:right w:w="45" w:type="dxa"/>
            </w:tcMar>
            <w:vAlign w:val="bottom"/>
            <w:hideMark/>
          </w:tcPr>
          <w:p w14:paraId="70954182" w14:textId="77777777" w:rsidR="0090401F" w:rsidRPr="00C44200" w:rsidRDefault="0090401F" w:rsidP="004E1A3B">
            <w:pPr>
              <w:spacing w:after="0" w:line="240" w:lineRule="auto"/>
              <w:jc w:val="left"/>
              <w:rPr>
                <w:rFonts w:ascii="Arial" w:eastAsia="Times New Roman" w:hAnsi="Arial" w:cs="Arial"/>
                <w:sz w:val="20"/>
                <w:szCs w:val="20"/>
              </w:rPr>
            </w:pPr>
          </w:p>
        </w:tc>
      </w:tr>
      <w:tr w:rsidR="0090401F" w:rsidRPr="00C44200" w14:paraId="18226CE3" w14:textId="77777777" w:rsidTr="004E1A3B">
        <w:trPr>
          <w:trHeight w:val="315"/>
        </w:trPr>
        <w:tc>
          <w:tcPr>
            <w:tcW w:w="0" w:type="auto"/>
            <w:tcMar>
              <w:top w:w="30" w:type="dxa"/>
              <w:left w:w="45" w:type="dxa"/>
              <w:bottom w:w="30" w:type="dxa"/>
              <w:right w:w="45" w:type="dxa"/>
            </w:tcMar>
            <w:vAlign w:val="bottom"/>
            <w:hideMark/>
          </w:tcPr>
          <w:p w14:paraId="59CCAE93" w14:textId="77777777" w:rsidR="0090401F" w:rsidRPr="00C44200" w:rsidRDefault="0090401F" w:rsidP="004E1A3B">
            <w:pPr>
              <w:spacing w:after="0" w:line="240" w:lineRule="auto"/>
              <w:jc w:val="left"/>
              <w:rPr>
                <w:rFonts w:ascii="Arial" w:eastAsia="Times New Roman" w:hAnsi="Arial" w:cs="Arial"/>
                <w:b/>
                <w:sz w:val="20"/>
                <w:szCs w:val="20"/>
              </w:rPr>
            </w:pPr>
            <w:r w:rsidRPr="00C44200">
              <w:rPr>
                <w:rFonts w:ascii="Arial" w:eastAsia="Times New Roman" w:hAnsi="Arial" w:cs="Arial"/>
                <w:b/>
                <w:sz w:val="20"/>
                <w:szCs w:val="20"/>
              </w:rPr>
              <w:t>Current Assets</w:t>
            </w:r>
          </w:p>
        </w:tc>
        <w:tc>
          <w:tcPr>
            <w:tcW w:w="1852" w:type="dxa"/>
            <w:tcMar>
              <w:top w:w="30" w:type="dxa"/>
              <w:left w:w="45" w:type="dxa"/>
              <w:bottom w:w="30" w:type="dxa"/>
              <w:right w:w="45" w:type="dxa"/>
            </w:tcMar>
            <w:vAlign w:val="bottom"/>
            <w:hideMark/>
          </w:tcPr>
          <w:p w14:paraId="1C521BAA" w14:textId="0D8DE330" w:rsidR="0090401F" w:rsidRPr="00C44200" w:rsidRDefault="0090401F" w:rsidP="004E1A3B">
            <w:pPr>
              <w:spacing w:after="0" w:line="240" w:lineRule="auto"/>
              <w:jc w:val="right"/>
              <w:rPr>
                <w:rFonts w:ascii="Arial" w:eastAsia="Times New Roman" w:hAnsi="Arial" w:cs="Arial"/>
                <w:sz w:val="20"/>
                <w:szCs w:val="20"/>
              </w:rPr>
            </w:pPr>
            <w:r>
              <w:rPr>
                <w:rFonts w:ascii="Arial" w:hAnsi="Arial" w:cs="Arial"/>
                <w:sz w:val="20"/>
                <w:szCs w:val="20"/>
              </w:rPr>
              <w:t>2,385</w:t>
            </w:r>
          </w:p>
        </w:tc>
        <w:tc>
          <w:tcPr>
            <w:tcW w:w="990" w:type="dxa"/>
            <w:tcMar>
              <w:top w:w="30" w:type="dxa"/>
              <w:left w:w="45" w:type="dxa"/>
              <w:bottom w:w="30" w:type="dxa"/>
              <w:right w:w="45" w:type="dxa"/>
            </w:tcMar>
            <w:vAlign w:val="bottom"/>
            <w:hideMark/>
          </w:tcPr>
          <w:p w14:paraId="14FC0F91" w14:textId="276B0FBE" w:rsidR="0090401F" w:rsidRPr="00C44200" w:rsidRDefault="0090401F" w:rsidP="004E1A3B">
            <w:pPr>
              <w:spacing w:after="0" w:line="240" w:lineRule="auto"/>
              <w:jc w:val="right"/>
              <w:rPr>
                <w:rFonts w:ascii="Arial" w:eastAsia="Times New Roman" w:hAnsi="Arial" w:cs="Arial"/>
                <w:sz w:val="20"/>
                <w:szCs w:val="20"/>
              </w:rPr>
            </w:pPr>
            <w:r>
              <w:rPr>
                <w:rFonts w:ascii="Arial" w:hAnsi="Arial" w:cs="Arial"/>
                <w:sz w:val="20"/>
                <w:szCs w:val="20"/>
              </w:rPr>
              <w:t>2,246</w:t>
            </w:r>
          </w:p>
        </w:tc>
        <w:tc>
          <w:tcPr>
            <w:tcW w:w="1440" w:type="dxa"/>
            <w:tcMar>
              <w:top w:w="30" w:type="dxa"/>
              <w:left w:w="45" w:type="dxa"/>
              <w:bottom w:w="30" w:type="dxa"/>
              <w:right w:w="45" w:type="dxa"/>
            </w:tcMar>
            <w:vAlign w:val="bottom"/>
            <w:hideMark/>
          </w:tcPr>
          <w:p w14:paraId="24EDFA1B" w14:textId="45E98A36" w:rsidR="0090401F" w:rsidRPr="00C44200" w:rsidRDefault="0090401F" w:rsidP="004E1A3B">
            <w:pPr>
              <w:spacing w:after="0" w:line="240" w:lineRule="auto"/>
              <w:jc w:val="right"/>
              <w:rPr>
                <w:rFonts w:ascii="Arial" w:eastAsia="Times New Roman" w:hAnsi="Arial" w:cs="Arial"/>
                <w:sz w:val="20"/>
                <w:szCs w:val="20"/>
              </w:rPr>
            </w:pPr>
            <w:r>
              <w:rPr>
                <w:rFonts w:ascii="Arial" w:hAnsi="Arial" w:cs="Arial"/>
                <w:sz w:val="20"/>
                <w:szCs w:val="20"/>
              </w:rPr>
              <w:t>1,891</w:t>
            </w:r>
          </w:p>
        </w:tc>
        <w:tc>
          <w:tcPr>
            <w:tcW w:w="1170" w:type="dxa"/>
            <w:tcMar>
              <w:top w:w="30" w:type="dxa"/>
              <w:left w:w="45" w:type="dxa"/>
              <w:bottom w:w="30" w:type="dxa"/>
              <w:right w:w="45" w:type="dxa"/>
            </w:tcMar>
            <w:vAlign w:val="bottom"/>
            <w:hideMark/>
          </w:tcPr>
          <w:p w14:paraId="58A09BC6" w14:textId="5437D03C" w:rsidR="0090401F" w:rsidRPr="00C44200" w:rsidRDefault="0090401F" w:rsidP="004E1A3B">
            <w:pPr>
              <w:spacing w:after="0" w:line="240" w:lineRule="auto"/>
              <w:jc w:val="right"/>
              <w:rPr>
                <w:rFonts w:ascii="Arial" w:eastAsia="Times New Roman" w:hAnsi="Arial" w:cs="Arial"/>
                <w:sz w:val="20"/>
                <w:szCs w:val="20"/>
              </w:rPr>
            </w:pPr>
            <w:r>
              <w:rPr>
                <w:rFonts w:ascii="Arial" w:hAnsi="Arial" w:cs="Arial"/>
                <w:sz w:val="20"/>
                <w:szCs w:val="20"/>
              </w:rPr>
              <w:t>1,690</w:t>
            </w:r>
          </w:p>
        </w:tc>
        <w:tc>
          <w:tcPr>
            <w:tcW w:w="1530" w:type="dxa"/>
            <w:tcMar>
              <w:top w:w="30" w:type="dxa"/>
              <w:left w:w="45" w:type="dxa"/>
              <w:bottom w:w="30" w:type="dxa"/>
              <w:right w:w="45" w:type="dxa"/>
            </w:tcMar>
            <w:vAlign w:val="bottom"/>
            <w:hideMark/>
          </w:tcPr>
          <w:p w14:paraId="2484DD16" w14:textId="33E50F73" w:rsidR="0090401F" w:rsidRPr="00C44200" w:rsidRDefault="0090401F" w:rsidP="004E1A3B">
            <w:pPr>
              <w:spacing w:after="0" w:line="240" w:lineRule="auto"/>
              <w:jc w:val="right"/>
              <w:rPr>
                <w:rFonts w:ascii="Arial" w:eastAsia="Times New Roman" w:hAnsi="Arial" w:cs="Arial"/>
                <w:sz w:val="20"/>
                <w:szCs w:val="20"/>
              </w:rPr>
            </w:pPr>
            <w:r>
              <w:rPr>
                <w:rFonts w:ascii="Arial" w:hAnsi="Arial" w:cs="Arial"/>
                <w:sz w:val="20"/>
                <w:szCs w:val="20"/>
              </w:rPr>
              <w:t>1,563</w:t>
            </w:r>
          </w:p>
        </w:tc>
      </w:tr>
      <w:tr w:rsidR="0090401F" w:rsidRPr="00C44200" w14:paraId="6380473F" w14:textId="77777777" w:rsidTr="004E1A3B">
        <w:trPr>
          <w:trHeight w:val="315"/>
        </w:trPr>
        <w:tc>
          <w:tcPr>
            <w:tcW w:w="0" w:type="auto"/>
            <w:tcMar>
              <w:top w:w="30" w:type="dxa"/>
              <w:left w:w="45" w:type="dxa"/>
              <w:bottom w:w="30" w:type="dxa"/>
              <w:right w:w="45" w:type="dxa"/>
            </w:tcMar>
            <w:vAlign w:val="bottom"/>
            <w:hideMark/>
          </w:tcPr>
          <w:p w14:paraId="7BB7F669" w14:textId="77777777" w:rsidR="0090401F" w:rsidRPr="00C44200" w:rsidRDefault="0090401F" w:rsidP="004E1A3B">
            <w:pPr>
              <w:spacing w:after="0" w:line="240" w:lineRule="auto"/>
              <w:jc w:val="left"/>
              <w:rPr>
                <w:rFonts w:ascii="Arial" w:eastAsia="Times New Roman" w:hAnsi="Arial" w:cs="Arial"/>
                <w:b/>
                <w:sz w:val="20"/>
                <w:szCs w:val="20"/>
              </w:rPr>
            </w:pPr>
            <w:r w:rsidRPr="00C44200">
              <w:rPr>
                <w:rFonts w:ascii="Arial" w:eastAsia="Times New Roman" w:hAnsi="Arial" w:cs="Arial"/>
                <w:b/>
                <w:sz w:val="20"/>
                <w:szCs w:val="20"/>
              </w:rPr>
              <w:t>Current Liabilities</w:t>
            </w:r>
          </w:p>
        </w:tc>
        <w:tc>
          <w:tcPr>
            <w:tcW w:w="1852" w:type="dxa"/>
            <w:tcMar>
              <w:top w:w="30" w:type="dxa"/>
              <w:left w:w="45" w:type="dxa"/>
              <w:bottom w:w="30" w:type="dxa"/>
              <w:right w:w="45" w:type="dxa"/>
            </w:tcMar>
            <w:vAlign w:val="bottom"/>
            <w:hideMark/>
          </w:tcPr>
          <w:p w14:paraId="5B7511F4" w14:textId="75DD00EF" w:rsidR="0090401F" w:rsidRPr="00C44200" w:rsidRDefault="0090401F" w:rsidP="004E1A3B">
            <w:pPr>
              <w:spacing w:after="0" w:line="240" w:lineRule="auto"/>
              <w:jc w:val="right"/>
              <w:rPr>
                <w:rFonts w:ascii="Arial" w:eastAsia="Times New Roman" w:hAnsi="Arial" w:cs="Arial"/>
                <w:sz w:val="20"/>
                <w:szCs w:val="20"/>
              </w:rPr>
            </w:pPr>
            <w:r>
              <w:rPr>
                <w:rFonts w:ascii="Arial" w:hAnsi="Arial" w:cs="Arial"/>
                <w:sz w:val="20"/>
                <w:szCs w:val="20"/>
              </w:rPr>
              <w:t>1,849</w:t>
            </w:r>
          </w:p>
        </w:tc>
        <w:tc>
          <w:tcPr>
            <w:tcW w:w="990" w:type="dxa"/>
            <w:tcMar>
              <w:top w:w="30" w:type="dxa"/>
              <w:left w:w="45" w:type="dxa"/>
              <w:bottom w:w="30" w:type="dxa"/>
              <w:right w:w="45" w:type="dxa"/>
            </w:tcMar>
            <w:vAlign w:val="bottom"/>
            <w:hideMark/>
          </w:tcPr>
          <w:p w14:paraId="353EA890" w14:textId="6B4CAE35" w:rsidR="0090401F" w:rsidRPr="00C44200" w:rsidRDefault="0090401F" w:rsidP="004E1A3B">
            <w:pPr>
              <w:spacing w:after="0" w:line="240" w:lineRule="auto"/>
              <w:jc w:val="right"/>
              <w:rPr>
                <w:rFonts w:ascii="Arial" w:eastAsia="Times New Roman" w:hAnsi="Arial" w:cs="Arial"/>
                <w:sz w:val="20"/>
                <w:szCs w:val="20"/>
              </w:rPr>
            </w:pPr>
            <w:r>
              <w:rPr>
                <w:rFonts w:ascii="Arial" w:hAnsi="Arial" w:cs="Arial"/>
                <w:sz w:val="20"/>
                <w:szCs w:val="20"/>
              </w:rPr>
              <w:t>1,523</w:t>
            </w:r>
          </w:p>
        </w:tc>
        <w:tc>
          <w:tcPr>
            <w:tcW w:w="1440" w:type="dxa"/>
            <w:tcMar>
              <w:top w:w="30" w:type="dxa"/>
              <w:left w:w="45" w:type="dxa"/>
              <w:bottom w:w="30" w:type="dxa"/>
              <w:right w:w="45" w:type="dxa"/>
            </w:tcMar>
            <w:vAlign w:val="bottom"/>
            <w:hideMark/>
          </w:tcPr>
          <w:p w14:paraId="3FD57DDF" w14:textId="366A9BE2" w:rsidR="0090401F" w:rsidRPr="00C44200" w:rsidRDefault="0090401F" w:rsidP="004E1A3B">
            <w:pPr>
              <w:spacing w:after="0" w:line="240" w:lineRule="auto"/>
              <w:jc w:val="right"/>
              <w:rPr>
                <w:rFonts w:ascii="Arial" w:eastAsia="Times New Roman" w:hAnsi="Arial" w:cs="Arial"/>
                <w:sz w:val="20"/>
                <w:szCs w:val="20"/>
              </w:rPr>
            </w:pPr>
            <w:r>
              <w:rPr>
                <w:rFonts w:ascii="Arial" w:hAnsi="Arial" w:cs="Arial"/>
                <w:sz w:val="20"/>
                <w:szCs w:val="20"/>
              </w:rPr>
              <w:t>1,025</w:t>
            </w:r>
          </w:p>
        </w:tc>
        <w:tc>
          <w:tcPr>
            <w:tcW w:w="1170" w:type="dxa"/>
            <w:tcMar>
              <w:top w:w="30" w:type="dxa"/>
              <w:left w:w="45" w:type="dxa"/>
              <w:bottom w:w="30" w:type="dxa"/>
              <w:right w:w="45" w:type="dxa"/>
            </w:tcMar>
            <w:vAlign w:val="bottom"/>
            <w:hideMark/>
          </w:tcPr>
          <w:p w14:paraId="7C4A9A84" w14:textId="7A2EC2FC" w:rsidR="0090401F" w:rsidRPr="00C44200" w:rsidRDefault="0090401F" w:rsidP="004E1A3B">
            <w:pPr>
              <w:spacing w:after="0" w:line="240" w:lineRule="auto"/>
              <w:jc w:val="right"/>
              <w:rPr>
                <w:rFonts w:ascii="Arial" w:eastAsia="Times New Roman" w:hAnsi="Arial" w:cs="Arial"/>
                <w:sz w:val="20"/>
                <w:szCs w:val="20"/>
              </w:rPr>
            </w:pPr>
            <w:r>
              <w:rPr>
                <w:rFonts w:ascii="Arial" w:hAnsi="Arial" w:cs="Arial"/>
                <w:sz w:val="20"/>
                <w:szCs w:val="20"/>
              </w:rPr>
              <w:t>1,146</w:t>
            </w:r>
          </w:p>
        </w:tc>
        <w:tc>
          <w:tcPr>
            <w:tcW w:w="1530" w:type="dxa"/>
            <w:tcMar>
              <w:top w:w="30" w:type="dxa"/>
              <w:left w:w="45" w:type="dxa"/>
              <w:bottom w:w="30" w:type="dxa"/>
              <w:right w:w="45" w:type="dxa"/>
            </w:tcMar>
            <w:vAlign w:val="bottom"/>
            <w:hideMark/>
          </w:tcPr>
          <w:p w14:paraId="5516B73B" w14:textId="33C82B2D" w:rsidR="0090401F" w:rsidRPr="00C44200" w:rsidRDefault="0090401F" w:rsidP="004E1A3B">
            <w:pPr>
              <w:spacing w:after="0" w:line="240" w:lineRule="auto"/>
              <w:jc w:val="right"/>
              <w:rPr>
                <w:rFonts w:ascii="Arial" w:eastAsia="Times New Roman" w:hAnsi="Arial" w:cs="Arial"/>
                <w:sz w:val="20"/>
                <w:szCs w:val="20"/>
              </w:rPr>
            </w:pPr>
            <w:r>
              <w:rPr>
                <w:rFonts w:ascii="Arial" w:hAnsi="Arial" w:cs="Arial"/>
                <w:sz w:val="20"/>
                <w:szCs w:val="20"/>
              </w:rPr>
              <w:t>925</w:t>
            </w:r>
          </w:p>
        </w:tc>
      </w:tr>
      <w:tr w:rsidR="0090401F" w:rsidRPr="00C44200" w14:paraId="78289576" w14:textId="77777777" w:rsidTr="004E1A3B">
        <w:trPr>
          <w:trHeight w:val="315"/>
        </w:trPr>
        <w:tc>
          <w:tcPr>
            <w:tcW w:w="0" w:type="auto"/>
            <w:tcMar>
              <w:top w:w="30" w:type="dxa"/>
              <w:left w:w="45" w:type="dxa"/>
              <w:bottom w:w="30" w:type="dxa"/>
              <w:right w:w="45" w:type="dxa"/>
            </w:tcMar>
            <w:vAlign w:val="bottom"/>
            <w:hideMark/>
          </w:tcPr>
          <w:p w14:paraId="4B3A1C8B" w14:textId="77777777" w:rsidR="0090401F" w:rsidRPr="00C44200" w:rsidRDefault="0090401F" w:rsidP="004E1A3B">
            <w:pPr>
              <w:spacing w:after="0" w:line="240" w:lineRule="auto"/>
              <w:jc w:val="left"/>
              <w:rPr>
                <w:rFonts w:ascii="Arial" w:eastAsia="Times New Roman" w:hAnsi="Arial" w:cs="Arial"/>
                <w:b/>
                <w:sz w:val="20"/>
                <w:szCs w:val="20"/>
              </w:rPr>
            </w:pPr>
            <w:r w:rsidRPr="00C44200">
              <w:rPr>
                <w:rFonts w:ascii="Arial" w:eastAsia="Times New Roman" w:hAnsi="Arial" w:cs="Arial"/>
                <w:b/>
                <w:sz w:val="20"/>
                <w:szCs w:val="20"/>
              </w:rPr>
              <w:t>Inventory</w:t>
            </w:r>
          </w:p>
        </w:tc>
        <w:tc>
          <w:tcPr>
            <w:tcW w:w="1852" w:type="dxa"/>
            <w:tcMar>
              <w:top w:w="30" w:type="dxa"/>
              <w:left w:w="45" w:type="dxa"/>
              <w:bottom w:w="30" w:type="dxa"/>
              <w:right w:w="45" w:type="dxa"/>
            </w:tcMar>
            <w:vAlign w:val="bottom"/>
            <w:hideMark/>
          </w:tcPr>
          <w:p w14:paraId="0F65E67A" w14:textId="5C7D5732" w:rsidR="0090401F" w:rsidRPr="00C44200" w:rsidRDefault="0090401F" w:rsidP="004E1A3B">
            <w:pPr>
              <w:spacing w:after="0" w:line="240" w:lineRule="auto"/>
              <w:jc w:val="right"/>
              <w:rPr>
                <w:rFonts w:ascii="Arial" w:eastAsia="Times New Roman" w:hAnsi="Arial" w:cs="Arial"/>
                <w:sz w:val="20"/>
                <w:szCs w:val="20"/>
              </w:rPr>
            </w:pPr>
            <w:r>
              <w:rPr>
                <w:rFonts w:ascii="Arial" w:hAnsi="Arial" w:cs="Arial"/>
                <w:sz w:val="20"/>
                <w:szCs w:val="20"/>
              </w:rPr>
              <w:t>938</w:t>
            </w:r>
          </w:p>
        </w:tc>
        <w:tc>
          <w:tcPr>
            <w:tcW w:w="990" w:type="dxa"/>
            <w:tcMar>
              <w:top w:w="30" w:type="dxa"/>
              <w:left w:w="45" w:type="dxa"/>
              <w:bottom w:w="30" w:type="dxa"/>
              <w:right w:w="45" w:type="dxa"/>
            </w:tcMar>
            <w:vAlign w:val="bottom"/>
            <w:hideMark/>
          </w:tcPr>
          <w:p w14:paraId="534791F6" w14:textId="0BE80834" w:rsidR="0090401F" w:rsidRPr="00C44200" w:rsidRDefault="0090401F" w:rsidP="004E1A3B">
            <w:pPr>
              <w:spacing w:after="0" w:line="240" w:lineRule="auto"/>
              <w:jc w:val="right"/>
              <w:rPr>
                <w:rFonts w:ascii="Arial" w:eastAsia="Times New Roman" w:hAnsi="Arial" w:cs="Arial"/>
                <w:sz w:val="20"/>
                <w:szCs w:val="20"/>
              </w:rPr>
            </w:pPr>
            <w:r>
              <w:rPr>
                <w:rFonts w:ascii="Arial" w:hAnsi="Arial" w:cs="Arial"/>
                <w:sz w:val="20"/>
                <w:szCs w:val="20"/>
              </w:rPr>
              <w:t>840.70</w:t>
            </w:r>
          </w:p>
        </w:tc>
        <w:tc>
          <w:tcPr>
            <w:tcW w:w="1440" w:type="dxa"/>
            <w:tcMar>
              <w:top w:w="30" w:type="dxa"/>
              <w:left w:w="45" w:type="dxa"/>
              <w:bottom w:w="30" w:type="dxa"/>
              <w:right w:w="45" w:type="dxa"/>
            </w:tcMar>
            <w:vAlign w:val="bottom"/>
            <w:hideMark/>
          </w:tcPr>
          <w:p w14:paraId="7BB77AAE" w14:textId="1DE09898" w:rsidR="0090401F" w:rsidRPr="00C44200" w:rsidRDefault="0090401F" w:rsidP="004E1A3B">
            <w:pPr>
              <w:spacing w:after="0" w:line="240" w:lineRule="auto"/>
              <w:jc w:val="right"/>
              <w:rPr>
                <w:rFonts w:ascii="Arial" w:eastAsia="Times New Roman" w:hAnsi="Arial" w:cs="Arial"/>
                <w:sz w:val="20"/>
                <w:szCs w:val="20"/>
              </w:rPr>
            </w:pPr>
            <w:r>
              <w:rPr>
                <w:rFonts w:ascii="Arial" w:hAnsi="Arial" w:cs="Arial"/>
                <w:sz w:val="20"/>
                <w:szCs w:val="20"/>
              </w:rPr>
              <w:t>724</w:t>
            </w:r>
          </w:p>
        </w:tc>
        <w:tc>
          <w:tcPr>
            <w:tcW w:w="1170" w:type="dxa"/>
            <w:tcMar>
              <w:top w:w="30" w:type="dxa"/>
              <w:left w:w="45" w:type="dxa"/>
              <w:bottom w:w="30" w:type="dxa"/>
              <w:right w:w="45" w:type="dxa"/>
            </w:tcMar>
            <w:vAlign w:val="bottom"/>
            <w:hideMark/>
          </w:tcPr>
          <w:p w14:paraId="48EA7021" w14:textId="6CCC7942" w:rsidR="0090401F" w:rsidRPr="00C44200" w:rsidRDefault="0090401F" w:rsidP="004E1A3B">
            <w:pPr>
              <w:spacing w:after="0" w:line="240" w:lineRule="auto"/>
              <w:jc w:val="right"/>
              <w:rPr>
                <w:rFonts w:ascii="Arial" w:eastAsia="Times New Roman" w:hAnsi="Arial" w:cs="Arial"/>
                <w:sz w:val="20"/>
                <w:szCs w:val="20"/>
              </w:rPr>
            </w:pPr>
            <w:r>
              <w:rPr>
                <w:rFonts w:ascii="Arial" w:hAnsi="Arial" w:cs="Arial"/>
                <w:sz w:val="20"/>
                <w:szCs w:val="20"/>
              </w:rPr>
              <w:t>727.8</w:t>
            </w:r>
          </w:p>
        </w:tc>
        <w:tc>
          <w:tcPr>
            <w:tcW w:w="1530" w:type="dxa"/>
            <w:tcMar>
              <w:top w:w="30" w:type="dxa"/>
              <w:left w:w="45" w:type="dxa"/>
              <w:bottom w:w="30" w:type="dxa"/>
              <w:right w:w="45" w:type="dxa"/>
            </w:tcMar>
            <w:vAlign w:val="bottom"/>
            <w:hideMark/>
          </w:tcPr>
          <w:p w14:paraId="64DC72AF" w14:textId="0075D2F6" w:rsidR="0090401F" w:rsidRPr="00C44200" w:rsidRDefault="0090401F" w:rsidP="004E1A3B">
            <w:pPr>
              <w:spacing w:after="0" w:line="240" w:lineRule="auto"/>
              <w:jc w:val="right"/>
              <w:rPr>
                <w:rFonts w:ascii="Arial" w:eastAsia="Times New Roman" w:hAnsi="Arial" w:cs="Arial"/>
                <w:sz w:val="20"/>
                <w:szCs w:val="20"/>
              </w:rPr>
            </w:pPr>
            <w:r>
              <w:rPr>
                <w:rFonts w:ascii="Arial" w:hAnsi="Arial" w:cs="Arial"/>
                <w:sz w:val="20"/>
                <w:szCs w:val="20"/>
              </w:rPr>
              <w:t>727.6</w:t>
            </w:r>
          </w:p>
        </w:tc>
      </w:tr>
      <w:tr w:rsidR="0090401F" w:rsidRPr="00C44200" w14:paraId="4A044453" w14:textId="77777777" w:rsidTr="004E1A3B">
        <w:trPr>
          <w:trHeight w:val="315"/>
        </w:trPr>
        <w:tc>
          <w:tcPr>
            <w:tcW w:w="0" w:type="auto"/>
            <w:tcMar>
              <w:top w:w="30" w:type="dxa"/>
              <w:left w:w="45" w:type="dxa"/>
              <w:bottom w:w="30" w:type="dxa"/>
              <w:right w:w="45" w:type="dxa"/>
            </w:tcMar>
            <w:vAlign w:val="bottom"/>
            <w:hideMark/>
          </w:tcPr>
          <w:p w14:paraId="47FAD3AA" w14:textId="77777777" w:rsidR="0090401F" w:rsidRPr="00C44200" w:rsidRDefault="0090401F" w:rsidP="004E1A3B">
            <w:pPr>
              <w:spacing w:after="0" w:line="240" w:lineRule="auto"/>
              <w:jc w:val="left"/>
              <w:rPr>
                <w:rFonts w:ascii="Arial" w:eastAsia="Times New Roman" w:hAnsi="Arial" w:cs="Arial"/>
                <w:b/>
                <w:sz w:val="20"/>
                <w:szCs w:val="20"/>
              </w:rPr>
            </w:pPr>
            <w:r w:rsidRPr="00C44200">
              <w:rPr>
                <w:rFonts w:ascii="Arial" w:eastAsia="Times New Roman" w:hAnsi="Arial" w:cs="Arial"/>
                <w:b/>
                <w:sz w:val="20"/>
                <w:szCs w:val="20"/>
              </w:rPr>
              <w:t>Cash and Cash Equivalents</w:t>
            </w:r>
          </w:p>
        </w:tc>
        <w:tc>
          <w:tcPr>
            <w:tcW w:w="1852" w:type="dxa"/>
            <w:tcMar>
              <w:top w:w="30" w:type="dxa"/>
              <w:left w:w="45" w:type="dxa"/>
              <w:bottom w:w="30" w:type="dxa"/>
              <w:right w:w="45" w:type="dxa"/>
            </w:tcMar>
            <w:vAlign w:val="bottom"/>
            <w:hideMark/>
          </w:tcPr>
          <w:p w14:paraId="7C970E13" w14:textId="606A8780" w:rsidR="0090401F" w:rsidRPr="00C44200" w:rsidRDefault="0090401F" w:rsidP="004E1A3B">
            <w:pPr>
              <w:spacing w:after="0" w:line="240" w:lineRule="auto"/>
              <w:jc w:val="right"/>
              <w:rPr>
                <w:rFonts w:ascii="Arial" w:eastAsia="Times New Roman" w:hAnsi="Arial" w:cs="Arial"/>
                <w:sz w:val="20"/>
                <w:szCs w:val="20"/>
              </w:rPr>
            </w:pPr>
            <w:r>
              <w:rPr>
                <w:rFonts w:ascii="Arial" w:hAnsi="Arial" w:cs="Arial"/>
                <w:sz w:val="20"/>
                <w:szCs w:val="20"/>
              </w:rPr>
              <w:t>207.9</w:t>
            </w:r>
          </w:p>
        </w:tc>
        <w:tc>
          <w:tcPr>
            <w:tcW w:w="990" w:type="dxa"/>
            <w:tcMar>
              <w:top w:w="30" w:type="dxa"/>
              <w:left w:w="45" w:type="dxa"/>
              <w:bottom w:w="30" w:type="dxa"/>
              <w:right w:w="45" w:type="dxa"/>
            </w:tcMar>
            <w:vAlign w:val="bottom"/>
            <w:hideMark/>
          </w:tcPr>
          <w:p w14:paraId="4A03EFA1" w14:textId="4A2497CD" w:rsidR="0090401F" w:rsidRPr="00C44200" w:rsidRDefault="0090401F" w:rsidP="004E1A3B">
            <w:pPr>
              <w:spacing w:after="0" w:line="240" w:lineRule="auto"/>
              <w:jc w:val="right"/>
              <w:rPr>
                <w:rFonts w:ascii="Arial" w:eastAsia="Times New Roman" w:hAnsi="Arial" w:cs="Arial"/>
                <w:sz w:val="20"/>
                <w:szCs w:val="20"/>
              </w:rPr>
            </w:pPr>
            <w:r>
              <w:rPr>
                <w:rFonts w:ascii="Arial" w:hAnsi="Arial" w:cs="Arial"/>
                <w:sz w:val="20"/>
                <w:szCs w:val="20"/>
              </w:rPr>
              <w:t>505.6</w:t>
            </w:r>
          </w:p>
        </w:tc>
        <w:tc>
          <w:tcPr>
            <w:tcW w:w="1440" w:type="dxa"/>
            <w:tcMar>
              <w:top w:w="30" w:type="dxa"/>
              <w:left w:w="45" w:type="dxa"/>
              <w:bottom w:w="30" w:type="dxa"/>
              <w:right w:w="45" w:type="dxa"/>
            </w:tcMar>
            <w:vAlign w:val="bottom"/>
            <w:hideMark/>
          </w:tcPr>
          <w:p w14:paraId="140CCF94" w14:textId="5677D498" w:rsidR="0090401F" w:rsidRPr="00C44200" w:rsidRDefault="0090401F" w:rsidP="004E1A3B">
            <w:pPr>
              <w:spacing w:after="0" w:line="240" w:lineRule="auto"/>
              <w:jc w:val="right"/>
              <w:rPr>
                <w:rFonts w:ascii="Arial" w:eastAsia="Times New Roman" w:hAnsi="Arial" w:cs="Arial"/>
                <w:sz w:val="20"/>
                <w:szCs w:val="20"/>
              </w:rPr>
            </w:pPr>
            <w:r>
              <w:rPr>
                <w:rFonts w:ascii="Arial" w:hAnsi="Arial" w:cs="Arial"/>
                <w:sz w:val="20"/>
                <w:szCs w:val="20"/>
              </w:rPr>
              <w:t>459.8</w:t>
            </w:r>
          </w:p>
        </w:tc>
        <w:tc>
          <w:tcPr>
            <w:tcW w:w="1170" w:type="dxa"/>
            <w:tcMar>
              <w:top w:w="30" w:type="dxa"/>
              <w:left w:w="45" w:type="dxa"/>
              <w:bottom w:w="30" w:type="dxa"/>
              <w:right w:w="45" w:type="dxa"/>
            </w:tcMar>
            <w:vAlign w:val="bottom"/>
            <w:hideMark/>
          </w:tcPr>
          <w:p w14:paraId="4A841D4F" w14:textId="49043C2C" w:rsidR="0090401F" w:rsidRPr="00C44200" w:rsidRDefault="0090401F" w:rsidP="004E1A3B">
            <w:pPr>
              <w:spacing w:after="0" w:line="240" w:lineRule="auto"/>
              <w:jc w:val="right"/>
              <w:rPr>
                <w:rFonts w:ascii="Arial" w:eastAsia="Times New Roman" w:hAnsi="Arial" w:cs="Arial"/>
                <w:sz w:val="20"/>
                <w:szCs w:val="20"/>
              </w:rPr>
            </w:pPr>
            <w:r>
              <w:rPr>
                <w:rFonts w:ascii="Arial" w:hAnsi="Arial" w:cs="Arial"/>
                <w:sz w:val="20"/>
                <w:szCs w:val="20"/>
              </w:rPr>
              <w:t>235.7</w:t>
            </w:r>
          </w:p>
        </w:tc>
        <w:tc>
          <w:tcPr>
            <w:tcW w:w="1530" w:type="dxa"/>
            <w:tcMar>
              <w:top w:w="30" w:type="dxa"/>
              <w:left w:w="45" w:type="dxa"/>
              <w:bottom w:w="30" w:type="dxa"/>
              <w:right w:w="45" w:type="dxa"/>
            </w:tcMar>
            <w:vAlign w:val="bottom"/>
            <w:hideMark/>
          </w:tcPr>
          <w:p w14:paraId="4965308C" w14:textId="0CE69639" w:rsidR="0090401F" w:rsidRPr="00C44200" w:rsidRDefault="0090401F" w:rsidP="004E1A3B">
            <w:pPr>
              <w:spacing w:after="0" w:line="240" w:lineRule="auto"/>
              <w:jc w:val="right"/>
              <w:rPr>
                <w:rFonts w:ascii="Arial" w:eastAsia="Times New Roman" w:hAnsi="Arial" w:cs="Arial"/>
                <w:sz w:val="20"/>
                <w:szCs w:val="20"/>
              </w:rPr>
            </w:pPr>
            <w:r>
              <w:rPr>
                <w:rFonts w:ascii="Arial" w:hAnsi="Arial" w:cs="Arial"/>
                <w:sz w:val="20"/>
                <w:szCs w:val="20"/>
              </w:rPr>
              <w:t>131.5</w:t>
            </w:r>
          </w:p>
        </w:tc>
      </w:tr>
      <w:tr w:rsidR="0090401F" w:rsidRPr="00C44200" w14:paraId="4AAEAC79" w14:textId="77777777" w:rsidTr="004E1A3B">
        <w:trPr>
          <w:trHeight w:val="315"/>
        </w:trPr>
        <w:tc>
          <w:tcPr>
            <w:tcW w:w="0" w:type="auto"/>
            <w:tcMar>
              <w:top w:w="30" w:type="dxa"/>
              <w:left w:w="45" w:type="dxa"/>
              <w:bottom w:w="30" w:type="dxa"/>
              <w:right w:w="45" w:type="dxa"/>
            </w:tcMar>
            <w:vAlign w:val="bottom"/>
            <w:hideMark/>
          </w:tcPr>
          <w:p w14:paraId="20BDF959" w14:textId="77777777" w:rsidR="0090401F" w:rsidRPr="00C44200" w:rsidRDefault="0090401F" w:rsidP="004E1A3B">
            <w:pPr>
              <w:spacing w:after="0" w:line="240" w:lineRule="auto"/>
              <w:jc w:val="left"/>
              <w:rPr>
                <w:rFonts w:ascii="Arial" w:eastAsia="Times New Roman" w:hAnsi="Arial" w:cs="Arial"/>
                <w:b/>
                <w:sz w:val="20"/>
                <w:szCs w:val="20"/>
              </w:rPr>
            </w:pPr>
            <w:r w:rsidRPr="00C44200">
              <w:rPr>
                <w:rFonts w:ascii="Arial" w:eastAsia="Times New Roman" w:hAnsi="Arial" w:cs="Arial"/>
                <w:b/>
                <w:sz w:val="20"/>
                <w:szCs w:val="20"/>
              </w:rPr>
              <w:t>Total Assets</w:t>
            </w:r>
          </w:p>
        </w:tc>
        <w:tc>
          <w:tcPr>
            <w:tcW w:w="1852" w:type="dxa"/>
            <w:tcMar>
              <w:top w:w="30" w:type="dxa"/>
              <w:left w:w="45" w:type="dxa"/>
              <w:bottom w:w="30" w:type="dxa"/>
              <w:right w:w="45" w:type="dxa"/>
            </w:tcMar>
            <w:vAlign w:val="bottom"/>
            <w:hideMark/>
          </w:tcPr>
          <w:p w14:paraId="331392F7" w14:textId="6324CD96" w:rsidR="0090401F" w:rsidRPr="00C44200" w:rsidRDefault="0090401F" w:rsidP="004E1A3B">
            <w:pPr>
              <w:spacing w:after="0" w:line="240" w:lineRule="auto"/>
              <w:jc w:val="right"/>
              <w:rPr>
                <w:rFonts w:ascii="Arial" w:eastAsia="Times New Roman" w:hAnsi="Arial" w:cs="Arial"/>
                <w:sz w:val="20"/>
                <w:szCs w:val="20"/>
              </w:rPr>
            </w:pPr>
            <w:r>
              <w:rPr>
                <w:rFonts w:ascii="Arial" w:hAnsi="Arial" w:cs="Arial"/>
                <w:sz w:val="20"/>
                <w:szCs w:val="20"/>
              </w:rPr>
              <w:t>6,440</w:t>
            </w:r>
          </w:p>
        </w:tc>
        <w:tc>
          <w:tcPr>
            <w:tcW w:w="990" w:type="dxa"/>
            <w:tcMar>
              <w:top w:w="30" w:type="dxa"/>
              <w:left w:w="45" w:type="dxa"/>
              <w:bottom w:w="30" w:type="dxa"/>
              <w:right w:w="45" w:type="dxa"/>
            </w:tcMar>
            <w:vAlign w:val="bottom"/>
            <w:hideMark/>
          </w:tcPr>
          <w:p w14:paraId="10F9DA16" w14:textId="2E1D6B1A" w:rsidR="0090401F" w:rsidRPr="00C44200" w:rsidRDefault="0090401F" w:rsidP="004E1A3B">
            <w:pPr>
              <w:spacing w:after="0" w:line="240" w:lineRule="auto"/>
              <w:jc w:val="right"/>
              <w:rPr>
                <w:rFonts w:ascii="Arial" w:eastAsia="Times New Roman" w:hAnsi="Arial" w:cs="Arial"/>
                <w:sz w:val="20"/>
                <w:szCs w:val="20"/>
              </w:rPr>
            </w:pPr>
            <w:r>
              <w:rPr>
                <w:rFonts w:ascii="Arial" w:hAnsi="Arial" w:cs="Arial"/>
                <w:sz w:val="20"/>
                <w:szCs w:val="20"/>
              </w:rPr>
              <w:t>6,079.5</w:t>
            </w:r>
          </w:p>
        </w:tc>
        <w:tc>
          <w:tcPr>
            <w:tcW w:w="1440" w:type="dxa"/>
            <w:tcMar>
              <w:top w:w="30" w:type="dxa"/>
              <w:left w:w="45" w:type="dxa"/>
              <w:bottom w:w="30" w:type="dxa"/>
              <w:right w:w="45" w:type="dxa"/>
            </w:tcMar>
            <w:vAlign w:val="bottom"/>
            <w:hideMark/>
          </w:tcPr>
          <w:p w14:paraId="5C3034FD" w14:textId="2AEA92DF" w:rsidR="0090401F" w:rsidRPr="00C44200" w:rsidRDefault="0090401F" w:rsidP="004E1A3B">
            <w:pPr>
              <w:spacing w:after="0" w:line="240" w:lineRule="auto"/>
              <w:jc w:val="right"/>
              <w:rPr>
                <w:rFonts w:ascii="Arial" w:eastAsia="Times New Roman" w:hAnsi="Arial" w:cs="Arial"/>
                <w:sz w:val="20"/>
                <w:szCs w:val="20"/>
              </w:rPr>
            </w:pPr>
            <w:r>
              <w:rPr>
                <w:rFonts w:ascii="Arial" w:hAnsi="Arial" w:cs="Arial"/>
                <w:sz w:val="20"/>
                <w:szCs w:val="20"/>
              </w:rPr>
              <w:t>4,400.1</w:t>
            </w:r>
          </w:p>
        </w:tc>
        <w:tc>
          <w:tcPr>
            <w:tcW w:w="1170" w:type="dxa"/>
            <w:tcMar>
              <w:top w:w="30" w:type="dxa"/>
              <w:left w:w="45" w:type="dxa"/>
              <w:bottom w:w="30" w:type="dxa"/>
              <w:right w:w="45" w:type="dxa"/>
            </w:tcMar>
            <w:vAlign w:val="bottom"/>
            <w:hideMark/>
          </w:tcPr>
          <w:p w14:paraId="406DB430" w14:textId="23CEF81D" w:rsidR="0090401F" w:rsidRPr="00C44200" w:rsidRDefault="0090401F" w:rsidP="004E1A3B">
            <w:pPr>
              <w:spacing w:after="0" w:line="240" w:lineRule="auto"/>
              <w:jc w:val="right"/>
              <w:rPr>
                <w:rFonts w:ascii="Arial" w:eastAsia="Times New Roman" w:hAnsi="Arial" w:cs="Arial"/>
                <w:sz w:val="20"/>
                <w:szCs w:val="20"/>
              </w:rPr>
            </w:pPr>
            <w:r>
              <w:rPr>
                <w:rFonts w:ascii="Arial" w:hAnsi="Arial" w:cs="Arial"/>
                <w:sz w:val="20"/>
                <w:szCs w:val="20"/>
              </w:rPr>
              <w:t>4,136.4</w:t>
            </w:r>
          </w:p>
        </w:tc>
        <w:tc>
          <w:tcPr>
            <w:tcW w:w="1530" w:type="dxa"/>
            <w:tcMar>
              <w:top w:w="30" w:type="dxa"/>
              <w:left w:w="45" w:type="dxa"/>
              <w:bottom w:w="30" w:type="dxa"/>
              <w:right w:w="45" w:type="dxa"/>
            </w:tcMar>
            <w:vAlign w:val="bottom"/>
            <w:hideMark/>
          </w:tcPr>
          <w:p w14:paraId="4BA66CF4" w14:textId="6FF1DB75" w:rsidR="0090401F" w:rsidRPr="00C44200" w:rsidRDefault="0090401F" w:rsidP="004E1A3B">
            <w:pPr>
              <w:spacing w:after="0" w:line="240" w:lineRule="auto"/>
              <w:jc w:val="right"/>
              <w:rPr>
                <w:rFonts w:ascii="Arial" w:eastAsia="Times New Roman" w:hAnsi="Arial" w:cs="Arial"/>
                <w:sz w:val="20"/>
                <w:szCs w:val="20"/>
              </w:rPr>
            </w:pPr>
            <w:r>
              <w:rPr>
                <w:rFonts w:ascii="Arial" w:hAnsi="Arial" w:cs="Arial"/>
                <w:sz w:val="20"/>
                <w:szCs w:val="20"/>
              </w:rPr>
              <w:t>4,025.5</w:t>
            </w:r>
          </w:p>
        </w:tc>
      </w:tr>
      <w:tr w:rsidR="0090401F" w:rsidRPr="00C44200" w14:paraId="4509D458" w14:textId="77777777" w:rsidTr="004E1A3B">
        <w:trPr>
          <w:trHeight w:val="315"/>
        </w:trPr>
        <w:tc>
          <w:tcPr>
            <w:tcW w:w="0" w:type="auto"/>
            <w:tcMar>
              <w:top w:w="30" w:type="dxa"/>
              <w:left w:w="45" w:type="dxa"/>
              <w:bottom w:w="30" w:type="dxa"/>
              <w:right w:w="45" w:type="dxa"/>
            </w:tcMar>
            <w:vAlign w:val="bottom"/>
            <w:hideMark/>
          </w:tcPr>
          <w:p w14:paraId="2A1B8403" w14:textId="77777777" w:rsidR="0090401F" w:rsidRPr="00C44200" w:rsidRDefault="0090401F" w:rsidP="004E1A3B">
            <w:pPr>
              <w:spacing w:after="0" w:line="240" w:lineRule="auto"/>
              <w:jc w:val="left"/>
              <w:rPr>
                <w:rFonts w:ascii="Arial" w:eastAsia="Times New Roman" w:hAnsi="Arial" w:cs="Arial"/>
                <w:b/>
                <w:sz w:val="20"/>
                <w:szCs w:val="20"/>
              </w:rPr>
            </w:pPr>
            <w:r w:rsidRPr="00C44200">
              <w:rPr>
                <w:rFonts w:ascii="Arial" w:eastAsia="Times New Roman" w:hAnsi="Arial" w:cs="Arial"/>
                <w:b/>
                <w:sz w:val="20"/>
                <w:szCs w:val="20"/>
              </w:rPr>
              <w:t>Shareholder's Equity</w:t>
            </w:r>
          </w:p>
        </w:tc>
        <w:tc>
          <w:tcPr>
            <w:tcW w:w="1852" w:type="dxa"/>
            <w:tcMar>
              <w:top w:w="30" w:type="dxa"/>
              <w:left w:w="45" w:type="dxa"/>
              <w:bottom w:w="30" w:type="dxa"/>
              <w:right w:w="45" w:type="dxa"/>
            </w:tcMar>
            <w:vAlign w:val="bottom"/>
            <w:hideMark/>
          </w:tcPr>
          <w:p w14:paraId="7CA429B3" w14:textId="566AC7D8" w:rsidR="0090401F" w:rsidRPr="00C44200" w:rsidRDefault="0090401F" w:rsidP="004E1A3B">
            <w:pPr>
              <w:spacing w:after="0" w:line="240" w:lineRule="auto"/>
              <w:jc w:val="right"/>
              <w:rPr>
                <w:rFonts w:ascii="Arial" w:eastAsia="Times New Roman" w:hAnsi="Arial" w:cs="Arial"/>
                <w:sz w:val="20"/>
                <w:szCs w:val="20"/>
              </w:rPr>
            </w:pPr>
            <w:r>
              <w:rPr>
                <w:rFonts w:ascii="Arial" w:hAnsi="Arial" w:cs="Arial"/>
                <w:sz w:val="20"/>
                <w:szCs w:val="20"/>
              </w:rPr>
              <w:t>2,582.7</w:t>
            </w:r>
          </w:p>
        </w:tc>
        <w:tc>
          <w:tcPr>
            <w:tcW w:w="990" w:type="dxa"/>
            <w:tcMar>
              <w:top w:w="30" w:type="dxa"/>
              <w:left w:w="45" w:type="dxa"/>
              <w:bottom w:w="30" w:type="dxa"/>
              <w:right w:w="45" w:type="dxa"/>
            </w:tcMar>
            <w:vAlign w:val="bottom"/>
            <w:hideMark/>
          </w:tcPr>
          <w:p w14:paraId="40E0A439" w14:textId="5A54CB53" w:rsidR="0090401F" w:rsidRPr="00C44200" w:rsidRDefault="0090401F" w:rsidP="004E1A3B">
            <w:pPr>
              <w:spacing w:after="0" w:line="240" w:lineRule="auto"/>
              <w:jc w:val="right"/>
              <w:rPr>
                <w:rFonts w:ascii="Arial" w:eastAsia="Times New Roman" w:hAnsi="Arial" w:cs="Arial"/>
                <w:sz w:val="20"/>
                <w:szCs w:val="20"/>
              </w:rPr>
            </w:pPr>
            <w:r>
              <w:rPr>
                <w:rFonts w:ascii="Arial" w:hAnsi="Arial" w:cs="Arial"/>
                <w:sz w:val="20"/>
                <w:szCs w:val="20"/>
              </w:rPr>
              <w:t>2,713.8</w:t>
            </w:r>
          </w:p>
        </w:tc>
        <w:tc>
          <w:tcPr>
            <w:tcW w:w="1440" w:type="dxa"/>
            <w:tcMar>
              <w:top w:w="30" w:type="dxa"/>
              <w:left w:w="45" w:type="dxa"/>
              <w:bottom w:w="30" w:type="dxa"/>
              <w:right w:w="45" w:type="dxa"/>
            </w:tcMar>
            <w:vAlign w:val="bottom"/>
            <w:hideMark/>
          </w:tcPr>
          <w:p w14:paraId="050903A4" w14:textId="319C1393" w:rsidR="0090401F" w:rsidRPr="00C44200" w:rsidRDefault="0090401F" w:rsidP="004E1A3B">
            <w:pPr>
              <w:spacing w:after="0" w:line="240" w:lineRule="auto"/>
              <w:jc w:val="right"/>
              <w:rPr>
                <w:rFonts w:ascii="Arial" w:eastAsia="Times New Roman" w:hAnsi="Arial" w:cs="Arial"/>
                <w:sz w:val="20"/>
                <w:szCs w:val="20"/>
              </w:rPr>
            </w:pPr>
            <w:r>
              <w:rPr>
                <w:rFonts w:ascii="Arial" w:hAnsi="Arial" w:cs="Arial"/>
                <w:sz w:val="20"/>
                <w:szCs w:val="20"/>
              </w:rPr>
              <w:t>2,237.8</w:t>
            </w:r>
          </w:p>
        </w:tc>
        <w:tc>
          <w:tcPr>
            <w:tcW w:w="1170" w:type="dxa"/>
            <w:tcMar>
              <w:top w:w="30" w:type="dxa"/>
              <w:left w:w="45" w:type="dxa"/>
              <w:bottom w:w="30" w:type="dxa"/>
              <w:right w:w="45" w:type="dxa"/>
            </w:tcMar>
            <w:vAlign w:val="bottom"/>
            <w:hideMark/>
          </w:tcPr>
          <w:p w14:paraId="45DD5164" w14:textId="7B4D22A4" w:rsidR="0090401F" w:rsidRPr="00C44200" w:rsidRDefault="0090401F" w:rsidP="004E1A3B">
            <w:pPr>
              <w:spacing w:after="0" w:line="240" w:lineRule="auto"/>
              <w:jc w:val="right"/>
              <w:rPr>
                <w:rFonts w:ascii="Arial" w:eastAsia="Times New Roman" w:hAnsi="Arial" w:cs="Arial"/>
                <w:sz w:val="20"/>
                <w:szCs w:val="20"/>
              </w:rPr>
            </w:pPr>
            <w:r>
              <w:rPr>
                <w:rFonts w:ascii="Arial" w:hAnsi="Arial" w:cs="Arial"/>
                <w:sz w:val="20"/>
                <w:szCs w:val="20"/>
              </w:rPr>
              <w:t>2,102.2</w:t>
            </w:r>
          </w:p>
        </w:tc>
        <w:tc>
          <w:tcPr>
            <w:tcW w:w="1530" w:type="dxa"/>
            <w:tcMar>
              <w:top w:w="30" w:type="dxa"/>
              <w:left w:w="45" w:type="dxa"/>
              <w:bottom w:w="30" w:type="dxa"/>
              <w:right w:w="45" w:type="dxa"/>
            </w:tcMar>
            <w:vAlign w:val="bottom"/>
            <w:hideMark/>
          </w:tcPr>
          <w:p w14:paraId="5688469D" w14:textId="2884037A" w:rsidR="0090401F" w:rsidRPr="00C44200" w:rsidRDefault="0090401F" w:rsidP="004E1A3B">
            <w:pPr>
              <w:spacing w:after="0" w:line="240" w:lineRule="auto"/>
              <w:jc w:val="right"/>
              <w:rPr>
                <w:rFonts w:ascii="Arial" w:eastAsia="Times New Roman" w:hAnsi="Arial" w:cs="Arial"/>
                <w:sz w:val="20"/>
                <w:szCs w:val="20"/>
              </w:rPr>
            </w:pPr>
            <w:r>
              <w:rPr>
                <w:rFonts w:ascii="Arial" w:hAnsi="Arial" w:cs="Arial"/>
                <w:sz w:val="20"/>
                <w:szCs w:val="20"/>
              </w:rPr>
              <w:t>2,040.3</w:t>
            </w:r>
          </w:p>
        </w:tc>
      </w:tr>
      <w:tr w:rsidR="0090401F" w:rsidRPr="00C44200" w14:paraId="4559E55F" w14:textId="77777777" w:rsidTr="004E1A3B">
        <w:trPr>
          <w:trHeight w:val="315"/>
        </w:trPr>
        <w:tc>
          <w:tcPr>
            <w:tcW w:w="0" w:type="auto"/>
            <w:tcMar>
              <w:top w:w="30" w:type="dxa"/>
              <w:left w:w="45" w:type="dxa"/>
              <w:bottom w:w="30" w:type="dxa"/>
              <w:right w:w="45" w:type="dxa"/>
            </w:tcMar>
            <w:vAlign w:val="bottom"/>
            <w:hideMark/>
          </w:tcPr>
          <w:p w14:paraId="25240F9C" w14:textId="77777777" w:rsidR="0090401F" w:rsidRPr="00C44200" w:rsidRDefault="0090401F" w:rsidP="004E1A3B">
            <w:pPr>
              <w:spacing w:after="0" w:line="240" w:lineRule="auto"/>
              <w:jc w:val="left"/>
              <w:rPr>
                <w:rFonts w:ascii="Arial" w:eastAsia="Times New Roman" w:hAnsi="Arial" w:cs="Arial"/>
                <w:b/>
                <w:sz w:val="20"/>
                <w:szCs w:val="20"/>
              </w:rPr>
            </w:pPr>
            <w:r w:rsidRPr="00C44200">
              <w:rPr>
                <w:rFonts w:ascii="Arial" w:eastAsia="Times New Roman" w:hAnsi="Arial" w:cs="Arial"/>
                <w:b/>
                <w:sz w:val="20"/>
                <w:szCs w:val="20"/>
              </w:rPr>
              <w:t>Average Inventory</w:t>
            </w:r>
          </w:p>
        </w:tc>
        <w:tc>
          <w:tcPr>
            <w:tcW w:w="1852" w:type="dxa"/>
            <w:tcMar>
              <w:top w:w="30" w:type="dxa"/>
              <w:left w:w="45" w:type="dxa"/>
              <w:bottom w:w="30" w:type="dxa"/>
              <w:right w:w="45" w:type="dxa"/>
            </w:tcMar>
            <w:vAlign w:val="bottom"/>
            <w:hideMark/>
          </w:tcPr>
          <w:p w14:paraId="73778CC4" w14:textId="1634D81D" w:rsidR="0090401F" w:rsidRPr="00C44200" w:rsidRDefault="0090401F" w:rsidP="004E1A3B">
            <w:pPr>
              <w:spacing w:after="0" w:line="240" w:lineRule="auto"/>
              <w:jc w:val="right"/>
              <w:rPr>
                <w:rFonts w:ascii="Arial" w:eastAsia="Times New Roman" w:hAnsi="Arial" w:cs="Arial"/>
                <w:sz w:val="20"/>
                <w:szCs w:val="20"/>
              </w:rPr>
            </w:pPr>
            <w:r>
              <w:rPr>
                <w:rFonts w:ascii="Arial" w:hAnsi="Arial" w:cs="Arial"/>
                <w:sz w:val="20"/>
                <w:szCs w:val="20"/>
              </w:rPr>
              <w:t>896.55</w:t>
            </w:r>
          </w:p>
        </w:tc>
        <w:tc>
          <w:tcPr>
            <w:tcW w:w="990" w:type="dxa"/>
            <w:tcMar>
              <w:top w:w="30" w:type="dxa"/>
              <w:left w:w="45" w:type="dxa"/>
              <w:bottom w:w="30" w:type="dxa"/>
              <w:right w:w="45" w:type="dxa"/>
            </w:tcMar>
            <w:vAlign w:val="bottom"/>
            <w:hideMark/>
          </w:tcPr>
          <w:p w14:paraId="4C6024C7" w14:textId="1557DD9B" w:rsidR="0090401F" w:rsidRPr="00C44200" w:rsidRDefault="0090401F" w:rsidP="004E1A3B">
            <w:pPr>
              <w:spacing w:after="0" w:line="240" w:lineRule="auto"/>
              <w:jc w:val="right"/>
              <w:rPr>
                <w:rFonts w:ascii="Arial" w:eastAsia="Times New Roman" w:hAnsi="Arial" w:cs="Arial"/>
                <w:sz w:val="20"/>
                <w:szCs w:val="20"/>
              </w:rPr>
            </w:pPr>
            <w:r>
              <w:rPr>
                <w:rFonts w:ascii="Arial" w:hAnsi="Arial" w:cs="Arial"/>
                <w:sz w:val="20"/>
                <w:szCs w:val="20"/>
              </w:rPr>
              <w:t>889.3</w:t>
            </w:r>
          </w:p>
        </w:tc>
        <w:tc>
          <w:tcPr>
            <w:tcW w:w="1440" w:type="dxa"/>
            <w:tcMar>
              <w:top w:w="30" w:type="dxa"/>
              <w:left w:w="45" w:type="dxa"/>
              <w:bottom w:w="30" w:type="dxa"/>
              <w:right w:w="45" w:type="dxa"/>
            </w:tcMar>
            <w:vAlign w:val="bottom"/>
            <w:hideMark/>
          </w:tcPr>
          <w:p w14:paraId="1F6FBD96" w14:textId="5203F23D" w:rsidR="0090401F" w:rsidRPr="00C44200" w:rsidRDefault="0090401F" w:rsidP="004E1A3B">
            <w:pPr>
              <w:spacing w:after="0" w:line="240" w:lineRule="auto"/>
              <w:jc w:val="right"/>
              <w:rPr>
                <w:rFonts w:ascii="Arial" w:eastAsia="Times New Roman" w:hAnsi="Arial" w:cs="Arial"/>
                <w:sz w:val="20"/>
                <w:szCs w:val="20"/>
              </w:rPr>
            </w:pPr>
            <w:r>
              <w:rPr>
                <w:rFonts w:ascii="Arial" w:hAnsi="Arial" w:cs="Arial"/>
                <w:sz w:val="20"/>
                <w:szCs w:val="20"/>
              </w:rPr>
              <w:t>782.6</w:t>
            </w:r>
          </w:p>
        </w:tc>
        <w:tc>
          <w:tcPr>
            <w:tcW w:w="1170" w:type="dxa"/>
            <w:tcMar>
              <w:top w:w="30" w:type="dxa"/>
              <w:left w:w="45" w:type="dxa"/>
              <w:bottom w:w="30" w:type="dxa"/>
              <w:right w:w="45" w:type="dxa"/>
            </w:tcMar>
            <w:vAlign w:val="bottom"/>
            <w:hideMark/>
          </w:tcPr>
          <w:p w14:paraId="1CC8EE6C" w14:textId="148C4223" w:rsidR="0090401F" w:rsidRPr="00C44200" w:rsidRDefault="0090401F" w:rsidP="004E1A3B">
            <w:pPr>
              <w:spacing w:after="0" w:line="240" w:lineRule="auto"/>
              <w:jc w:val="right"/>
              <w:rPr>
                <w:rFonts w:ascii="Arial" w:eastAsia="Times New Roman" w:hAnsi="Arial" w:cs="Arial"/>
                <w:sz w:val="20"/>
                <w:szCs w:val="20"/>
              </w:rPr>
            </w:pPr>
            <w:r>
              <w:rPr>
                <w:rFonts w:ascii="Arial" w:hAnsi="Arial" w:cs="Arial"/>
                <w:sz w:val="20"/>
                <w:szCs w:val="20"/>
              </w:rPr>
              <w:t>726.1</w:t>
            </w:r>
          </w:p>
        </w:tc>
        <w:tc>
          <w:tcPr>
            <w:tcW w:w="1530" w:type="dxa"/>
            <w:tcMar>
              <w:top w:w="30" w:type="dxa"/>
              <w:left w:w="45" w:type="dxa"/>
              <w:bottom w:w="30" w:type="dxa"/>
              <w:right w:w="45" w:type="dxa"/>
            </w:tcMar>
            <w:vAlign w:val="bottom"/>
            <w:hideMark/>
          </w:tcPr>
          <w:p w14:paraId="636F7149" w14:textId="09E2C882" w:rsidR="0090401F" w:rsidRPr="00C44200" w:rsidRDefault="0090401F" w:rsidP="004E1A3B">
            <w:pPr>
              <w:spacing w:after="0" w:line="240" w:lineRule="auto"/>
              <w:jc w:val="right"/>
              <w:rPr>
                <w:rFonts w:ascii="Arial" w:eastAsia="Times New Roman" w:hAnsi="Arial" w:cs="Arial"/>
                <w:sz w:val="20"/>
                <w:szCs w:val="20"/>
              </w:rPr>
            </w:pPr>
            <w:r>
              <w:rPr>
                <w:rFonts w:ascii="Arial" w:hAnsi="Arial" w:cs="Arial"/>
                <w:sz w:val="20"/>
                <w:szCs w:val="20"/>
              </w:rPr>
              <w:t>727.7</w:t>
            </w:r>
          </w:p>
        </w:tc>
      </w:tr>
      <w:tr w:rsidR="0090401F" w:rsidRPr="00C44200" w14:paraId="023A6C73" w14:textId="77777777" w:rsidTr="004E1A3B">
        <w:trPr>
          <w:trHeight w:val="315"/>
        </w:trPr>
        <w:tc>
          <w:tcPr>
            <w:tcW w:w="0" w:type="auto"/>
            <w:tcMar>
              <w:top w:w="30" w:type="dxa"/>
              <w:left w:w="45" w:type="dxa"/>
              <w:bottom w:w="30" w:type="dxa"/>
              <w:right w:w="45" w:type="dxa"/>
            </w:tcMar>
            <w:vAlign w:val="bottom"/>
            <w:hideMark/>
          </w:tcPr>
          <w:p w14:paraId="24C13DE9" w14:textId="77777777" w:rsidR="0090401F" w:rsidRPr="00C44200" w:rsidRDefault="0090401F" w:rsidP="004E1A3B">
            <w:pPr>
              <w:spacing w:after="0" w:line="240" w:lineRule="auto"/>
              <w:jc w:val="left"/>
              <w:rPr>
                <w:rFonts w:ascii="Arial" w:eastAsia="Times New Roman" w:hAnsi="Arial" w:cs="Arial"/>
                <w:b/>
                <w:sz w:val="20"/>
                <w:szCs w:val="20"/>
              </w:rPr>
            </w:pPr>
            <w:r w:rsidRPr="00C44200">
              <w:rPr>
                <w:rFonts w:ascii="Arial" w:eastAsia="Times New Roman" w:hAnsi="Arial" w:cs="Arial"/>
                <w:b/>
                <w:sz w:val="20"/>
                <w:szCs w:val="20"/>
              </w:rPr>
              <w:t>Average Total Assets</w:t>
            </w:r>
          </w:p>
        </w:tc>
        <w:tc>
          <w:tcPr>
            <w:tcW w:w="1852" w:type="dxa"/>
            <w:tcMar>
              <w:top w:w="30" w:type="dxa"/>
              <w:left w:w="45" w:type="dxa"/>
              <w:bottom w:w="30" w:type="dxa"/>
              <w:right w:w="45" w:type="dxa"/>
            </w:tcMar>
            <w:vAlign w:val="bottom"/>
            <w:hideMark/>
          </w:tcPr>
          <w:p w14:paraId="2470E9AA" w14:textId="24F64DFB" w:rsidR="0090401F" w:rsidRPr="00C44200" w:rsidRDefault="0090401F" w:rsidP="004E1A3B">
            <w:pPr>
              <w:spacing w:after="0" w:line="240" w:lineRule="auto"/>
              <w:jc w:val="right"/>
              <w:rPr>
                <w:rFonts w:ascii="Arial" w:eastAsia="Times New Roman" w:hAnsi="Arial" w:cs="Arial"/>
                <w:sz w:val="20"/>
                <w:szCs w:val="20"/>
              </w:rPr>
            </w:pPr>
            <w:r>
              <w:rPr>
                <w:rFonts w:ascii="Arial" w:hAnsi="Arial" w:cs="Arial"/>
                <w:sz w:val="20"/>
                <w:szCs w:val="20"/>
              </w:rPr>
              <w:t>2,187.5</w:t>
            </w:r>
          </w:p>
        </w:tc>
        <w:tc>
          <w:tcPr>
            <w:tcW w:w="990" w:type="dxa"/>
            <w:tcMar>
              <w:top w:w="30" w:type="dxa"/>
              <w:left w:w="45" w:type="dxa"/>
              <w:bottom w:w="30" w:type="dxa"/>
              <w:right w:w="45" w:type="dxa"/>
            </w:tcMar>
            <w:vAlign w:val="bottom"/>
            <w:hideMark/>
          </w:tcPr>
          <w:p w14:paraId="1AC0E651" w14:textId="43F02569" w:rsidR="0090401F" w:rsidRPr="00C44200" w:rsidRDefault="0090401F" w:rsidP="004E1A3B">
            <w:pPr>
              <w:spacing w:after="0" w:line="240" w:lineRule="auto"/>
              <w:jc w:val="right"/>
              <w:rPr>
                <w:rFonts w:ascii="Arial" w:eastAsia="Times New Roman" w:hAnsi="Arial" w:cs="Arial"/>
                <w:sz w:val="20"/>
                <w:szCs w:val="20"/>
              </w:rPr>
            </w:pPr>
            <w:r>
              <w:rPr>
                <w:rFonts w:ascii="Arial" w:hAnsi="Arial" w:cs="Arial"/>
                <w:sz w:val="20"/>
                <w:szCs w:val="20"/>
              </w:rPr>
              <w:t>6,259.8</w:t>
            </w:r>
          </w:p>
        </w:tc>
        <w:tc>
          <w:tcPr>
            <w:tcW w:w="1440" w:type="dxa"/>
            <w:tcMar>
              <w:top w:w="30" w:type="dxa"/>
              <w:left w:w="45" w:type="dxa"/>
              <w:bottom w:w="30" w:type="dxa"/>
              <w:right w:w="45" w:type="dxa"/>
            </w:tcMar>
            <w:vAlign w:val="bottom"/>
            <w:hideMark/>
          </w:tcPr>
          <w:p w14:paraId="755076CE" w14:textId="7142FB33" w:rsidR="0090401F" w:rsidRPr="00C44200" w:rsidRDefault="0090401F" w:rsidP="004E1A3B">
            <w:pPr>
              <w:spacing w:after="0" w:line="240" w:lineRule="auto"/>
              <w:jc w:val="right"/>
              <w:rPr>
                <w:rFonts w:ascii="Arial" w:eastAsia="Times New Roman" w:hAnsi="Arial" w:cs="Arial"/>
                <w:sz w:val="20"/>
                <w:szCs w:val="20"/>
              </w:rPr>
            </w:pPr>
            <w:r>
              <w:rPr>
                <w:rFonts w:ascii="Arial" w:hAnsi="Arial" w:cs="Arial"/>
                <w:sz w:val="20"/>
                <w:szCs w:val="20"/>
              </w:rPr>
              <w:t>5,239.8</w:t>
            </w:r>
          </w:p>
        </w:tc>
        <w:tc>
          <w:tcPr>
            <w:tcW w:w="1170" w:type="dxa"/>
            <w:tcMar>
              <w:top w:w="30" w:type="dxa"/>
              <w:left w:w="45" w:type="dxa"/>
              <w:bottom w:w="30" w:type="dxa"/>
              <w:right w:w="45" w:type="dxa"/>
            </w:tcMar>
            <w:vAlign w:val="bottom"/>
            <w:hideMark/>
          </w:tcPr>
          <w:p w14:paraId="2AEAC4AF" w14:textId="2409AB2C" w:rsidR="0090401F" w:rsidRPr="00C44200" w:rsidRDefault="0090401F" w:rsidP="004E1A3B">
            <w:pPr>
              <w:spacing w:after="0" w:line="240" w:lineRule="auto"/>
              <w:jc w:val="right"/>
              <w:rPr>
                <w:rFonts w:ascii="Arial" w:eastAsia="Times New Roman" w:hAnsi="Arial" w:cs="Arial"/>
                <w:sz w:val="20"/>
                <w:szCs w:val="20"/>
              </w:rPr>
            </w:pPr>
            <w:r>
              <w:rPr>
                <w:rFonts w:ascii="Arial" w:hAnsi="Arial" w:cs="Arial"/>
                <w:sz w:val="20"/>
                <w:szCs w:val="20"/>
              </w:rPr>
              <w:t>4,268.3</w:t>
            </w:r>
          </w:p>
        </w:tc>
        <w:tc>
          <w:tcPr>
            <w:tcW w:w="1530" w:type="dxa"/>
            <w:tcMar>
              <w:top w:w="30" w:type="dxa"/>
              <w:left w:w="45" w:type="dxa"/>
              <w:bottom w:w="30" w:type="dxa"/>
              <w:right w:w="45" w:type="dxa"/>
            </w:tcMar>
            <w:vAlign w:val="bottom"/>
            <w:hideMark/>
          </w:tcPr>
          <w:p w14:paraId="0B882D31" w14:textId="52CE1A64" w:rsidR="0090401F" w:rsidRPr="00C44200" w:rsidRDefault="0090401F" w:rsidP="004E1A3B">
            <w:pPr>
              <w:spacing w:after="0" w:line="240" w:lineRule="auto"/>
              <w:jc w:val="right"/>
              <w:rPr>
                <w:rFonts w:ascii="Arial" w:eastAsia="Times New Roman" w:hAnsi="Arial" w:cs="Arial"/>
                <w:sz w:val="20"/>
                <w:szCs w:val="20"/>
              </w:rPr>
            </w:pPr>
            <w:r>
              <w:rPr>
                <w:rFonts w:ascii="Arial" w:hAnsi="Arial" w:cs="Arial"/>
                <w:sz w:val="20"/>
                <w:szCs w:val="20"/>
              </w:rPr>
              <w:t>4,081.0</w:t>
            </w:r>
          </w:p>
        </w:tc>
      </w:tr>
      <w:tr w:rsidR="0090401F" w:rsidRPr="00C44200" w14:paraId="78BB3720" w14:textId="77777777" w:rsidTr="004E1A3B">
        <w:trPr>
          <w:trHeight w:val="315"/>
        </w:trPr>
        <w:tc>
          <w:tcPr>
            <w:tcW w:w="0" w:type="auto"/>
            <w:tcMar>
              <w:top w:w="30" w:type="dxa"/>
              <w:left w:w="45" w:type="dxa"/>
              <w:bottom w:w="30" w:type="dxa"/>
              <w:right w:w="45" w:type="dxa"/>
            </w:tcMar>
            <w:vAlign w:val="bottom"/>
            <w:hideMark/>
          </w:tcPr>
          <w:p w14:paraId="165F1B5F" w14:textId="77777777" w:rsidR="0090401F" w:rsidRPr="00C44200" w:rsidRDefault="0090401F" w:rsidP="004E1A3B">
            <w:pPr>
              <w:spacing w:after="0" w:line="240" w:lineRule="auto"/>
              <w:jc w:val="left"/>
              <w:rPr>
                <w:rFonts w:ascii="Arial" w:eastAsia="Times New Roman" w:hAnsi="Arial" w:cs="Arial"/>
                <w:b/>
                <w:sz w:val="20"/>
                <w:szCs w:val="20"/>
              </w:rPr>
            </w:pPr>
            <w:r w:rsidRPr="00C44200">
              <w:rPr>
                <w:rFonts w:ascii="Arial" w:eastAsia="Times New Roman" w:hAnsi="Arial" w:cs="Arial"/>
                <w:b/>
                <w:sz w:val="20"/>
                <w:szCs w:val="20"/>
              </w:rPr>
              <w:t>Total Liabilities</w:t>
            </w:r>
          </w:p>
        </w:tc>
        <w:tc>
          <w:tcPr>
            <w:tcW w:w="1852" w:type="dxa"/>
            <w:tcMar>
              <w:top w:w="30" w:type="dxa"/>
              <w:left w:w="45" w:type="dxa"/>
              <w:bottom w:w="30" w:type="dxa"/>
              <w:right w:w="45" w:type="dxa"/>
            </w:tcMar>
            <w:vAlign w:val="bottom"/>
            <w:hideMark/>
          </w:tcPr>
          <w:p w14:paraId="59A9C9B4" w14:textId="2A3D3CAE" w:rsidR="0090401F" w:rsidRPr="00C44200" w:rsidRDefault="0090401F" w:rsidP="004E1A3B">
            <w:pPr>
              <w:spacing w:after="0" w:line="240" w:lineRule="auto"/>
              <w:jc w:val="right"/>
              <w:rPr>
                <w:rFonts w:ascii="Arial" w:eastAsia="Times New Roman" w:hAnsi="Arial" w:cs="Arial"/>
                <w:sz w:val="20"/>
                <w:szCs w:val="20"/>
              </w:rPr>
            </w:pPr>
            <w:r>
              <w:rPr>
                <w:rFonts w:ascii="Arial" w:hAnsi="Arial" w:cs="Arial"/>
                <w:sz w:val="20"/>
                <w:szCs w:val="20"/>
              </w:rPr>
              <w:t>3,761.4</w:t>
            </w:r>
          </w:p>
        </w:tc>
        <w:tc>
          <w:tcPr>
            <w:tcW w:w="990" w:type="dxa"/>
            <w:tcMar>
              <w:top w:w="30" w:type="dxa"/>
              <w:left w:w="45" w:type="dxa"/>
              <w:bottom w:w="30" w:type="dxa"/>
              <w:right w:w="45" w:type="dxa"/>
            </w:tcMar>
            <w:vAlign w:val="bottom"/>
            <w:hideMark/>
          </w:tcPr>
          <w:p w14:paraId="61ABE617" w14:textId="61E3A35A" w:rsidR="0090401F" w:rsidRPr="00C44200" w:rsidRDefault="0090401F" w:rsidP="004E1A3B">
            <w:pPr>
              <w:spacing w:after="0" w:line="240" w:lineRule="auto"/>
              <w:jc w:val="right"/>
              <w:rPr>
                <w:rFonts w:ascii="Arial" w:eastAsia="Times New Roman" w:hAnsi="Arial" w:cs="Arial"/>
                <w:sz w:val="20"/>
                <w:szCs w:val="20"/>
              </w:rPr>
            </w:pPr>
            <w:r>
              <w:rPr>
                <w:rFonts w:ascii="Arial" w:hAnsi="Arial" w:cs="Arial"/>
                <w:sz w:val="20"/>
                <w:szCs w:val="20"/>
              </w:rPr>
              <w:t>3,365.7</w:t>
            </w:r>
          </w:p>
        </w:tc>
        <w:tc>
          <w:tcPr>
            <w:tcW w:w="1440" w:type="dxa"/>
            <w:tcMar>
              <w:top w:w="30" w:type="dxa"/>
              <w:left w:w="45" w:type="dxa"/>
              <w:bottom w:w="30" w:type="dxa"/>
              <w:right w:w="45" w:type="dxa"/>
            </w:tcMar>
            <w:vAlign w:val="bottom"/>
            <w:hideMark/>
          </w:tcPr>
          <w:p w14:paraId="1AA6E92F" w14:textId="6606E13D" w:rsidR="0090401F" w:rsidRPr="00C44200" w:rsidRDefault="0090401F" w:rsidP="004E1A3B">
            <w:pPr>
              <w:spacing w:after="0" w:line="240" w:lineRule="auto"/>
              <w:jc w:val="right"/>
              <w:rPr>
                <w:rFonts w:ascii="Arial" w:eastAsia="Times New Roman" w:hAnsi="Arial" w:cs="Arial"/>
                <w:sz w:val="20"/>
                <w:szCs w:val="20"/>
              </w:rPr>
            </w:pPr>
            <w:r>
              <w:rPr>
                <w:rFonts w:ascii="Arial" w:hAnsi="Arial" w:cs="Arial"/>
                <w:sz w:val="20"/>
                <w:szCs w:val="20"/>
              </w:rPr>
              <w:t>2162.3</w:t>
            </w:r>
          </w:p>
        </w:tc>
        <w:tc>
          <w:tcPr>
            <w:tcW w:w="1170" w:type="dxa"/>
            <w:tcMar>
              <w:top w:w="30" w:type="dxa"/>
              <w:left w:w="45" w:type="dxa"/>
              <w:bottom w:w="30" w:type="dxa"/>
              <w:right w:w="45" w:type="dxa"/>
            </w:tcMar>
            <w:vAlign w:val="bottom"/>
            <w:hideMark/>
          </w:tcPr>
          <w:p w14:paraId="104C67F9" w14:textId="484C921D" w:rsidR="0090401F" w:rsidRPr="00C44200" w:rsidRDefault="0090401F" w:rsidP="004E1A3B">
            <w:pPr>
              <w:spacing w:after="0" w:line="240" w:lineRule="auto"/>
              <w:jc w:val="right"/>
              <w:rPr>
                <w:rFonts w:ascii="Arial" w:eastAsia="Times New Roman" w:hAnsi="Arial" w:cs="Arial"/>
                <w:sz w:val="20"/>
                <w:szCs w:val="20"/>
              </w:rPr>
            </w:pPr>
            <w:r>
              <w:rPr>
                <w:rFonts w:ascii="Arial" w:hAnsi="Arial" w:cs="Arial"/>
                <w:sz w:val="20"/>
                <w:szCs w:val="20"/>
              </w:rPr>
              <w:t>2,034.2</w:t>
            </w:r>
          </w:p>
        </w:tc>
        <w:tc>
          <w:tcPr>
            <w:tcW w:w="1530" w:type="dxa"/>
            <w:tcMar>
              <w:top w:w="30" w:type="dxa"/>
              <w:left w:w="45" w:type="dxa"/>
              <w:bottom w:w="30" w:type="dxa"/>
              <w:right w:w="45" w:type="dxa"/>
            </w:tcMar>
            <w:vAlign w:val="bottom"/>
            <w:hideMark/>
          </w:tcPr>
          <w:p w14:paraId="5E3D8243" w14:textId="3980AB99" w:rsidR="0090401F" w:rsidRPr="00C44200" w:rsidRDefault="0090401F" w:rsidP="004E1A3B">
            <w:pPr>
              <w:spacing w:after="0" w:line="240" w:lineRule="auto"/>
              <w:jc w:val="right"/>
              <w:rPr>
                <w:rFonts w:ascii="Arial" w:eastAsia="Times New Roman" w:hAnsi="Arial" w:cs="Arial"/>
                <w:sz w:val="20"/>
                <w:szCs w:val="20"/>
              </w:rPr>
            </w:pPr>
            <w:r>
              <w:rPr>
                <w:rFonts w:ascii="Arial" w:hAnsi="Arial" w:cs="Arial"/>
                <w:sz w:val="20"/>
                <w:szCs w:val="20"/>
              </w:rPr>
              <w:t>1,985.2</w:t>
            </w:r>
          </w:p>
        </w:tc>
      </w:tr>
      <w:tr w:rsidR="0090401F" w:rsidRPr="00C44200" w14:paraId="60640B8D" w14:textId="77777777" w:rsidTr="004E1A3B">
        <w:trPr>
          <w:trHeight w:val="315"/>
        </w:trPr>
        <w:tc>
          <w:tcPr>
            <w:tcW w:w="0" w:type="auto"/>
            <w:tcMar>
              <w:top w:w="30" w:type="dxa"/>
              <w:left w:w="45" w:type="dxa"/>
              <w:bottom w:w="30" w:type="dxa"/>
              <w:right w:w="45" w:type="dxa"/>
            </w:tcMar>
            <w:vAlign w:val="bottom"/>
            <w:hideMark/>
          </w:tcPr>
          <w:p w14:paraId="413ED151" w14:textId="77777777" w:rsidR="0090401F" w:rsidRPr="00C44200" w:rsidRDefault="0090401F" w:rsidP="004E1A3B">
            <w:pPr>
              <w:spacing w:after="0" w:line="240" w:lineRule="auto"/>
              <w:jc w:val="left"/>
              <w:rPr>
                <w:rFonts w:ascii="Arial" w:eastAsia="Times New Roman" w:hAnsi="Arial" w:cs="Arial"/>
                <w:b/>
                <w:sz w:val="20"/>
                <w:szCs w:val="20"/>
              </w:rPr>
            </w:pPr>
            <w:r w:rsidRPr="00C44200">
              <w:rPr>
                <w:rFonts w:ascii="Arial" w:eastAsia="Times New Roman" w:hAnsi="Arial" w:cs="Arial"/>
                <w:b/>
                <w:sz w:val="20"/>
                <w:szCs w:val="20"/>
              </w:rPr>
              <w:t>Interest Expense</w:t>
            </w:r>
          </w:p>
        </w:tc>
        <w:tc>
          <w:tcPr>
            <w:tcW w:w="1852" w:type="dxa"/>
            <w:tcMar>
              <w:top w:w="30" w:type="dxa"/>
              <w:left w:w="45" w:type="dxa"/>
              <w:bottom w:w="30" w:type="dxa"/>
              <w:right w:w="45" w:type="dxa"/>
            </w:tcMar>
            <w:vAlign w:val="bottom"/>
            <w:hideMark/>
          </w:tcPr>
          <w:p w14:paraId="21F0F2A9" w14:textId="7D8A2A52" w:rsidR="0090401F" w:rsidRPr="00C44200" w:rsidRDefault="0090401F" w:rsidP="004E1A3B">
            <w:pPr>
              <w:spacing w:after="0" w:line="240" w:lineRule="auto"/>
              <w:jc w:val="right"/>
              <w:rPr>
                <w:rFonts w:ascii="Arial" w:eastAsia="Times New Roman" w:hAnsi="Arial" w:cs="Arial"/>
                <w:sz w:val="20"/>
                <w:szCs w:val="20"/>
              </w:rPr>
            </w:pPr>
            <w:r>
              <w:rPr>
                <w:rFonts w:ascii="Arial" w:hAnsi="Arial" w:cs="Arial"/>
                <w:sz w:val="20"/>
                <w:szCs w:val="20"/>
              </w:rPr>
              <w:t>92.2</w:t>
            </w:r>
          </w:p>
        </w:tc>
        <w:tc>
          <w:tcPr>
            <w:tcW w:w="990" w:type="dxa"/>
            <w:tcMar>
              <w:top w:w="30" w:type="dxa"/>
              <w:left w:w="45" w:type="dxa"/>
              <w:bottom w:w="30" w:type="dxa"/>
              <w:right w:w="45" w:type="dxa"/>
            </w:tcMar>
            <w:vAlign w:val="bottom"/>
            <w:hideMark/>
          </w:tcPr>
          <w:p w14:paraId="3399F5E4" w14:textId="1B56B0CD" w:rsidR="0090401F" w:rsidRPr="00C44200" w:rsidRDefault="0090401F" w:rsidP="004E1A3B">
            <w:pPr>
              <w:spacing w:after="0" w:line="240" w:lineRule="auto"/>
              <w:jc w:val="right"/>
              <w:rPr>
                <w:rFonts w:ascii="Arial" w:eastAsia="Times New Roman" w:hAnsi="Arial" w:cs="Arial"/>
                <w:sz w:val="20"/>
                <w:szCs w:val="20"/>
              </w:rPr>
            </w:pPr>
            <w:r>
              <w:rPr>
                <w:rFonts w:ascii="Arial" w:hAnsi="Arial" w:cs="Arial"/>
                <w:sz w:val="20"/>
                <w:szCs w:val="20"/>
              </w:rPr>
              <w:t>25.7</w:t>
            </w:r>
          </w:p>
        </w:tc>
        <w:tc>
          <w:tcPr>
            <w:tcW w:w="1440" w:type="dxa"/>
            <w:tcMar>
              <w:top w:w="30" w:type="dxa"/>
              <w:left w:w="45" w:type="dxa"/>
              <w:bottom w:w="30" w:type="dxa"/>
              <w:right w:w="45" w:type="dxa"/>
            </w:tcMar>
            <w:vAlign w:val="bottom"/>
            <w:hideMark/>
          </w:tcPr>
          <w:p w14:paraId="347B0405" w14:textId="346E98B7" w:rsidR="0090401F" w:rsidRPr="00C44200" w:rsidRDefault="0090401F" w:rsidP="004E1A3B">
            <w:pPr>
              <w:spacing w:after="0" w:line="240" w:lineRule="auto"/>
              <w:jc w:val="right"/>
              <w:rPr>
                <w:rFonts w:ascii="Arial" w:eastAsia="Times New Roman" w:hAnsi="Arial" w:cs="Arial"/>
                <w:sz w:val="20"/>
                <w:szCs w:val="20"/>
              </w:rPr>
            </w:pPr>
            <w:r>
              <w:rPr>
                <w:rFonts w:ascii="Arial" w:hAnsi="Arial" w:cs="Arial"/>
                <w:sz w:val="20"/>
                <w:szCs w:val="20"/>
              </w:rPr>
              <w:t>37.1</w:t>
            </w:r>
          </w:p>
        </w:tc>
        <w:tc>
          <w:tcPr>
            <w:tcW w:w="1170" w:type="dxa"/>
            <w:tcMar>
              <w:top w:w="30" w:type="dxa"/>
              <w:left w:w="45" w:type="dxa"/>
              <w:bottom w:w="30" w:type="dxa"/>
              <w:right w:w="45" w:type="dxa"/>
            </w:tcMar>
            <w:vAlign w:val="bottom"/>
            <w:hideMark/>
          </w:tcPr>
          <w:p w14:paraId="6E5605A3" w14:textId="2B430BF0" w:rsidR="0090401F" w:rsidRPr="00C44200" w:rsidRDefault="0090401F" w:rsidP="004E1A3B">
            <w:pPr>
              <w:spacing w:after="0" w:line="240" w:lineRule="auto"/>
              <w:jc w:val="right"/>
              <w:rPr>
                <w:rFonts w:ascii="Arial" w:eastAsia="Times New Roman" w:hAnsi="Arial" w:cs="Arial"/>
                <w:sz w:val="20"/>
                <w:szCs w:val="20"/>
              </w:rPr>
            </w:pPr>
            <w:r>
              <w:rPr>
                <w:rFonts w:ascii="Arial" w:hAnsi="Arial" w:cs="Arial"/>
                <w:sz w:val="20"/>
                <w:szCs w:val="20"/>
              </w:rPr>
              <w:t>27.5</w:t>
            </w:r>
          </w:p>
        </w:tc>
        <w:tc>
          <w:tcPr>
            <w:tcW w:w="1530" w:type="dxa"/>
            <w:tcMar>
              <w:top w:w="30" w:type="dxa"/>
              <w:left w:w="45" w:type="dxa"/>
              <w:bottom w:w="30" w:type="dxa"/>
              <w:right w:w="45" w:type="dxa"/>
            </w:tcMar>
            <w:vAlign w:val="bottom"/>
            <w:hideMark/>
          </w:tcPr>
          <w:p w14:paraId="7523258A" w14:textId="64C962C7" w:rsidR="0090401F" w:rsidRPr="00C44200" w:rsidRDefault="0090401F" w:rsidP="004E1A3B">
            <w:pPr>
              <w:spacing w:after="0" w:line="240" w:lineRule="auto"/>
              <w:jc w:val="right"/>
              <w:rPr>
                <w:rFonts w:ascii="Arial" w:eastAsia="Times New Roman" w:hAnsi="Arial" w:cs="Arial"/>
                <w:sz w:val="20"/>
                <w:szCs w:val="20"/>
              </w:rPr>
            </w:pPr>
            <w:r>
              <w:rPr>
                <w:rFonts w:ascii="Arial" w:hAnsi="Arial" w:cs="Arial"/>
                <w:sz w:val="20"/>
                <w:szCs w:val="20"/>
              </w:rPr>
              <w:t>25.8</w:t>
            </w:r>
          </w:p>
        </w:tc>
      </w:tr>
    </w:tbl>
    <w:p w14:paraId="695F7900" w14:textId="77777777" w:rsidR="00276B29" w:rsidRDefault="00276B29" w:rsidP="00C44200">
      <w:pPr>
        <w:rPr>
          <w:b/>
        </w:rPr>
      </w:pPr>
    </w:p>
    <w:p w14:paraId="000000CA" w14:textId="77777777" w:rsidR="00424676" w:rsidRPr="00F9490E" w:rsidRDefault="00424676" w:rsidP="00B50438"/>
    <w:p w14:paraId="000000CB" w14:textId="77777777" w:rsidR="00424676" w:rsidRPr="00F9490E" w:rsidRDefault="00424676" w:rsidP="00B50438"/>
    <w:sectPr w:rsidR="00424676" w:rsidRPr="00F9490E" w:rsidSect="00197F21">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D4A473D" w14:textId="77777777" w:rsidR="00CE31FC" w:rsidRDefault="00CE31FC" w:rsidP="00B50438">
      <w:r>
        <w:separator/>
      </w:r>
    </w:p>
  </w:endnote>
  <w:endnote w:type="continuationSeparator" w:id="0">
    <w:p w14:paraId="489CA714" w14:textId="77777777" w:rsidR="00CE31FC" w:rsidRDefault="00CE31FC" w:rsidP="00B504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ArhialkhanMJ">
    <w:panose1 w:val="00000400000000000000"/>
    <w:charset w:val="00"/>
    <w:family w:val="auto"/>
    <w:pitch w:val="variable"/>
    <w:sig w:usb0="80000AAF" w:usb1="00000048" w:usb2="00000000" w:usb3="00000000" w:csb0="0000003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77651873"/>
      <w:docPartObj>
        <w:docPartGallery w:val="Page Numbers (Bottom of Page)"/>
        <w:docPartUnique/>
      </w:docPartObj>
    </w:sdtPr>
    <w:sdtEndPr>
      <w:rPr>
        <w:noProof/>
      </w:rPr>
    </w:sdtEndPr>
    <w:sdtContent>
      <w:p w14:paraId="38C24A9F" w14:textId="1CEEBFAD" w:rsidR="00DB3870" w:rsidRDefault="00DB3870">
        <w:pPr>
          <w:pStyle w:val="Footer"/>
          <w:jc w:val="center"/>
        </w:pPr>
        <w:r>
          <w:fldChar w:fldCharType="begin"/>
        </w:r>
        <w:r>
          <w:instrText xml:space="preserve"> PAGE   \* MERGEFORMAT </w:instrText>
        </w:r>
        <w:r>
          <w:fldChar w:fldCharType="separate"/>
        </w:r>
        <w:r w:rsidR="00A16264">
          <w:rPr>
            <w:noProof/>
          </w:rPr>
          <w:t>22</w:t>
        </w:r>
        <w:r>
          <w:rPr>
            <w:noProof/>
          </w:rPr>
          <w:fldChar w:fldCharType="end"/>
        </w:r>
      </w:p>
    </w:sdtContent>
  </w:sdt>
  <w:p w14:paraId="37365DA0" w14:textId="77777777" w:rsidR="00DB3870" w:rsidRDefault="00DB387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3EE519B" w14:textId="77777777" w:rsidR="00CE31FC" w:rsidRDefault="00CE31FC" w:rsidP="00B50438">
      <w:r>
        <w:separator/>
      </w:r>
    </w:p>
  </w:footnote>
  <w:footnote w:type="continuationSeparator" w:id="0">
    <w:p w14:paraId="1A46D283" w14:textId="77777777" w:rsidR="00CE31FC" w:rsidRDefault="00CE31FC" w:rsidP="00B504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2D4A96" w14:textId="77777777" w:rsidR="00DB3870" w:rsidRDefault="00DB3870" w:rsidP="00B5043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F870A9"/>
    <w:multiLevelType w:val="hybridMultilevel"/>
    <w:tmpl w:val="89FCFD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424676"/>
    <w:rsid w:val="000159FA"/>
    <w:rsid w:val="00031847"/>
    <w:rsid w:val="00071ECC"/>
    <w:rsid w:val="000C7CA6"/>
    <w:rsid w:val="00197F21"/>
    <w:rsid w:val="001B3C8D"/>
    <w:rsid w:val="00276B29"/>
    <w:rsid w:val="002775BA"/>
    <w:rsid w:val="00282047"/>
    <w:rsid w:val="00286729"/>
    <w:rsid w:val="002C1B99"/>
    <w:rsid w:val="002F1EEE"/>
    <w:rsid w:val="0034172B"/>
    <w:rsid w:val="00396BF4"/>
    <w:rsid w:val="00424676"/>
    <w:rsid w:val="00466125"/>
    <w:rsid w:val="00476931"/>
    <w:rsid w:val="004F438D"/>
    <w:rsid w:val="0052434F"/>
    <w:rsid w:val="00527E5C"/>
    <w:rsid w:val="005D0483"/>
    <w:rsid w:val="006137B7"/>
    <w:rsid w:val="006347D8"/>
    <w:rsid w:val="006370C4"/>
    <w:rsid w:val="00657FC0"/>
    <w:rsid w:val="0069049D"/>
    <w:rsid w:val="006C4055"/>
    <w:rsid w:val="006C7EF6"/>
    <w:rsid w:val="006F1B20"/>
    <w:rsid w:val="00736824"/>
    <w:rsid w:val="007468DE"/>
    <w:rsid w:val="00790DD5"/>
    <w:rsid w:val="00811F75"/>
    <w:rsid w:val="0083034A"/>
    <w:rsid w:val="00834DE3"/>
    <w:rsid w:val="0087136A"/>
    <w:rsid w:val="00881381"/>
    <w:rsid w:val="008816DA"/>
    <w:rsid w:val="0090401F"/>
    <w:rsid w:val="009B39ED"/>
    <w:rsid w:val="009D6C7F"/>
    <w:rsid w:val="009F09D9"/>
    <w:rsid w:val="00A029EE"/>
    <w:rsid w:val="00A16264"/>
    <w:rsid w:val="00A634BF"/>
    <w:rsid w:val="00A92BE8"/>
    <w:rsid w:val="00A97B62"/>
    <w:rsid w:val="00AC5A06"/>
    <w:rsid w:val="00B0452D"/>
    <w:rsid w:val="00B13618"/>
    <w:rsid w:val="00B50438"/>
    <w:rsid w:val="00B61322"/>
    <w:rsid w:val="00B6478A"/>
    <w:rsid w:val="00C04818"/>
    <w:rsid w:val="00C12DCE"/>
    <w:rsid w:val="00C44200"/>
    <w:rsid w:val="00C50968"/>
    <w:rsid w:val="00CE31FC"/>
    <w:rsid w:val="00D97F76"/>
    <w:rsid w:val="00DA365B"/>
    <w:rsid w:val="00DB3870"/>
    <w:rsid w:val="00DE38B9"/>
    <w:rsid w:val="00DE4AA2"/>
    <w:rsid w:val="00DE57DE"/>
    <w:rsid w:val="00DE5A14"/>
    <w:rsid w:val="00DF2AB0"/>
    <w:rsid w:val="00E02107"/>
    <w:rsid w:val="00E222FD"/>
    <w:rsid w:val="00E82441"/>
    <w:rsid w:val="00F27A96"/>
    <w:rsid w:val="00F9490E"/>
    <w:rsid w:val="00FB5F5A"/>
    <w:rsid w:val="00FF54D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US" w:eastAsia="ja-JP"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90401F"/>
    <w:pPr>
      <w:spacing w:after="240" w:line="480" w:lineRule="auto"/>
      <w:jc w:val="both"/>
    </w:pPr>
    <w:rPr>
      <w:rFonts w:asciiTheme="majorHAnsi" w:hAnsiTheme="majorHAnsi" w:cstheme="majorHAnsi"/>
      <w:sz w:val="24"/>
      <w:szCs w:val="24"/>
    </w:rPr>
  </w:style>
  <w:style w:type="paragraph" w:styleId="Heading1">
    <w:name w:val="heading 1"/>
    <w:basedOn w:val="Normal"/>
    <w:next w:val="Normal"/>
    <w:link w:val="Heading1Char"/>
    <w:rsid w:val="009F09D9"/>
    <w:pPr>
      <w:outlineLvl w:val="0"/>
    </w:pPr>
    <w:rPr>
      <w:b/>
      <w:sz w:val="32"/>
      <w:szCs w:val="32"/>
    </w:rPr>
  </w:style>
  <w:style w:type="paragraph" w:styleId="Heading2">
    <w:name w:val="heading 2"/>
    <w:basedOn w:val="Heading1"/>
    <w:next w:val="Normal"/>
    <w:link w:val="Heading2Char"/>
    <w:rsid w:val="009F09D9"/>
    <w:pPr>
      <w:outlineLvl w:val="1"/>
    </w:pPr>
    <w:rPr>
      <w:sz w:val="28"/>
    </w:rPr>
  </w:style>
  <w:style w:type="paragraph" w:styleId="Heading3">
    <w:name w:val="heading 3"/>
    <w:basedOn w:val="Heading2"/>
    <w:next w:val="Normal"/>
    <w:link w:val="Heading3Char"/>
    <w:rsid w:val="00286729"/>
    <w:pPr>
      <w:outlineLvl w:val="2"/>
    </w:pPr>
  </w:style>
  <w:style w:type="paragraph" w:styleId="Heading4">
    <w:name w:val="heading 4"/>
    <w:basedOn w:val="Normal"/>
    <w:next w:val="Normal"/>
    <w:link w:val="Heading4Char"/>
    <w:rsid w:val="00B0452D"/>
    <w:pPr>
      <w:outlineLvl w:val="3"/>
    </w:pPr>
    <w:rPr>
      <w:b/>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paragraph" w:styleId="Heading7">
    <w:name w:val="heading 7"/>
    <w:basedOn w:val="Normal"/>
    <w:next w:val="Normal"/>
    <w:link w:val="Heading7Char"/>
    <w:uiPriority w:val="9"/>
    <w:unhideWhenUsed/>
    <w:qFormat/>
    <w:rsid w:val="00286729"/>
    <w:pPr>
      <w:keepNext/>
      <w:keepLines/>
      <w:spacing w:before="200"/>
      <w:outlineLvl w:val="6"/>
    </w:pPr>
    <w:rPr>
      <w:rFonts w:eastAsiaTheme="majorEastAsia" w:cstheme="majorBidi"/>
      <w:i/>
      <w:iCs/>
      <w:color w:val="404040" w:themeColor="text1" w:themeTint="BF"/>
    </w:rPr>
  </w:style>
  <w:style w:type="paragraph" w:styleId="Heading8">
    <w:name w:val="heading 8"/>
    <w:basedOn w:val="Normal"/>
    <w:next w:val="Normal"/>
    <w:link w:val="Heading8Char"/>
    <w:uiPriority w:val="9"/>
    <w:unhideWhenUsed/>
    <w:qFormat/>
    <w:rsid w:val="00286729"/>
    <w:pPr>
      <w:keepNext/>
      <w:keepLines/>
      <w:spacing w:before="200"/>
      <w:outlineLvl w:val="7"/>
    </w:pPr>
    <w:rPr>
      <w:rFonts w:eastAsiaTheme="majorEastAsia" w:cstheme="majorBidi"/>
      <w:color w:val="404040" w:themeColor="text1" w:themeTint="BF"/>
      <w:sz w:val="20"/>
      <w:szCs w:val="20"/>
    </w:rPr>
  </w:style>
  <w:style w:type="paragraph" w:styleId="Heading9">
    <w:name w:val="heading 9"/>
    <w:basedOn w:val="Normal"/>
    <w:next w:val="Normal"/>
    <w:link w:val="Heading9Char"/>
    <w:uiPriority w:val="9"/>
    <w:unhideWhenUsed/>
    <w:qFormat/>
    <w:rsid w:val="00286729"/>
    <w:pPr>
      <w:keepNext/>
      <w:keepLines/>
      <w:spacing w:before="200"/>
      <w:outlineLvl w:val="8"/>
    </w:pPr>
    <w:rPr>
      <w:rFonts w:eastAsiaTheme="majorEastAsia"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hAnsi="Arial" w:cs="Arial"/>
      <w:color w:val="666666"/>
      <w:sz w:val="30"/>
      <w:szCs w:val="30"/>
    </w:rPr>
  </w:style>
  <w:style w:type="paragraph" w:styleId="BalloonText">
    <w:name w:val="Balloon Text"/>
    <w:basedOn w:val="Normal"/>
    <w:link w:val="BalloonTextChar"/>
    <w:uiPriority w:val="99"/>
    <w:semiHidden/>
    <w:unhideWhenUsed/>
    <w:rsid w:val="00F9490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490E"/>
    <w:rPr>
      <w:rFonts w:ascii="Tahoma" w:hAnsi="Tahoma" w:cs="Tahoma"/>
      <w:sz w:val="16"/>
      <w:szCs w:val="16"/>
    </w:rPr>
  </w:style>
  <w:style w:type="character" w:customStyle="1" w:styleId="Heading7Char">
    <w:name w:val="Heading 7 Char"/>
    <w:basedOn w:val="DefaultParagraphFont"/>
    <w:link w:val="Heading7"/>
    <w:uiPriority w:val="9"/>
    <w:rsid w:val="00286729"/>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86729"/>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86729"/>
    <w:rPr>
      <w:rFonts w:asciiTheme="majorHAnsi" w:eastAsiaTheme="majorEastAsia" w:hAnsiTheme="majorHAnsi" w:cstheme="majorBidi"/>
      <w:i/>
      <w:iCs/>
      <w:color w:val="404040" w:themeColor="text1" w:themeTint="BF"/>
      <w:sz w:val="20"/>
      <w:szCs w:val="20"/>
    </w:rPr>
  </w:style>
  <w:style w:type="paragraph" w:styleId="NoSpacing">
    <w:name w:val="No Spacing"/>
    <w:uiPriority w:val="1"/>
    <w:qFormat/>
    <w:rsid w:val="00286729"/>
    <w:pPr>
      <w:spacing w:line="240" w:lineRule="auto"/>
    </w:pPr>
  </w:style>
  <w:style w:type="paragraph" w:customStyle="1" w:styleId="Default">
    <w:name w:val="Default"/>
    <w:rsid w:val="009F09D9"/>
    <w:pPr>
      <w:autoSpaceDE w:val="0"/>
      <w:autoSpaceDN w:val="0"/>
      <w:adjustRightInd w:val="0"/>
      <w:spacing w:line="240" w:lineRule="auto"/>
    </w:pPr>
    <w:rPr>
      <w:color w:val="000000"/>
      <w:sz w:val="24"/>
      <w:szCs w:val="24"/>
    </w:rPr>
  </w:style>
  <w:style w:type="paragraph" w:styleId="TOCHeading">
    <w:name w:val="TOC Heading"/>
    <w:basedOn w:val="Heading1"/>
    <w:next w:val="Normal"/>
    <w:uiPriority w:val="39"/>
    <w:unhideWhenUsed/>
    <w:qFormat/>
    <w:rsid w:val="009F09D9"/>
    <w:pPr>
      <w:keepNext/>
      <w:keepLines/>
      <w:spacing w:before="480" w:line="276" w:lineRule="auto"/>
      <w:outlineLvl w:val="9"/>
    </w:pPr>
    <w:rPr>
      <w:rFonts w:eastAsiaTheme="majorEastAsia" w:cstheme="majorBidi"/>
      <w:bCs/>
      <w:color w:val="365F91" w:themeColor="accent1" w:themeShade="BF"/>
      <w:sz w:val="28"/>
      <w:szCs w:val="28"/>
    </w:rPr>
  </w:style>
  <w:style w:type="paragraph" w:styleId="TOC2">
    <w:name w:val="toc 2"/>
    <w:basedOn w:val="Normal"/>
    <w:next w:val="Normal"/>
    <w:autoRedefine/>
    <w:uiPriority w:val="39"/>
    <w:unhideWhenUsed/>
    <w:rsid w:val="009F09D9"/>
    <w:pPr>
      <w:spacing w:after="100"/>
      <w:ind w:left="220"/>
    </w:pPr>
  </w:style>
  <w:style w:type="paragraph" w:styleId="TOC3">
    <w:name w:val="toc 3"/>
    <w:basedOn w:val="Normal"/>
    <w:next w:val="Normal"/>
    <w:autoRedefine/>
    <w:uiPriority w:val="39"/>
    <w:unhideWhenUsed/>
    <w:rsid w:val="009F09D9"/>
    <w:pPr>
      <w:spacing w:after="100"/>
      <w:ind w:left="440"/>
    </w:pPr>
  </w:style>
  <w:style w:type="character" w:styleId="Hyperlink">
    <w:name w:val="Hyperlink"/>
    <w:basedOn w:val="DefaultParagraphFont"/>
    <w:uiPriority w:val="99"/>
    <w:unhideWhenUsed/>
    <w:rsid w:val="009F09D9"/>
    <w:rPr>
      <w:color w:val="0000FF" w:themeColor="hyperlink"/>
      <w:u w:val="single"/>
    </w:rPr>
  </w:style>
  <w:style w:type="paragraph" w:styleId="Header">
    <w:name w:val="header"/>
    <w:basedOn w:val="Normal"/>
    <w:link w:val="HeaderChar"/>
    <w:uiPriority w:val="99"/>
    <w:unhideWhenUsed/>
    <w:rsid w:val="009F09D9"/>
    <w:pPr>
      <w:tabs>
        <w:tab w:val="center" w:pos="4680"/>
        <w:tab w:val="right" w:pos="9360"/>
      </w:tabs>
      <w:spacing w:line="240" w:lineRule="auto"/>
    </w:pPr>
  </w:style>
  <w:style w:type="character" w:customStyle="1" w:styleId="HeaderChar">
    <w:name w:val="Header Char"/>
    <w:basedOn w:val="DefaultParagraphFont"/>
    <w:link w:val="Header"/>
    <w:uiPriority w:val="99"/>
    <w:rsid w:val="009F09D9"/>
  </w:style>
  <w:style w:type="paragraph" w:styleId="Footer">
    <w:name w:val="footer"/>
    <w:basedOn w:val="Normal"/>
    <w:link w:val="FooterChar"/>
    <w:uiPriority w:val="99"/>
    <w:unhideWhenUsed/>
    <w:rsid w:val="009F09D9"/>
    <w:pPr>
      <w:tabs>
        <w:tab w:val="center" w:pos="4680"/>
        <w:tab w:val="right" w:pos="9360"/>
      </w:tabs>
      <w:spacing w:line="240" w:lineRule="auto"/>
    </w:pPr>
  </w:style>
  <w:style w:type="character" w:customStyle="1" w:styleId="FooterChar">
    <w:name w:val="Footer Char"/>
    <w:basedOn w:val="DefaultParagraphFont"/>
    <w:link w:val="Footer"/>
    <w:uiPriority w:val="99"/>
    <w:rsid w:val="009F09D9"/>
  </w:style>
  <w:style w:type="table" w:styleId="TableGrid">
    <w:name w:val="Table Grid"/>
    <w:basedOn w:val="TableNormal"/>
    <w:uiPriority w:val="59"/>
    <w:rsid w:val="00B50438"/>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B50438"/>
    <w:rPr>
      <w:b/>
      <w:bCs/>
    </w:rPr>
  </w:style>
  <w:style w:type="paragraph" w:styleId="TOC1">
    <w:name w:val="toc 1"/>
    <w:basedOn w:val="Normal"/>
    <w:next w:val="Normal"/>
    <w:autoRedefine/>
    <w:uiPriority w:val="39"/>
    <w:unhideWhenUsed/>
    <w:rsid w:val="006C4055"/>
    <w:pPr>
      <w:spacing w:after="100"/>
    </w:pPr>
  </w:style>
  <w:style w:type="character" w:styleId="PlaceholderText">
    <w:name w:val="Placeholder Text"/>
    <w:basedOn w:val="DefaultParagraphFont"/>
    <w:uiPriority w:val="99"/>
    <w:semiHidden/>
    <w:rsid w:val="0034172B"/>
    <w:rPr>
      <w:color w:val="808080"/>
    </w:rPr>
  </w:style>
  <w:style w:type="character" w:customStyle="1" w:styleId="Heading4Char">
    <w:name w:val="Heading 4 Char"/>
    <w:basedOn w:val="DefaultParagraphFont"/>
    <w:link w:val="Heading4"/>
    <w:rsid w:val="00527E5C"/>
    <w:rPr>
      <w:rFonts w:asciiTheme="majorHAnsi" w:hAnsiTheme="majorHAnsi" w:cstheme="majorHAnsi"/>
      <w:b/>
      <w:sz w:val="24"/>
      <w:szCs w:val="24"/>
    </w:rPr>
  </w:style>
  <w:style w:type="character" w:customStyle="1" w:styleId="Heading2Char">
    <w:name w:val="Heading 2 Char"/>
    <w:basedOn w:val="DefaultParagraphFont"/>
    <w:link w:val="Heading2"/>
    <w:rsid w:val="00071ECC"/>
    <w:rPr>
      <w:rFonts w:asciiTheme="majorHAnsi" w:hAnsiTheme="majorHAnsi" w:cstheme="majorHAnsi"/>
      <w:b/>
      <w:sz w:val="28"/>
      <w:szCs w:val="32"/>
    </w:rPr>
  </w:style>
  <w:style w:type="character" w:customStyle="1" w:styleId="Heading1Char">
    <w:name w:val="Heading 1 Char"/>
    <w:basedOn w:val="DefaultParagraphFont"/>
    <w:link w:val="Heading1"/>
    <w:rsid w:val="00D97F76"/>
    <w:rPr>
      <w:rFonts w:asciiTheme="majorHAnsi" w:hAnsiTheme="majorHAnsi" w:cstheme="majorHAnsi"/>
      <w:b/>
      <w:sz w:val="32"/>
      <w:szCs w:val="32"/>
    </w:rPr>
  </w:style>
  <w:style w:type="paragraph" w:styleId="ListParagraph">
    <w:name w:val="List Paragraph"/>
    <w:basedOn w:val="Normal"/>
    <w:uiPriority w:val="34"/>
    <w:qFormat/>
    <w:rsid w:val="001B3C8D"/>
    <w:pPr>
      <w:ind w:left="720"/>
      <w:contextualSpacing/>
    </w:pPr>
  </w:style>
  <w:style w:type="character" w:customStyle="1" w:styleId="Heading3Char">
    <w:name w:val="Heading 3 Char"/>
    <w:basedOn w:val="DefaultParagraphFont"/>
    <w:link w:val="Heading3"/>
    <w:rsid w:val="00E02107"/>
    <w:rPr>
      <w:rFonts w:asciiTheme="majorHAnsi" w:hAnsiTheme="majorHAnsi" w:cstheme="majorHAnsi"/>
      <w:b/>
      <w:sz w:val="28"/>
      <w:szCs w:val="32"/>
    </w:rPr>
  </w:style>
  <w:style w:type="character" w:customStyle="1" w:styleId="mord">
    <w:name w:val="mord"/>
    <w:basedOn w:val="DefaultParagraphFont"/>
    <w:rsid w:val="00DB3870"/>
  </w:style>
  <w:style w:type="character" w:customStyle="1" w:styleId="mclose">
    <w:name w:val="mclose"/>
    <w:basedOn w:val="DefaultParagraphFont"/>
    <w:rsid w:val="00DB3870"/>
  </w:style>
  <w:style w:type="character" w:customStyle="1" w:styleId="mbin">
    <w:name w:val="mbin"/>
    <w:basedOn w:val="DefaultParagraphFont"/>
    <w:rsid w:val="00DB3870"/>
  </w:style>
  <w:style w:type="character" w:customStyle="1" w:styleId="mrel">
    <w:name w:val="mrel"/>
    <w:basedOn w:val="DefaultParagraphFont"/>
    <w:rsid w:val="00DB3870"/>
  </w:style>
  <w:style w:type="character" w:customStyle="1" w:styleId="mopen">
    <w:name w:val="mopen"/>
    <w:basedOn w:val="DefaultParagraphFont"/>
    <w:rsid w:val="00E222FD"/>
  </w:style>
  <w:style w:type="character" w:styleId="Emphasis">
    <w:name w:val="Emphasis"/>
    <w:basedOn w:val="DefaultParagraphFont"/>
    <w:uiPriority w:val="20"/>
    <w:qFormat/>
    <w:rsid w:val="00E222FD"/>
    <w:rPr>
      <w:i/>
      <w:iCs/>
    </w:rPr>
  </w:style>
  <w:style w:type="paragraph" w:styleId="NormalWeb">
    <w:name w:val="Normal (Web)"/>
    <w:basedOn w:val="Normal"/>
    <w:uiPriority w:val="99"/>
    <w:semiHidden/>
    <w:unhideWhenUsed/>
    <w:rsid w:val="00197F21"/>
    <w:pPr>
      <w:spacing w:before="100" w:beforeAutospacing="1" w:after="100" w:afterAutospacing="1" w:line="240" w:lineRule="auto"/>
      <w:jc w:val="left"/>
    </w:pPr>
    <w:rPr>
      <w:rFonts w:ascii="Times New Roman" w:eastAsia="Times New Roman" w:hAnsi="Times New Roman" w:cs="Times New Roman"/>
    </w:rPr>
  </w:style>
  <w:style w:type="character" w:customStyle="1" w:styleId="url">
    <w:name w:val="url"/>
    <w:basedOn w:val="DefaultParagraphFont"/>
    <w:rsid w:val="00197F2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US" w:eastAsia="ja-JP"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90401F"/>
    <w:pPr>
      <w:spacing w:after="240" w:line="480" w:lineRule="auto"/>
      <w:jc w:val="both"/>
    </w:pPr>
    <w:rPr>
      <w:rFonts w:asciiTheme="majorHAnsi" w:hAnsiTheme="majorHAnsi" w:cstheme="majorHAnsi"/>
      <w:sz w:val="24"/>
      <w:szCs w:val="24"/>
    </w:rPr>
  </w:style>
  <w:style w:type="paragraph" w:styleId="Heading1">
    <w:name w:val="heading 1"/>
    <w:basedOn w:val="Normal"/>
    <w:next w:val="Normal"/>
    <w:link w:val="Heading1Char"/>
    <w:rsid w:val="009F09D9"/>
    <w:pPr>
      <w:outlineLvl w:val="0"/>
    </w:pPr>
    <w:rPr>
      <w:b/>
      <w:sz w:val="32"/>
      <w:szCs w:val="32"/>
    </w:rPr>
  </w:style>
  <w:style w:type="paragraph" w:styleId="Heading2">
    <w:name w:val="heading 2"/>
    <w:basedOn w:val="Heading1"/>
    <w:next w:val="Normal"/>
    <w:link w:val="Heading2Char"/>
    <w:rsid w:val="009F09D9"/>
    <w:pPr>
      <w:outlineLvl w:val="1"/>
    </w:pPr>
    <w:rPr>
      <w:sz w:val="28"/>
    </w:rPr>
  </w:style>
  <w:style w:type="paragraph" w:styleId="Heading3">
    <w:name w:val="heading 3"/>
    <w:basedOn w:val="Heading2"/>
    <w:next w:val="Normal"/>
    <w:link w:val="Heading3Char"/>
    <w:rsid w:val="00286729"/>
    <w:pPr>
      <w:outlineLvl w:val="2"/>
    </w:pPr>
  </w:style>
  <w:style w:type="paragraph" w:styleId="Heading4">
    <w:name w:val="heading 4"/>
    <w:basedOn w:val="Normal"/>
    <w:next w:val="Normal"/>
    <w:link w:val="Heading4Char"/>
    <w:rsid w:val="00B0452D"/>
    <w:pPr>
      <w:outlineLvl w:val="3"/>
    </w:pPr>
    <w:rPr>
      <w:b/>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paragraph" w:styleId="Heading7">
    <w:name w:val="heading 7"/>
    <w:basedOn w:val="Normal"/>
    <w:next w:val="Normal"/>
    <w:link w:val="Heading7Char"/>
    <w:uiPriority w:val="9"/>
    <w:unhideWhenUsed/>
    <w:qFormat/>
    <w:rsid w:val="00286729"/>
    <w:pPr>
      <w:keepNext/>
      <w:keepLines/>
      <w:spacing w:before="200"/>
      <w:outlineLvl w:val="6"/>
    </w:pPr>
    <w:rPr>
      <w:rFonts w:eastAsiaTheme="majorEastAsia" w:cstheme="majorBidi"/>
      <w:i/>
      <w:iCs/>
      <w:color w:val="404040" w:themeColor="text1" w:themeTint="BF"/>
    </w:rPr>
  </w:style>
  <w:style w:type="paragraph" w:styleId="Heading8">
    <w:name w:val="heading 8"/>
    <w:basedOn w:val="Normal"/>
    <w:next w:val="Normal"/>
    <w:link w:val="Heading8Char"/>
    <w:uiPriority w:val="9"/>
    <w:unhideWhenUsed/>
    <w:qFormat/>
    <w:rsid w:val="00286729"/>
    <w:pPr>
      <w:keepNext/>
      <w:keepLines/>
      <w:spacing w:before="200"/>
      <w:outlineLvl w:val="7"/>
    </w:pPr>
    <w:rPr>
      <w:rFonts w:eastAsiaTheme="majorEastAsia" w:cstheme="majorBidi"/>
      <w:color w:val="404040" w:themeColor="text1" w:themeTint="BF"/>
      <w:sz w:val="20"/>
      <w:szCs w:val="20"/>
    </w:rPr>
  </w:style>
  <w:style w:type="paragraph" w:styleId="Heading9">
    <w:name w:val="heading 9"/>
    <w:basedOn w:val="Normal"/>
    <w:next w:val="Normal"/>
    <w:link w:val="Heading9Char"/>
    <w:uiPriority w:val="9"/>
    <w:unhideWhenUsed/>
    <w:qFormat/>
    <w:rsid w:val="00286729"/>
    <w:pPr>
      <w:keepNext/>
      <w:keepLines/>
      <w:spacing w:before="200"/>
      <w:outlineLvl w:val="8"/>
    </w:pPr>
    <w:rPr>
      <w:rFonts w:eastAsiaTheme="majorEastAsia"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hAnsi="Arial" w:cs="Arial"/>
      <w:color w:val="666666"/>
      <w:sz w:val="30"/>
      <w:szCs w:val="30"/>
    </w:rPr>
  </w:style>
  <w:style w:type="paragraph" w:styleId="BalloonText">
    <w:name w:val="Balloon Text"/>
    <w:basedOn w:val="Normal"/>
    <w:link w:val="BalloonTextChar"/>
    <w:uiPriority w:val="99"/>
    <w:semiHidden/>
    <w:unhideWhenUsed/>
    <w:rsid w:val="00F9490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490E"/>
    <w:rPr>
      <w:rFonts w:ascii="Tahoma" w:hAnsi="Tahoma" w:cs="Tahoma"/>
      <w:sz w:val="16"/>
      <w:szCs w:val="16"/>
    </w:rPr>
  </w:style>
  <w:style w:type="character" w:customStyle="1" w:styleId="Heading7Char">
    <w:name w:val="Heading 7 Char"/>
    <w:basedOn w:val="DefaultParagraphFont"/>
    <w:link w:val="Heading7"/>
    <w:uiPriority w:val="9"/>
    <w:rsid w:val="00286729"/>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86729"/>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86729"/>
    <w:rPr>
      <w:rFonts w:asciiTheme="majorHAnsi" w:eastAsiaTheme="majorEastAsia" w:hAnsiTheme="majorHAnsi" w:cstheme="majorBidi"/>
      <w:i/>
      <w:iCs/>
      <w:color w:val="404040" w:themeColor="text1" w:themeTint="BF"/>
      <w:sz w:val="20"/>
      <w:szCs w:val="20"/>
    </w:rPr>
  </w:style>
  <w:style w:type="paragraph" w:styleId="NoSpacing">
    <w:name w:val="No Spacing"/>
    <w:uiPriority w:val="1"/>
    <w:qFormat/>
    <w:rsid w:val="00286729"/>
    <w:pPr>
      <w:spacing w:line="240" w:lineRule="auto"/>
    </w:pPr>
  </w:style>
  <w:style w:type="paragraph" w:customStyle="1" w:styleId="Default">
    <w:name w:val="Default"/>
    <w:rsid w:val="009F09D9"/>
    <w:pPr>
      <w:autoSpaceDE w:val="0"/>
      <w:autoSpaceDN w:val="0"/>
      <w:adjustRightInd w:val="0"/>
      <w:spacing w:line="240" w:lineRule="auto"/>
    </w:pPr>
    <w:rPr>
      <w:color w:val="000000"/>
      <w:sz w:val="24"/>
      <w:szCs w:val="24"/>
    </w:rPr>
  </w:style>
  <w:style w:type="paragraph" w:styleId="TOCHeading">
    <w:name w:val="TOC Heading"/>
    <w:basedOn w:val="Heading1"/>
    <w:next w:val="Normal"/>
    <w:uiPriority w:val="39"/>
    <w:unhideWhenUsed/>
    <w:qFormat/>
    <w:rsid w:val="009F09D9"/>
    <w:pPr>
      <w:keepNext/>
      <w:keepLines/>
      <w:spacing w:before="480" w:line="276" w:lineRule="auto"/>
      <w:outlineLvl w:val="9"/>
    </w:pPr>
    <w:rPr>
      <w:rFonts w:eastAsiaTheme="majorEastAsia" w:cstheme="majorBidi"/>
      <w:bCs/>
      <w:color w:val="365F91" w:themeColor="accent1" w:themeShade="BF"/>
      <w:sz w:val="28"/>
      <w:szCs w:val="28"/>
    </w:rPr>
  </w:style>
  <w:style w:type="paragraph" w:styleId="TOC2">
    <w:name w:val="toc 2"/>
    <w:basedOn w:val="Normal"/>
    <w:next w:val="Normal"/>
    <w:autoRedefine/>
    <w:uiPriority w:val="39"/>
    <w:unhideWhenUsed/>
    <w:rsid w:val="009F09D9"/>
    <w:pPr>
      <w:spacing w:after="100"/>
      <w:ind w:left="220"/>
    </w:pPr>
  </w:style>
  <w:style w:type="paragraph" w:styleId="TOC3">
    <w:name w:val="toc 3"/>
    <w:basedOn w:val="Normal"/>
    <w:next w:val="Normal"/>
    <w:autoRedefine/>
    <w:uiPriority w:val="39"/>
    <w:unhideWhenUsed/>
    <w:rsid w:val="009F09D9"/>
    <w:pPr>
      <w:spacing w:after="100"/>
      <w:ind w:left="440"/>
    </w:pPr>
  </w:style>
  <w:style w:type="character" w:styleId="Hyperlink">
    <w:name w:val="Hyperlink"/>
    <w:basedOn w:val="DefaultParagraphFont"/>
    <w:uiPriority w:val="99"/>
    <w:unhideWhenUsed/>
    <w:rsid w:val="009F09D9"/>
    <w:rPr>
      <w:color w:val="0000FF" w:themeColor="hyperlink"/>
      <w:u w:val="single"/>
    </w:rPr>
  </w:style>
  <w:style w:type="paragraph" w:styleId="Header">
    <w:name w:val="header"/>
    <w:basedOn w:val="Normal"/>
    <w:link w:val="HeaderChar"/>
    <w:uiPriority w:val="99"/>
    <w:unhideWhenUsed/>
    <w:rsid w:val="009F09D9"/>
    <w:pPr>
      <w:tabs>
        <w:tab w:val="center" w:pos="4680"/>
        <w:tab w:val="right" w:pos="9360"/>
      </w:tabs>
      <w:spacing w:line="240" w:lineRule="auto"/>
    </w:pPr>
  </w:style>
  <w:style w:type="character" w:customStyle="1" w:styleId="HeaderChar">
    <w:name w:val="Header Char"/>
    <w:basedOn w:val="DefaultParagraphFont"/>
    <w:link w:val="Header"/>
    <w:uiPriority w:val="99"/>
    <w:rsid w:val="009F09D9"/>
  </w:style>
  <w:style w:type="paragraph" w:styleId="Footer">
    <w:name w:val="footer"/>
    <w:basedOn w:val="Normal"/>
    <w:link w:val="FooterChar"/>
    <w:uiPriority w:val="99"/>
    <w:unhideWhenUsed/>
    <w:rsid w:val="009F09D9"/>
    <w:pPr>
      <w:tabs>
        <w:tab w:val="center" w:pos="4680"/>
        <w:tab w:val="right" w:pos="9360"/>
      </w:tabs>
      <w:spacing w:line="240" w:lineRule="auto"/>
    </w:pPr>
  </w:style>
  <w:style w:type="character" w:customStyle="1" w:styleId="FooterChar">
    <w:name w:val="Footer Char"/>
    <w:basedOn w:val="DefaultParagraphFont"/>
    <w:link w:val="Footer"/>
    <w:uiPriority w:val="99"/>
    <w:rsid w:val="009F09D9"/>
  </w:style>
  <w:style w:type="table" w:styleId="TableGrid">
    <w:name w:val="Table Grid"/>
    <w:basedOn w:val="TableNormal"/>
    <w:uiPriority w:val="59"/>
    <w:rsid w:val="00B50438"/>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B50438"/>
    <w:rPr>
      <w:b/>
      <w:bCs/>
    </w:rPr>
  </w:style>
  <w:style w:type="paragraph" w:styleId="TOC1">
    <w:name w:val="toc 1"/>
    <w:basedOn w:val="Normal"/>
    <w:next w:val="Normal"/>
    <w:autoRedefine/>
    <w:uiPriority w:val="39"/>
    <w:unhideWhenUsed/>
    <w:rsid w:val="006C4055"/>
    <w:pPr>
      <w:spacing w:after="100"/>
    </w:pPr>
  </w:style>
  <w:style w:type="character" w:styleId="PlaceholderText">
    <w:name w:val="Placeholder Text"/>
    <w:basedOn w:val="DefaultParagraphFont"/>
    <w:uiPriority w:val="99"/>
    <w:semiHidden/>
    <w:rsid w:val="0034172B"/>
    <w:rPr>
      <w:color w:val="808080"/>
    </w:rPr>
  </w:style>
  <w:style w:type="character" w:customStyle="1" w:styleId="Heading4Char">
    <w:name w:val="Heading 4 Char"/>
    <w:basedOn w:val="DefaultParagraphFont"/>
    <w:link w:val="Heading4"/>
    <w:rsid w:val="00527E5C"/>
    <w:rPr>
      <w:rFonts w:asciiTheme="majorHAnsi" w:hAnsiTheme="majorHAnsi" w:cstheme="majorHAnsi"/>
      <w:b/>
      <w:sz w:val="24"/>
      <w:szCs w:val="24"/>
    </w:rPr>
  </w:style>
  <w:style w:type="character" w:customStyle="1" w:styleId="Heading2Char">
    <w:name w:val="Heading 2 Char"/>
    <w:basedOn w:val="DefaultParagraphFont"/>
    <w:link w:val="Heading2"/>
    <w:rsid w:val="00071ECC"/>
    <w:rPr>
      <w:rFonts w:asciiTheme="majorHAnsi" w:hAnsiTheme="majorHAnsi" w:cstheme="majorHAnsi"/>
      <w:b/>
      <w:sz w:val="28"/>
      <w:szCs w:val="32"/>
    </w:rPr>
  </w:style>
  <w:style w:type="character" w:customStyle="1" w:styleId="Heading1Char">
    <w:name w:val="Heading 1 Char"/>
    <w:basedOn w:val="DefaultParagraphFont"/>
    <w:link w:val="Heading1"/>
    <w:rsid w:val="00D97F76"/>
    <w:rPr>
      <w:rFonts w:asciiTheme="majorHAnsi" w:hAnsiTheme="majorHAnsi" w:cstheme="majorHAnsi"/>
      <w:b/>
      <w:sz w:val="32"/>
      <w:szCs w:val="32"/>
    </w:rPr>
  </w:style>
  <w:style w:type="paragraph" w:styleId="ListParagraph">
    <w:name w:val="List Paragraph"/>
    <w:basedOn w:val="Normal"/>
    <w:uiPriority w:val="34"/>
    <w:qFormat/>
    <w:rsid w:val="001B3C8D"/>
    <w:pPr>
      <w:ind w:left="720"/>
      <w:contextualSpacing/>
    </w:pPr>
  </w:style>
  <w:style w:type="character" w:customStyle="1" w:styleId="Heading3Char">
    <w:name w:val="Heading 3 Char"/>
    <w:basedOn w:val="DefaultParagraphFont"/>
    <w:link w:val="Heading3"/>
    <w:rsid w:val="00E02107"/>
    <w:rPr>
      <w:rFonts w:asciiTheme="majorHAnsi" w:hAnsiTheme="majorHAnsi" w:cstheme="majorHAnsi"/>
      <w:b/>
      <w:sz w:val="28"/>
      <w:szCs w:val="32"/>
    </w:rPr>
  </w:style>
  <w:style w:type="character" w:customStyle="1" w:styleId="mord">
    <w:name w:val="mord"/>
    <w:basedOn w:val="DefaultParagraphFont"/>
    <w:rsid w:val="00DB3870"/>
  </w:style>
  <w:style w:type="character" w:customStyle="1" w:styleId="mclose">
    <w:name w:val="mclose"/>
    <w:basedOn w:val="DefaultParagraphFont"/>
    <w:rsid w:val="00DB3870"/>
  </w:style>
  <w:style w:type="character" w:customStyle="1" w:styleId="mbin">
    <w:name w:val="mbin"/>
    <w:basedOn w:val="DefaultParagraphFont"/>
    <w:rsid w:val="00DB3870"/>
  </w:style>
  <w:style w:type="character" w:customStyle="1" w:styleId="mrel">
    <w:name w:val="mrel"/>
    <w:basedOn w:val="DefaultParagraphFont"/>
    <w:rsid w:val="00DB3870"/>
  </w:style>
  <w:style w:type="character" w:customStyle="1" w:styleId="mopen">
    <w:name w:val="mopen"/>
    <w:basedOn w:val="DefaultParagraphFont"/>
    <w:rsid w:val="00E222FD"/>
  </w:style>
  <w:style w:type="character" w:styleId="Emphasis">
    <w:name w:val="Emphasis"/>
    <w:basedOn w:val="DefaultParagraphFont"/>
    <w:uiPriority w:val="20"/>
    <w:qFormat/>
    <w:rsid w:val="00E222FD"/>
    <w:rPr>
      <w:i/>
      <w:iCs/>
    </w:rPr>
  </w:style>
  <w:style w:type="paragraph" w:styleId="NormalWeb">
    <w:name w:val="Normal (Web)"/>
    <w:basedOn w:val="Normal"/>
    <w:uiPriority w:val="99"/>
    <w:semiHidden/>
    <w:unhideWhenUsed/>
    <w:rsid w:val="00197F21"/>
    <w:pPr>
      <w:spacing w:before="100" w:beforeAutospacing="1" w:after="100" w:afterAutospacing="1" w:line="240" w:lineRule="auto"/>
      <w:jc w:val="left"/>
    </w:pPr>
    <w:rPr>
      <w:rFonts w:ascii="Times New Roman" w:eastAsia="Times New Roman" w:hAnsi="Times New Roman" w:cs="Times New Roman"/>
    </w:rPr>
  </w:style>
  <w:style w:type="character" w:customStyle="1" w:styleId="url">
    <w:name w:val="url"/>
    <w:basedOn w:val="DefaultParagraphFont"/>
    <w:rsid w:val="00197F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100766">
      <w:bodyDiv w:val="1"/>
      <w:marLeft w:val="0"/>
      <w:marRight w:val="0"/>
      <w:marTop w:val="0"/>
      <w:marBottom w:val="0"/>
      <w:divBdr>
        <w:top w:val="none" w:sz="0" w:space="0" w:color="auto"/>
        <w:left w:val="none" w:sz="0" w:space="0" w:color="auto"/>
        <w:bottom w:val="none" w:sz="0" w:space="0" w:color="auto"/>
        <w:right w:val="none" w:sz="0" w:space="0" w:color="auto"/>
      </w:divBdr>
      <w:divsChild>
        <w:div w:id="1755130366">
          <w:marLeft w:val="0"/>
          <w:marRight w:val="0"/>
          <w:marTop w:val="0"/>
          <w:marBottom w:val="0"/>
          <w:divBdr>
            <w:top w:val="none" w:sz="0" w:space="0" w:color="auto"/>
            <w:left w:val="none" w:sz="0" w:space="0" w:color="auto"/>
            <w:bottom w:val="none" w:sz="0" w:space="0" w:color="auto"/>
            <w:right w:val="none" w:sz="0" w:space="0" w:color="auto"/>
          </w:divBdr>
        </w:div>
        <w:div w:id="83066068">
          <w:marLeft w:val="0"/>
          <w:marRight w:val="0"/>
          <w:marTop w:val="0"/>
          <w:marBottom w:val="0"/>
          <w:divBdr>
            <w:top w:val="none" w:sz="0" w:space="0" w:color="auto"/>
            <w:left w:val="none" w:sz="0" w:space="0" w:color="auto"/>
            <w:bottom w:val="none" w:sz="0" w:space="0" w:color="auto"/>
            <w:right w:val="none" w:sz="0" w:space="0" w:color="auto"/>
          </w:divBdr>
        </w:div>
        <w:div w:id="1463961025">
          <w:marLeft w:val="0"/>
          <w:marRight w:val="0"/>
          <w:marTop w:val="0"/>
          <w:marBottom w:val="0"/>
          <w:divBdr>
            <w:top w:val="none" w:sz="0" w:space="0" w:color="auto"/>
            <w:left w:val="none" w:sz="0" w:space="0" w:color="auto"/>
            <w:bottom w:val="none" w:sz="0" w:space="0" w:color="auto"/>
            <w:right w:val="none" w:sz="0" w:space="0" w:color="auto"/>
          </w:divBdr>
        </w:div>
        <w:div w:id="64303369">
          <w:marLeft w:val="0"/>
          <w:marRight w:val="0"/>
          <w:marTop w:val="0"/>
          <w:marBottom w:val="0"/>
          <w:divBdr>
            <w:top w:val="none" w:sz="0" w:space="0" w:color="auto"/>
            <w:left w:val="none" w:sz="0" w:space="0" w:color="auto"/>
            <w:bottom w:val="none" w:sz="0" w:space="0" w:color="auto"/>
            <w:right w:val="none" w:sz="0" w:space="0" w:color="auto"/>
          </w:divBdr>
        </w:div>
        <w:div w:id="476192741">
          <w:marLeft w:val="0"/>
          <w:marRight w:val="0"/>
          <w:marTop w:val="0"/>
          <w:marBottom w:val="0"/>
          <w:divBdr>
            <w:top w:val="none" w:sz="0" w:space="0" w:color="auto"/>
            <w:left w:val="none" w:sz="0" w:space="0" w:color="auto"/>
            <w:bottom w:val="none" w:sz="0" w:space="0" w:color="auto"/>
            <w:right w:val="none" w:sz="0" w:space="0" w:color="auto"/>
          </w:divBdr>
        </w:div>
        <w:div w:id="904337327">
          <w:marLeft w:val="0"/>
          <w:marRight w:val="0"/>
          <w:marTop w:val="0"/>
          <w:marBottom w:val="0"/>
          <w:divBdr>
            <w:top w:val="none" w:sz="0" w:space="0" w:color="auto"/>
            <w:left w:val="none" w:sz="0" w:space="0" w:color="auto"/>
            <w:bottom w:val="none" w:sz="0" w:space="0" w:color="auto"/>
            <w:right w:val="none" w:sz="0" w:space="0" w:color="auto"/>
          </w:divBdr>
        </w:div>
      </w:divsChild>
    </w:div>
    <w:div w:id="128978468">
      <w:bodyDiv w:val="1"/>
      <w:marLeft w:val="0"/>
      <w:marRight w:val="0"/>
      <w:marTop w:val="0"/>
      <w:marBottom w:val="0"/>
      <w:divBdr>
        <w:top w:val="none" w:sz="0" w:space="0" w:color="auto"/>
        <w:left w:val="none" w:sz="0" w:space="0" w:color="auto"/>
        <w:bottom w:val="none" w:sz="0" w:space="0" w:color="auto"/>
        <w:right w:val="none" w:sz="0" w:space="0" w:color="auto"/>
      </w:divBdr>
      <w:divsChild>
        <w:div w:id="1009674470">
          <w:marLeft w:val="0"/>
          <w:marRight w:val="0"/>
          <w:marTop w:val="0"/>
          <w:marBottom w:val="200"/>
          <w:divBdr>
            <w:top w:val="none" w:sz="0" w:space="0" w:color="auto"/>
            <w:left w:val="none" w:sz="0" w:space="0" w:color="auto"/>
            <w:bottom w:val="none" w:sz="0" w:space="0" w:color="auto"/>
            <w:right w:val="none" w:sz="0" w:space="0" w:color="auto"/>
          </w:divBdr>
        </w:div>
        <w:div w:id="1833446446">
          <w:marLeft w:val="0"/>
          <w:marRight w:val="0"/>
          <w:marTop w:val="0"/>
          <w:marBottom w:val="200"/>
          <w:divBdr>
            <w:top w:val="none" w:sz="0" w:space="0" w:color="auto"/>
            <w:left w:val="none" w:sz="0" w:space="0" w:color="auto"/>
            <w:bottom w:val="none" w:sz="0" w:space="0" w:color="auto"/>
            <w:right w:val="none" w:sz="0" w:space="0" w:color="auto"/>
          </w:divBdr>
        </w:div>
      </w:divsChild>
    </w:div>
    <w:div w:id="207570661">
      <w:bodyDiv w:val="1"/>
      <w:marLeft w:val="0"/>
      <w:marRight w:val="0"/>
      <w:marTop w:val="0"/>
      <w:marBottom w:val="0"/>
      <w:divBdr>
        <w:top w:val="none" w:sz="0" w:space="0" w:color="auto"/>
        <w:left w:val="none" w:sz="0" w:space="0" w:color="auto"/>
        <w:bottom w:val="none" w:sz="0" w:space="0" w:color="auto"/>
        <w:right w:val="none" w:sz="0" w:space="0" w:color="auto"/>
      </w:divBdr>
      <w:divsChild>
        <w:div w:id="1876890325">
          <w:marLeft w:val="0"/>
          <w:marRight w:val="0"/>
          <w:marTop w:val="0"/>
          <w:marBottom w:val="0"/>
          <w:divBdr>
            <w:top w:val="none" w:sz="0" w:space="0" w:color="auto"/>
            <w:left w:val="none" w:sz="0" w:space="0" w:color="auto"/>
            <w:bottom w:val="none" w:sz="0" w:space="0" w:color="auto"/>
            <w:right w:val="none" w:sz="0" w:space="0" w:color="auto"/>
          </w:divBdr>
        </w:div>
        <w:div w:id="2104494597">
          <w:marLeft w:val="0"/>
          <w:marRight w:val="0"/>
          <w:marTop w:val="0"/>
          <w:marBottom w:val="0"/>
          <w:divBdr>
            <w:top w:val="none" w:sz="0" w:space="0" w:color="auto"/>
            <w:left w:val="none" w:sz="0" w:space="0" w:color="auto"/>
            <w:bottom w:val="none" w:sz="0" w:space="0" w:color="auto"/>
            <w:right w:val="none" w:sz="0" w:space="0" w:color="auto"/>
          </w:divBdr>
        </w:div>
        <w:div w:id="369495996">
          <w:marLeft w:val="0"/>
          <w:marRight w:val="0"/>
          <w:marTop w:val="0"/>
          <w:marBottom w:val="0"/>
          <w:divBdr>
            <w:top w:val="none" w:sz="0" w:space="0" w:color="auto"/>
            <w:left w:val="none" w:sz="0" w:space="0" w:color="auto"/>
            <w:bottom w:val="none" w:sz="0" w:space="0" w:color="auto"/>
            <w:right w:val="none" w:sz="0" w:space="0" w:color="auto"/>
          </w:divBdr>
        </w:div>
        <w:div w:id="524026884">
          <w:marLeft w:val="0"/>
          <w:marRight w:val="0"/>
          <w:marTop w:val="0"/>
          <w:marBottom w:val="0"/>
          <w:divBdr>
            <w:top w:val="none" w:sz="0" w:space="0" w:color="auto"/>
            <w:left w:val="none" w:sz="0" w:space="0" w:color="auto"/>
            <w:bottom w:val="none" w:sz="0" w:space="0" w:color="auto"/>
            <w:right w:val="none" w:sz="0" w:space="0" w:color="auto"/>
          </w:divBdr>
        </w:div>
        <w:div w:id="526604938">
          <w:marLeft w:val="0"/>
          <w:marRight w:val="0"/>
          <w:marTop w:val="0"/>
          <w:marBottom w:val="0"/>
          <w:divBdr>
            <w:top w:val="none" w:sz="0" w:space="0" w:color="auto"/>
            <w:left w:val="none" w:sz="0" w:space="0" w:color="auto"/>
            <w:bottom w:val="none" w:sz="0" w:space="0" w:color="auto"/>
            <w:right w:val="none" w:sz="0" w:space="0" w:color="auto"/>
          </w:divBdr>
        </w:div>
        <w:div w:id="483085538">
          <w:marLeft w:val="0"/>
          <w:marRight w:val="0"/>
          <w:marTop w:val="0"/>
          <w:marBottom w:val="0"/>
          <w:divBdr>
            <w:top w:val="none" w:sz="0" w:space="0" w:color="auto"/>
            <w:left w:val="none" w:sz="0" w:space="0" w:color="auto"/>
            <w:bottom w:val="none" w:sz="0" w:space="0" w:color="auto"/>
            <w:right w:val="none" w:sz="0" w:space="0" w:color="auto"/>
          </w:divBdr>
        </w:div>
      </w:divsChild>
    </w:div>
    <w:div w:id="244388915">
      <w:bodyDiv w:val="1"/>
      <w:marLeft w:val="0"/>
      <w:marRight w:val="0"/>
      <w:marTop w:val="0"/>
      <w:marBottom w:val="0"/>
      <w:divBdr>
        <w:top w:val="none" w:sz="0" w:space="0" w:color="auto"/>
        <w:left w:val="none" w:sz="0" w:space="0" w:color="auto"/>
        <w:bottom w:val="none" w:sz="0" w:space="0" w:color="auto"/>
        <w:right w:val="none" w:sz="0" w:space="0" w:color="auto"/>
      </w:divBdr>
    </w:div>
    <w:div w:id="251403347">
      <w:bodyDiv w:val="1"/>
      <w:marLeft w:val="0"/>
      <w:marRight w:val="0"/>
      <w:marTop w:val="0"/>
      <w:marBottom w:val="0"/>
      <w:divBdr>
        <w:top w:val="none" w:sz="0" w:space="0" w:color="auto"/>
        <w:left w:val="none" w:sz="0" w:space="0" w:color="auto"/>
        <w:bottom w:val="none" w:sz="0" w:space="0" w:color="auto"/>
        <w:right w:val="none" w:sz="0" w:space="0" w:color="auto"/>
      </w:divBdr>
      <w:divsChild>
        <w:div w:id="592781154">
          <w:marLeft w:val="-720"/>
          <w:marRight w:val="0"/>
          <w:marTop w:val="0"/>
          <w:marBottom w:val="0"/>
          <w:divBdr>
            <w:top w:val="none" w:sz="0" w:space="0" w:color="auto"/>
            <w:left w:val="none" w:sz="0" w:space="0" w:color="auto"/>
            <w:bottom w:val="none" w:sz="0" w:space="0" w:color="auto"/>
            <w:right w:val="none" w:sz="0" w:space="0" w:color="auto"/>
          </w:divBdr>
        </w:div>
      </w:divsChild>
    </w:div>
    <w:div w:id="275450873">
      <w:bodyDiv w:val="1"/>
      <w:marLeft w:val="0"/>
      <w:marRight w:val="0"/>
      <w:marTop w:val="0"/>
      <w:marBottom w:val="0"/>
      <w:divBdr>
        <w:top w:val="none" w:sz="0" w:space="0" w:color="auto"/>
        <w:left w:val="none" w:sz="0" w:space="0" w:color="auto"/>
        <w:bottom w:val="none" w:sz="0" w:space="0" w:color="auto"/>
        <w:right w:val="none" w:sz="0" w:space="0" w:color="auto"/>
      </w:divBdr>
    </w:div>
    <w:div w:id="294219224">
      <w:bodyDiv w:val="1"/>
      <w:marLeft w:val="0"/>
      <w:marRight w:val="0"/>
      <w:marTop w:val="0"/>
      <w:marBottom w:val="0"/>
      <w:divBdr>
        <w:top w:val="none" w:sz="0" w:space="0" w:color="auto"/>
        <w:left w:val="none" w:sz="0" w:space="0" w:color="auto"/>
        <w:bottom w:val="none" w:sz="0" w:space="0" w:color="auto"/>
        <w:right w:val="none" w:sz="0" w:space="0" w:color="auto"/>
      </w:divBdr>
    </w:div>
    <w:div w:id="351077695">
      <w:bodyDiv w:val="1"/>
      <w:marLeft w:val="0"/>
      <w:marRight w:val="0"/>
      <w:marTop w:val="0"/>
      <w:marBottom w:val="0"/>
      <w:divBdr>
        <w:top w:val="none" w:sz="0" w:space="0" w:color="auto"/>
        <w:left w:val="none" w:sz="0" w:space="0" w:color="auto"/>
        <w:bottom w:val="none" w:sz="0" w:space="0" w:color="auto"/>
        <w:right w:val="none" w:sz="0" w:space="0" w:color="auto"/>
      </w:divBdr>
    </w:div>
    <w:div w:id="379598449">
      <w:bodyDiv w:val="1"/>
      <w:marLeft w:val="0"/>
      <w:marRight w:val="0"/>
      <w:marTop w:val="0"/>
      <w:marBottom w:val="0"/>
      <w:divBdr>
        <w:top w:val="none" w:sz="0" w:space="0" w:color="auto"/>
        <w:left w:val="none" w:sz="0" w:space="0" w:color="auto"/>
        <w:bottom w:val="none" w:sz="0" w:space="0" w:color="auto"/>
        <w:right w:val="none" w:sz="0" w:space="0" w:color="auto"/>
      </w:divBdr>
    </w:div>
    <w:div w:id="564995769">
      <w:bodyDiv w:val="1"/>
      <w:marLeft w:val="0"/>
      <w:marRight w:val="0"/>
      <w:marTop w:val="0"/>
      <w:marBottom w:val="0"/>
      <w:divBdr>
        <w:top w:val="none" w:sz="0" w:space="0" w:color="auto"/>
        <w:left w:val="none" w:sz="0" w:space="0" w:color="auto"/>
        <w:bottom w:val="none" w:sz="0" w:space="0" w:color="auto"/>
        <w:right w:val="none" w:sz="0" w:space="0" w:color="auto"/>
      </w:divBdr>
    </w:div>
    <w:div w:id="647783437">
      <w:bodyDiv w:val="1"/>
      <w:marLeft w:val="0"/>
      <w:marRight w:val="0"/>
      <w:marTop w:val="0"/>
      <w:marBottom w:val="0"/>
      <w:divBdr>
        <w:top w:val="none" w:sz="0" w:space="0" w:color="auto"/>
        <w:left w:val="none" w:sz="0" w:space="0" w:color="auto"/>
        <w:bottom w:val="none" w:sz="0" w:space="0" w:color="auto"/>
        <w:right w:val="none" w:sz="0" w:space="0" w:color="auto"/>
      </w:divBdr>
    </w:div>
    <w:div w:id="692875975">
      <w:bodyDiv w:val="1"/>
      <w:marLeft w:val="0"/>
      <w:marRight w:val="0"/>
      <w:marTop w:val="0"/>
      <w:marBottom w:val="0"/>
      <w:divBdr>
        <w:top w:val="none" w:sz="0" w:space="0" w:color="auto"/>
        <w:left w:val="none" w:sz="0" w:space="0" w:color="auto"/>
        <w:bottom w:val="none" w:sz="0" w:space="0" w:color="auto"/>
        <w:right w:val="none" w:sz="0" w:space="0" w:color="auto"/>
      </w:divBdr>
    </w:div>
    <w:div w:id="706444841">
      <w:bodyDiv w:val="1"/>
      <w:marLeft w:val="0"/>
      <w:marRight w:val="0"/>
      <w:marTop w:val="0"/>
      <w:marBottom w:val="0"/>
      <w:divBdr>
        <w:top w:val="none" w:sz="0" w:space="0" w:color="auto"/>
        <w:left w:val="none" w:sz="0" w:space="0" w:color="auto"/>
        <w:bottom w:val="none" w:sz="0" w:space="0" w:color="auto"/>
        <w:right w:val="none" w:sz="0" w:space="0" w:color="auto"/>
      </w:divBdr>
    </w:div>
    <w:div w:id="727874987">
      <w:bodyDiv w:val="1"/>
      <w:marLeft w:val="0"/>
      <w:marRight w:val="0"/>
      <w:marTop w:val="0"/>
      <w:marBottom w:val="0"/>
      <w:divBdr>
        <w:top w:val="none" w:sz="0" w:space="0" w:color="auto"/>
        <w:left w:val="none" w:sz="0" w:space="0" w:color="auto"/>
        <w:bottom w:val="none" w:sz="0" w:space="0" w:color="auto"/>
        <w:right w:val="none" w:sz="0" w:space="0" w:color="auto"/>
      </w:divBdr>
    </w:div>
    <w:div w:id="797063240">
      <w:bodyDiv w:val="1"/>
      <w:marLeft w:val="0"/>
      <w:marRight w:val="0"/>
      <w:marTop w:val="0"/>
      <w:marBottom w:val="0"/>
      <w:divBdr>
        <w:top w:val="none" w:sz="0" w:space="0" w:color="auto"/>
        <w:left w:val="none" w:sz="0" w:space="0" w:color="auto"/>
        <w:bottom w:val="none" w:sz="0" w:space="0" w:color="auto"/>
        <w:right w:val="none" w:sz="0" w:space="0" w:color="auto"/>
      </w:divBdr>
    </w:div>
    <w:div w:id="809175591">
      <w:bodyDiv w:val="1"/>
      <w:marLeft w:val="0"/>
      <w:marRight w:val="0"/>
      <w:marTop w:val="0"/>
      <w:marBottom w:val="0"/>
      <w:divBdr>
        <w:top w:val="none" w:sz="0" w:space="0" w:color="auto"/>
        <w:left w:val="none" w:sz="0" w:space="0" w:color="auto"/>
        <w:bottom w:val="none" w:sz="0" w:space="0" w:color="auto"/>
        <w:right w:val="none" w:sz="0" w:space="0" w:color="auto"/>
      </w:divBdr>
    </w:div>
    <w:div w:id="932787494">
      <w:bodyDiv w:val="1"/>
      <w:marLeft w:val="0"/>
      <w:marRight w:val="0"/>
      <w:marTop w:val="0"/>
      <w:marBottom w:val="0"/>
      <w:divBdr>
        <w:top w:val="none" w:sz="0" w:space="0" w:color="auto"/>
        <w:left w:val="none" w:sz="0" w:space="0" w:color="auto"/>
        <w:bottom w:val="none" w:sz="0" w:space="0" w:color="auto"/>
        <w:right w:val="none" w:sz="0" w:space="0" w:color="auto"/>
      </w:divBdr>
      <w:divsChild>
        <w:div w:id="749087484">
          <w:marLeft w:val="0"/>
          <w:marRight w:val="0"/>
          <w:marTop w:val="0"/>
          <w:marBottom w:val="200"/>
          <w:divBdr>
            <w:top w:val="none" w:sz="0" w:space="0" w:color="auto"/>
            <w:left w:val="none" w:sz="0" w:space="0" w:color="auto"/>
            <w:bottom w:val="none" w:sz="0" w:space="0" w:color="auto"/>
            <w:right w:val="none" w:sz="0" w:space="0" w:color="auto"/>
          </w:divBdr>
        </w:div>
        <w:div w:id="592594787">
          <w:marLeft w:val="0"/>
          <w:marRight w:val="0"/>
          <w:marTop w:val="0"/>
          <w:marBottom w:val="200"/>
          <w:divBdr>
            <w:top w:val="none" w:sz="0" w:space="0" w:color="auto"/>
            <w:left w:val="none" w:sz="0" w:space="0" w:color="auto"/>
            <w:bottom w:val="none" w:sz="0" w:space="0" w:color="auto"/>
            <w:right w:val="none" w:sz="0" w:space="0" w:color="auto"/>
          </w:divBdr>
        </w:div>
      </w:divsChild>
    </w:div>
    <w:div w:id="1055810963">
      <w:bodyDiv w:val="1"/>
      <w:marLeft w:val="0"/>
      <w:marRight w:val="0"/>
      <w:marTop w:val="0"/>
      <w:marBottom w:val="0"/>
      <w:divBdr>
        <w:top w:val="none" w:sz="0" w:space="0" w:color="auto"/>
        <w:left w:val="none" w:sz="0" w:space="0" w:color="auto"/>
        <w:bottom w:val="none" w:sz="0" w:space="0" w:color="auto"/>
        <w:right w:val="none" w:sz="0" w:space="0" w:color="auto"/>
      </w:divBdr>
    </w:div>
    <w:div w:id="1179540972">
      <w:bodyDiv w:val="1"/>
      <w:marLeft w:val="0"/>
      <w:marRight w:val="0"/>
      <w:marTop w:val="0"/>
      <w:marBottom w:val="0"/>
      <w:divBdr>
        <w:top w:val="none" w:sz="0" w:space="0" w:color="auto"/>
        <w:left w:val="none" w:sz="0" w:space="0" w:color="auto"/>
        <w:bottom w:val="none" w:sz="0" w:space="0" w:color="auto"/>
        <w:right w:val="none" w:sz="0" w:space="0" w:color="auto"/>
      </w:divBdr>
    </w:div>
    <w:div w:id="1310745056">
      <w:bodyDiv w:val="1"/>
      <w:marLeft w:val="0"/>
      <w:marRight w:val="0"/>
      <w:marTop w:val="0"/>
      <w:marBottom w:val="0"/>
      <w:divBdr>
        <w:top w:val="none" w:sz="0" w:space="0" w:color="auto"/>
        <w:left w:val="none" w:sz="0" w:space="0" w:color="auto"/>
        <w:bottom w:val="none" w:sz="0" w:space="0" w:color="auto"/>
        <w:right w:val="none" w:sz="0" w:space="0" w:color="auto"/>
      </w:divBdr>
    </w:div>
    <w:div w:id="1325476913">
      <w:bodyDiv w:val="1"/>
      <w:marLeft w:val="0"/>
      <w:marRight w:val="0"/>
      <w:marTop w:val="0"/>
      <w:marBottom w:val="0"/>
      <w:divBdr>
        <w:top w:val="none" w:sz="0" w:space="0" w:color="auto"/>
        <w:left w:val="none" w:sz="0" w:space="0" w:color="auto"/>
        <w:bottom w:val="none" w:sz="0" w:space="0" w:color="auto"/>
        <w:right w:val="none" w:sz="0" w:space="0" w:color="auto"/>
      </w:divBdr>
    </w:div>
    <w:div w:id="1544322371">
      <w:bodyDiv w:val="1"/>
      <w:marLeft w:val="0"/>
      <w:marRight w:val="0"/>
      <w:marTop w:val="0"/>
      <w:marBottom w:val="0"/>
      <w:divBdr>
        <w:top w:val="none" w:sz="0" w:space="0" w:color="auto"/>
        <w:left w:val="none" w:sz="0" w:space="0" w:color="auto"/>
        <w:bottom w:val="none" w:sz="0" w:space="0" w:color="auto"/>
        <w:right w:val="none" w:sz="0" w:space="0" w:color="auto"/>
      </w:divBdr>
      <w:divsChild>
        <w:div w:id="366755566">
          <w:marLeft w:val="0"/>
          <w:marRight w:val="0"/>
          <w:marTop w:val="0"/>
          <w:marBottom w:val="0"/>
          <w:divBdr>
            <w:top w:val="none" w:sz="0" w:space="0" w:color="auto"/>
            <w:left w:val="none" w:sz="0" w:space="0" w:color="auto"/>
            <w:bottom w:val="none" w:sz="0" w:space="0" w:color="auto"/>
            <w:right w:val="none" w:sz="0" w:space="0" w:color="auto"/>
          </w:divBdr>
        </w:div>
        <w:div w:id="1240210234">
          <w:marLeft w:val="0"/>
          <w:marRight w:val="0"/>
          <w:marTop w:val="0"/>
          <w:marBottom w:val="0"/>
          <w:divBdr>
            <w:top w:val="none" w:sz="0" w:space="0" w:color="auto"/>
            <w:left w:val="none" w:sz="0" w:space="0" w:color="auto"/>
            <w:bottom w:val="none" w:sz="0" w:space="0" w:color="auto"/>
            <w:right w:val="none" w:sz="0" w:space="0" w:color="auto"/>
          </w:divBdr>
        </w:div>
        <w:div w:id="828792857">
          <w:marLeft w:val="0"/>
          <w:marRight w:val="0"/>
          <w:marTop w:val="0"/>
          <w:marBottom w:val="0"/>
          <w:divBdr>
            <w:top w:val="none" w:sz="0" w:space="0" w:color="auto"/>
            <w:left w:val="none" w:sz="0" w:space="0" w:color="auto"/>
            <w:bottom w:val="none" w:sz="0" w:space="0" w:color="auto"/>
            <w:right w:val="none" w:sz="0" w:space="0" w:color="auto"/>
          </w:divBdr>
        </w:div>
      </w:divsChild>
    </w:div>
    <w:div w:id="1547908869">
      <w:bodyDiv w:val="1"/>
      <w:marLeft w:val="0"/>
      <w:marRight w:val="0"/>
      <w:marTop w:val="0"/>
      <w:marBottom w:val="0"/>
      <w:divBdr>
        <w:top w:val="none" w:sz="0" w:space="0" w:color="auto"/>
        <w:left w:val="none" w:sz="0" w:space="0" w:color="auto"/>
        <w:bottom w:val="none" w:sz="0" w:space="0" w:color="auto"/>
        <w:right w:val="none" w:sz="0" w:space="0" w:color="auto"/>
      </w:divBdr>
    </w:div>
    <w:div w:id="1820000473">
      <w:bodyDiv w:val="1"/>
      <w:marLeft w:val="0"/>
      <w:marRight w:val="0"/>
      <w:marTop w:val="0"/>
      <w:marBottom w:val="0"/>
      <w:divBdr>
        <w:top w:val="none" w:sz="0" w:space="0" w:color="auto"/>
        <w:left w:val="none" w:sz="0" w:space="0" w:color="auto"/>
        <w:bottom w:val="none" w:sz="0" w:space="0" w:color="auto"/>
        <w:right w:val="none" w:sz="0" w:space="0" w:color="auto"/>
      </w:divBdr>
      <w:divsChild>
        <w:div w:id="695697003">
          <w:marLeft w:val="-720"/>
          <w:marRight w:val="0"/>
          <w:marTop w:val="0"/>
          <w:marBottom w:val="0"/>
          <w:divBdr>
            <w:top w:val="none" w:sz="0" w:space="0" w:color="auto"/>
            <w:left w:val="none" w:sz="0" w:space="0" w:color="auto"/>
            <w:bottom w:val="none" w:sz="0" w:space="0" w:color="auto"/>
            <w:right w:val="none" w:sz="0" w:space="0" w:color="auto"/>
          </w:divBdr>
        </w:div>
      </w:divsChild>
    </w:div>
    <w:div w:id="1918592436">
      <w:bodyDiv w:val="1"/>
      <w:marLeft w:val="0"/>
      <w:marRight w:val="0"/>
      <w:marTop w:val="0"/>
      <w:marBottom w:val="0"/>
      <w:divBdr>
        <w:top w:val="none" w:sz="0" w:space="0" w:color="auto"/>
        <w:left w:val="none" w:sz="0" w:space="0" w:color="auto"/>
        <w:bottom w:val="none" w:sz="0" w:space="0" w:color="auto"/>
        <w:right w:val="none" w:sz="0" w:space="0" w:color="auto"/>
      </w:divBdr>
    </w:div>
    <w:div w:id="1941790488">
      <w:bodyDiv w:val="1"/>
      <w:marLeft w:val="0"/>
      <w:marRight w:val="0"/>
      <w:marTop w:val="0"/>
      <w:marBottom w:val="0"/>
      <w:divBdr>
        <w:top w:val="none" w:sz="0" w:space="0" w:color="auto"/>
        <w:left w:val="none" w:sz="0" w:space="0" w:color="auto"/>
        <w:bottom w:val="none" w:sz="0" w:space="0" w:color="auto"/>
        <w:right w:val="none" w:sz="0" w:space="0" w:color="auto"/>
      </w:divBdr>
    </w:div>
    <w:div w:id="1999993505">
      <w:bodyDiv w:val="1"/>
      <w:marLeft w:val="0"/>
      <w:marRight w:val="0"/>
      <w:marTop w:val="0"/>
      <w:marBottom w:val="0"/>
      <w:divBdr>
        <w:top w:val="none" w:sz="0" w:space="0" w:color="auto"/>
        <w:left w:val="none" w:sz="0" w:space="0" w:color="auto"/>
        <w:bottom w:val="none" w:sz="0" w:space="0" w:color="auto"/>
        <w:right w:val="none" w:sz="0" w:space="0" w:color="auto"/>
      </w:divBdr>
    </w:div>
    <w:div w:id="2102986351">
      <w:bodyDiv w:val="1"/>
      <w:marLeft w:val="0"/>
      <w:marRight w:val="0"/>
      <w:marTop w:val="0"/>
      <w:marBottom w:val="0"/>
      <w:divBdr>
        <w:top w:val="none" w:sz="0" w:space="0" w:color="auto"/>
        <w:left w:val="none" w:sz="0" w:space="0" w:color="auto"/>
        <w:bottom w:val="none" w:sz="0" w:space="0" w:color="auto"/>
        <w:right w:val="none" w:sz="0" w:space="0" w:color="auto"/>
      </w:divBdr>
    </w:div>
    <w:div w:id="21386469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8.png"/><Relationship Id="rId26" Type="http://schemas.openxmlformats.org/officeDocument/2006/relationships/image" Target="media/image12.png"/><Relationship Id="rId3" Type="http://schemas.openxmlformats.org/officeDocument/2006/relationships/styles" Target="styles.xml"/><Relationship Id="rId21" Type="http://schemas.openxmlformats.org/officeDocument/2006/relationships/chart" Target="charts/chart4.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chart" Target="charts/chart2.xm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chart" Target="charts/chart1.xml"/><Relationship Id="rId23" Type="http://schemas.openxmlformats.org/officeDocument/2006/relationships/image" Target="media/image11.png"/><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chart" Target="charts/chart3.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0.png"/><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cked"/>
        <c:varyColors val="0"/>
        <c:ser>
          <c:idx val="0"/>
          <c:order val="0"/>
          <c:tx>
            <c:strRef>
              <c:f>Sheet1!$B$1</c:f>
              <c:strCache>
                <c:ptCount val="1"/>
                <c:pt idx="0">
                  <c:v>2019</c:v>
                </c:pt>
              </c:strCache>
            </c:strRef>
          </c:tx>
          <c:cat>
            <c:strRef>
              <c:f>Sheet1!$A$2:$A$5</c:f>
              <c:strCache>
                <c:ptCount val="4"/>
                <c:pt idx="0">
                  <c:v>Category 1</c:v>
                </c:pt>
                <c:pt idx="1">
                  <c:v>Category 2</c:v>
                </c:pt>
                <c:pt idx="2">
                  <c:v>Category 3</c:v>
                </c:pt>
                <c:pt idx="3">
                  <c:v>Category 4</c:v>
                </c:pt>
              </c:strCache>
            </c:strRef>
          </c:cat>
          <c:val>
            <c:numRef>
              <c:f>Sheet1!$B$2:$B$5</c:f>
              <c:numCache>
                <c:formatCode>General</c:formatCode>
                <c:ptCount val="4"/>
                <c:pt idx="0">
                  <c:v>4.3</c:v>
                </c:pt>
                <c:pt idx="1">
                  <c:v>2.5</c:v>
                </c:pt>
                <c:pt idx="2">
                  <c:v>3.5</c:v>
                </c:pt>
                <c:pt idx="3">
                  <c:v>4.5</c:v>
                </c:pt>
              </c:numCache>
            </c:numRef>
          </c:val>
          <c:smooth val="0"/>
        </c:ser>
        <c:ser>
          <c:idx val="1"/>
          <c:order val="1"/>
          <c:tx>
            <c:strRef>
              <c:f>Sheet1!$C$1</c:f>
              <c:strCache>
                <c:ptCount val="1"/>
                <c:pt idx="0">
                  <c:v>12-Jul</c:v>
                </c:pt>
              </c:strCache>
            </c:strRef>
          </c:tx>
          <c:cat>
            <c:strRef>
              <c:f>Sheet1!$A$2:$A$5</c:f>
              <c:strCache>
                <c:ptCount val="4"/>
                <c:pt idx="0">
                  <c:v>Category 1</c:v>
                </c:pt>
                <c:pt idx="1">
                  <c:v>Category 2</c:v>
                </c:pt>
                <c:pt idx="2">
                  <c:v>Category 3</c:v>
                </c:pt>
                <c:pt idx="3">
                  <c:v>Category 4</c:v>
                </c:pt>
              </c:strCache>
            </c:strRef>
          </c:cat>
          <c:val>
            <c:numRef>
              <c:f>Sheet1!$C$2:$C$5</c:f>
              <c:numCache>
                <c:formatCode>General</c:formatCode>
                <c:ptCount val="4"/>
                <c:pt idx="0">
                  <c:v>2.4</c:v>
                </c:pt>
                <c:pt idx="1">
                  <c:v>4.4000000000000004</c:v>
                </c:pt>
                <c:pt idx="2">
                  <c:v>1.8</c:v>
                </c:pt>
                <c:pt idx="3">
                  <c:v>2.8</c:v>
                </c:pt>
              </c:numCache>
            </c:numRef>
          </c:val>
          <c:smooth val="0"/>
        </c:ser>
        <c:ser>
          <c:idx val="2"/>
          <c:order val="2"/>
          <c:tx>
            <c:strRef>
              <c:f>Sheet1!$D$1</c:f>
              <c:strCache>
                <c:ptCount val="1"/>
                <c:pt idx="0">
                  <c:v>Series 3</c:v>
                </c:pt>
              </c:strCache>
            </c:strRef>
          </c:tx>
          <c:cat>
            <c:strRef>
              <c:f>Sheet1!$A$2:$A$5</c:f>
              <c:strCache>
                <c:ptCount val="4"/>
                <c:pt idx="0">
                  <c:v>Category 1</c:v>
                </c:pt>
                <c:pt idx="1">
                  <c:v>Category 2</c:v>
                </c:pt>
                <c:pt idx="2">
                  <c:v>Category 3</c:v>
                </c:pt>
                <c:pt idx="3">
                  <c:v>Category 4</c:v>
                </c:pt>
              </c:strCache>
            </c:strRef>
          </c:cat>
          <c:val>
            <c:numRef>
              <c:f>Sheet1!$D$2:$D$5</c:f>
              <c:numCache>
                <c:formatCode>General</c:formatCode>
                <c:ptCount val="4"/>
                <c:pt idx="0">
                  <c:v>2</c:v>
                </c:pt>
                <c:pt idx="1">
                  <c:v>2</c:v>
                </c:pt>
                <c:pt idx="2">
                  <c:v>3</c:v>
                </c:pt>
                <c:pt idx="3">
                  <c:v>5</c:v>
                </c:pt>
              </c:numCache>
            </c:numRef>
          </c:val>
          <c:smooth val="0"/>
        </c:ser>
        <c:dLbls>
          <c:showLegendKey val="0"/>
          <c:showVal val="0"/>
          <c:showCatName val="0"/>
          <c:showSerName val="0"/>
          <c:showPercent val="0"/>
          <c:showBubbleSize val="0"/>
        </c:dLbls>
        <c:marker val="1"/>
        <c:smooth val="0"/>
        <c:axId val="193973632"/>
        <c:axId val="200074368"/>
      </c:lineChart>
      <c:catAx>
        <c:axId val="193973632"/>
        <c:scaling>
          <c:orientation val="minMax"/>
        </c:scaling>
        <c:delete val="0"/>
        <c:axPos val="b"/>
        <c:majorTickMark val="out"/>
        <c:minorTickMark val="none"/>
        <c:tickLblPos val="nextTo"/>
        <c:crossAx val="200074368"/>
        <c:crosses val="autoZero"/>
        <c:auto val="1"/>
        <c:lblAlgn val="ctr"/>
        <c:lblOffset val="100"/>
        <c:noMultiLvlLbl val="0"/>
      </c:catAx>
      <c:valAx>
        <c:axId val="200074368"/>
        <c:scaling>
          <c:orientation val="minMax"/>
        </c:scaling>
        <c:delete val="0"/>
        <c:axPos val="l"/>
        <c:majorGridlines/>
        <c:numFmt formatCode="General" sourceLinked="1"/>
        <c:majorTickMark val="out"/>
        <c:minorTickMark val="none"/>
        <c:tickLblPos val="nextTo"/>
        <c:crossAx val="193973632"/>
        <c:crosses val="autoZero"/>
        <c:crossBetween val="between"/>
      </c:valAx>
    </c:plotArea>
    <c:legend>
      <c:legendPos val="r"/>
      <c:overlay val="0"/>
    </c:legend>
    <c:plotVisOnly val="1"/>
    <c:dispBlanksAs val="zero"/>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cked"/>
        <c:varyColors val="0"/>
        <c:ser>
          <c:idx val="0"/>
          <c:order val="0"/>
          <c:tx>
            <c:strRef>
              <c:f>Sheet1!$B$1</c:f>
              <c:strCache>
                <c:ptCount val="1"/>
                <c:pt idx="0">
                  <c:v>2019</c:v>
                </c:pt>
              </c:strCache>
            </c:strRef>
          </c:tx>
          <c:cat>
            <c:strRef>
              <c:f>Sheet1!$A$2:$A$5</c:f>
              <c:strCache>
                <c:ptCount val="4"/>
                <c:pt idx="0">
                  <c:v>Category 1</c:v>
                </c:pt>
                <c:pt idx="1">
                  <c:v>Category 2</c:v>
                </c:pt>
                <c:pt idx="2">
                  <c:v>Category 3</c:v>
                </c:pt>
                <c:pt idx="3">
                  <c:v>Category 4</c:v>
                </c:pt>
              </c:strCache>
            </c:strRef>
          </c:cat>
          <c:val>
            <c:numRef>
              <c:f>Sheet1!$B$2:$B$5</c:f>
              <c:numCache>
                <c:formatCode>General</c:formatCode>
                <c:ptCount val="4"/>
                <c:pt idx="0">
                  <c:v>4.3</c:v>
                </c:pt>
                <c:pt idx="1">
                  <c:v>2.5</c:v>
                </c:pt>
                <c:pt idx="2">
                  <c:v>3.5</c:v>
                </c:pt>
                <c:pt idx="3">
                  <c:v>4.5</c:v>
                </c:pt>
              </c:numCache>
            </c:numRef>
          </c:val>
          <c:smooth val="0"/>
        </c:ser>
        <c:ser>
          <c:idx val="1"/>
          <c:order val="1"/>
          <c:tx>
            <c:strRef>
              <c:f>Sheet1!$C$1</c:f>
              <c:strCache>
                <c:ptCount val="1"/>
                <c:pt idx="0">
                  <c:v>12-Jul</c:v>
                </c:pt>
              </c:strCache>
            </c:strRef>
          </c:tx>
          <c:cat>
            <c:strRef>
              <c:f>Sheet1!$A$2:$A$5</c:f>
              <c:strCache>
                <c:ptCount val="4"/>
                <c:pt idx="0">
                  <c:v>Category 1</c:v>
                </c:pt>
                <c:pt idx="1">
                  <c:v>Category 2</c:v>
                </c:pt>
                <c:pt idx="2">
                  <c:v>Category 3</c:v>
                </c:pt>
                <c:pt idx="3">
                  <c:v>Category 4</c:v>
                </c:pt>
              </c:strCache>
            </c:strRef>
          </c:cat>
          <c:val>
            <c:numRef>
              <c:f>Sheet1!$C$2:$C$5</c:f>
              <c:numCache>
                <c:formatCode>General</c:formatCode>
                <c:ptCount val="4"/>
                <c:pt idx="0">
                  <c:v>2.4</c:v>
                </c:pt>
                <c:pt idx="1">
                  <c:v>4.4000000000000004</c:v>
                </c:pt>
                <c:pt idx="2">
                  <c:v>1.8</c:v>
                </c:pt>
                <c:pt idx="3">
                  <c:v>2.8</c:v>
                </c:pt>
              </c:numCache>
            </c:numRef>
          </c:val>
          <c:smooth val="0"/>
        </c:ser>
        <c:ser>
          <c:idx val="2"/>
          <c:order val="2"/>
          <c:tx>
            <c:strRef>
              <c:f>Sheet1!$D$1</c:f>
              <c:strCache>
                <c:ptCount val="1"/>
                <c:pt idx="0">
                  <c:v>Series 3</c:v>
                </c:pt>
              </c:strCache>
            </c:strRef>
          </c:tx>
          <c:cat>
            <c:strRef>
              <c:f>Sheet1!$A$2:$A$5</c:f>
              <c:strCache>
                <c:ptCount val="4"/>
                <c:pt idx="0">
                  <c:v>Category 1</c:v>
                </c:pt>
                <c:pt idx="1">
                  <c:v>Category 2</c:v>
                </c:pt>
                <c:pt idx="2">
                  <c:v>Category 3</c:v>
                </c:pt>
                <c:pt idx="3">
                  <c:v>Category 4</c:v>
                </c:pt>
              </c:strCache>
            </c:strRef>
          </c:cat>
          <c:val>
            <c:numRef>
              <c:f>Sheet1!$D$2:$D$5</c:f>
              <c:numCache>
                <c:formatCode>General</c:formatCode>
                <c:ptCount val="4"/>
                <c:pt idx="0">
                  <c:v>2</c:v>
                </c:pt>
                <c:pt idx="1">
                  <c:v>2</c:v>
                </c:pt>
                <c:pt idx="2">
                  <c:v>3</c:v>
                </c:pt>
                <c:pt idx="3">
                  <c:v>5</c:v>
                </c:pt>
              </c:numCache>
            </c:numRef>
          </c:val>
          <c:smooth val="0"/>
        </c:ser>
        <c:dLbls>
          <c:showLegendKey val="0"/>
          <c:showVal val="0"/>
          <c:showCatName val="0"/>
          <c:showSerName val="0"/>
          <c:showPercent val="0"/>
          <c:showBubbleSize val="0"/>
        </c:dLbls>
        <c:marker val="1"/>
        <c:smooth val="0"/>
        <c:axId val="240311296"/>
        <c:axId val="240468736"/>
      </c:lineChart>
      <c:catAx>
        <c:axId val="240311296"/>
        <c:scaling>
          <c:orientation val="minMax"/>
        </c:scaling>
        <c:delete val="0"/>
        <c:axPos val="b"/>
        <c:majorTickMark val="out"/>
        <c:minorTickMark val="none"/>
        <c:tickLblPos val="nextTo"/>
        <c:crossAx val="240468736"/>
        <c:crosses val="autoZero"/>
        <c:auto val="1"/>
        <c:lblAlgn val="ctr"/>
        <c:lblOffset val="100"/>
        <c:noMultiLvlLbl val="0"/>
      </c:catAx>
      <c:valAx>
        <c:axId val="240468736"/>
        <c:scaling>
          <c:orientation val="minMax"/>
        </c:scaling>
        <c:delete val="0"/>
        <c:axPos val="l"/>
        <c:majorGridlines/>
        <c:numFmt formatCode="General" sourceLinked="1"/>
        <c:majorTickMark val="out"/>
        <c:minorTickMark val="none"/>
        <c:tickLblPos val="nextTo"/>
        <c:crossAx val="240311296"/>
        <c:crosses val="autoZero"/>
        <c:crossBetween val="between"/>
      </c:valAx>
    </c:plotArea>
    <c:legend>
      <c:legendPos val="r"/>
      <c:overlay val="0"/>
    </c:legend>
    <c:plotVisOnly val="1"/>
    <c:dispBlanksAs val="zero"/>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cked"/>
        <c:varyColors val="0"/>
        <c:ser>
          <c:idx val="0"/>
          <c:order val="0"/>
          <c:tx>
            <c:strRef>
              <c:f>Sheet1!$B$1</c:f>
              <c:strCache>
                <c:ptCount val="1"/>
                <c:pt idx="0">
                  <c:v>2019</c:v>
                </c:pt>
              </c:strCache>
            </c:strRef>
          </c:tx>
          <c:cat>
            <c:strRef>
              <c:f>Sheet1!$A$2:$A$5</c:f>
              <c:strCache>
                <c:ptCount val="4"/>
                <c:pt idx="0">
                  <c:v>Category 1</c:v>
                </c:pt>
                <c:pt idx="1">
                  <c:v>Category 2</c:v>
                </c:pt>
                <c:pt idx="2">
                  <c:v>Category 3</c:v>
                </c:pt>
                <c:pt idx="3">
                  <c:v>Category 4</c:v>
                </c:pt>
              </c:strCache>
            </c:strRef>
          </c:cat>
          <c:val>
            <c:numRef>
              <c:f>Sheet1!$B$2:$B$5</c:f>
              <c:numCache>
                <c:formatCode>General</c:formatCode>
                <c:ptCount val="4"/>
                <c:pt idx="0">
                  <c:v>4.3</c:v>
                </c:pt>
                <c:pt idx="1">
                  <c:v>2.5</c:v>
                </c:pt>
                <c:pt idx="2">
                  <c:v>3.5</c:v>
                </c:pt>
                <c:pt idx="3">
                  <c:v>4.5</c:v>
                </c:pt>
              </c:numCache>
            </c:numRef>
          </c:val>
          <c:smooth val="0"/>
        </c:ser>
        <c:ser>
          <c:idx val="1"/>
          <c:order val="1"/>
          <c:tx>
            <c:strRef>
              <c:f>Sheet1!$C$1</c:f>
              <c:strCache>
                <c:ptCount val="1"/>
                <c:pt idx="0">
                  <c:v>12-Jul</c:v>
                </c:pt>
              </c:strCache>
            </c:strRef>
          </c:tx>
          <c:cat>
            <c:strRef>
              <c:f>Sheet1!$A$2:$A$5</c:f>
              <c:strCache>
                <c:ptCount val="4"/>
                <c:pt idx="0">
                  <c:v>Category 1</c:v>
                </c:pt>
                <c:pt idx="1">
                  <c:v>Category 2</c:v>
                </c:pt>
                <c:pt idx="2">
                  <c:v>Category 3</c:v>
                </c:pt>
                <c:pt idx="3">
                  <c:v>Category 4</c:v>
                </c:pt>
              </c:strCache>
            </c:strRef>
          </c:cat>
          <c:val>
            <c:numRef>
              <c:f>Sheet1!$C$2:$C$5</c:f>
              <c:numCache>
                <c:formatCode>General</c:formatCode>
                <c:ptCount val="4"/>
                <c:pt idx="0">
                  <c:v>2.4</c:v>
                </c:pt>
                <c:pt idx="1">
                  <c:v>4.4000000000000004</c:v>
                </c:pt>
                <c:pt idx="2">
                  <c:v>1.8</c:v>
                </c:pt>
                <c:pt idx="3">
                  <c:v>2.8</c:v>
                </c:pt>
              </c:numCache>
            </c:numRef>
          </c:val>
          <c:smooth val="0"/>
        </c:ser>
        <c:ser>
          <c:idx val="2"/>
          <c:order val="2"/>
          <c:tx>
            <c:strRef>
              <c:f>Sheet1!$D$1</c:f>
              <c:strCache>
                <c:ptCount val="1"/>
                <c:pt idx="0">
                  <c:v>Series 3</c:v>
                </c:pt>
              </c:strCache>
            </c:strRef>
          </c:tx>
          <c:cat>
            <c:strRef>
              <c:f>Sheet1!$A$2:$A$5</c:f>
              <c:strCache>
                <c:ptCount val="4"/>
                <c:pt idx="0">
                  <c:v>Category 1</c:v>
                </c:pt>
                <c:pt idx="1">
                  <c:v>Category 2</c:v>
                </c:pt>
                <c:pt idx="2">
                  <c:v>Category 3</c:v>
                </c:pt>
                <c:pt idx="3">
                  <c:v>Category 4</c:v>
                </c:pt>
              </c:strCache>
            </c:strRef>
          </c:cat>
          <c:val>
            <c:numRef>
              <c:f>Sheet1!$D$2:$D$5</c:f>
              <c:numCache>
                <c:formatCode>General</c:formatCode>
                <c:ptCount val="4"/>
                <c:pt idx="0">
                  <c:v>2</c:v>
                </c:pt>
                <c:pt idx="1">
                  <c:v>2</c:v>
                </c:pt>
                <c:pt idx="2">
                  <c:v>3</c:v>
                </c:pt>
                <c:pt idx="3">
                  <c:v>5</c:v>
                </c:pt>
              </c:numCache>
            </c:numRef>
          </c:val>
          <c:smooth val="0"/>
        </c:ser>
        <c:dLbls>
          <c:showLegendKey val="0"/>
          <c:showVal val="0"/>
          <c:showCatName val="0"/>
          <c:showSerName val="0"/>
          <c:showPercent val="0"/>
          <c:showBubbleSize val="0"/>
        </c:dLbls>
        <c:marker val="1"/>
        <c:smooth val="0"/>
        <c:axId val="57687040"/>
        <c:axId val="57688832"/>
      </c:lineChart>
      <c:catAx>
        <c:axId val="57687040"/>
        <c:scaling>
          <c:orientation val="minMax"/>
        </c:scaling>
        <c:delete val="0"/>
        <c:axPos val="b"/>
        <c:majorTickMark val="out"/>
        <c:minorTickMark val="none"/>
        <c:tickLblPos val="nextTo"/>
        <c:crossAx val="57688832"/>
        <c:crosses val="autoZero"/>
        <c:auto val="1"/>
        <c:lblAlgn val="ctr"/>
        <c:lblOffset val="100"/>
        <c:noMultiLvlLbl val="0"/>
      </c:catAx>
      <c:valAx>
        <c:axId val="57688832"/>
        <c:scaling>
          <c:orientation val="minMax"/>
        </c:scaling>
        <c:delete val="0"/>
        <c:axPos val="l"/>
        <c:majorGridlines/>
        <c:numFmt formatCode="General" sourceLinked="1"/>
        <c:majorTickMark val="out"/>
        <c:minorTickMark val="none"/>
        <c:tickLblPos val="nextTo"/>
        <c:crossAx val="57687040"/>
        <c:crosses val="autoZero"/>
        <c:crossBetween val="between"/>
      </c:valAx>
    </c:plotArea>
    <c:legend>
      <c:legendPos val="r"/>
      <c:overlay val="0"/>
    </c:legend>
    <c:plotVisOnly val="1"/>
    <c:dispBlanksAs val="zero"/>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cked"/>
        <c:varyColors val="0"/>
        <c:ser>
          <c:idx val="0"/>
          <c:order val="0"/>
          <c:tx>
            <c:strRef>
              <c:f>Sheet1!$B$1</c:f>
              <c:strCache>
                <c:ptCount val="1"/>
                <c:pt idx="0">
                  <c:v>2019</c:v>
                </c:pt>
              </c:strCache>
            </c:strRef>
          </c:tx>
          <c:cat>
            <c:strRef>
              <c:f>Sheet1!$A$2:$A$5</c:f>
              <c:strCache>
                <c:ptCount val="4"/>
                <c:pt idx="0">
                  <c:v>Category 1</c:v>
                </c:pt>
                <c:pt idx="1">
                  <c:v>Category 2</c:v>
                </c:pt>
                <c:pt idx="2">
                  <c:v>Category 3</c:v>
                </c:pt>
                <c:pt idx="3">
                  <c:v>Category 4</c:v>
                </c:pt>
              </c:strCache>
            </c:strRef>
          </c:cat>
          <c:val>
            <c:numRef>
              <c:f>Sheet1!$B$2:$B$5</c:f>
              <c:numCache>
                <c:formatCode>General</c:formatCode>
                <c:ptCount val="4"/>
                <c:pt idx="0">
                  <c:v>4.3</c:v>
                </c:pt>
                <c:pt idx="1">
                  <c:v>2.5</c:v>
                </c:pt>
                <c:pt idx="2">
                  <c:v>3.5</c:v>
                </c:pt>
                <c:pt idx="3">
                  <c:v>4.5</c:v>
                </c:pt>
              </c:numCache>
            </c:numRef>
          </c:val>
          <c:smooth val="0"/>
        </c:ser>
        <c:ser>
          <c:idx val="1"/>
          <c:order val="1"/>
          <c:tx>
            <c:strRef>
              <c:f>Sheet1!$C$1</c:f>
              <c:strCache>
                <c:ptCount val="1"/>
                <c:pt idx="0">
                  <c:v>12-Jul</c:v>
                </c:pt>
              </c:strCache>
            </c:strRef>
          </c:tx>
          <c:cat>
            <c:strRef>
              <c:f>Sheet1!$A$2:$A$5</c:f>
              <c:strCache>
                <c:ptCount val="4"/>
                <c:pt idx="0">
                  <c:v>Category 1</c:v>
                </c:pt>
                <c:pt idx="1">
                  <c:v>Category 2</c:v>
                </c:pt>
                <c:pt idx="2">
                  <c:v>Category 3</c:v>
                </c:pt>
                <c:pt idx="3">
                  <c:v>Category 4</c:v>
                </c:pt>
              </c:strCache>
            </c:strRef>
          </c:cat>
          <c:val>
            <c:numRef>
              <c:f>Sheet1!$C$2:$C$5</c:f>
              <c:numCache>
                <c:formatCode>General</c:formatCode>
                <c:ptCount val="4"/>
                <c:pt idx="0">
                  <c:v>2.4</c:v>
                </c:pt>
                <c:pt idx="1">
                  <c:v>4.4000000000000004</c:v>
                </c:pt>
                <c:pt idx="2">
                  <c:v>1.8</c:v>
                </c:pt>
                <c:pt idx="3">
                  <c:v>2.8</c:v>
                </c:pt>
              </c:numCache>
            </c:numRef>
          </c:val>
          <c:smooth val="0"/>
        </c:ser>
        <c:ser>
          <c:idx val="2"/>
          <c:order val="2"/>
          <c:tx>
            <c:strRef>
              <c:f>Sheet1!$D$1</c:f>
              <c:strCache>
                <c:ptCount val="1"/>
                <c:pt idx="0">
                  <c:v>Series 3</c:v>
                </c:pt>
              </c:strCache>
            </c:strRef>
          </c:tx>
          <c:cat>
            <c:strRef>
              <c:f>Sheet1!$A$2:$A$5</c:f>
              <c:strCache>
                <c:ptCount val="4"/>
                <c:pt idx="0">
                  <c:v>Category 1</c:v>
                </c:pt>
                <c:pt idx="1">
                  <c:v>Category 2</c:v>
                </c:pt>
                <c:pt idx="2">
                  <c:v>Category 3</c:v>
                </c:pt>
                <c:pt idx="3">
                  <c:v>Category 4</c:v>
                </c:pt>
              </c:strCache>
            </c:strRef>
          </c:cat>
          <c:val>
            <c:numRef>
              <c:f>Sheet1!$D$2:$D$5</c:f>
              <c:numCache>
                <c:formatCode>General</c:formatCode>
                <c:ptCount val="4"/>
                <c:pt idx="0">
                  <c:v>2</c:v>
                </c:pt>
                <c:pt idx="1">
                  <c:v>2</c:v>
                </c:pt>
                <c:pt idx="2">
                  <c:v>3</c:v>
                </c:pt>
                <c:pt idx="3">
                  <c:v>5</c:v>
                </c:pt>
              </c:numCache>
            </c:numRef>
          </c:val>
          <c:smooth val="0"/>
        </c:ser>
        <c:dLbls>
          <c:showLegendKey val="0"/>
          <c:showVal val="0"/>
          <c:showCatName val="0"/>
          <c:showSerName val="0"/>
          <c:showPercent val="0"/>
          <c:showBubbleSize val="0"/>
        </c:dLbls>
        <c:marker val="1"/>
        <c:smooth val="0"/>
        <c:axId val="57702272"/>
        <c:axId val="57703808"/>
      </c:lineChart>
      <c:catAx>
        <c:axId val="57702272"/>
        <c:scaling>
          <c:orientation val="minMax"/>
        </c:scaling>
        <c:delete val="0"/>
        <c:axPos val="b"/>
        <c:majorTickMark val="out"/>
        <c:minorTickMark val="none"/>
        <c:tickLblPos val="nextTo"/>
        <c:crossAx val="57703808"/>
        <c:crosses val="autoZero"/>
        <c:auto val="1"/>
        <c:lblAlgn val="ctr"/>
        <c:lblOffset val="100"/>
        <c:noMultiLvlLbl val="0"/>
      </c:catAx>
      <c:valAx>
        <c:axId val="57703808"/>
        <c:scaling>
          <c:orientation val="minMax"/>
        </c:scaling>
        <c:delete val="0"/>
        <c:axPos val="l"/>
        <c:majorGridlines/>
        <c:numFmt formatCode="General" sourceLinked="1"/>
        <c:majorTickMark val="out"/>
        <c:minorTickMark val="none"/>
        <c:tickLblPos val="nextTo"/>
        <c:crossAx val="57702272"/>
        <c:crosses val="autoZero"/>
        <c:crossBetween val="between"/>
      </c:valAx>
    </c:plotArea>
    <c:legend>
      <c:legendPos val="r"/>
      <c:overlay val="0"/>
    </c:legend>
    <c:plotVisOnly val="1"/>
    <c:dispBlanksAs val="zero"/>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A92EAB-D4CF-4050-BE47-2AE624F542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37</Pages>
  <Words>6602</Words>
  <Characters>37635</Characters>
  <Application>Microsoft Office Word</Application>
  <DocSecurity>0</DocSecurity>
  <Lines>313</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44149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26</cp:revision>
  <dcterms:created xsi:type="dcterms:W3CDTF">2024-08-21T10:10:00Z</dcterms:created>
  <dcterms:modified xsi:type="dcterms:W3CDTF">2024-08-21T11:01:00Z</dcterms:modified>
</cp:coreProperties>
</file>