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B8A" w:rsidRDefault="00433B8A" w:rsidP="00433B8A">
      <w:pPr>
        <w:pStyle w:val="paragraph"/>
        <w:spacing w:before="0" w:beforeAutospacing="0" w:after="0" w:afterAutospacing="0"/>
        <w:textAlignment w:val="baseline"/>
        <w:rPr>
          <w:rStyle w:val="eop"/>
          <w:rFonts w:ascii="Calibri" w:hAnsi="Calibri" w:cs="Segoe UI"/>
          <w:sz w:val="22"/>
          <w:szCs w:val="22"/>
          <w:lang w:val="en-US"/>
        </w:rPr>
      </w:pPr>
      <w:r>
        <w:rPr>
          <w:rStyle w:val="normaltextrun"/>
          <w:rFonts w:ascii="Calibri" w:hAnsi="Calibri" w:cs="Segoe UI"/>
          <w:sz w:val="22"/>
          <w:szCs w:val="22"/>
          <w:lang w:val="en-US"/>
        </w:rPr>
        <w:t> </w:t>
      </w:r>
      <w:r>
        <w:rPr>
          <w:rStyle w:val="eop"/>
          <w:rFonts w:ascii="Calibri" w:hAnsi="Calibri" w:cs="Segoe UI"/>
          <w:sz w:val="22"/>
          <w:szCs w:val="22"/>
          <w:lang w:val="en-US"/>
        </w:rPr>
        <w:t> </w:t>
      </w:r>
    </w:p>
    <w:p w:rsidR="00433B8A" w:rsidRDefault="00433B8A" w:rsidP="00433B8A">
      <w:pPr>
        <w:pStyle w:val="paragraph"/>
        <w:spacing w:before="0" w:beforeAutospacing="0" w:after="0" w:afterAutospacing="0"/>
        <w:textAlignment w:val="baseline"/>
        <w:rPr>
          <w:rStyle w:val="eop"/>
          <w:rFonts w:ascii="Calibri" w:hAnsi="Calibri" w:cs="Segoe UI"/>
          <w:sz w:val="22"/>
          <w:szCs w:val="22"/>
          <w:lang w:val="en-US"/>
        </w:rPr>
      </w:pPr>
    </w:p>
    <w:p w:rsidR="00433B8A" w:rsidRDefault="00433B8A" w:rsidP="00433B8A">
      <w:pPr>
        <w:pStyle w:val="paragraph"/>
        <w:spacing w:before="0" w:beforeAutospacing="0" w:after="0" w:afterAutospacing="0"/>
        <w:textAlignment w:val="baseline"/>
        <w:rPr>
          <w:rStyle w:val="eop"/>
          <w:rFonts w:ascii="Calibri" w:hAnsi="Calibri" w:cs="Segoe UI"/>
          <w:sz w:val="22"/>
          <w:szCs w:val="22"/>
          <w:lang w:val="en-US"/>
        </w:rPr>
      </w:pPr>
    </w:p>
    <w:p w:rsidR="00433B8A" w:rsidRDefault="00433B8A" w:rsidP="00433B8A">
      <w:pPr>
        <w:pStyle w:val="paragraph"/>
        <w:spacing w:before="0" w:beforeAutospacing="0" w:after="0" w:afterAutospacing="0"/>
        <w:textAlignment w:val="baseline"/>
        <w:rPr>
          <w:rStyle w:val="eop"/>
          <w:rFonts w:ascii="Calibri" w:hAnsi="Calibri" w:cs="Segoe UI"/>
          <w:sz w:val="22"/>
          <w:szCs w:val="22"/>
          <w:lang w:val="en-US"/>
        </w:rPr>
      </w:pPr>
    </w:p>
    <w:p w:rsidR="00433B8A" w:rsidRDefault="00433B8A" w:rsidP="00433B8A">
      <w:pPr>
        <w:pStyle w:val="paragraph"/>
        <w:spacing w:before="0" w:beforeAutospacing="0" w:after="0" w:afterAutospacing="0"/>
        <w:textAlignment w:val="baseline"/>
        <w:rPr>
          <w:rStyle w:val="eop"/>
          <w:rFonts w:ascii="Calibri" w:hAnsi="Calibri" w:cs="Segoe UI"/>
          <w:sz w:val="22"/>
          <w:szCs w:val="22"/>
          <w:lang w:val="en-US"/>
        </w:rPr>
      </w:pPr>
    </w:p>
    <w:p w:rsidR="00433B8A" w:rsidRDefault="00433B8A" w:rsidP="00433B8A">
      <w:pPr>
        <w:pStyle w:val="paragraph"/>
        <w:spacing w:before="0" w:beforeAutospacing="0" w:after="0" w:afterAutospacing="0"/>
        <w:textAlignment w:val="baseline"/>
        <w:rPr>
          <w:rStyle w:val="eop"/>
          <w:rFonts w:ascii="Calibri" w:hAnsi="Calibri" w:cs="Segoe UI"/>
          <w:sz w:val="22"/>
          <w:szCs w:val="22"/>
          <w:lang w:val="en-US"/>
        </w:rPr>
      </w:pPr>
    </w:p>
    <w:p w:rsidR="00433B8A" w:rsidRDefault="00433B8A" w:rsidP="00433B8A">
      <w:pPr>
        <w:pStyle w:val="paragraph"/>
        <w:spacing w:before="0" w:beforeAutospacing="0" w:after="0" w:afterAutospacing="0"/>
        <w:textAlignment w:val="baseline"/>
        <w:rPr>
          <w:rFonts w:ascii="Segoe UI" w:hAnsi="Segoe UI" w:cs="Segoe UI"/>
          <w:sz w:val="18"/>
          <w:szCs w:val="18"/>
          <w:lang w:val="en-US"/>
        </w:rPr>
      </w:pPr>
    </w:p>
    <w:p w:rsidR="00433B8A" w:rsidRDefault="00433B8A" w:rsidP="00433B8A">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Segoe UI"/>
          <w:sz w:val="22"/>
          <w:szCs w:val="22"/>
          <w:lang w:val="en-US"/>
        </w:rPr>
        <w:t> </w:t>
      </w:r>
    </w:p>
    <w:p w:rsidR="00433B8A" w:rsidRDefault="00433B8A" w:rsidP="00433B8A">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Calibri" w:hAnsi="Calibri" w:cs="Segoe UI"/>
          <w:sz w:val="22"/>
          <w:szCs w:val="22"/>
          <w:lang w:val="en-US"/>
        </w:rPr>
        <w:t>                            </w:t>
      </w:r>
      <w:r>
        <w:rPr>
          <w:rStyle w:val="eop"/>
          <w:rFonts w:ascii="Calibri" w:hAnsi="Calibri" w:cs="Segoe UI"/>
          <w:sz w:val="22"/>
          <w:szCs w:val="22"/>
          <w:lang w:val="en-US"/>
        </w:rPr>
        <w:t> </w:t>
      </w:r>
    </w:p>
    <w:p w:rsidR="00F808A6" w:rsidRDefault="00F808A6" w:rsidP="00433B8A">
      <w:pPr>
        <w:pStyle w:val="paragraph"/>
        <w:spacing w:before="0" w:beforeAutospacing="0" w:after="0" w:afterAutospacing="0"/>
        <w:jc w:val="center"/>
        <w:textAlignment w:val="baseline"/>
        <w:rPr>
          <w:rStyle w:val="normaltextrun"/>
          <w:rFonts w:ascii="Calibri" w:hAnsi="Calibri" w:cs="Segoe UI"/>
          <w:sz w:val="22"/>
          <w:szCs w:val="22"/>
          <w:lang w:val="en-US"/>
        </w:rPr>
      </w:pPr>
    </w:p>
    <w:p w:rsidR="00F808A6" w:rsidRDefault="00F808A6" w:rsidP="00F808A6">
      <w:pPr>
        <w:pStyle w:val="paragraph"/>
        <w:spacing w:before="0" w:beforeAutospacing="0" w:after="0" w:afterAutospacing="0"/>
        <w:jc w:val="center"/>
        <w:textAlignment w:val="baseline"/>
        <w:rPr>
          <w:rStyle w:val="normaltextrun"/>
          <w:rFonts w:ascii="Calibri" w:hAnsi="Calibri" w:cs="Segoe UI"/>
          <w:sz w:val="22"/>
          <w:szCs w:val="22"/>
          <w:lang w:val="en-US"/>
        </w:rPr>
      </w:pPr>
      <w:r>
        <w:rPr>
          <w:rFonts w:ascii="Calibri" w:hAnsi="Calibri" w:cs="Segoe UI"/>
          <w:noProof/>
          <w:sz w:val="22"/>
          <w:szCs w:val="22"/>
        </w:rPr>
        <w:drawing>
          <wp:inline distT="0" distB="0" distL="0" distR="0">
            <wp:extent cx="3598164" cy="1440180"/>
            <wp:effectExtent l="19050" t="0" r="2286" b="0"/>
            <wp:docPr id="1" name="Picture 0" descr="UW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jpg"/>
                    <pic:cNvPicPr/>
                  </pic:nvPicPr>
                  <pic:blipFill>
                    <a:blip r:embed="rId8" cstate="print"/>
                    <a:stretch>
                      <a:fillRect/>
                    </a:stretch>
                  </pic:blipFill>
                  <pic:spPr>
                    <a:xfrm>
                      <a:off x="0" y="0"/>
                      <a:ext cx="3598164" cy="1440180"/>
                    </a:xfrm>
                    <a:prstGeom prst="rect">
                      <a:avLst/>
                    </a:prstGeom>
                  </pic:spPr>
                </pic:pic>
              </a:graphicData>
            </a:graphic>
          </wp:inline>
        </w:drawing>
      </w:r>
    </w:p>
    <w:p w:rsidR="00F808A6" w:rsidRDefault="00F808A6" w:rsidP="00F808A6">
      <w:pPr>
        <w:pStyle w:val="paragraph"/>
        <w:spacing w:before="0" w:beforeAutospacing="0" w:after="0" w:afterAutospacing="0"/>
        <w:jc w:val="center"/>
        <w:textAlignment w:val="baseline"/>
        <w:rPr>
          <w:rStyle w:val="normaltextrun"/>
          <w:rFonts w:ascii="Calibri" w:hAnsi="Calibri" w:cs="Segoe UI"/>
          <w:sz w:val="22"/>
          <w:szCs w:val="22"/>
          <w:lang w:val="en-US"/>
        </w:rPr>
      </w:pPr>
    </w:p>
    <w:p w:rsidR="00F808A6" w:rsidRDefault="00F808A6" w:rsidP="00F808A6">
      <w:pPr>
        <w:pStyle w:val="paragraph"/>
        <w:spacing w:before="0" w:beforeAutospacing="0" w:after="0" w:afterAutospacing="0"/>
        <w:jc w:val="center"/>
        <w:textAlignment w:val="baseline"/>
        <w:rPr>
          <w:rStyle w:val="normaltextrun"/>
          <w:rFonts w:ascii="Calibri" w:hAnsi="Calibri" w:cs="Segoe UI"/>
          <w:sz w:val="22"/>
          <w:szCs w:val="22"/>
          <w:lang w:val="en-US"/>
        </w:rPr>
      </w:pPr>
    </w:p>
    <w:p w:rsidR="00F808A6" w:rsidRDefault="00F808A6" w:rsidP="00F808A6">
      <w:pPr>
        <w:pStyle w:val="paragraph"/>
        <w:spacing w:before="0" w:beforeAutospacing="0" w:after="0" w:afterAutospacing="0"/>
        <w:jc w:val="center"/>
        <w:textAlignment w:val="baseline"/>
        <w:rPr>
          <w:rStyle w:val="normaltextrun"/>
          <w:rFonts w:ascii="Calibri" w:hAnsi="Calibri" w:cs="Segoe UI"/>
          <w:sz w:val="22"/>
          <w:szCs w:val="22"/>
          <w:lang w:val="en-US"/>
        </w:rPr>
      </w:pPr>
    </w:p>
    <w:p w:rsidR="00F808A6" w:rsidRDefault="00F808A6" w:rsidP="00F808A6">
      <w:pPr>
        <w:pStyle w:val="paragraph"/>
        <w:spacing w:before="0" w:beforeAutospacing="0" w:after="0" w:afterAutospacing="0"/>
        <w:jc w:val="center"/>
        <w:textAlignment w:val="baseline"/>
        <w:rPr>
          <w:rStyle w:val="normaltextrun"/>
          <w:rFonts w:ascii="Calibri" w:hAnsi="Calibri" w:cs="Segoe UI"/>
          <w:sz w:val="22"/>
          <w:szCs w:val="22"/>
          <w:lang w:val="en-US"/>
        </w:rPr>
      </w:pPr>
    </w:p>
    <w:p w:rsidR="00F808A6" w:rsidRDefault="00F808A6" w:rsidP="00F808A6">
      <w:pPr>
        <w:pStyle w:val="paragraph"/>
        <w:spacing w:before="0" w:beforeAutospacing="0" w:after="0" w:afterAutospacing="0"/>
        <w:jc w:val="center"/>
        <w:textAlignment w:val="baseline"/>
        <w:rPr>
          <w:rStyle w:val="normaltextrun"/>
          <w:rFonts w:ascii="Calibri" w:hAnsi="Calibri" w:cs="Segoe UI"/>
          <w:sz w:val="22"/>
          <w:szCs w:val="22"/>
          <w:lang w:val="en-US"/>
        </w:rPr>
      </w:pPr>
    </w:p>
    <w:p w:rsidR="00F808A6" w:rsidRDefault="00F808A6" w:rsidP="00F808A6">
      <w:pPr>
        <w:pStyle w:val="paragraph"/>
        <w:spacing w:before="0" w:beforeAutospacing="0" w:after="0" w:afterAutospacing="0"/>
        <w:jc w:val="center"/>
        <w:textAlignment w:val="baseline"/>
        <w:rPr>
          <w:rStyle w:val="normaltextrun"/>
          <w:rFonts w:ascii="Calibri" w:hAnsi="Calibri" w:cs="Segoe UI"/>
          <w:sz w:val="22"/>
          <w:szCs w:val="22"/>
          <w:lang w:val="en-US"/>
        </w:rPr>
      </w:pPr>
    </w:p>
    <w:p w:rsidR="00F808A6" w:rsidRDefault="00F808A6" w:rsidP="00F808A6">
      <w:pPr>
        <w:pStyle w:val="paragraph"/>
        <w:spacing w:before="0" w:beforeAutospacing="0" w:after="0" w:afterAutospacing="0"/>
        <w:jc w:val="center"/>
        <w:textAlignment w:val="baseline"/>
        <w:rPr>
          <w:rStyle w:val="normaltextrun"/>
          <w:rFonts w:ascii="Calibri" w:hAnsi="Calibri" w:cs="Segoe UI"/>
          <w:sz w:val="22"/>
          <w:szCs w:val="22"/>
          <w:lang w:val="en-US"/>
        </w:rPr>
      </w:pPr>
    </w:p>
    <w:p w:rsidR="00433B8A" w:rsidRDefault="00433B8A" w:rsidP="00F808A6">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Black" w:hAnsi="Arial Black" w:cs="Segoe UI"/>
          <w:b/>
          <w:bCs/>
          <w:sz w:val="48"/>
          <w:szCs w:val="48"/>
          <w:u w:val="single"/>
          <w:lang w:val="en-US"/>
        </w:rPr>
        <w:t>FINANCE MANAGEMENT</w:t>
      </w:r>
    </w:p>
    <w:p w:rsidR="00433B8A" w:rsidRDefault="00433B8A" w:rsidP="00F808A6">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Arial Black" w:hAnsi="Arial Black" w:cs="Segoe UI"/>
          <w:sz w:val="48"/>
          <w:szCs w:val="48"/>
          <w:u w:val="single"/>
          <w:lang w:val="en-US"/>
        </w:rPr>
        <w:t>SBMA7100</w:t>
      </w:r>
    </w:p>
    <w:p w:rsidR="00433B8A" w:rsidRDefault="00433B8A" w:rsidP="00433B8A">
      <w:pPr>
        <w:pStyle w:val="paragraph"/>
        <w:spacing w:before="0" w:beforeAutospacing="0" w:after="0" w:afterAutospacing="0"/>
        <w:textAlignment w:val="baseline"/>
        <w:rPr>
          <w:rFonts w:ascii="Segoe UI" w:hAnsi="Segoe UI" w:cs="Segoe UI"/>
          <w:sz w:val="18"/>
          <w:szCs w:val="18"/>
          <w:lang w:val="en-US"/>
        </w:rPr>
      </w:pPr>
      <w:r>
        <w:rPr>
          <w:rStyle w:val="eop"/>
          <w:rFonts w:ascii="Arial Black" w:hAnsi="Arial Black" w:cs="Segoe UI"/>
          <w:sz w:val="48"/>
          <w:szCs w:val="48"/>
          <w:lang w:val="en-US"/>
        </w:rPr>
        <w:t> </w:t>
      </w:r>
    </w:p>
    <w:p w:rsidR="00433B8A" w:rsidRDefault="00433B8A" w:rsidP="00433B8A">
      <w:pPr>
        <w:pStyle w:val="paragraph"/>
        <w:spacing w:before="0" w:beforeAutospacing="0" w:after="0" w:afterAutospacing="0"/>
        <w:textAlignment w:val="baseline"/>
        <w:rPr>
          <w:rFonts w:ascii="Segoe UI" w:hAnsi="Segoe UI" w:cs="Segoe UI"/>
          <w:sz w:val="18"/>
          <w:szCs w:val="18"/>
          <w:lang w:val="en-US"/>
        </w:rPr>
      </w:pPr>
      <w:r>
        <w:rPr>
          <w:rStyle w:val="normaltextrun"/>
          <w:rFonts w:ascii="Arial Black" w:hAnsi="Arial Black" w:cs="Segoe UI"/>
          <w:sz w:val="48"/>
          <w:szCs w:val="48"/>
          <w:lang w:val="en-US"/>
        </w:rPr>
        <w:t>                                                         </w:t>
      </w:r>
      <w:r>
        <w:rPr>
          <w:rStyle w:val="eop"/>
          <w:rFonts w:ascii="Arial Black" w:hAnsi="Arial Black" w:cs="Segoe UI"/>
          <w:sz w:val="48"/>
          <w:szCs w:val="48"/>
          <w:lang w:val="en-US"/>
        </w:rPr>
        <w:t> </w:t>
      </w:r>
    </w:p>
    <w:p w:rsidR="00433B8A" w:rsidRDefault="00433B8A" w:rsidP="00433B8A">
      <w:pPr>
        <w:pStyle w:val="paragraph"/>
        <w:spacing w:before="0" w:beforeAutospacing="0" w:after="0" w:afterAutospacing="0"/>
        <w:textAlignment w:val="baseline"/>
        <w:rPr>
          <w:rFonts w:ascii="Segoe UI" w:hAnsi="Segoe UI" w:cs="Segoe UI"/>
          <w:sz w:val="18"/>
          <w:szCs w:val="18"/>
          <w:lang w:val="en-US"/>
        </w:rPr>
      </w:pPr>
      <w:r>
        <w:rPr>
          <w:rStyle w:val="normaltextrun"/>
          <w:rFonts w:ascii="Arial Black" w:hAnsi="Arial Black" w:cs="Segoe UI"/>
          <w:sz w:val="36"/>
          <w:szCs w:val="36"/>
          <w:lang w:val="en-US"/>
        </w:rPr>
        <w:t>Lecturer                                           Student </w:t>
      </w:r>
      <w:r>
        <w:rPr>
          <w:rStyle w:val="eop"/>
          <w:rFonts w:ascii="Arial Black" w:hAnsi="Arial Black" w:cs="Segoe UI"/>
          <w:sz w:val="36"/>
          <w:szCs w:val="36"/>
          <w:lang w:val="en-US"/>
        </w:rPr>
        <w:t> </w:t>
      </w:r>
    </w:p>
    <w:p w:rsidR="00433B8A" w:rsidRDefault="00433B8A" w:rsidP="00433B8A">
      <w:pPr>
        <w:pStyle w:val="paragraph"/>
        <w:spacing w:before="0" w:beforeAutospacing="0" w:after="0" w:afterAutospacing="0"/>
        <w:textAlignment w:val="baseline"/>
        <w:rPr>
          <w:rFonts w:ascii="Segoe UI" w:hAnsi="Segoe UI" w:cs="Segoe UI"/>
          <w:sz w:val="18"/>
          <w:szCs w:val="18"/>
          <w:lang w:val="en-US"/>
        </w:rPr>
      </w:pPr>
      <w:r>
        <w:rPr>
          <w:rStyle w:val="normaltextrun"/>
          <w:rFonts w:ascii="Arial Black" w:hAnsi="Arial Black" w:cs="Segoe UI"/>
          <w:sz w:val="36"/>
          <w:szCs w:val="36"/>
          <w:lang w:val="en-US"/>
        </w:rPr>
        <w:t>Jia Miao                                 Rohit Agrawal</w:t>
      </w:r>
      <w:r>
        <w:rPr>
          <w:rStyle w:val="eop"/>
          <w:rFonts w:ascii="Arial Black" w:hAnsi="Arial Black" w:cs="Segoe UI"/>
          <w:sz w:val="36"/>
          <w:szCs w:val="36"/>
          <w:lang w:val="en-US"/>
        </w:rPr>
        <w:t> </w:t>
      </w:r>
      <w:r>
        <w:rPr>
          <w:rStyle w:val="normaltextrun"/>
          <w:rFonts w:ascii="Arial Black" w:hAnsi="Arial Black" w:cs="Segoe UI"/>
          <w:sz w:val="36"/>
          <w:szCs w:val="36"/>
          <w:lang w:val="en-US"/>
        </w:rPr>
        <w:t xml:space="preserve">            </w:t>
      </w:r>
    </w:p>
    <w:p w:rsidR="00433B8A" w:rsidRDefault="00433B8A" w:rsidP="00433B8A">
      <w:pPr>
        <w:pStyle w:val="paragraph"/>
        <w:spacing w:before="0" w:beforeAutospacing="0" w:after="0" w:afterAutospacing="0"/>
        <w:textAlignment w:val="baseline"/>
        <w:rPr>
          <w:rFonts w:ascii="Segoe UI" w:hAnsi="Segoe UI" w:cs="Segoe UI"/>
          <w:sz w:val="18"/>
          <w:szCs w:val="18"/>
          <w:lang w:val="en-US"/>
        </w:rPr>
      </w:pPr>
      <w:r>
        <w:rPr>
          <w:rStyle w:val="normaltextrun"/>
          <w:rFonts w:ascii="Arial Black" w:hAnsi="Arial Black" w:cs="Segoe UI"/>
          <w:sz w:val="36"/>
          <w:szCs w:val="36"/>
          <w:lang w:val="en-US"/>
        </w:rPr>
        <w:t>                                                         (1605867)</w:t>
      </w:r>
      <w:r>
        <w:rPr>
          <w:rStyle w:val="eop"/>
          <w:rFonts w:ascii="Arial Black" w:hAnsi="Arial Black" w:cs="Segoe UI"/>
          <w:sz w:val="36"/>
          <w:szCs w:val="36"/>
          <w:lang w:val="en-US"/>
        </w:rPr>
        <w:t> </w:t>
      </w:r>
    </w:p>
    <w:p w:rsidR="00433B8A" w:rsidRDefault="00433B8A" w:rsidP="00433B8A">
      <w:pPr>
        <w:pStyle w:val="paragraph"/>
        <w:spacing w:before="0" w:beforeAutospacing="0" w:after="0" w:afterAutospacing="0"/>
        <w:textAlignment w:val="baseline"/>
        <w:rPr>
          <w:rFonts w:ascii="Segoe UI" w:hAnsi="Segoe UI" w:cs="Segoe UI"/>
          <w:sz w:val="18"/>
          <w:szCs w:val="18"/>
          <w:lang w:val="en-US"/>
        </w:rPr>
      </w:pPr>
      <w:r>
        <w:rPr>
          <w:rStyle w:val="eop"/>
          <w:rFonts w:ascii="Arial Black" w:hAnsi="Arial Black" w:cs="Segoe UI"/>
          <w:sz w:val="36"/>
          <w:szCs w:val="36"/>
          <w:lang w:val="en-US"/>
        </w:rPr>
        <w:t> </w:t>
      </w:r>
    </w:p>
    <w:p w:rsidR="00433B8A" w:rsidRDefault="00433B8A" w:rsidP="00433B8A">
      <w:pPr>
        <w:pStyle w:val="paragraph"/>
        <w:spacing w:before="0" w:beforeAutospacing="0" w:after="0" w:afterAutospacing="0"/>
        <w:textAlignment w:val="baseline"/>
        <w:rPr>
          <w:rFonts w:ascii="Segoe UI" w:hAnsi="Segoe UI" w:cs="Segoe UI"/>
          <w:sz w:val="18"/>
          <w:szCs w:val="18"/>
          <w:lang w:val="en-US"/>
        </w:rPr>
      </w:pPr>
      <w:r>
        <w:rPr>
          <w:rStyle w:val="eop"/>
          <w:rFonts w:ascii="Arial Black" w:hAnsi="Arial Black" w:cs="Segoe UI"/>
          <w:sz w:val="36"/>
          <w:szCs w:val="36"/>
          <w:lang w:val="en-US"/>
        </w:rPr>
        <w:t> </w:t>
      </w:r>
    </w:p>
    <w:p w:rsidR="00433B8A" w:rsidRDefault="00433B8A" w:rsidP="00433B8A">
      <w:pPr>
        <w:pStyle w:val="paragraph"/>
        <w:spacing w:before="0" w:beforeAutospacing="0" w:after="0" w:afterAutospacing="0"/>
        <w:textAlignment w:val="baseline"/>
        <w:rPr>
          <w:rFonts w:ascii="Segoe UI" w:hAnsi="Segoe UI" w:cs="Segoe UI"/>
          <w:sz w:val="18"/>
          <w:szCs w:val="18"/>
          <w:lang w:val="en-US"/>
        </w:rPr>
      </w:pPr>
      <w:r>
        <w:rPr>
          <w:rStyle w:val="eop"/>
          <w:rFonts w:ascii="Arial Black" w:hAnsi="Arial Black" w:cs="Segoe UI"/>
          <w:sz w:val="36"/>
          <w:szCs w:val="36"/>
          <w:lang w:val="en-US"/>
        </w:rPr>
        <w:t> </w:t>
      </w:r>
    </w:p>
    <w:p w:rsidR="00433B8A" w:rsidRDefault="00433B8A"/>
    <w:sdt>
      <w:sdtPr>
        <w:id w:val="3230783"/>
        <w:docPartObj>
          <w:docPartGallery w:val="Table of Contents"/>
          <w:docPartUnique/>
        </w:docPartObj>
      </w:sdtPr>
      <w:sdtEndPr>
        <w:rPr>
          <w:rFonts w:asciiTheme="minorHAnsi" w:eastAsiaTheme="minorHAnsi" w:hAnsiTheme="minorHAnsi" w:cstheme="minorBidi"/>
          <w:b w:val="0"/>
          <w:bCs w:val="0"/>
          <w:color w:val="auto"/>
          <w:sz w:val="22"/>
          <w:szCs w:val="22"/>
          <w:lang w:val="en-IN"/>
        </w:rPr>
      </w:sdtEndPr>
      <w:sdtContent>
        <w:p w:rsidR="0058232E" w:rsidRDefault="0058232E" w:rsidP="0058232E">
          <w:pPr>
            <w:pStyle w:val="TOCHeading"/>
          </w:pPr>
          <w:r>
            <w:t>Table of Contents</w:t>
          </w:r>
        </w:p>
        <w:p w:rsidR="0058232E" w:rsidRPr="0058232E" w:rsidRDefault="0058232E" w:rsidP="0058232E">
          <w:pPr>
            <w:pStyle w:val="TOC1"/>
            <w:rPr>
              <w:b/>
            </w:rPr>
          </w:pPr>
          <w:r>
            <w:rPr>
              <w:b/>
            </w:rPr>
            <w:t>INTRODUCTION</w:t>
          </w:r>
          <w:r>
            <w:ptab w:relativeTo="margin" w:alignment="right" w:leader="dot"/>
          </w:r>
          <w:r w:rsidR="006F1748">
            <w:rPr>
              <w:b/>
            </w:rPr>
            <w:t>3</w:t>
          </w:r>
        </w:p>
        <w:p w:rsidR="0058232E" w:rsidRDefault="0058232E" w:rsidP="0058232E">
          <w:pPr>
            <w:pStyle w:val="TOC1"/>
          </w:pPr>
          <w:r>
            <w:rPr>
              <w:b/>
            </w:rPr>
            <w:t>FINANCIAL STATEMENT ANALYSIS</w:t>
          </w:r>
          <w:r>
            <w:ptab w:relativeTo="margin" w:alignment="right" w:leader="dot"/>
          </w:r>
          <w:r w:rsidR="006F1748">
            <w:t>5</w:t>
          </w:r>
        </w:p>
        <w:p w:rsidR="0058232E" w:rsidRDefault="0058232E" w:rsidP="0058232E">
          <w:pPr>
            <w:pStyle w:val="TOC2"/>
            <w:ind w:left="216"/>
          </w:pPr>
          <w:r>
            <w:t>PROFITITABILITY RATIOS</w:t>
          </w:r>
          <w:r>
            <w:ptab w:relativeTo="margin" w:alignment="right" w:leader="dot"/>
          </w:r>
          <w:r w:rsidR="006F1748">
            <w:t>6</w:t>
          </w:r>
        </w:p>
        <w:p w:rsidR="0058232E" w:rsidRDefault="0058232E" w:rsidP="0058232E">
          <w:pPr>
            <w:pStyle w:val="TOC2"/>
            <w:ind w:left="216"/>
          </w:pPr>
          <w:r>
            <w:t>LIQUIDITY RATIOS</w:t>
          </w:r>
          <w:r>
            <w:ptab w:relativeTo="margin" w:alignment="right" w:leader="dot"/>
          </w:r>
          <w:r w:rsidR="006F1748">
            <w:t>7</w:t>
          </w:r>
        </w:p>
        <w:p w:rsidR="0058232E" w:rsidRDefault="0058232E" w:rsidP="0058232E">
          <w:pPr>
            <w:rPr>
              <w:lang w:val="en-US"/>
            </w:rPr>
          </w:pPr>
          <w:r>
            <w:rPr>
              <w:lang w:val="en-US"/>
            </w:rPr>
            <w:t xml:space="preserve">    EFFECIENCY RATIOS........................................................................................................................</w:t>
          </w:r>
          <w:r w:rsidR="006F1748">
            <w:rPr>
              <w:lang w:val="en-US"/>
            </w:rPr>
            <w:t>.....9</w:t>
          </w:r>
        </w:p>
        <w:p w:rsidR="0058232E" w:rsidRDefault="0058232E" w:rsidP="0058232E">
          <w:pPr>
            <w:rPr>
              <w:lang w:val="en-US"/>
            </w:rPr>
          </w:pPr>
          <w:r>
            <w:rPr>
              <w:lang w:val="en-US"/>
            </w:rPr>
            <w:t xml:space="preserve">    GEARING RATIOS..........................................................................................................................</w:t>
          </w:r>
          <w:r w:rsidR="006F1748">
            <w:rPr>
              <w:lang w:val="en-US"/>
            </w:rPr>
            <w:t>.....10</w:t>
          </w:r>
        </w:p>
        <w:p w:rsidR="0058232E" w:rsidRDefault="0058232E" w:rsidP="0058232E">
          <w:pPr>
            <w:rPr>
              <w:lang w:val="en-US"/>
            </w:rPr>
          </w:pPr>
          <w:r w:rsidRPr="0058232E">
            <w:rPr>
              <w:lang w:val="en-US"/>
            </w:rPr>
            <w:t xml:space="preserve">    INVESTMENT RATIOS</w:t>
          </w:r>
          <w:r w:rsidR="006F1748">
            <w:rPr>
              <w:lang w:val="en-US"/>
            </w:rPr>
            <w:t>........................................................................................................................11</w:t>
          </w:r>
        </w:p>
        <w:p w:rsidR="0058232E" w:rsidRDefault="0058232E" w:rsidP="0058232E">
          <w:pPr>
            <w:rPr>
              <w:b/>
              <w:lang w:val="en-US"/>
            </w:rPr>
          </w:pPr>
          <w:r>
            <w:rPr>
              <w:b/>
              <w:lang w:val="en-US"/>
            </w:rPr>
            <w:t>FTUTURE PROJECTIONS AND RECOMMENDATIONS</w:t>
          </w:r>
          <w:r w:rsidR="006F1748">
            <w:rPr>
              <w:b/>
              <w:lang w:val="en-US"/>
            </w:rPr>
            <w:t>.......................................................................13</w:t>
          </w:r>
        </w:p>
        <w:p w:rsidR="006F1748" w:rsidRDefault="006F1748" w:rsidP="0058232E">
          <w:pPr>
            <w:rPr>
              <w:b/>
              <w:lang w:val="en-US"/>
            </w:rPr>
          </w:pPr>
          <w:r>
            <w:rPr>
              <w:b/>
              <w:lang w:val="en-US"/>
            </w:rPr>
            <w:t>PROS AND CONS OF RATIO ANALYSIS............................................................................................14</w:t>
          </w:r>
        </w:p>
        <w:p w:rsidR="006F1748" w:rsidRDefault="006F1748" w:rsidP="0058232E">
          <w:pPr>
            <w:rPr>
              <w:b/>
              <w:lang w:val="en-US"/>
            </w:rPr>
          </w:pPr>
          <w:r>
            <w:rPr>
              <w:b/>
              <w:lang w:val="en-US"/>
            </w:rPr>
            <w:t>REFERENCES</w:t>
          </w:r>
          <w:r w:rsidR="00F808A6">
            <w:rPr>
              <w:b/>
              <w:lang w:val="en-US"/>
            </w:rPr>
            <w:t>..................................................................................................................................15</w:t>
          </w:r>
        </w:p>
        <w:p w:rsidR="006F1748" w:rsidRPr="0058232E" w:rsidRDefault="006F1748" w:rsidP="0058232E">
          <w:pPr>
            <w:rPr>
              <w:b/>
              <w:lang w:val="en-US"/>
            </w:rPr>
          </w:pPr>
          <w:r>
            <w:rPr>
              <w:b/>
              <w:lang w:val="en-US"/>
            </w:rPr>
            <w:t>APPENDIX</w:t>
          </w:r>
          <w:r w:rsidR="00F808A6">
            <w:rPr>
              <w:b/>
              <w:lang w:val="en-US"/>
            </w:rPr>
            <w:t>.....................................................................................................................................16</w:t>
          </w:r>
        </w:p>
        <w:p w:rsidR="0058232E" w:rsidRPr="0058232E" w:rsidRDefault="0058232E" w:rsidP="0058232E">
          <w:pPr>
            <w:rPr>
              <w:lang w:val="en-US"/>
            </w:rPr>
          </w:pPr>
        </w:p>
        <w:p w:rsidR="0058232E" w:rsidRPr="0058232E" w:rsidRDefault="0058232E" w:rsidP="0058232E">
          <w:pPr>
            <w:rPr>
              <w:lang w:val="en-US"/>
            </w:rPr>
          </w:pPr>
        </w:p>
      </w:sdtContent>
    </w:sdt>
    <w:p w:rsidR="00433B8A" w:rsidRDefault="00433B8A"/>
    <w:p w:rsidR="00433B8A" w:rsidRDefault="00433B8A"/>
    <w:p w:rsidR="00433B8A" w:rsidRDefault="00433B8A"/>
    <w:p w:rsidR="00433B8A" w:rsidRDefault="00433B8A"/>
    <w:p w:rsidR="00433B8A" w:rsidRDefault="00433B8A"/>
    <w:p w:rsidR="00433B8A" w:rsidRDefault="00433B8A"/>
    <w:p w:rsidR="00433B8A" w:rsidRDefault="00433B8A"/>
    <w:p w:rsidR="00433B8A" w:rsidRDefault="00433B8A"/>
    <w:p w:rsidR="00433B8A" w:rsidRDefault="00433B8A"/>
    <w:p w:rsidR="00433B8A" w:rsidRDefault="00433B8A"/>
    <w:p w:rsidR="00433B8A" w:rsidRDefault="00433B8A"/>
    <w:p w:rsidR="00433B8A" w:rsidRDefault="00433B8A"/>
    <w:p w:rsidR="00433B8A" w:rsidRDefault="00433B8A"/>
    <w:p w:rsidR="006F1748" w:rsidRDefault="006F1748" w:rsidP="006F1748">
      <w:bookmarkStart w:id="0" w:name="_GoBack"/>
      <w:bookmarkEnd w:id="0"/>
    </w:p>
    <w:p w:rsidR="00433B8A" w:rsidRPr="006F1748" w:rsidRDefault="00433B8A" w:rsidP="006F1748">
      <w:pPr>
        <w:pStyle w:val="Heading1"/>
        <w:rPr>
          <w:u w:val="single"/>
        </w:rPr>
      </w:pPr>
      <w:r w:rsidRPr="006F1748">
        <w:rPr>
          <w:u w:val="single"/>
        </w:rPr>
        <w:lastRenderedPageBreak/>
        <w:t>INTRODUCTION</w:t>
      </w:r>
    </w:p>
    <w:p w:rsidR="00433B8A" w:rsidRDefault="00433B8A" w:rsidP="00433B8A">
      <w:pPr>
        <w:jc w:val="both"/>
      </w:pPr>
    </w:p>
    <w:p w:rsidR="00433B8A" w:rsidRDefault="00433B8A" w:rsidP="00433B8A">
      <w:pPr>
        <w:jc w:val="both"/>
      </w:pPr>
      <w:r>
        <w:t>Rio Tinto plc is a mining and metals company. It is known to be the world's second biggest mining company, producing iron ore, copper, diamond, gold, coal and uranium. The company's business is finding, mining and processing mineral resources. Listed in both Melbourne and London the company was founded by Hugh Mackay Matheson in 1873 to mine copper in Rio Tinto, near Huelva in southern Spain (Hotten, 2018). The market cap of Rio Tinto plc as of May 2017 is $72.9 billion and ranked the 11</w:t>
      </w:r>
      <w:r w:rsidRPr="6151746C">
        <w:rPr>
          <w:vertAlign w:val="superscript"/>
        </w:rPr>
        <w:t>th</w:t>
      </w:r>
      <w:r>
        <w:t xml:space="preserve"> top multinationals performers. It has around 51000 employees (Forbes.com, 2018). </w:t>
      </w:r>
      <w:r w:rsidRPr="6151746C">
        <w:rPr>
          <w:lang w:val="en-US"/>
        </w:rPr>
        <w:t>Key production locations of Rio Tinto are Canada, Europe and Australia. Key sales destinations of Rio Tinto are Asia, Americas And Europe.</w:t>
      </w:r>
    </w:p>
    <w:p w:rsidR="00433B8A" w:rsidRDefault="00433B8A" w:rsidP="00433B8A">
      <w:pPr>
        <w:jc w:val="both"/>
        <w:rPr>
          <w:rFonts w:ascii="Calibri" w:eastAsia="Calibri" w:hAnsi="Calibri" w:cs="Calibri"/>
        </w:rPr>
      </w:pPr>
      <w:r w:rsidRPr="6151746C">
        <w:t>In 2012 Rio Tinto plc supplied the eight tonnes of gold, silver and copper used to make 4700 medals for the 2012 London Olympics and Paralympic games. As the company suffered a huge loss in 2012 it chief executive Tom Albanese resigned from its post and Sam Walsh was appointed as the new chief executive.  2013 Oyu Tolgoi started shipping copper concentrate in nearby china. 2014 it approved the development of new kimberlite pipe in Diavik Diamond Mine in Canada. 2015 Rio Tinto began implementing its critical risk management programme, which boosted a drive on fatality elimination. In August 2016, an additional US$338 million investment to complete the Silvergrass iron ore mine in Pilbara was approved (Riotinto.com, 2018). In</w:t>
      </w:r>
      <w:r w:rsidRPr="6151746C">
        <w:rPr>
          <w:rFonts w:ascii="Calibri" w:eastAsia="Calibri" w:hAnsi="Calibri" w:cs="Calibri"/>
          <w:lang w:val="en-US"/>
        </w:rPr>
        <w:t xml:space="preserve"> 2014 it announced a $2.0 billion share buyback, which was done in 2015. It then announced a buy back in 2016, which will take place in 2017. Investing in three major growth projects in bauxite, copper and iron ore. In October 2013, Rio Tinto agreed to sell its majority stake in Australia’s third-largest coal mine to </w:t>
      </w:r>
      <w:hyperlink r:id="rId9">
        <w:r w:rsidRPr="6151746C">
          <w:rPr>
            <w:rStyle w:val="Hyperlink"/>
            <w:rFonts w:ascii="Calibri" w:eastAsia="Calibri" w:hAnsi="Calibri" w:cs="Calibri"/>
            <w:lang w:val="en-US"/>
          </w:rPr>
          <w:t>Glencore</w:t>
        </w:r>
      </w:hyperlink>
      <w:r w:rsidRPr="6151746C">
        <w:rPr>
          <w:rFonts w:ascii="Calibri" w:eastAsia="Calibri" w:hAnsi="Calibri" w:cs="Calibri"/>
          <w:lang w:val="en-US"/>
        </w:rPr>
        <w:t xml:space="preserve"> and </w:t>
      </w:r>
      <w:hyperlink r:id="rId10">
        <w:r w:rsidRPr="6151746C">
          <w:rPr>
            <w:rStyle w:val="Hyperlink"/>
            <w:rFonts w:ascii="Calibri" w:eastAsia="Calibri" w:hAnsi="Calibri" w:cs="Calibri"/>
            <w:lang w:val="en-US"/>
          </w:rPr>
          <w:t>Sumitomo</w:t>
        </w:r>
      </w:hyperlink>
      <w:r w:rsidRPr="6151746C">
        <w:rPr>
          <w:rFonts w:ascii="Calibri" w:eastAsia="Calibri" w:hAnsi="Calibri" w:cs="Calibri"/>
          <w:lang w:val="en-US"/>
        </w:rPr>
        <w:t xml:space="preserve"> for a little over US$1 billion, as part of the firm’s plans to focus on larger operations.</w:t>
      </w:r>
      <w:r w:rsidRPr="6151746C">
        <w:rPr>
          <w:rFonts w:ascii="Calibri" w:eastAsia="Calibri" w:hAnsi="Calibri" w:cs="Calibri"/>
          <w:vertAlign w:val="superscript"/>
          <w:lang w:val="en-US"/>
        </w:rPr>
        <w:t xml:space="preserve"> </w:t>
      </w:r>
      <w:r w:rsidRPr="6151746C">
        <w:rPr>
          <w:rFonts w:ascii="Calibri" w:eastAsia="Calibri" w:hAnsi="Calibri" w:cs="Calibri"/>
          <w:lang w:val="en-US"/>
        </w:rPr>
        <w:t>Less than a year later, Rio Tinto rejected two merger proposals from Glencore, proffered in July and August 2014 the merger of Glencore and Rio Tinto would have created the world's largest mining company</w:t>
      </w:r>
      <w:r w:rsidRPr="6151746C">
        <w:rPr>
          <w:rFonts w:ascii="Calibri" w:eastAsia="Calibri" w:hAnsi="Calibri" w:cs="Calibri"/>
          <w:vertAlign w:val="superscript"/>
          <w:lang w:val="en-US"/>
        </w:rPr>
        <w:t>.</w:t>
      </w:r>
      <w:r w:rsidRPr="6151746C">
        <w:rPr>
          <w:rFonts w:ascii="Calibri" w:eastAsia="Calibri" w:hAnsi="Calibri" w:cs="Calibri"/>
          <w:lang w:val="en-US"/>
        </w:rPr>
        <w:t xml:space="preserve"> </w:t>
      </w:r>
    </w:p>
    <w:p w:rsidR="00433B8A" w:rsidRDefault="00433B8A" w:rsidP="00433B8A">
      <w:pPr>
        <w:jc w:val="both"/>
        <w:rPr>
          <w:rFonts w:eastAsiaTheme="minorEastAsia"/>
        </w:rPr>
      </w:pPr>
      <w:r w:rsidRPr="6151746C">
        <w:rPr>
          <w:rFonts w:eastAsiaTheme="minorEastAsia"/>
          <w:lang w:val="en-US"/>
        </w:rPr>
        <w:t>BHP Billiton which is the world's largest mining company, is the major competitor of Rio Tinto plc. Although being competitors these companies share a lot in common. Both company suffered during the financial crisis, and more recently as the commodity prices tumbled in late 2015/early 2016</w:t>
      </w:r>
      <w:r w:rsidRPr="6151746C">
        <w:rPr>
          <w:rFonts w:eastAsiaTheme="minorEastAsia"/>
          <w:color w:val="000044"/>
          <w:lang w:val="en-US"/>
        </w:rPr>
        <w:t>.</w:t>
      </w:r>
      <w:r w:rsidRPr="6151746C">
        <w:rPr>
          <w:rFonts w:eastAsiaTheme="minorEastAsia"/>
          <w:lang w:val="en-US"/>
        </w:rPr>
        <w:t xml:space="preserve"> Both companies are listed </w:t>
      </w:r>
      <w:r w:rsidRPr="6151746C">
        <w:rPr>
          <w:rFonts w:eastAsiaTheme="minorEastAsia"/>
          <w:color w:val="000044"/>
          <w:lang w:val="en-US"/>
        </w:rPr>
        <w:t xml:space="preserve">in London </w:t>
      </w:r>
      <w:r w:rsidRPr="6151746C">
        <w:rPr>
          <w:rFonts w:eastAsiaTheme="minorEastAsia"/>
          <w:lang w:val="en-US"/>
        </w:rPr>
        <w:t>with headquarters in Melbourne, while iron ore is single largest contributor to group revenues. The companies even co-own some significant mines, including the huge Escondido copper mine Chile. It's worth nothing that in all their markets, Rio and BHP are `price takers'. Despite their size they must accept whatever price the market is prepared to pay for the commodities they produce. Iron ore prices are make or break for both the companies but the rest of their portfolios are surprisingly diverse (Hargreaves Lansdown, 2018). Both the companies have a sustainable development approach.</w:t>
      </w:r>
    </w:p>
    <w:p w:rsidR="00433B8A" w:rsidRDefault="00433B8A" w:rsidP="00433B8A">
      <w:pPr>
        <w:jc w:val="both"/>
      </w:pPr>
      <w:r w:rsidRPr="6151746C">
        <w:rPr>
          <w:lang w:val="en-US"/>
        </w:rPr>
        <w:t xml:space="preserve"> </w:t>
      </w:r>
    </w:p>
    <w:p w:rsidR="00433B8A" w:rsidRDefault="00433B8A" w:rsidP="00433B8A">
      <w:pPr>
        <w:jc w:val="both"/>
      </w:pPr>
      <w:r>
        <w:rPr>
          <w:noProof/>
          <w:lang w:eastAsia="en-IN"/>
        </w:rPr>
        <w:lastRenderedPageBreak/>
        <w:drawing>
          <wp:inline distT="0" distB="0" distL="0" distR="0">
            <wp:extent cx="5570680" cy="3365620"/>
            <wp:effectExtent l="0" t="0" r="0" b="0"/>
            <wp:docPr id="163272817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70680" cy="3365620"/>
                    </a:xfrm>
                    <a:prstGeom prst="rect">
                      <a:avLst/>
                    </a:prstGeom>
                  </pic:spPr>
                </pic:pic>
              </a:graphicData>
            </a:graphic>
          </wp:inline>
        </w:drawing>
      </w:r>
    </w:p>
    <w:p w:rsidR="00433B8A" w:rsidRDefault="00433B8A" w:rsidP="00433B8A">
      <w:pPr>
        <w:jc w:val="both"/>
        <w:rPr>
          <w:rFonts w:eastAsiaTheme="minorEastAsia"/>
        </w:rPr>
      </w:pPr>
      <w:r w:rsidRPr="6151746C">
        <w:rPr>
          <w:lang w:val="en-US"/>
        </w:rPr>
        <w:t xml:space="preserve">Financial statements are useful as they can be used to predict future indicators for a firm using the </w:t>
      </w:r>
      <w:r w:rsidRPr="6151746C">
        <w:rPr>
          <w:rFonts w:eastAsiaTheme="minorEastAsia"/>
          <w:lang w:val="en-US"/>
        </w:rPr>
        <w:t xml:space="preserve">financial ratio analysis. From an investor's perspective financial statement analysis aims at predicting the future profitability and viability of a company, while from the management's point of view the ratio analysis is important as it helps anticipate the future conditions in which the firm should expect to operate and facilitates strategic decision making (Brigham and Houston 2007). The objective of this report is to provide a critical review of the company's financial performances by analyzing its key financial ratios over last 5-years. </w:t>
      </w:r>
    </w:p>
    <w:p w:rsidR="0058232E" w:rsidRDefault="0058232E">
      <w:pPr>
        <w:rPr>
          <w:rFonts w:ascii="Calibri" w:eastAsia="Calibri" w:hAnsi="Calibri" w:cs="Calibri"/>
        </w:rPr>
      </w:pPr>
      <w:r>
        <w:rPr>
          <w:rFonts w:ascii="Calibri" w:eastAsia="Calibri" w:hAnsi="Calibri" w:cs="Calibri"/>
        </w:rPr>
        <w:br w:type="page"/>
      </w:r>
    </w:p>
    <w:p w:rsidR="00433B8A" w:rsidRDefault="00433B8A" w:rsidP="00433B8A">
      <w:pPr>
        <w:jc w:val="both"/>
        <w:rPr>
          <w:rFonts w:ascii="Calibri" w:eastAsia="Calibri" w:hAnsi="Calibri" w:cs="Calibri"/>
        </w:rPr>
      </w:pPr>
    </w:p>
    <w:p w:rsidR="00433B8A" w:rsidRDefault="00433B8A" w:rsidP="00433B8A">
      <w:pPr>
        <w:pStyle w:val="Heading1"/>
        <w:jc w:val="both"/>
        <w:rPr>
          <w:rFonts w:ascii="Gungsuh" w:eastAsia="Gungsuh" w:hAnsi="Gungsuh" w:cs="Gungsuh"/>
          <w:b w:val="0"/>
          <w:bCs w:val="0"/>
          <w:u w:val="single"/>
        </w:rPr>
      </w:pPr>
      <w:r w:rsidRPr="6151746C">
        <w:rPr>
          <w:rFonts w:ascii="Gungsuh" w:eastAsia="Gungsuh" w:hAnsi="Gungsuh" w:cs="Gungsuh"/>
          <w:u w:val="single"/>
        </w:rPr>
        <w:t>FINANCIAL STATEMENT ANALYSIS OF RIO TINTO PLC</w:t>
      </w:r>
    </w:p>
    <w:p w:rsidR="00433B8A" w:rsidRDefault="00433B8A" w:rsidP="00433B8A">
      <w:pPr>
        <w:jc w:val="both"/>
      </w:pPr>
    </w:p>
    <w:p w:rsidR="00433B8A" w:rsidRDefault="00433B8A" w:rsidP="00433B8A">
      <w:pPr>
        <w:jc w:val="both"/>
      </w:pPr>
      <w:r>
        <w:t xml:space="preserve">Financial ratios provide simple and relatively quick means of analyzing the financial health of a business. Ratios can be very helpful when comparing the company's past performances and also, with other business. Financial ratios can be used to examine various aspects of financial position and performances and are widely used for planning and control purposes. They can be very helpful to managers in a wide variety of decision areas, such as profit planning, pricing, working capital management and financial structure ( Atrill and Mclaney, 2017). </w:t>
      </w:r>
    </w:p>
    <w:p w:rsidR="00433B8A" w:rsidRDefault="00433B8A" w:rsidP="00433B8A">
      <w:pPr>
        <w:jc w:val="both"/>
      </w:pPr>
      <w:r>
        <w:t xml:space="preserve">This report consists of a critical review of financial performances of Rio Tinto plc from the year 2012-2016 and also compared with BHP Billiton's financial performance for 2016. For this purpose, it's key financial ratios (profitability, liquidity, efficiency and gearing ratios) has been used. As the ratios help to highlight the financial strengths and weakness, but they cannot themselves explain why the strengths and weaknesses exist ( Atrill and Mclaney, 2017), a critical analysis of the ratios has been done. The calculation of the ratios has been done based on the income statements, balance sheet and cash flow statements. </w:t>
      </w:r>
    </w:p>
    <w:p w:rsidR="00433B8A" w:rsidRDefault="00433B8A" w:rsidP="00433B8A">
      <w:pPr>
        <w:jc w:val="both"/>
        <w:rPr>
          <w:rFonts w:eastAsiaTheme="minorEastAsia"/>
          <w:vertAlign w:val="superscript"/>
        </w:rPr>
      </w:pPr>
      <w:r w:rsidRPr="6151746C">
        <w:rPr>
          <w:rFonts w:eastAsiaTheme="minorEastAsia"/>
        </w:rPr>
        <w:t xml:space="preserve">In 2014 it announced a $2.0 billion share buyback. </w:t>
      </w:r>
      <w:r w:rsidRPr="6151746C">
        <w:rPr>
          <w:rFonts w:eastAsiaTheme="minorEastAsia"/>
          <w:lang w:val="en-US"/>
        </w:rPr>
        <w:t xml:space="preserve">Investing in three major growth projects in bauxite, copper and iron ore. In October 2013, Rio Tinto agreed to sell its majority stake in Australia’s third-largest coal mine to </w:t>
      </w:r>
      <w:hyperlink r:id="rId12">
        <w:r w:rsidRPr="6151746C">
          <w:rPr>
            <w:rStyle w:val="Hyperlink"/>
            <w:rFonts w:eastAsiaTheme="minorEastAsia"/>
            <w:lang w:val="en-US"/>
          </w:rPr>
          <w:t>Glencore</w:t>
        </w:r>
      </w:hyperlink>
      <w:r w:rsidRPr="6151746C">
        <w:rPr>
          <w:rFonts w:eastAsiaTheme="minorEastAsia"/>
          <w:lang w:val="en-US"/>
        </w:rPr>
        <w:t xml:space="preserve"> and </w:t>
      </w:r>
      <w:hyperlink r:id="rId13">
        <w:r w:rsidRPr="6151746C">
          <w:rPr>
            <w:rStyle w:val="Hyperlink"/>
            <w:rFonts w:eastAsiaTheme="minorEastAsia"/>
            <w:lang w:val="en-US"/>
          </w:rPr>
          <w:t>Sumitomo</w:t>
        </w:r>
      </w:hyperlink>
      <w:r w:rsidRPr="6151746C">
        <w:rPr>
          <w:rFonts w:eastAsiaTheme="minorEastAsia"/>
          <w:lang w:val="en-US"/>
        </w:rPr>
        <w:t xml:space="preserve"> for a little over US$1 billion, as part of the firm’s plans to focus on larger operations.</w:t>
      </w:r>
      <w:r w:rsidRPr="6151746C">
        <w:rPr>
          <w:rFonts w:eastAsiaTheme="minorEastAsia"/>
          <w:vertAlign w:val="superscript"/>
          <w:lang w:val="en-US"/>
        </w:rPr>
        <w:t xml:space="preserve"> </w:t>
      </w:r>
      <w:r w:rsidRPr="6151746C">
        <w:rPr>
          <w:rFonts w:eastAsiaTheme="minorEastAsia"/>
          <w:lang w:val="en-US"/>
        </w:rPr>
        <w:t>Less than a year later, Rio Tinto rejected two merger proposals from Glencore, proffered in July and August 2014 the merger of Glencore and Rio Tinto would have created the world's largest mining company</w:t>
      </w:r>
      <w:r w:rsidRPr="6151746C">
        <w:rPr>
          <w:rFonts w:eastAsiaTheme="minorEastAsia"/>
          <w:vertAlign w:val="superscript"/>
          <w:lang w:val="en-US"/>
        </w:rPr>
        <w:t>.</w:t>
      </w:r>
      <w:r w:rsidRPr="6151746C">
        <w:rPr>
          <w:rFonts w:eastAsiaTheme="minorEastAsia"/>
          <w:lang w:val="en-US"/>
        </w:rPr>
        <w:t xml:space="preserve"> </w:t>
      </w:r>
    </w:p>
    <w:p w:rsidR="00433B8A" w:rsidRDefault="00433B8A" w:rsidP="00433B8A">
      <w:pPr>
        <w:jc w:val="both"/>
      </w:pPr>
    </w:p>
    <w:p w:rsidR="00433B8A" w:rsidRDefault="00433B8A" w:rsidP="00433B8A">
      <w:pPr>
        <w:pStyle w:val="Heading2"/>
        <w:jc w:val="both"/>
      </w:pPr>
      <w:r w:rsidRPr="6151746C">
        <w:rPr>
          <w:b/>
          <w:bCs/>
          <w:u w:val="single"/>
        </w:rPr>
        <w:t>PROFITABILITY RATIOS</w:t>
      </w:r>
    </w:p>
    <w:p w:rsidR="00433B8A" w:rsidRDefault="00433B8A" w:rsidP="00433B8A">
      <w:pPr>
        <w:jc w:val="both"/>
      </w:pPr>
    </w:p>
    <w:tbl>
      <w:tblPr>
        <w:tblStyle w:val="GridTable5DarkAccent6"/>
        <w:tblW w:w="0" w:type="auto"/>
        <w:tblLook w:val="04A0"/>
      </w:tblPr>
      <w:tblGrid>
        <w:gridCol w:w="1326"/>
        <w:gridCol w:w="1317"/>
        <w:gridCol w:w="1319"/>
        <w:gridCol w:w="1319"/>
        <w:gridCol w:w="1319"/>
        <w:gridCol w:w="1319"/>
        <w:gridCol w:w="1323"/>
      </w:tblGrid>
      <w:tr w:rsidR="00433B8A" w:rsidTr="0058232E">
        <w:trPr>
          <w:cnfStyle w:val="100000000000"/>
        </w:trPr>
        <w:tc>
          <w:tcPr>
            <w:cnfStyle w:val="001000000000"/>
            <w:tcW w:w="1335" w:type="dxa"/>
          </w:tcPr>
          <w:p w:rsidR="00433B8A" w:rsidRDefault="00433B8A" w:rsidP="0058232E">
            <w:pPr>
              <w:jc w:val="both"/>
            </w:pPr>
            <w:r w:rsidRPr="6151746C">
              <w:t>YEARS</w:t>
            </w:r>
          </w:p>
        </w:tc>
        <w:tc>
          <w:tcPr>
            <w:tcW w:w="1335" w:type="dxa"/>
          </w:tcPr>
          <w:p w:rsidR="00433B8A" w:rsidRDefault="00433B8A" w:rsidP="0058232E">
            <w:pPr>
              <w:jc w:val="both"/>
              <w:cnfStyle w:val="100000000000"/>
            </w:pPr>
            <w:r w:rsidRPr="6151746C">
              <w:t>2012</w:t>
            </w:r>
          </w:p>
        </w:tc>
        <w:tc>
          <w:tcPr>
            <w:tcW w:w="1337" w:type="dxa"/>
          </w:tcPr>
          <w:p w:rsidR="00433B8A" w:rsidRDefault="00433B8A" w:rsidP="0058232E">
            <w:pPr>
              <w:jc w:val="both"/>
              <w:cnfStyle w:val="100000000000"/>
            </w:pPr>
            <w:r w:rsidRPr="6151746C">
              <w:t>2013</w:t>
            </w:r>
          </w:p>
        </w:tc>
        <w:tc>
          <w:tcPr>
            <w:tcW w:w="1337" w:type="dxa"/>
          </w:tcPr>
          <w:p w:rsidR="00433B8A" w:rsidRDefault="00433B8A" w:rsidP="0058232E">
            <w:pPr>
              <w:jc w:val="both"/>
              <w:cnfStyle w:val="100000000000"/>
            </w:pPr>
            <w:r w:rsidRPr="6151746C">
              <w:t>2014</w:t>
            </w:r>
          </w:p>
        </w:tc>
        <w:tc>
          <w:tcPr>
            <w:tcW w:w="1337" w:type="dxa"/>
          </w:tcPr>
          <w:p w:rsidR="00433B8A" w:rsidRDefault="00433B8A" w:rsidP="0058232E">
            <w:pPr>
              <w:jc w:val="both"/>
              <w:cnfStyle w:val="100000000000"/>
            </w:pPr>
            <w:r w:rsidRPr="6151746C">
              <w:t>2015</w:t>
            </w:r>
          </w:p>
        </w:tc>
        <w:tc>
          <w:tcPr>
            <w:tcW w:w="1337" w:type="dxa"/>
          </w:tcPr>
          <w:p w:rsidR="00433B8A" w:rsidRDefault="00433B8A" w:rsidP="0058232E">
            <w:pPr>
              <w:jc w:val="both"/>
              <w:cnfStyle w:val="100000000000"/>
            </w:pPr>
            <w:r w:rsidRPr="6151746C">
              <w:t>2016</w:t>
            </w:r>
          </w:p>
        </w:tc>
        <w:tc>
          <w:tcPr>
            <w:tcW w:w="1337" w:type="dxa"/>
          </w:tcPr>
          <w:p w:rsidR="00433B8A" w:rsidRDefault="00433B8A" w:rsidP="0058232E">
            <w:pPr>
              <w:jc w:val="both"/>
              <w:cnfStyle w:val="100000000000"/>
              <w:rPr>
                <w:sz w:val="18"/>
                <w:szCs w:val="18"/>
              </w:rPr>
            </w:pPr>
            <w:r w:rsidRPr="6151746C">
              <w:rPr>
                <w:sz w:val="18"/>
                <w:szCs w:val="18"/>
              </w:rPr>
              <w:t>BHP BILLITON 2016</w:t>
            </w:r>
          </w:p>
        </w:tc>
      </w:tr>
      <w:tr w:rsidR="00433B8A" w:rsidTr="0058232E">
        <w:trPr>
          <w:cnfStyle w:val="000000100000"/>
        </w:trPr>
        <w:tc>
          <w:tcPr>
            <w:cnfStyle w:val="001000000000"/>
            <w:tcW w:w="1335" w:type="dxa"/>
          </w:tcPr>
          <w:p w:rsidR="00433B8A" w:rsidRDefault="00433B8A" w:rsidP="0058232E">
            <w:pPr>
              <w:jc w:val="both"/>
            </w:pPr>
            <w:r w:rsidRPr="6151746C">
              <w:t>REVENUE</w:t>
            </w:r>
          </w:p>
        </w:tc>
        <w:tc>
          <w:tcPr>
            <w:tcW w:w="1335" w:type="dxa"/>
          </w:tcPr>
          <w:p w:rsidR="00433B8A" w:rsidRDefault="00433B8A" w:rsidP="0058232E">
            <w:pPr>
              <w:jc w:val="both"/>
              <w:cnfStyle w:val="000000100000"/>
            </w:pPr>
            <w:r w:rsidRPr="6151746C">
              <w:t>50942</w:t>
            </w:r>
          </w:p>
        </w:tc>
        <w:tc>
          <w:tcPr>
            <w:tcW w:w="1337" w:type="dxa"/>
          </w:tcPr>
          <w:p w:rsidR="00433B8A" w:rsidRDefault="00433B8A" w:rsidP="0058232E">
            <w:pPr>
              <w:jc w:val="both"/>
              <w:cnfStyle w:val="000000100000"/>
            </w:pPr>
            <w:r w:rsidRPr="6151746C">
              <w:t>51171</w:t>
            </w:r>
          </w:p>
        </w:tc>
        <w:tc>
          <w:tcPr>
            <w:tcW w:w="1337" w:type="dxa"/>
          </w:tcPr>
          <w:p w:rsidR="00433B8A" w:rsidRDefault="00433B8A" w:rsidP="0058232E">
            <w:pPr>
              <w:jc w:val="both"/>
              <w:cnfStyle w:val="000000100000"/>
            </w:pPr>
            <w:r w:rsidRPr="6151746C">
              <w:t>47664</w:t>
            </w:r>
          </w:p>
        </w:tc>
        <w:tc>
          <w:tcPr>
            <w:tcW w:w="1337" w:type="dxa"/>
          </w:tcPr>
          <w:p w:rsidR="00433B8A" w:rsidRDefault="00433B8A" w:rsidP="0058232E">
            <w:pPr>
              <w:jc w:val="both"/>
              <w:cnfStyle w:val="000000100000"/>
            </w:pPr>
            <w:r w:rsidRPr="6151746C">
              <w:t>34829</w:t>
            </w:r>
          </w:p>
        </w:tc>
        <w:tc>
          <w:tcPr>
            <w:tcW w:w="1337" w:type="dxa"/>
          </w:tcPr>
          <w:p w:rsidR="00433B8A" w:rsidRDefault="00433B8A" w:rsidP="0058232E">
            <w:pPr>
              <w:jc w:val="both"/>
              <w:cnfStyle w:val="000000100000"/>
            </w:pPr>
            <w:r w:rsidRPr="6151746C">
              <w:t>33781</w:t>
            </w:r>
          </w:p>
        </w:tc>
        <w:tc>
          <w:tcPr>
            <w:tcW w:w="1337" w:type="dxa"/>
          </w:tcPr>
          <w:p w:rsidR="00433B8A" w:rsidRDefault="00433B8A" w:rsidP="0058232E">
            <w:pPr>
              <w:jc w:val="both"/>
              <w:cnfStyle w:val="000000100000"/>
            </w:pPr>
            <w:r w:rsidRPr="6151746C">
              <w:t>30912</w:t>
            </w:r>
          </w:p>
        </w:tc>
      </w:tr>
      <w:tr w:rsidR="00433B8A" w:rsidTr="0058232E">
        <w:tc>
          <w:tcPr>
            <w:cnfStyle w:val="001000000000"/>
            <w:tcW w:w="1335" w:type="dxa"/>
          </w:tcPr>
          <w:p w:rsidR="00433B8A" w:rsidRDefault="00433B8A" w:rsidP="0058232E">
            <w:pPr>
              <w:jc w:val="both"/>
              <w:rPr>
                <w:sz w:val="18"/>
                <w:szCs w:val="18"/>
              </w:rPr>
            </w:pPr>
            <w:r w:rsidRPr="6151746C">
              <w:rPr>
                <w:sz w:val="18"/>
                <w:szCs w:val="18"/>
              </w:rPr>
              <w:t>OPERATING PROFIT MARGIN %</w:t>
            </w:r>
          </w:p>
        </w:tc>
        <w:tc>
          <w:tcPr>
            <w:tcW w:w="1335" w:type="dxa"/>
          </w:tcPr>
          <w:p w:rsidR="00433B8A" w:rsidRDefault="00433B8A" w:rsidP="0058232E">
            <w:pPr>
              <w:jc w:val="both"/>
              <w:cnfStyle w:val="000000000000"/>
            </w:pPr>
            <w:r w:rsidRPr="6151746C">
              <w:t>-3.78</w:t>
            </w:r>
          </w:p>
        </w:tc>
        <w:tc>
          <w:tcPr>
            <w:tcW w:w="1337" w:type="dxa"/>
          </w:tcPr>
          <w:p w:rsidR="00433B8A" w:rsidRDefault="00433B8A" w:rsidP="0058232E">
            <w:pPr>
              <w:jc w:val="both"/>
              <w:cnfStyle w:val="000000000000"/>
            </w:pPr>
            <w:r w:rsidRPr="6151746C">
              <w:t>14.2</w:t>
            </w:r>
          </w:p>
        </w:tc>
        <w:tc>
          <w:tcPr>
            <w:tcW w:w="1337" w:type="dxa"/>
          </w:tcPr>
          <w:p w:rsidR="00433B8A" w:rsidRDefault="00433B8A" w:rsidP="0058232E">
            <w:pPr>
              <w:jc w:val="both"/>
              <w:cnfStyle w:val="000000000000"/>
            </w:pPr>
            <w:r w:rsidRPr="6151746C">
              <w:t>23.80</w:t>
            </w:r>
          </w:p>
        </w:tc>
        <w:tc>
          <w:tcPr>
            <w:tcW w:w="1337" w:type="dxa"/>
          </w:tcPr>
          <w:p w:rsidR="00433B8A" w:rsidRDefault="00433B8A" w:rsidP="0058232E">
            <w:pPr>
              <w:jc w:val="both"/>
              <w:cnfStyle w:val="000000000000"/>
            </w:pPr>
            <w:r w:rsidRPr="6151746C">
              <w:t>10.38</w:t>
            </w:r>
          </w:p>
        </w:tc>
        <w:tc>
          <w:tcPr>
            <w:tcW w:w="1337" w:type="dxa"/>
          </w:tcPr>
          <w:p w:rsidR="00433B8A" w:rsidRDefault="00433B8A" w:rsidP="0058232E">
            <w:pPr>
              <w:jc w:val="both"/>
              <w:cnfStyle w:val="000000000000"/>
            </w:pPr>
            <w:r w:rsidRPr="6151746C">
              <w:t>20.11</w:t>
            </w:r>
          </w:p>
        </w:tc>
        <w:tc>
          <w:tcPr>
            <w:tcW w:w="1337" w:type="dxa"/>
          </w:tcPr>
          <w:p w:rsidR="00433B8A" w:rsidRDefault="00433B8A" w:rsidP="0058232E">
            <w:pPr>
              <w:jc w:val="both"/>
              <w:cnfStyle w:val="000000000000"/>
            </w:pPr>
            <w:r w:rsidRPr="6151746C">
              <w:t>-20.17</w:t>
            </w:r>
          </w:p>
        </w:tc>
      </w:tr>
      <w:tr w:rsidR="00433B8A" w:rsidTr="0058232E">
        <w:trPr>
          <w:cnfStyle w:val="000000100000"/>
        </w:trPr>
        <w:tc>
          <w:tcPr>
            <w:cnfStyle w:val="001000000000"/>
            <w:tcW w:w="1335" w:type="dxa"/>
          </w:tcPr>
          <w:p w:rsidR="00433B8A" w:rsidRDefault="00433B8A" w:rsidP="0058232E">
            <w:pPr>
              <w:jc w:val="both"/>
              <w:rPr>
                <w:sz w:val="18"/>
                <w:szCs w:val="18"/>
              </w:rPr>
            </w:pPr>
            <w:r w:rsidRPr="6151746C">
              <w:rPr>
                <w:sz w:val="18"/>
                <w:szCs w:val="18"/>
              </w:rPr>
              <w:t>NET PROFIT MARGIN %</w:t>
            </w:r>
          </w:p>
        </w:tc>
        <w:tc>
          <w:tcPr>
            <w:tcW w:w="1335" w:type="dxa"/>
          </w:tcPr>
          <w:p w:rsidR="00433B8A" w:rsidRDefault="00433B8A" w:rsidP="0058232E">
            <w:pPr>
              <w:jc w:val="both"/>
              <w:cnfStyle w:val="000000100000"/>
            </w:pPr>
            <w:r w:rsidRPr="6151746C">
              <w:t>-5.94</w:t>
            </w:r>
          </w:p>
        </w:tc>
        <w:tc>
          <w:tcPr>
            <w:tcW w:w="1337" w:type="dxa"/>
          </w:tcPr>
          <w:p w:rsidR="00433B8A" w:rsidRDefault="00433B8A" w:rsidP="0058232E">
            <w:pPr>
              <w:jc w:val="both"/>
              <w:cnfStyle w:val="000000100000"/>
            </w:pPr>
            <w:r w:rsidRPr="6151746C">
              <w:t>2.11</w:t>
            </w:r>
          </w:p>
        </w:tc>
        <w:tc>
          <w:tcPr>
            <w:tcW w:w="1337" w:type="dxa"/>
          </w:tcPr>
          <w:p w:rsidR="00433B8A" w:rsidRDefault="00433B8A" w:rsidP="0058232E">
            <w:pPr>
              <w:jc w:val="both"/>
              <w:cnfStyle w:val="000000100000"/>
            </w:pPr>
            <w:r w:rsidRPr="6151746C">
              <w:t>13.64</w:t>
            </w:r>
          </w:p>
        </w:tc>
        <w:tc>
          <w:tcPr>
            <w:tcW w:w="1337" w:type="dxa"/>
          </w:tcPr>
          <w:p w:rsidR="00433B8A" w:rsidRDefault="00433B8A" w:rsidP="0058232E">
            <w:pPr>
              <w:jc w:val="both"/>
              <w:cnfStyle w:val="000000100000"/>
            </w:pPr>
            <w:r w:rsidRPr="6151746C">
              <w:t>-4.94</w:t>
            </w:r>
          </w:p>
        </w:tc>
        <w:tc>
          <w:tcPr>
            <w:tcW w:w="1337" w:type="dxa"/>
          </w:tcPr>
          <w:p w:rsidR="00433B8A" w:rsidRDefault="00433B8A" w:rsidP="0058232E">
            <w:pPr>
              <w:jc w:val="both"/>
              <w:cnfStyle w:val="000000100000"/>
            </w:pPr>
            <w:r w:rsidRPr="6151746C">
              <w:t>14.14</w:t>
            </w:r>
          </w:p>
        </w:tc>
        <w:tc>
          <w:tcPr>
            <w:tcW w:w="1337" w:type="dxa"/>
          </w:tcPr>
          <w:p w:rsidR="00433B8A" w:rsidRDefault="00433B8A" w:rsidP="0058232E">
            <w:pPr>
              <w:jc w:val="both"/>
              <w:cnfStyle w:val="000000100000"/>
            </w:pPr>
            <w:r w:rsidRPr="6151746C">
              <w:t>-20.08</w:t>
            </w:r>
          </w:p>
        </w:tc>
      </w:tr>
    </w:tbl>
    <w:p w:rsidR="00433B8A" w:rsidRDefault="00433B8A" w:rsidP="00433B8A">
      <w:pPr>
        <w:jc w:val="both"/>
      </w:pPr>
    </w:p>
    <w:p w:rsidR="00433B8A" w:rsidRDefault="00433B8A" w:rsidP="00433B8A">
      <w:pPr>
        <w:pStyle w:val="Heading3"/>
        <w:jc w:val="both"/>
      </w:pPr>
      <w:r>
        <w:rPr>
          <w:noProof/>
          <w:lang w:val="en-IN" w:eastAsia="en-IN"/>
        </w:rPr>
        <w:lastRenderedPageBreak/>
        <w:drawing>
          <wp:inline distT="0" distB="0" distL="0" distR="0">
            <wp:extent cx="5705476" cy="3667125"/>
            <wp:effectExtent l="0" t="0" r="0" b="0"/>
            <wp:docPr id="125369686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05476" cy="3667125"/>
                    </a:xfrm>
                    <a:prstGeom prst="rect">
                      <a:avLst/>
                    </a:prstGeom>
                  </pic:spPr>
                </pic:pic>
              </a:graphicData>
            </a:graphic>
          </wp:inline>
        </w:drawing>
      </w:r>
    </w:p>
    <w:p w:rsidR="00433B8A" w:rsidRDefault="00433B8A" w:rsidP="00433B8A">
      <w:pPr>
        <w:pStyle w:val="Heading3"/>
        <w:jc w:val="both"/>
        <w:rPr>
          <w:b/>
          <w:bCs/>
          <w:u w:val="single"/>
        </w:rPr>
      </w:pPr>
    </w:p>
    <w:p w:rsidR="00433B8A" w:rsidRDefault="00433B8A" w:rsidP="00433B8A">
      <w:pPr>
        <w:pStyle w:val="Heading3"/>
        <w:jc w:val="both"/>
      </w:pPr>
      <w:r w:rsidRPr="6151746C">
        <w:rPr>
          <w:b/>
          <w:bCs/>
          <w:u w:val="single"/>
        </w:rPr>
        <w:t>OPERATING PROFIT MARGIN</w:t>
      </w:r>
    </w:p>
    <w:p w:rsidR="00433B8A" w:rsidRDefault="00433B8A" w:rsidP="00433B8A">
      <w:pPr>
        <w:jc w:val="both"/>
      </w:pPr>
    </w:p>
    <w:p w:rsidR="00433B8A" w:rsidRDefault="00433B8A" w:rsidP="00433B8A">
      <w:pPr>
        <w:jc w:val="both"/>
        <w:rPr>
          <w:b/>
          <w:bCs/>
          <w:u w:val="single"/>
        </w:rPr>
      </w:pPr>
      <w:r>
        <w:t xml:space="preserve">The operating profit margin relates the operating profit of that period to the sales revenue of that period. The operating profit represents the profit from trade operations before the interest payable and taxes. This is often considered as the most appropriate measure to compare the operational performances of a business (Atrill, 2014). </w:t>
      </w:r>
    </w:p>
    <w:p w:rsidR="00433B8A" w:rsidRDefault="00433B8A" w:rsidP="00433B8A">
      <w:pPr>
        <w:jc w:val="both"/>
      </w:pPr>
      <w:r>
        <w:t>In 2012 Rio Tinto reported its first annual loss in the last 18 years. The reason behind this loss was, the impairments of $14.4 billion, primarily relating to aluminum businesses as well as coal assets in Mozambique. This also led to the resignation of chief executive Tom Albanese. However, in 2013 there was a major improvement this result is due to the operating cash cost improvements of $2.3 billion and p</w:t>
      </w:r>
      <w:r w:rsidRPr="6151746C">
        <w:rPr>
          <w:rFonts w:ascii="Calibri" w:eastAsia="Calibri" w:hAnsi="Calibri" w:cs="Calibri"/>
          <w:lang w:val="en-US"/>
        </w:rPr>
        <w:t>roduction records set for iron ore, bauxite and thermal coal and a strong recovery in copper volumes.</w:t>
      </w:r>
      <w:r>
        <w:t xml:space="preserve">, as the new chief executive Sam Walsh promised their shareholders. Although the revenue decreased over the years still there was a steady increase in the operating profit margin up to 2015. The company achieved the highest operating profit margin in 2014 by increasing volumes and reducing costs. In 2015 there was a lower operating profit margin. Again in 2016 the company had a significant increase in the margin. This shows the company's ability to overcome the setbacks and recover quickly. </w:t>
      </w:r>
    </w:p>
    <w:p w:rsidR="00433B8A" w:rsidRDefault="00433B8A" w:rsidP="00433B8A">
      <w:pPr>
        <w:jc w:val="both"/>
      </w:pPr>
      <w:r>
        <w:t>BHP Billiton reported a huge operating loss largely driven by a 31 percent dive in revenue due to the plunging commodity prices. The weaker commodity prices wiped out $10.7 of its operating earnings. On the other hand, Rio Tinto had a lot better operating profit margin after the loss in 2012.</w:t>
      </w:r>
    </w:p>
    <w:p w:rsidR="00433B8A" w:rsidRDefault="00433B8A" w:rsidP="00433B8A">
      <w:pPr>
        <w:pStyle w:val="Heading3"/>
        <w:jc w:val="both"/>
        <w:rPr>
          <w:b/>
          <w:bCs/>
          <w:u w:val="single"/>
        </w:rPr>
      </w:pPr>
    </w:p>
    <w:p w:rsidR="00433B8A" w:rsidRDefault="00433B8A" w:rsidP="00433B8A">
      <w:pPr>
        <w:pStyle w:val="Heading3"/>
        <w:jc w:val="both"/>
        <w:rPr>
          <w:b/>
          <w:bCs/>
          <w:u w:val="single"/>
        </w:rPr>
      </w:pPr>
      <w:r w:rsidRPr="6151746C">
        <w:rPr>
          <w:b/>
          <w:bCs/>
          <w:u w:val="single"/>
        </w:rPr>
        <w:t>NET PROFIT MARGIN</w:t>
      </w:r>
    </w:p>
    <w:p w:rsidR="00433B8A" w:rsidRDefault="00433B8A" w:rsidP="00433B8A">
      <w:pPr>
        <w:jc w:val="both"/>
      </w:pPr>
    </w:p>
    <w:p w:rsidR="00433B8A" w:rsidRDefault="00433B8A" w:rsidP="00433B8A">
      <w:pPr>
        <w:jc w:val="both"/>
      </w:pPr>
      <w:r>
        <w:t xml:space="preserve">Net profit margin relates to the net profit after all interests and taxes. Shareholders look at net profit margin closely because it shows how good a company is in converting its revenue in profits. </w:t>
      </w:r>
    </w:p>
    <w:p w:rsidR="00433B8A" w:rsidRDefault="00433B8A" w:rsidP="00433B8A">
      <w:pPr>
        <w:jc w:val="both"/>
      </w:pPr>
      <w:r>
        <w:t>The net profit in 2012 was too low because of the same reasons mentioned above. It was major downfall for the company but then in 2013 they recovered from it by cutting their costs and debt, the net debts were reduced to $18.1 billion. In 2014 the company had the highest net profit margin of all these years. In spite of the lower commodity prices and uncertain global economic trends, Rio Tinto still achieved high net profit margin by increasing volumes and reducing costs, they also reduced their net debts by $5.6 billion resulted by reduction in capital expenditure and successful programme to release working capital. However, in 2016 the company faced a loss due to the lower consolidated sales revenue from the last year reflection because of the sharp decline in commodity prices. There was a major operating cash cost improvement in the year 2016 resulting in higher net profit margin.</w:t>
      </w:r>
    </w:p>
    <w:p w:rsidR="00433B8A" w:rsidRDefault="00433B8A" w:rsidP="00433B8A">
      <w:pPr>
        <w:jc w:val="both"/>
      </w:pPr>
      <w:r w:rsidRPr="6151746C">
        <w:rPr>
          <w:rFonts w:eastAsiaTheme="minorEastAsia"/>
        </w:rPr>
        <w:t xml:space="preserve">BHP Billiton experienced a major setback in the year 2016. It was a first loss for BHP Billiton in 15 years since the merger. </w:t>
      </w:r>
      <w:r w:rsidRPr="6151746C">
        <w:rPr>
          <w:rFonts w:eastAsiaTheme="minorEastAsia"/>
          <w:color w:val="111111"/>
          <w:lang w:val="en-US"/>
        </w:rPr>
        <w:t>The major costs came from cutting the value of its US shale oil and gas assets ($US4.9 billion), the Samarco iron ore disaster in Brazil ($US2.2 billion) and money set aside for global taxation reassessments ($US570 million).</w:t>
      </w:r>
      <w:r>
        <w:t xml:space="preserve"> Rio Tinto did very well as compared to BHP Billiton recovering from its 2015 loss and giving a high net profit margin. </w:t>
      </w:r>
    </w:p>
    <w:p w:rsidR="00433B8A" w:rsidRPr="0058232E" w:rsidRDefault="00433B8A" w:rsidP="0058232E">
      <w:pPr>
        <w:pStyle w:val="Heading2"/>
        <w:rPr>
          <w:rFonts w:asciiTheme="minorHAnsi" w:hAnsiTheme="minorHAnsi"/>
          <w:b/>
          <w:sz w:val="28"/>
          <w:szCs w:val="28"/>
          <w:u w:val="single"/>
        </w:rPr>
      </w:pPr>
      <w:r w:rsidRPr="0058232E">
        <w:rPr>
          <w:rFonts w:asciiTheme="minorHAnsi" w:hAnsiTheme="minorHAnsi"/>
          <w:b/>
          <w:u w:val="single"/>
        </w:rPr>
        <w:t>Liquidity ratios</w:t>
      </w:r>
    </w:p>
    <w:p w:rsidR="00433B8A" w:rsidRDefault="00433B8A" w:rsidP="00433B8A">
      <w:pPr>
        <w:jc w:val="both"/>
      </w:pPr>
    </w:p>
    <w:tbl>
      <w:tblPr>
        <w:tblStyle w:val="GridTable5DarkAccent6"/>
        <w:tblW w:w="0" w:type="auto"/>
        <w:tblLook w:val="04A0"/>
      </w:tblPr>
      <w:tblGrid>
        <w:gridCol w:w="1329"/>
        <w:gridCol w:w="1316"/>
        <w:gridCol w:w="1318"/>
        <w:gridCol w:w="1318"/>
        <w:gridCol w:w="1318"/>
        <w:gridCol w:w="1318"/>
        <w:gridCol w:w="1325"/>
      </w:tblGrid>
      <w:tr w:rsidR="00433B8A" w:rsidTr="0058232E">
        <w:trPr>
          <w:cnfStyle w:val="100000000000"/>
        </w:trPr>
        <w:tc>
          <w:tcPr>
            <w:cnfStyle w:val="001000000000"/>
            <w:tcW w:w="1335" w:type="dxa"/>
          </w:tcPr>
          <w:p w:rsidR="00433B8A" w:rsidRDefault="00433B8A" w:rsidP="0058232E">
            <w:pPr>
              <w:jc w:val="both"/>
            </w:pPr>
            <w:r w:rsidRPr="6151746C">
              <w:t>YEARS</w:t>
            </w:r>
          </w:p>
        </w:tc>
        <w:tc>
          <w:tcPr>
            <w:tcW w:w="1335" w:type="dxa"/>
          </w:tcPr>
          <w:p w:rsidR="00433B8A" w:rsidRDefault="00433B8A" w:rsidP="0058232E">
            <w:pPr>
              <w:jc w:val="both"/>
              <w:cnfStyle w:val="100000000000"/>
            </w:pPr>
            <w:r w:rsidRPr="6151746C">
              <w:t>2012</w:t>
            </w:r>
          </w:p>
        </w:tc>
        <w:tc>
          <w:tcPr>
            <w:tcW w:w="1337" w:type="dxa"/>
          </w:tcPr>
          <w:p w:rsidR="00433B8A" w:rsidRDefault="00433B8A" w:rsidP="0058232E">
            <w:pPr>
              <w:jc w:val="both"/>
              <w:cnfStyle w:val="100000000000"/>
            </w:pPr>
            <w:r w:rsidRPr="6151746C">
              <w:t>2013</w:t>
            </w:r>
          </w:p>
        </w:tc>
        <w:tc>
          <w:tcPr>
            <w:tcW w:w="1337" w:type="dxa"/>
          </w:tcPr>
          <w:p w:rsidR="00433B8A" w:rsidRDefault="00433B8A" w:rsidP="0058232E">
            <w:pPr>
              <w:jc w:val="both"/>
              <w:cnfStyle w:val="100000000000"/>
            </w:pPr>
            <w:r w:rsidRPr="6151746C">
              <w:t>2014</w:t>
            </w:r>
          </w:p>
        </w:tc>
        <w:tc>
          <w:tcPr>
            <w:tcW w:w="1337" w:type="dxa"/>
          </w:tcPr>
          <w:p w:rsidR="00433B8A" w:rsidRDefault="00433B8A" w:rsidP="0058232E">
            <w:pPr>
              <w:jc w:val="both"/>
              <w:cnfStyle w:val="100000000000"/>
            </w:pPr>
            <w:r w:rsidRPr="6151746C">
              <w:t>2015</w:t>
            </w:r>
          </w:p>
        </w:tc>
        <w:tc>
          <w:tcPr>
            <w:tcW w:w="1337" w:type="dxa"/>
          </w:tcPr>
          <w:p w:rsidR="00433B8A" w:rsidRDefault="00433B8A" w:rsidP="0058232E">
            <w:pPr>
              <w:jc w:val="both"/>
              <w:cnfStyle w:val="100000000000"/>
            </w:pPr>
            <w:r w:rsidRPr="6151746C">
              <w:t>2016</w:t>
            </w:r>
          </w:p>
        </w:tc>
        <w:tc>
          <w:tcPr>
            <w:tcW w:w="1337" w:type="dxa"/>
          </w:tcPr>
          <w:p w:rsidR="00433B8A" w:rsidRDefault="00433B8A" w:rsidP="0058232E">
            <w:pPr>
              <w:jc w:val="both"/>
              <w:cnfStyle w:val="100000000000"/>
              <w:rPr>
                <w:sz w:val="18"/>
                <w:szCs w:val="18"/>
              </w:rPr>
            </w:pPr>
            <w:r w:rsidRPr="6151746C">
              <w:rPr>
                <w:sz w:val="18"/>
                <w:szCs w:val="18"/>
              </w:rPr>
              <w:t>BHP BILLITON 2016</w:t>
            </w:r>
          </w:p>
        </w:tc>
      </w:tr>
      <w:tr w:rsidR="00433B8A" w:rsidTr="0058232E">
        <w:trPr>
          <w:cnfStyle w:val="000000100000"/>
        </w:trPr>
        <w:tc>
          <w:tcPr>
            <w:cnfStyle w:val="001000000000"/>
            <w:tcW w:w="1335" w:type="dxa"/>
          </w:tcPr>
          <w:p w:rsidR="00433B8A" w:rsidRDefault="00433B8A" w:rsidP="0058232E">
            <w:pPr>
              <w:jc w:val="both"/>
            </w:pPr>
            <w:r w:rsidRPr="6151746C">
              <w:t>CURRENT RATIO</w:t>
            </w:r>
          </w:p>
        </w:tc>
        <w:tc>
          <w:tcPr>
            <w:tcW w:w="1335" w:type="dxa"/>
          </w:tcPr>
          <w:p w:rsidR="00433B8A" w:rsidRDefault="00433B8A" w:rsidP="0058232E">
            <w:pPr>
              <w:jc w:val="both"/>
              <w:cnfStyle w:val="000000100000"/>
            </w:pPr>
            <w:r w:rsidRPr="6151746C">
              <w:t>1.39</w:t>
            </w:r>
          </w:p>
        </w:tc>
        <w:tc>
          <w:tcPr>
            <w:tcW w:w="1337" w:type="dxa"/>
          </w:tcPr>
          <w:p w:rsidR="00433B8A" w:rsidRDefault="00433B8A" w:rsidP="0058232E">
            <w:pPr>
              <w:jc w:val="both"/>
              <w:cnfStyle w:val="000000100000"/>
            </w:pPr>
            <w:r w:rsidRPr="6151746C">
              <w:t>1.40</w:t>
            </w:r>
          </w:p>
        </w:tc>
        <w:tc>
          <w:tcPr>
            <w:tcW w:w="1337" w:type="dxa"/>
          </w:tcPr>
          <w:p w:rsidR="00433B8A" w:rsidRDefault="00433B8A" w:rsidP="0058232E">
            <w:pPr>
              <w:jc w:val="both"/>
              <w:cnfStyle w:val="000000100000"/>
            </w:pPr>
            <w:r w:rsidRPr="6151746C">
              <w:t>1.70</w:t>
            </w:r>
          </w:p>
        </w:tc>
        <w:tc>
          <w:tcPr>
            <w:tcW w:w="1337" w:type="dxa"/>
          </w:tcPr>
          <w:p w:rsidR="00433B8A" w:rsidRDefault="00433B8A" w:rsidP="0058232E">
            <w:pPr>
              <w:jc w:val="both"/>
              <w:cnfStyle w:val="000000100000"/>
            </w:pPr>
            <w:r w:rsidRPr="6151746C">
              <w:t>1.52</w:t>
            </w:r>
          </w:p>
        </w:tc>
        <w:tc>
          <w:tcPr>
            <w:tcW w:w="1337" w:type="dxa"/>
          </w:tcPr>
          <w:p w:rsidR="00433B8A" w:rsidRDefault="00433B8A" w:rsidP="0058232E">
            <w:pPr>
              <w:jc w:val="both"/>
              <w:cnfStyle w:val="000000100000"/>
            </w:pPr>
            <w:r w:rsidRPr="6151746C">
              <w:t>1.61</w:t>
            </w:r>
          </w:p>
        </w:tc>
        <w:tc>
          <w:tcPr>
            <w:tcW w:w="1337" w:type="dxa"/>
          </w:tcPr>
          <w:p w:rsidR="00433B8A" w:rsidRDefault="00433B8A" w:rsidP="0058232E">
            <w:pPr>
              <w:jc w:val="both"/>
              <w:cnfStyle w:val="000000100000"/>
            </w:pPr>
            <w:r w:rsidRPr="6151746C">
              <w:t>1.44</w:t>
            </w:r>
          </w:p>
        </w:tc>
      </w:tr>
      <w:tr w:rsidR="00433B8A" w:rsidTr="0058232E">
        <w:tc>
          <w:tcPr>
            <w:cnfStyle w:val="001000000000"/>
            <w:tcW w:w="1335" w:type="dxa"/>
          </w:tcPr>
          <w:p w:rsidR="00433B8A" w:rsidRDefault="00433B8A" w:rsidP="0058232E">
            <w:pPr>
              <w:jc w:val="both"/>
              <w:rPr>
                <w:sz w:val="18"/>
                <w:szCs w:val="18"/>
              </w:rPr>
            </w:pPr>
            <w:r w:rsidRPr="6151746C">
              <w:rPr>
                <w:sz w:val="18"/>
                <w:szCs w:val="18"/>
              </w:rPr>
              <w:t>QUICK RATIO</w:t>
            </w:r>
          </w:p>
        </w:tc>
        <w:tc>
          <w:tcPr>
            <w:tcW w:w="1335" w:type="dxa"/>
          </w:tcPr>
          <w:p w:rsidR="00433B8A" w:rsidRDefault="00433B8A" w:rsidP="0058232E">
            <w:pPr>
              <w:jc w:val="both"/>
              <w:cnfStyle w:val="000000000000"/>
            </w:pPr>
            <w:r w:rsidRPr="6151746C">
              <w:t>0.95</w:t>
            </w:r>
          </w:p>
        </w:tc>
        <w:tc>
          <w:tcPr>
            <w:tcW w:w="1337" w:type="dxa"/>
          </w:tcPr>
          <w:p w:rsidR="00433B8A" w:rsidRDefault="00433B8A" w:rsidP="0058232E">
            <w:pPr>
              <w:jc w:val="both"/>
              <w:cnfStyle w:val="000000000000"/>
            </w:pPr>
            <w:r w:rsidRPr="6151746C">
              <w:t>1.03</w:t>
            </w:r>
          </w:p>
        </w:tc>
        <w:tc>
          <w:tcPr>
            <w:tcW w:w="1337" w:type="dxa"/>
          </w:tcPr>
          <w:p w:rsidR="00433B8A" w:rsidRDefault="00433B8A" w:rsidP="0058232E">
            <w:pPr>
              <w:jc w:val="both"/>
              <w:cnfStyle w:val="000000000000"/>
            </w:pPr>
            <w:r w:rsidRPr="6151746C">
              <w:t>1.35</w:t>
            </w:r>
          </w:p>
        </w:tc>
        <w:tc>
          <w:tcPr>
            <w:tcW w:w="1337" w:type="dxa"/>
          </w:tcPr>
          <w:p w:rsidR="00433B8A" w:rsidRDefault="00433B8A" w:rsidP="0058232E">
            <w:pPr>
              <w:jc w:val="both"/>
              <w:cnfStyle w:val="000000000000"/>
            </w:pPr>
            <w:r w:rsidRPr="6151746C">
              <w:t>1.20</w:t>
            </w:r>
          </w:p>
        </w:tc>
        <w:tc>
          <w:tcPr>
            <w:tcW w:w="1337" w:type="dxa"/>
          </w:tcPr>
          <w:p w:rsidR="00433B8A" w:rsidRDefault="00433B8A" w:rsidP="0058232E">
            <w:pPr>
              <w:jc w:val="both"/>
              <w:cnfStyle w:val="000000000000"/>
            </w:pPr>
            <w:r w:rsidRPr="6151746C">
              <w:t>1.29</w:t>
            </w:r>
          </w:p>
        </w:tc>
        <w:tc>
          <w:tcPr>
            <w:tcW w:w="1337" w:type="dxa"/>
          </w:tcPr>
          <w:p w:rsidR="00433B8A" w:rsidRDefault="00433B8A" w:rsidP="0058232E">
            <w:pPr>
              <w:jc w:val="both"/>
              <w:cnfStyle w:val="000000000000"/>
            </w:pPr>
            <w:r w:rsidRPr="6151746C">
              <w:t>1.16</w:t>
            </w:r>
          </w:p>
        </w:tc>
      </w:tr>
      <w:tr w:rsidR="00433B8A" w:rsidTr="0058232E">
        <w:trPr>
          <w:cnfStyle w:val="000000100000"/>
        </w:trPr>
        <w:tc>
          <w:tcPr>
            <w:cnfStyle w:val="001000000000"/>
            <w:tcW w:w="1335" w:type="dxa"/>
          </w:tcPr>
          <w:p w:rsidR="00433B8A" w:rsidRDefault="00433B8A" w:rsidP="0058232E">
            <w:pPr>
              <w:jc w:val="both"/>
              <w:rPr>
                <w:sz w:val="18"/>
                <w:szCs w:val="18"/>
              </w:rPr>
            </w:pPr>
            <w:r w:rsidRPr="6151746C">
              <w:rPr>
                <w:sz w:val="18"/>
                <w:szCs w:val="18"/>
              </w:rPr>
              <w:t>CASH RATIO</w:t>
            </w:r>
          </w:p>
        </w:tc>
        <w:tc>
          <w:tcPr>
            <w:tcW w:w="1335" w:type="dxa"/>
          </w:tcPr>
          <w:p w:rsidR="00433B8A" w:rsidRDefault="00433B8A" w:rsidP="0058232E">
            <w:pPr>
              <w:jc w:val="both"/>
              <w:cnfStyle w:val="000000100000"/>
            </w:pPr>
            <w:r w:rsidRPr="6151746C">
              <w:t>0.51</w:t>
            </w:r>
          </w:p>
        </w:tc>
        <w:tc>
          <w:tcPr>
            <w:tcW w:w="1337" w:type="dxa"/>
          </w:tcPr>
          <w:p w:rsidR="00433B8A" w:rsidRDefault="00433B8A" w:rsidP="0058232E">
            <w:pPr>
              <w:jc w:val="both"/>
              <w:cnfStyle w:val="000000100000"/>
            </w:pPr>
            <w:r w:rsidRPr="6151746C">
              <w:t>0.67</w:t>
            </w:r>
          </w:p>
        </w:tc>
        <w:tc>
          <w:tcPr>
            <w:tcW w:w="1337" w:type="dxa"/>
          </w:tcPr>
          <w:p w:rsidR="00433B8A" w:rsidRDefault="00433B8A" w:rsidP="0058232E">
            <w:pPr>
              <w:jc w:val="both"/>
              <w:cnfStyle w:val="000000100000"/>
            </w:pPr>
            <w:r w:rsidRPr="6151746C">
              <w:t>1.02</w:t>
            </w:r>
          </w:p>
        </w:tc>
        <w:tc>
          <w:tcPr>
            <w:tcW w:w="1337" w:type="dxa"/>
          </w:tcPr>
          <w:p w:rsidR="00433B8A" w:rsidRDefault="00433B8A" w:rsidP="0058232E">
            <w:pPr>
              <w:jc w:val="both"/>
              <w:cnfStyle w:val="000000100000"/>
            </w:pPr>
            <w:r w:rsidRPr="6151746C">
              <w:t>0.93</w:t>
            </w:r>
          </w:p>
        </w:tc>
        <w:tc>
          <w:tcPr>
            <w:tcW w:w="1337" w:type="dxa"/>
          </w:tcPr>
          <w:p w:rsidR="00433B8A" w:rsidRDefault="00433B8A" w:rsidP="0058232E">
            <w:pPr>
              <w:jc w:val="both"/>
              <w:cnfStyle w:val="000000100000"/>
            </w:pPr>
            <w:r w:rsidRPr="6151746C">
              <w:t>0.88</w:t>
            </w:r>
          </w:p>
        </w:tc>
        <w:tc>
          <w:tcPr>
            <w:tcW w:w="1337" w:type="dxa"/>
          </w:tcPr>
          <w:p w:rsidR="00433B8A" w:rsidRDefault="00433B8A" w:rsidP="0058232E">
            <w:pPr>
              <w:jc w:val="both"/>
              <w:cnfStyle w:val="000000100000"/>
            </w:pPr>
            <w:r w:rsidRPr="6151746C">
              <w:t>0.84</w:t>
            </w:r>
          </w:p>
        </w:tc>
      </w:tr>
    </w:tbl>
    <w:p w:rsidR="00433B8A" w:rsidRDefault="00433B8A" w:rsidP="00433B8A">
      <w:pPr>
        <w:jc w:val="both"/>
      </w:pPr>
    </w:p>
    <w:p w:rsidR="00433B8A" w:rsidRDefault="00433B8A" w:rsidP="00433B8A">
      <w:pPr>
        <w:pStyle w:val="Heading3"/>
        <w:jc w:val="both"/>
      </w:pPr>
      <w:r w:rsidRPr="6151746C">
        <w:rPr>
          <w:b/>
          <w:bCs/>
          <w:u w:val="single"/>
        </w:rPr>
        <w:t>CURRENT RATIO</w:t>
      </w:r>
    </w:p>
    <w:p w:rsidR="00433B8A" w:rsidRDefault="00433B8A" w:rsidP="00433B8A">
      <w:pPr>
        <w:jc w:val="both"/>
      </w:pPr>
    </w:p>
    <w:p w:rsidR="00433B8A" w:rsidRDefault="00433B8A" w:rsidP="00433B8A">
      <w:pPr>
        <w:jc w:val="both"/>
        <w:rPr>
          <w:b/>
          <w:bCs/>
          <w:u w:val="single"/>
        </w:rPr>
      </w:pPr>
      <w:r>
        <w:t>The current ratio compares the liquid assets (that is, cash and those assets which will soon be turned into cash) of the business with the current liabilities. It’s the ability of the company to pay off current liabilities with the liquid assets. A higher ratio is often considered appropriate on the other hand, too high ratio is not demanded because the resources could be used more efficiently. However, it depends on the type of business as different business require different current ratio (Atrill, 2014).</w:t>
      </w:r>
    </w:p>
    <w:p w:rsidR="00433B8A" w:rsidRDefault="00433B8A" w:rsidP="00433B8A">
      <w:pPr>
        <w:jc w:val="both"/>
      </w:pPr>
      <w:r>
        <w:t xml:space="preserve">The liquidity (current ratio) is relatively stable throughout. In 2012 the company's ability to cover its current liabilities with its current asset was 1.39. there is not much increase in 2013. However, in 2014 it goes up to 1.70, which means that the company's ability to pay its liabilities are increasing. As the definition says higher the ratio greater the ability to pay its bills. In the year 2015 the ratio </w:t>
      </w:r>
      <w:r>
        <w:lastRenderedPageBreak/>
        <w:t>declined comparatively from 2014 but still the company is in a good position to cover its liabilities. The company recovered in 2016 by 0.9. the company is in a stable condition to pay off its liabilities.</w:t>
      </w:r>
    </w:p>
    <w:p w:rsidR="00433B8A" w:rsidRDefault="00433B8A" w:rsidP="00433B8A">
      <w:pPr>
        <w:jc w:val="both"/>
      </w:pPr>
      <w:r>
        <w:t>Rio Tinto has a better current ration as compared to BHP Billiton. The current ratio of BHP Billiton for the year ended 2016 is quite good too. It's not too high that is, they are using their assets efficiently and not too low that is, they have the ability to pay off their liabilities.</w:t>
      </w:r>
    </w:p>
    <w:p w:rsidR="00433B8A" w:rsidRDefault="00433B8A" w:rsidP="00433B8A">
      <w:pPr>
        <w:jc w:val="both"/>
      </w:pPr>
    </w:p>
    <w:p w:rsidR="00433B8A" w:rsidRDefault="00433B8A" w:rsidP="00433B8A">
      <w:pPr>
        <w:pStyle w:val="Heading3"/>
        <w:jc w:val="both"/>
      </w:pPr>
      <w:r w:rsidRPr="6151746C">
        <w:rPr>
          <w:b/>
          <w:bCs/>
          <w:u w:val="single"/>
        </w:rPr>
        <w:t>QUICK RATIO</w:t>
      </w:r>
    </w:p>
    <w:p w:rsidR="00433B8A" w:rsidRDefault="00433B8A" w:rsidP="00433B8A">
      <w:pPr>
        <w:jc w:val="both"/>
      </w:pPr>
    </w:p>
    <w:p w:rsidR="00433B8A" w:rsidRDefault="00433B8A" w:rsidP="00433B8A">
      <w:pPr>
        <w:jc w:val="both"/>
      </w:pPr>
      <w:r>
        <w:t>The quick ratio is very similar to current ratio, but it represents a more stringent test of liquidity. The inventories take time to converted in cash. As a result, it may be better to exclude this particular asset from any measure of liquidity. The quick ratio is a variation of current ratio, that excludes inventory.</w:t>
      </w:r>
    </w:p>
    <w:p w:rsidR="00433B8A" w:rsidRDefault="00433B8A" w:rsidP="00433B8A">
      <w:pPr>
        <w:jc w:val="both"/>
      </w:pPr>
      <w:r>
        <w:t>According to the definition of quick ratio the company should be able to pay off its liabilities with its most liquid assets, in 2012 the quick ratio was 0.95 that is the company was not in a position to pay its liabilities without inventories. the overall trend was similar to the trend of current ratio. The quick ratio after 2012 is all above 1 that is the company has the ability to pay off its current liabilities without its inventories. In 2014 the company had the best quick ratio as after the loss in 2012 the company is trying to cut off their short-term debts. The quick ratio is not high, which means the company is utilizing their current assets efficiently.</w:t>
      </w:r>
    </w:p>
    <w:p w:rsidR="00433B8A" w:rsidRDefault="00433B8A" w:rsidP="00433B8A">
      <w:pPr>
        <w:jc w:val="both"/>
      </w:pPr>
      <w:r>
        <w:t>BHP Billiton has a quick ratio which is lower than Rio Tinto but still it has a stable quick ratio that is not too high not too low. BHP Billiton also has the ability to pay off its current liabilities without the inventories</w:t>
      </w:r>
    </w:p>
    <w:p w:rsidR="00433B8A" w:rsidRDefault="00433B8A" w:rsidP="00433B8A">
      <w:pPr>
        <w:pStyle w:val="Heading3"/>
        <w:jc w:val="both"/>
        <w:rPr>
          <w:b/>
          <w:bCs/>
          <w:u w:val="single"/>
        </w:rPr>
      </w:pPr>
    </w:p>
    <w:p w:rsidR="00433B8A" w:rsidRDefault="00433B8A" w:rsidP="00433B8A">
      <w:pPr>
        <w:pStyle w:val="Heading3"/>
        <w:jc w:val="both"/>
      </w:pPr>
      <w:r w:rsidRPr="6151746C">
        <w:rPr>
          <w:b/>
          <w:bCs/>
          <w:u w:val="single"/>
        </w:rPr>
        <w:t>CASH RATIO</w:t>
      </w:r>
    </w:p>
    <w:p w:rsidR="00433B8A" w:rsidRDefault="00433B8A" w:rsidP="00433B8A"/>
    <w:p w:rsidR="00433B8A" w:rsidRDefault="00433B8A" w:rsidP="00433B8A">
      <w:pPr>
        <w:rPr>
          <w:rFonts w:ascii="Calibri" w:eastAsia="Calibri" w:hAnsi="Calibri" w:cs="Calibri"/>
        </w:rPr>
      </w:pPr>
      <w:r w:rsidRPr="6151746C">
        <w:rPr>
          <w:rFonts w:ascii="Calibri" w:eastAsia="Calibri" w:hAnsi="Calibri" w:cs="Calibri"/>
          <w:lang w:val="en-US"/>
        </w:rPr>
        <w:t xml:space="preserve">The cash ratio is the ratio of a company's total </w:t>
      </w:r>
      <w:hyperlink r:id="rId15">
        <w:r w:rsidRPr="6151746C">
          <w:rPr>
            <w:rStyle w:val="Hyperlink"/>
            <w:rFonts w:ascii="Calibri" w:eastAsia="Calibri" w:hAnsi="Calibri" w:cs="Calibri"/>
            <w:lang w:val="en-US"/>
          </w:rPr>
          <w:t>cash and cash equivalents</w:t>
        </w:r>
      </w:hyperlink>
      <w:r w:rsidRPr="6151746C">
        <w:rPr>
          <w:rFonts w:ascii="Calibri" w:eastAsia="Calibri" w:hAnsi="Calibri" w:cs="Calibri"/>
          <w:lang w:val="en-US"/>
        </w:rPr>
        <w:t xml:space="preserve"> to its </w:t>
      </w:r>
      <w:hyperlink r:id="rId16">
        <w:r w:rsidRPr="6151746C">
          <w:rPr>
            <w:rStyle w:val="Hyperlink"/>
            <w:rFonts w:ascii="Calibri" w:eastAsia="Calibri" w:hAnsi="Calibri" w:cs="Calibri"/>
            <w:lang w:val="en-US"/>
          </w:rPr>
          <w:t>current liabilities</w:t>
        </w:r>
      </w:hyperlink>
      <w:r w:rsidRPr="6151746C">
        <w:rPr>
          <w:rFonts w:ascii="Calibri" w:eastAsia="Calibri" w:hAnsi="Calibri" w:cs="Calibri"/>
          <w:lang w:val="en-US"/>
        </w:rPr>
        <w:t xml:space="preserve">. The metric calculates a company's ability to repay its </w:t>
      </w:r>
      <w:hyperlink r:id="rId17">
        <w:r w:rsidRPr="6151746C">
          <w:rPr>
            <w:rStyle w:val="Hyperlink"/>
            <w:rFonts w:ascii="Calibri" w:eastAsia="Calibri" w:hAnsi="Calibri" w:cs="Calibri"/>
            <w:lang w:val="en-US"/>
          </w:rPr>
          <w:t>short-term debt</w:t>
        </w:r>
      </w:hyperlink>
      <w:r w:rsidRPr="6151746C">
        <w:rPr>
          <w:rFonts w:ascii="Calibri" w:eastAsia="Calibri" w:hAnsi="Calibri" w:cs="Calibri"/>
          <w:lang w:val="en-US"/>
        </w:rPr>
        <w:t xml:space="preserve">; this information is useful to </w:t>
      </w:r>
      <w:hyperlink r:id="rId18">
        <w:r w:rsidRPr="6151746C">
          <w:rPr>
            <w:rStyle w:val="Hyperlink"/>
            <w:rFonts w:ascii="Calibri" w:eastAsia="Calibri" w:hAnsi="Calibri" w:cs="Calibri"/>
            <w:lang w:val="en-US"/>
          </w:rPr>
          <w:t>creditors</w:t>
        </w:r>
      </w:hyperlink>
      <w:r w:rsidRPr="6151746C">
        <w:rPr>
          <w:rFonts w:ascii="Calibri" w:eastAsia="Calibri" w:hAnsi="Calibri" w:cs="Calibri"/>
          <w:lang w:val="en-US"/>
        </w:rPr>
        <w:t xml:space="preserve"> when deciding how much debt, if any, they would be willing to extend to the asking party. The cash ratio is generally a more conservative look at a company's ability to cover its </w:t>
      </w:r>
      <w:hyperlink r:id="rId19">
        <w:r w:rsidRPr="6151746C">
          <w:rPr>
            <w:rStyle w:val="Hyperlink"/>
            <w:rFonts w:ascii="Calibri" w:eastAsia="Calibri" w:hAnsi="Calibri" w:cs="Calibri"/>
            <w:lang w:val="en-US"/>
          </w:rPr>
          <w:t>liabilities</w:t>
        </w:r>
      </w:hyperlink>
      <w:r w:rsidRPr="6151746C">
        <w:rPr>
          <w:rFonts w:ascii="Calibri" w:eastAsia="Calibri" w:hAnsi="Calibri" w:cs="Calibri"/>
          <w:lang w:val="en-US"/>
        </w:rPr>
        <w:t xml:space="preserve"> than many other </w:t>
      </w:r>
      <w:hyperlink r:id="rId20">
        <w:r w:rsidRPr="6151746C">
          <w:rPr>
            <w:rStyle w:val="Hyperlink"/>
            <w:rFonts w:ascii="Calibri" w:eastAsia="Calibri" w:hAnsi="Calibri" w:cs="Calibri"/>
            <w:lang w:val="en-US"/>
          </w:rPr>
          <w:t>liquidity ratios</w:t>
        </w:r>
      </w:hyperlink>
      <w:r w:rsidRPr="6151746C">
        <w:rPr>
          <w:rFonts w:ascii="Calibri" w:eastAsia="Calibri" w:hAnsi="Calibri" w:cs="Calibri"/>
          <w:lang w:val="en-US"/>
        </w:rPr>
        <w:t xml:space="preserve"> because other assets, including </w:t>
      </w:r>
      <w:hyperlink r:id="rId21">
        <w:r w:rsidRPr="6151746C">
          <w:rPr>
            <w:rStyle w:val="Hyperlink"/>
            <w:rFonts w:ascii="Calibri" w:eastAsia="Calibri" w:hAnsi="Calibri" w:cs="Calibri"/>
            <w:lang w:val="en-US"/>
          </w:rPr>
          <w:t>accounts receivable</w:t>
        </w:r>
      </w:hyperlink>
      <w:r w:rsidRPr="6151746C">
        <w:rPr>
          <w:rFonts w:ascii="Calibri" w:eastAsia="Calibri" w:hAnsi="Calibri" w:cs="Calibri"/>
          <w:lang w:val="en-US"/>
        </w:rPr>
        <w:t>, are left out of the equation.</w:t>
      </w:r>
    </w:p>
    <w:p w:rsidR="00433B8A" w:rsidRDefault="00433B8A" w:rsidP="00433B8A">
      <w:pPr>
        <w:rPr>
          <w:rFonts w:ascii="Calibri" w:eastAsia="Calibri" w:hAnsi="Calibri" w:cs="Calibri"/>
        </w:rPr>
      </w:pPr>
      <w:r w:rsidRPr="6151746C">
        <w:rPr>
          <w:rFonts w:ascii="Calibri" w:eastAsia="Calibri" w:hAnsi="Calibri" w:cs="Calibri"/>
          <w:lang w:val="en-US"/>
        </w:rPr>
        <w:t>The cash ratio has a similar trend with quick ratio except in 2016, where the cash ratio declined from 2015. The company do don’t have the ability to pay off its current liabilities only by using cash in these years. However 2014 had a high cash ratio over 1 where it was possible to pay off the current liabilities with its cash only.</w:t>
      </w:r>
    </w:p>
    <w:p w:rsidR="00433B8A" w:rsidRDefault="00433B8A" w:rsidP="00433B8A">
      <w:pPr>
        <w:rPr>
          <w:rFonts w:ascii="Calibri" w:eastAsia="Calibri" w:hAnsi="Calibri" w:cs="Calibri"/>
        </w:rPr>
      </w:pPr>
      <w:r w:rsidRPr="6151746C">
        <w:rPr>
          <w:rFonts w:ascii="Calibri" w:eastAsia="Calibri" w:hAnsi="Calibri" w:cs="Calibri"/>
          <w:lang w:val="en-US"/>
        </w:rPr>
        <w:t>BHP Billiton has a cash ratio of 0.84 which is not very different from Rio Tinto. But comparatively lower than Rio Tinto. BHP Billiton also does not have the ability to pay off its current liabilities with cash only.</w:t>
      </w:r>
    </w:p>
    <w:p w:rsidR="00433B8A" w:rsidRDefault="00433B8A" w:rsidP="00433B8A">
      <w:pPr>
        <w:rPr>
          <w:rFonts w:ascii="Calibri" w:eastAsia="Calibri" w:hAnsi="Calibri" w:cs="Calibri"/>
        </w:rPr>
      </w:pPr>
    </w:p>
    <w:p w:rsidR="00433B8A" w:rsidRPr="0058232E" w:rsidRDefault="00433B8A" w:rsidP="0058232E">
      <w:pPr>
        <w:pStyle w:val="Heading3"/>
        <w:rPr>
          <w:rFonts w:ascii="Calibri" w:eastAsia="Calibri" w:hAnsi="Calibri" w:cs="Calibri"/>
          <w:b/>
          <w:u w:val="single"/>
        </w:rPr>
      </w:pPr>
      <w:r>
        <w:br/>
      </w:r>
      <w:r w:rsidRPr="0058232E">
        <w:rPr>
          <w:b/>
          <w:u w:val="single"/>
        </w:rPr>
        <w:t>EFFECIENCY RATIOS</w:t>
      </w:r>
    </w:p>
    <w:p w:rsidR="00433B8A" w:rsidRDefault="00433B8A" w:rsidP="00433B8A">
      <w:pPr>
        <w:jc w:val="both"/>
      </w:pPr>
    </w:p>
    <w:tbl>
      <w:tblPr>
        <w:tblStyle w:val="GridTable5DarkAccent6"/>
        <w:tblW w:w="0" w:type="auto"/>
        <w:tblLook w:val="04A0"/>
      </w:tblPr>
      <w:tblGrid>
        <w:gridCol w:w="1333"/>
        <w:gridCol w:w="1315"/>
        <w:gridCol w:w="1317"/>
        <w:gridCol w:w="1317"/>
        <w:gridCol w:w="1317"/>
        <w:gridCol w:w="1319"/>
        <w:gridCol w:w="1324"/>
      </w:tblGrid>
      <w:tr w:rsidR="00433B8A" w:rsidTr="0058232E">
        <w:trPr>
          <w:cnfStyle w:val="100000000000"/>
        </w:trPr>
        <w:tc>
          <w:tcPr>
            <w:cnfStyle w:val="001000000000"/>
            <w:tcW w:w="1335" w:type="dxa"/>
          </w:tcPr>
          <w:p w:rsidR="00433B8A" w:rsidRDefault="00433B8A" w:rsidP="0058232E">
            <w:pPr>
              <w:jc w:val="both"/>
            </w:pPr>
            <w:r w:rsidRPr="6151746C">
              <w:t>YEARS</w:t>
            </w:r>
          </w:p>
        </w:tc>
        <w:tc>
          <w:tcPr>
            <w:tcW w:w="1335" w:type="dxa"/>
          </w:tcPr>
          <w:p w:rsidR="00433B8A" w:rsidRDefault="00433B8A" w:rsidP="0058232E">
            <w:pPr>
              <w:jc w:val="both"/>
              <w:cnfStyle w:val="100000000000"/>
            </w:pPr>
            <w:r w:rsidRPr="6151746C">
              <w:t>2012</w:t>
            </w:r>
          </w:p>
        </w:tc>
        <w:tc>
          <w:tcPr>
            <w:tcW w:w="1337" w:type="dxa"/>
          </w:tcPr>
          <w:p w:rsidR="00433B8A" w:rsidRDefault="00433B8A" w:rsidP="0058232E">
            <w:pPr>
              <w:jc w:val="both"/>
              <w:cnfStyle w:val="100000000000"/>
            </w:pPr>
            <w:r w:rsidRPr="6151746C">
              <w:t>2013</w:t>
            </w:r>
          </w:p>
        </w:tc>
        <w:tc>
          <w:tcPr>
            <w:tcW w:w="1337" w:type="dxa"/>
          </w:tcPr>
          <w:p w:rsidR="00433B8A" w:rsidRDefault="00433B8A" w:rsidP="0058232E">
            <w:pPr>
              <w:jc w:val="both"/>
              <w:cnfStyle w:val="100000000000"/>
            </w:pPr>
            <w:r w:rsidRPr="6151746C">
              <w:t>2014</w:t>
            </w:r>
          </w:p>
        </w:tc>
        <w:tc>
          <w:tcPr>
            <w:tcW w:w="1337" w:type="dxa"/>
          </w:tcPr>
          <w:p w:rsidR="00433B8A" w:rsidRDefault="00433B8A" w:rsidP="0058232E">
            <w:pPr>
              <w:jc w:val="both"/>
              <w:cnfStyle w:val="100000000000"/>
            </w:pPr>
            <w:r w:rsidRPr="6151746C">
              <w:t>2015</w:t>
            </w:r>
          </w:p>
        </w:tc>
        <w:tc>
          <w:tcPr>
            <w:tcW w:w="1337" w:type="dxa"/>
          </w:tcPr>
          <w:p w:rsidR="00433B8A" w:rsidRDefault="00433B8A" w:rsidP="0058232E">
            <w:pPr>
              <w:jc w:val="both"/>
              <w:cnfStyle w:val="100000000000"/>
            </w:pPr>
            <w:r w:rsidRPr="6151746C">
              <w:t>2016</w:t>
            </w:r>
          </w:p>
        </w:tc>
        <w:tc>
          <w:tcPr>
            <w:tcW w:w="1337" w:type="dxa"/>
          </w:tcPr>
          <w:p w:rsidR="00433B8A" w:rsidRDefault="00433B8A" w:rsidP="0058232E">
            <w:pPr>
              <w:jc w:val="both"/>
              <w:cnfStyle w:val="100000000000"/>
              <w:rPr>
                <w:sz w:val="18"/>
                <w:szCs w:val="18"/>
              </w:rPr>
            </w:pPr>
            <w:r w:rsidRPr="6151746C">
              <w:rPr>
                <w:sz w:val="18"/>
                <w:szCs w:val="18"/>
              </w:rPr>
              <w:t>BHP BILLITON 2016</w:t>
            </w:r>
          </w:p>
        </w:tc>
      </w:tr>
      <w:tr w:rsidR="00433B8A" w:rsidTr="0058232E">
        <w:trPr>
          <w:cnfStyle w:val="000000100000"/>
        </w:trPr>
        <w:tc>
          <w:tcPr>
            <w:cnfStyle w:val="001000000000"/>
            <w:tcW w:w="1335" w:type="dxa"/>
          </w:tcPr>
          <w:p w:rsidR="00433B8A" w:rsidRDefault="00433B8A" w:rsidP="0058232E">
            <w:pPr>
              <w:jc w:val="both"/>
            </w:pPr>
            <w:r w:rsidRPr="6151746C">
              <w:t>ASSET TURNOVER</w:t>
            </w:r>
          </w:p>
        </w:tc>
        <w:tc>
          <w:tcPr>
            <w:tcW w:w="1335" w:type="dxa"/>
          </w:tcPr>
          <w:p w:rsidR="00433B8A" w:rsidRDefault="00433B8A" w:rsidP="0058232E">
            <w:pPr>
              <w:jc w:val="both"/>
              <w:cnfStyle w:val="000000100000"/>
            </w:pPr>
            <w:r w:rsidRPr="6151746C">
              <w:t>0.43</w:t>
            </w:r>
          </w:p>
        </w:tc>
        <w:tc>
          <w:tcPr>
            <w:tcW w:w="1337" w:type="dxa"/>
          </w:tcPr>
          <w:p w:rsidR="00433B8A" w:rsidRDefault="00433B8A" w:rsidP="0058232E">
            <w:pPr>
              <w:jc w:val="both"/>
              <w:cnfStyle w:val="000000100000"/>
            </w:pPr>
            <w:r w:rsidRPr="6151746C">
              <w:t>0.47</w:t>
            </w:r>
          </w:p>
        </w:tc>
        <w:tc>
          <w:tcPr>
            <w:tcW w:w="1337" w:type="dxa"/>
          </w:tcPr>
          <w:p w:rsidR="00433B8A" w:rsidRDefault="00433B8A" w:rsidP="0058232E">
            <w:pPr>
              <w:jc w:val="both"/>
              <w:cnfStyle w:val="000000100000"/>
            </w:pPr>
            <w:r w:rsidRPr="6151746C">
              <w:t>0.44</w:t>
            </w:r>
          </w:p>
        </w:tc>
        <w:tc>
          <w:tcPr>
            <w:tcW w:w="1337" w:type="dxa"/>
          </w:tcPr>
          <w:p w:rsidR="00433B8A" w:rsidRDefault="00433B8A" w:rsidP="0058232E">
            <w:pPr>
              <w:jc w:val="both"/>
              <w:cnfStyle w:val="000000100000"/>
            </w:pPr>
            <w:r w:rsidRPr="6151746C">
              <w:t>0.38</w:t>
            </w:r>
          </w:p>
        </w:tc>
        <w:tc>
          <w:tcPr>
            <w:tcW w:w="1337" w:type="dxa"/>
          </w:tcPr>
          <w:p w:rsidR="00433B8A" w:rsidRDefault="00433B8A" w:rsidP="0058232E">
            <w:pPr>
              <w:jc w:val="both"/>
              <w:cnfStyle w:val="000000100000"/>
            </w:pPr>
            <w:r w:rsidRPr="6151746C">
              <w:t>0.37</w:t>
            </w:r>
          </w:p>
        </w:tc>
        <w:tc>
          <w:tcPr>
            <w:tcW w:w="1337" w:type="dxa"/>
          </w:tcPr>
          <w:p w:rsidR="00433B8A" w:rsidRDefault="00433B8A" w:rsidP="0058232E">
            <w:pPr>
              <w:jc w:val="both"/>
              <w:cnfStyle w:val="000000100000"/>
            </w:pPr>
            <w:r w:rsidRPr="6151746C">
              <w:t>0.27</w:t>
            </w:r>
          </w:p>
        </w:tc>
      </w:tr>
      <w:tr w:rsidR="00433B8A" w:rsidTr="0058232E">
        <w:tc>
          <w:tcPr>
            <w:cnfStyle w:val="001000000000"/>
            <w:tcW w:w="1335" w:type="dxa"/>
          </w:tcPr>
          <w:p w:rsidR="00433B8A" w:rsidRDefault="00433B8A" w:rsidP="0058232E">
            <w:pPr>
              <w:jc w:val="both"/>
              <w:rPr>
                <w:sz w:val="18"/>
                <w:szCs w:val="18"/>
              </w:rPr>
            </w:pPr>
            <w:r w:rsidRPr="6151746C">
              <w:rPr>
                <w:sz w:val="18"/>
                <w:szCs w:val="18"/>
              </w:rPr>
              <w:t>INVENTORY TURNOVER</w:t>
            </w:r>
          </w:p>
        </w:tc>
        <w:tc>
          <w:tcPr>
            <w:tcW w:w="1335" w:type="dxa"/>
          </w:tcPr>
          <w:p w:rsidR="00433B8A" w:rsidRDefault="00433B8A" w:rsidP="0058232E">
            <w:pPr>
              <w:jc w:val="both"/>
              <w:cnfStyle w:val="000000000000"/>
            </w:pPr>
            <w:r w:rsidRPr="6151746C">
              <w:t>8.90</w:t>
            </w:r>
          </w:p>
        </w:tc>
        <w:tc>
          <w:tcPr>
            <w:tcW w:w="1337" w:type="dxa"/>
          </w:tcPr>
          <w:p w:rsidR="00433B8A" w:rsidRDefault="00433B8A" w:rsidP="0058232E">
            <w:pPr>
              <w:jc w:val="both"/>
              <w:cnfStyle w:val="000000000000"/>
            </w:pPr>
            <w:r w:rsidRPr="6151746C">
              <w:t>8.71</w:t>
            </w:r>
          </w:p>
        </w:tc>
        <w:tc>
          <w:tcPr>
            <w:tcW w:w="1337" w:type="dxa"/>
          </w:tcPr>
          <w:p w:rsidR="00433B8A" w:rsidRDefault="00433B8A" w:rsidP="0058232E">
            <w:pPr>
              <w:jc w:val="both"/>
              <w:cnfStyle w:val="000000000000"/>
            </w:pPr>
            <w:r w:rsidRPr="6151746C">
              <w:t>9.44</w:t>
            </w:r>
          </w:p>
        </w:tc>
        <w:tc>
          <w:tcPr>
            <w:tcW w:w="1337" w:type="dxa"/>
          </w:tcPr>
          <w:p w:rsidR="00433B8A" w:rsidRDefault="00433B8A" w:rsidP="0058232E">
            <w:pPr>
              <w:jc w:val="both"/>
              <w:cnfStyle w:val="000000000000"/>
            </w:pPr>
            <w:r w:rsidRPr="6151746C">
              <w:t>9.27</w:t>
            </w:r>
          </w:p>
        </w:tc>
        <w:tc>
          <w:tcPr>
            <w:tcW w:w="1337" w:type="dxa"/>
          </w:tcPr>
          <w:p w:rsidR="00433B8A" w:rsidRDefault="00433B8A" w:rsidP="0058232E">
            <w:pPr>
              <w:jc w:val="both"/>
              <w:cnfStyle w:val="000000000000"/>
            </w:pPr>
            <w:r w:rsidRPr="6151746C">
              <w:t>11.07</w:t>
            </w:r>
          </w:p>
        </w:tc>
        <w:tc>
          <w:tcPr>
            <w:tcW w:w="1337" w:type="dxa"/>
          </w:tcPr>
          <w:p w:rsidR="00433B8A" w:rsidRDefault="00433B8A" w:rsidP="0058232E">
            <w:pPr>
              <w:jc w:val="both"/>
              <w:cnfStyle w:val="000000000000"/>
            </w:pPr>
            <w:r w:rsidRPr="6151746C">
              <w:t>15.94</w:t>
            </w:r>
          </w:p>
        </w:tc>
      </w:tr>
    </w:tbl>
    <w:p w:rsidR="00433B8A" w:rsidRDefault="00433B8A" w:rsidP="00433B8A">
      <w:pPr>
        <w:jc w:val="both"/>
      </w:pPr>
    </w:p>
    <w:p w:rsidR="00433B8A" w:rsidRDefault="00433B8A" w:rsidP="00433B8A">
      <w:pPr>
        <w:pStyle w:val="Heading3"/>
        <w:jc w:val="both"/>
      </w:pPr>
    </w:p>
    <w:p w:rsidR="00433B8A" w:rsidRDefault="00433B8A" w:rsidP="00433B8A">
      <w:pPr>
        <w:pStyle w:val="Heading3"/>
        <w:jc w:val="both"/>
        <w:rPr>
          <w:b/>
          <w:bCs/>
          <w:u w:val="single"/>
        </w:rPr>
      </w:pPr>
      <w:r w:rsidRPr="6151746C">
        <w:rPr>
          <w:b/>
          <w:bCs/>
          <w:u w:val="single"/>
        </w:rPr>
        <w:t>ASSET TURNOVER RATIO</w:t>
      </w:r>
    </w:p>
    <w:p w:rsidR="00433B8A" w:rsidRDefault="00433B8A" w:rsidP="00433B8A">
      <w:pPr>
        <w:jc w:val="both"/>
      </w:pPr>
    </w:p>
    <w:p w:rsidR="00433B8A" w:rsidRDefault="00433B8A" w:rsidP="00433B8A">
      <w:pPr>
        <w:jc w:val="both"/>
        <w:rPr>
          <w:u w:val="single"/>
        </w:rPr>
      </w:pPr>
      <w:r>
        <w:t xml:space="preserve">The asset turnover ratio examines how effectively the assets of the business are being used to generate sales revenue. </w:t>
      </w:r>
    </w:p>
    <w:p w:rsidR="00433B8A" w:rsidRDefault="00433B8A" w:rsidP="00433B8A">
      <w:pPr>
        <w:jc w:val="both"/>
      </w:pPr>
      <w:r>
        <w:t>The asset turnover ratio of Rio Tinto is not enough that is, the company is not generating mush revenue using its assets. There was an increase in 2013 from 2012 but after 2013 it again declined. As a higher sales revenue to assets ratio is preferred to a lower one. However, companies with high profit margins have low asset turnover (Collier, 2009). Rio Tinto is a mining company and except the year of loss it has quite a high profit margin. This may explain the reason for a low asset turn over.</w:t>
      </w:r>
    </w:p>
    <w:p w:rsidR="00433B8A" w:rsidRDefault="00433B8A" w:rsidP="00433B8A">
      <w:pPr>
        <w:jc w:val="both"/>
      </w:pPr>
      <w:r>
        <w:t>BHP Billiton being a mining company has the similar reasons although it suffered a major loss in 2016 but the has had good profit margin so it may explain the same for BHO Billiton. When to compared to BHP Billiton, Rio Tinto has a better asset turnover ratio. That is compared to BHP Billiton Rio TInto has a better usage of asset to generate revenue.</w:t>
      </w:r>
    </w:p>
    <w:p w:rsidR="00433B8A" w:rsidRDefault="00433B8A" w:rsidP="00433B8A">
      <w:pPr>
        <w:pStyle w:val="Heading3"/>
        <w:rPr>
          <w:b/>
          <w:bCs/>
          <w:u w:val="single"/>
        </w:rPr>
      </w:pPr>
    </w:p>
    <w:p w:rsidR="00433B8A" w:rsidRDefault="00433B8A" w:rsidP="00433B8A">
      <w:pPr>
        <w:pStyle w:val="Heading3"/>
      </w:pPr>
      <w:r w:rsidRPr="6151746C">
        <w:rPr>
          <w:b/>
          <w:bCs/>
          <w:u w:val="single"/>
        </w:rPr>
        <w:t>INVENTORY TURNOVER RATIO</w:t>
      </w:r>
    </w:p>
    <w:p w:rsidR="00433B8A" w:rsidRDefault="00433B8A" w:rsidP="00433B8A"/>
    <w:p w:rsidR="00433B8A" w:rsidRDefault="00433B8A" w:rsidP="00433B8A">
      <w:pPr>
        <w:rPr>
          <w:b/>
          <w:bCs/>
          <w:u w:val="single"/>
        </w:rPr>
      </w:pPr>
      <w:r w:rsidRPr="6151746C">
        <w:t>Inventory turnover ratio defines the number of times inventory turns in a year. It is good for the company to have a high inventory turnover ratio because holding inventories have a lot of cost related to it.</w:t>
      </w:r>
    </w:p>
    <w:p w:rsidR="00433B8A" w:rsidRDefault="00433B8A" w:rsidP="00433B8A">
      <w:r w:rsidRPr="6151746C">
        <w:t>The ratio declined after 2012 as the revenue was high in 2013. after that the sales gradually declined but had a better inventory turnover ratio after 2013. Although it declined in the year 2015 but it was just a little decrease from the year 2014.</w:t>
      </w:r>
    </w:p>
    <w:p w:rsidR="00433B8A" w:rsidRDefault="00433B8A" w:rsidP="00433B8A">
      <w:r w:rsidRPr="6151746C">
        <w:t xml:space="preserve">BHP Billiton has a better inventory turnover ratio that is, it turns it inventories over 15 times a tear. This means it has a less stock holding cost than Rio Tinto and its inventories gets sold faster than Rio Tinto. </w:t>
      </w:r>
    </w:p>
    <w:p w:rsidR="00433B8A" w:rsidRDefault="00433B8A" w:rsidP="00433B8A"/>
    <w:p w:rsidR="00433B8A" w:rsidRDefault="00433B8A" w:rsidP="00433B8A">
      <w:pPr>
        <w:pStyle w:val="Heading2"/>
        <w:jc w:val="both"/>
        <w:rPr>
          <w:b/>
          <w:bCs/>
          <w:u w:val="single"/>
        </w:rPr>
      </w:pPr>
    </w:p>
    <w:p w:rsidR="00433B8A" w:rsidRDefault="00433B8A" w:rsidP="00433B8A">
      <w:pPr>
        <w:pStyle w:val="Heading2"/>
        <w:jc w:val="both"/>
      </w:pPr>
      <w:r w:rsidRPr="6151746C">
        <w:rPr>
          <w:b/>
          <w:bCs/>
          <w:u w:val="single"/>
        </w:rPr>
        <w:t>GEARING RATIOS</w:t>
      </w:r>
    </w:p>
    <w:p w:rsidR="00433B8A" w:rsidRDefault="00433B8A" w:rsidP="00433B8A">
      <w:pPr>
        <w:jc w:val="both"/>
      </w:pPr>
    </w:p>
    <w:p w:rsidR="00433B8A" w:rsidRDefault="00433B8A" w:rsidP="00433B8A">
      <w:pPr>
        <w:jc w:val="both"/>
      </w:pPr>
      <w:r>
        <w:t>Gearing occurs when a business is financed by borrowing wholly or partly instead of the finance provided by the shareholders. Gearing put the company at risk because the need to pay the interest and if it’s a long term borrowing of high amount than it is a burden for the company.</w:t>
      </w:r>
    </w:p>
    <w:p w:rsidR="00433B8A" w:rsidRDefault="00433B8A" w:rsidP="00433B8A">
      <w:pPr>
        <w:jc w:val="both"/>
      </w:pPr>
    </w:p>
    <w:tbl>
      <w:tblPr>
        <w:tblStyle w:val="GridTable5DarkAccent6"/>
        <w:tblW w:w="0" w:type="auto"/>
        <w:tblLook w:val="04A0"/>
      </w:tblPr>
      <w:tblGrid>
        <w:gridCol w:w="1473"/>
        <w:gridCol w:w="1290"/>
        <w:gridCol w:w="1292"/>
        <w:gridCol w:w="1293"/>
        <w:gridCol w:w="1293"/>
        <w:gridCol w:w="1293"/>
        <w:gridCol w:w="1308"/>
      </w:tblGrid>
      <w:tr w:rsidR="00433B8A" w:rsidTr="0058232E">
        <w:trPr>
          <w:cnfStyle w:val="100000000000"/>
        </w:trPr>
        <w:tc>
          <w:tcPr>
            <w:cnfStyle w:val="001000000000"/>
            <w:tcW w:w="1335" w:type="dxa"/>
          </w:tcPr>
          <w:p w:rsidR="00433B8A" w:rsidRDefault="00433B8A" w:rsidP="0058232E">
            <w:pPr>
              <w:jc w:val="both"/>
            </w:pPr>
            <w:r w:rsidRPr="6151746C">
              <w:t>YEARS</w:t>
            </w:r>
          </w:p>
        </w:tc>
        <w:tc>
          <w:tcPr>
            <w:tcW w:w="1335" w:type="dxa"/>
          </w:tcPr>
          <w:p w:rsidR="00433B8A" w:rsidRDefault="00433B8A" w:rsidP="0058232E">
            <w:pPr>
              <w:jc w:val="both"/>
              <w:cnfStyle w:val="100000000000"/>
            </w:pPr>
            <w:r w:rsidRPr="6151746C">
              <w:t>2012</w:t>
            </w:r>
          </w:p>
        </w:tc>
        <w:tc>
          <w:tcPr>
            <w:tcW w:w="1337" w:type="dxa"/>
          </w:tcPr>
          <w:p w:rsidR="00433B8A" w:rsidRDefault="00433B8A" w:rsidP="0058232E">
            <w:pPr>
              <w:jc w:val="both"/>
              <w:cnfStyle w:val="100000000000"/>
            </w:pPr>
            <w:r w:rsidRPr="6151746C">
              <w:t>2013</w:t>
            </w:r>
          </w:p>
        </w:tc>
        <w:tc>
          <w:tcPr>
            <w:tcW w:w="1337" w:type="dxa"/>
          </w:tcPr>
          <w:p w:rsidR="00433B8A" w:rsidRDefault="00433B8A" w:rsidP="0058232E">
            <w:pPr>
              <w:jc w:val="both"/>
              <w:cnfStyle w:val="100000000000"/>
            </w:pPr>
            <w:r w:rsidRPr="6151746C">
              <w:t>2014</w:t>
            </w:r>
          </w:p>
        </w:tc>
        <w:tc>
          <w:tcPr>
            <w:tcW w:w="1337" w:type="dxa"/>
          </w:tcPr>
          <w:p w:rsidR="00433B8A" w:rsidRDefault="00433B8A" w:rsidP="0058232E">
            <w:pPr>
              <w:jc w:val="both"/>
              <w:cnfStyle w:val="100000000000"/>
            </w:pPr>
            <w:r w:rsidRPr="6151746C">
              <w:t>2015</w:t>
            </w:r>
          </w:p>
        </w:tc>
        <w:tc>
          <w:tcPr>
            <w:tcW w:w="1337" w:type="dxa"/>
          </w:tcPr>
          <w:p w:rsidR="00433B8A" w:rsidRDefault="00433B8A" w:rsidP="0058232E">
            <w:pPr>
              <w:jc w:val="both"/>
              <w:cnfStyle w:val="100000000000"/>
            </w:pPr>
            <w:r w:rsidRPr="6151746C">
              <w:t>2016</w:t>
            </w:r>
          </w:p>
        </w:tc>
        <w:tc>
          <w:tcPr>
            <w:tcW w:w="1337" w:type="dxa"/>
          </w:tcPr>
          <w:p w:rsidR="00433B8A" w:rsidRDefault="00433B8A" w:rsidP="0058232E">
            <w:pPr>
              <w:jc w:val="both"/>
              <w:cnfStyle w:val="100000000000"/>
              <w:rPr>
                <w:sz w:val="18"/>
                <w:szCs w:val="18"/>
              </w:rPr>
            </w:pPr>
            <w:r w:rsidRPr="6151746C">
              <w:rPr>
                <w:sz w:val="18"/>
                <w:szCs w:val="18"/>
              </w:rPr>
              <w:t>BHP BILLITON 2016</w:t>
            </w:r>
          </w:p>
        </w:tc>
      </w:tr>
      <w:tr w:rsidR="00433B8A" w:rsidTr="0058232E">
        <w:trPr>
          <w:cnfStyle w:val="000000100000"/>
        </w:trPr>
        <w:tc>
          <w:tcPr>
            <w:cnfStyle w:val="001000000000"/>
            <w:tcW w:w="1335" w:type="dxa"/>
          </w:tcPr>
          <w:p w:rsidR="00433B8A" w:rsidRDefault="00433B8A" w:rsidP="0058232E">
            <w:pPr>
              <w:jc w:val="both"/>
            </w:pPr>
            <w:r w:rsidRPr="6151746C">
              <w:t>DEBT/EQUITY</w:t>
            </w:r>
          </w:p>
        </w:tc>
        <w:tc>
          <w:tcPr>
            <w:tcW w:w="1335" w:type="dxa"/>
          </w:tcPr>
          <w:p w:rsidR="00433B8A" w:rsidRDefault="00433B8A" w:rsidP="0058232E">
            <w:pPr>
              <w:jc w:val="both"/>
              <w:cnfStyle w:val="000000100000"/>
            </w:pPr>
            <w:r w:rsidRPr="6151746C">
              <w:t>0.47</w:t>
            </w:r>
          </w:p>
        </w:tc>
        <w:tc>
          <w:tcPr>
            <w:tcW w:w="1337" w:type="dxa"/>
          </w:tcPr>
          <w:p w:rsidR="00433B8A" w:rsidRDefault="00433B8A" w:rsidP="0058232E">
            <w:pPr>
              <w:jc w:val="both"/>
              <w:cnfStyle w:val="000000100000"/>
            </w:pPr>
            <w:r w:rsidRPr="6151746C">
              <w:t>0.53</w:t>
            </w:r>
          </w:p>
        </w:tc>
        <w:tc>
          <w:tcPr>
            <w:tcW w:w="1337" w:type="dxa"/>
          </w:tcPr>
          <w:p w:rsidR="00433B8A" w:rsidRDefault="00433B8A" w:rsidP="0058232E">
            <w:pPr>
              <w:jc w:val="both"/>
              <w:cnfStyle w:val="000000100000"/>
            </w:pPr>
            <w:r w:rsidRPr="6151746C">
              <w:t>0.47</w:t>
            </w:r>
          </w:p>
        </w:tc>
        <w:tc>
          <w:tcPr>
            <w:tcW w:w="1337" w:type="dxa"/>
          </w:tcPr>
          <w:p w:rsidR="00433B8A" w:rsidRDefault="00433B8A" w:rsidP="0058232E">
            <w:pPr>
              <w:jc w:val="both"/>
              <w:cnfStyle w:val="000000100000"/>
            </w:pPr>
            <w:r w:rsidRPr="6151746C">
              <w:t>0.54</w:t>
            </w:r>
          </w:p>
        </w:tc>
        <w:tc>
          <w:tcPr>
            <w:tcW w:w="1337" w:type="dxa"/>
          </w:tcPr>
          <w:p w:rsidR="00433B8A" w:rsidRDefault="00433B8A" w:rsidP="0058232E">
            <w:pPr>
              <w:jc w:val="both"/>
              <w:cnfStyle w:val="000000100000"/>
            </w:pPr>
            <w:r w:rsidRPr="6151746C">
              <w:t>0.40</w:t>
            </w:r>
          </w:p>
        </w:tc>
        <w:tc>
          <w:tcPr>
            <w:tcW w:w="1337" w:type="dxa"/>
          </w:tcPr>
          <w:p w:rsidR="00433B8A" w:rsidRDefault="00433B8A" w:rsidP="0058232E">
            <w:pPr>
              <w:jc w:val="both"/>
              <w:cnfStyle w:val="000000100000"/>
            </w:pPr>
            <w:r w:rsidRPr="6151746C">
              <w:t>0.64</w:t>
            </w:r>
          </w:p>
        </w:tc>
      </w:tr>
      <w:tr w:rsidR="00433B8A" w:rsidTr="0058232E">
        <w:tc>
          <w:tcPr>
            <w:cnfStyle w:val="001000000000"/>
            <w:tcW w:w="1335" w:type="dxa"/>
          </w:tcPr>
          <w:p w:rsidR="00433B8A" w:rsidRDefault="00433B8A" w:rsidP="0058232E">
            <w:pPr>
              <w:jc w:val="both"/>
              <w:rPr>
                <w:sz w:val="18"/>
                <w:szCs w:val="18"/>
              </w:rPr>
            </w:pPr>
            <w:r w:rsidRPr="6151746C">
              <w:rPr>
                <w:sz w:val="18"/>
                <w:szCs w:val="18"/>
              </w:rPr>
              <w:t>LONG-TERM DEBT/EQUITY</w:t>
            </w:r>
          </w:p>
        </w:tc>
        <w:tc>
          <w:tcPr>
            <w:tcW w:w="1335" w:type="dxa"/>
          </w:tcPr>
          <w:p w:rsidR="00433B8A" w:rsidRDefault="00433B8A" w:rsidP="0058232E">
            <w:pPr>
              <w:jc w:val="both"/>
              <w:cnfStyle w:val="000000000000"/>
            </w:pPr>
            <w:r w:rsidRPr="6151746C">
              <w:t>0.42</w:t>
            </w:r>
          </w:p>
        </w:tc>
        <w:tc>
          <w:tcPr>
            <w:tcW w:w="1337" w:type="dxa"/>
          </w:tcPr>
          <w:p w:rsidR="00433B8A" w:rsidRDefault="00433B8A" w:rsidP="0058232E">
            <w:pPr>
              <w:jc w:val="both"/>
              <w:cnfStyle w:val="000000000000"/>
            </w:pPr>
            <w:r w:rsidRPr="6151746C">
              <w:t>0.47</w:t>
            </w:r>
          </w:p>
        </w:tc>
        <w:tc>
          <w:tcPr>
            <w:tcW w:w="1337" w:type="dxa"/>
          </w:tcPr>
          <w:p w:rsidR="00433B8A" w:rsidRDefault="00433B8A" w:rsidP="0058232E">
            <w:pPr>
              <w:jc w:val="both"/>
              <w:cnfStyle w:val="000000000000"/>
            </w:pPr>
            <w:r w:rsidRPr="6151746C">
              <w:t>0.41</w:t>
            </w:r>
          </w:p>
        </w:tc>
        <w:tc>
          <w:tcPr>
            <w:tcW w:w="1337" w:type="dxa"/>
          </w:tcPr>
          <w:p w:rsidR="00433B8A" w:rsidRDefault="00433B8A" w:rsidP="0058232E">
            <w:pPr>
              <w:jc w:val="both"/>
              <w:cnfStyle w:val="000000000000"/>
            </w:pPr>
            <w:r w:rsidRPr="6151746C">
              <w:t>0.48</w:t>
            </w:r>
          </w:p>
        </w:tc>
        <w:tc>
          <w:tcPr>
            <w:tcW w:w="1337" w:type="dxa"/>
          </w:tcPr>
          <w:p w:rsidR="00433B8A" w:rsidRDefault="00433B8A" w:rsidP="0058232E">
            <w:pPr>
              <w:jc w:val="both"/>
              <w:cnfStyle w:val="000000000000"/>
            </w:pPr>
            <w:r w:rsidRPr="6151746C">
              <w:t>0.38</w:t>
            </w:r>
          </w:p>
        </w:tc>
        <w:tc>
          <w:tcPr>
            <w:tcW w:w="1337" w:type="dxa"/>
          </w:tcPr>
          <w:p w:rsidR="00433B8A" w:rsidRDefault="00433B8A" w:rsidP="0058232E">
            <w:pPr>
              <w:jc w:val="both"/>
              <w:cnfStyle w:val="000000000000"/>
            </w:pPr>
            <w:r w:rsidRPr="6151746C">
              <w:t>0.56</w:t>
            </w:r>
          </w:p>
        </w:tc>
      </w:tr>
    </w:tbl>
    <w:p w:rsidR="00433B8A" w:rsidRDefault="00433B8A" w:rsidP="00433B8A">
      <w:pPr>
        <w:jc w:val="both"/>
      </w:pPr>
    </w:p>
    <w:p w:rsidR="00433B8A" w:rsidRDefault="00433B8A" w:rsidP="00433B8A">
      <w:pPr>
        <w:pStyle w:val="Heading3"/>
        <w:jc w:val="both"/>
      </w:pPr>
      <w:r w:rsidRPr="6151746C">
        <w:rPr>
          <w:b/>
          <w:bCs/>
          <w:u w:val="single"/>
        </w:rPr>
        <w:t>DEBT TO EQUITY RATIO</w:t>
      </w:r>
    </w:p>
    <w:p w:rsidR="00433B8A" w:rsidRDefault="00433B8A" w:rsidP="00433B8A">
      <w:pPr>
        <w:jc w:val="both"/>
      </w:pPr>
    </w:p>
    <w:p w:rsidR="00433B8A" w:rsidRDefault="00433B8A" w:rsidP="00433B8A">
      <w:pPr>
        <w:jc w:val="both"/>
        <w:rPr>
          <w:rFonts w:eastAsiaTheme="minorEastAsia"/>
          <w:color w:val="222222"/>
        </w:rPr>
      </w:pPr>
      <w:r w:rsidRPr="6151746C">
        <w:rPr>
          <w:rFonts w:eastAsiaTheme="minorEastAsia"/>
          <w:color w:val="222222"/>
          <w:lang w:val="en-US"/>
        </w:rPr>
        <w:t xml:space="preserve">The debt-to-equity ratio (D/E) is a financial ratio indicating the relative proportion of </w:t>
      </w:r>
      <w:r w:rsidRPr="6151746C">
        <w:rPr>
          <w:rFonts w:eastAsiaTheme="minorEastAsia"/>
          <w:b/>
          <w:bCs/>
          <w:color w:val="222222"/>
          <w:lang w:val="en-US"/>
        </w:rPr>
        <w:t>shareholders</w:t>
      </w:r>
      <w:r w:rsidRPr="6151746C">
        <w:rPr>
          <w:rFonts w:eastAsiaTheme="minorEastAsia"/>
          <w:color w:val="222222"/>
          <w:lang w:val="en-US"/>
        </w:rPr>
        <w:t>' equity and debt used to finance a company's assets. Closely related to leveraging, the ratio is also known as risk, gearing or leverage. Lower ratio is preferred because it shows that the company is majorly financed by the shareholders whilst lower gearing shows that the business is financed by borrowing which is riskier for the company.</w:t>
      </w:r>
    </w:p>
    <w:p w:rsidR="00433B8A" w:rsidRDefault="00433B8A" w:rsidP="00433B8A">
      <w:pPr>
        <w:jc w:val="both"/>
        <w:rPr>
          <w:rFonts w:eastAsiaTheme="minorEastAsia"/>
          <w:color w:val="222222"/>
        </w:rPr>
      </w:pPr>
      <w:r w:rsidRPr="6151746C">
        <w:rPr>
          <w:rFonts w:eastAsiaTheme="minorEastAsia"/>
          <w:color w:val="222222"/>
          <w:lang w:val="en-US"/>
        </w:rPr>
        <w:t>In 2012 the company suffered a major loss and after 2013 they started cutting off debts. In 2014 there was a reduction in capital expenditure and the debts were reduces by $5.6 billion which is why 2014 has a lower ratio. However, in 2015 the company bought back $2 billion shares which is why the ratio is higher. They again cut off debts in 2016 and asset disposal of $1.3 billion was also done. As per the ratios it can be concluded that Rio Tinto is not depending on the borrowings much it is majorly financed by the shareholders, which reduces the risk for the company.</w:t>
      </w:r>
    </w:p>
    <w:p w:rsidR="00433B8A" w:rsidRDefault="00433B8A" w:rsidP="00433B8A">
      <w:pPr>
        <w:jc w:val="both"/>
        <w:rPr>
          <w:rFonts w:eastAsiaTheme="minorEastAsia"/>
          <w:color w:val="222222"/>
        </w:rPr>
      </w:pPr>
      <w:r w:rsidRPr="6151746C">
        <w:rPr>
          <w:rFonts w:eastAsiaTheme="minorEastAsia"/>
          <w:color w:val="222222"/>
          <w:lang w:val="en-US"/>
        </w:rPr>
        <w:t>BHP Billiton has a Debt to Equity ratio of 0.64 which quite high in comparison to Rio Tinto but not too high to say that the company is taking major risks. Although the ratio is high from Rio Tinto but BHP Billiton is also majorly financed by its shareholders.</w:t>
      </w:r>
    </w:p>
    <w:p w:rsidR="00433B8A" w:rsidRDefault="00433B8A" w:rsidP="00433B8A">
      <w:pPr>
        <w:jc w:val="both"/>
        <w:rPr>
          <w:rFonts w:eastAsiaTheme="minorEastAsia"/>
          <w:color w:val="222222"/>
        </w:rPr>
      </w:pPr>
    </w:p>
    <w:p w:rsidR="00433B8A" w:rsidRDefault="00433B8A" w:rsidP="00433B8A">
      <w:pPr>
        <w:pStyle w:val="Heading3"/>
        <w:jc w:val="both"/>
      </w:pPr>
      <w:r w:rsidRPr="6151746C">
        <w:rPr>
          <w:b/>
          <w:bCs/>
          <w:u w:val="single"/>
        </w:rPr>
        <w:t>LONG-TERM LIABILITY TO DEBT</w:t>
      </w:r>
    </w:p>
    <w:p w:rsidR="00433B8A" w:rsidRDefault="00433B8A" w:rsidP="00433B8A">
      <w:pPr>
        <w:jc w:val="both"/>
      </w:pPr>
    </w:p>
    <w:p w:rsidR="00433B8A" w:rsidRDefault="00433B8A" w:rsidP="00433B8A">
      <w:pPr>
        <w:jc w:val="both"/>
      </w:pPr>
      <w:r w:rsidRPr="6151746C">
        <w:rPr>
          <w:lang w:val="en-US"/>
        </w:rPr>
        <w:t xml:space="preserve">This ratio is similar to debt to equity ratio, however only the long-term debts are taken into consideration as the short-term debts are not much riskier. </w:t>
      </w:r>
    </w:p>
    <w:p w:rsidR="00433B8A" w:rsidRDefault="00433B8A" w:rsidP="00433B8A">
      <w:pPr>
        <w:jc w:val="both"/>
      </w:pPr>
      <w:r w:rsidRPr="6151746C">
        <w:rPr>
          <w:lang w:val="en-US"/>
        </w:rPr>
        <w:t>This ratio has a similar trend with that of the debt to equity ratio, which shows that the short term borrowing increased and declined similar to that of the long-term borrowings.</w:t>
      </w:r>
    </w:p>
    <w:p w:rsidR="00433B8A" w:rsidRDefault="00433B8A" w:rsidP="00433B8A">
      <w:pPr>
        <w:jc w:val="both"/>
      </w:pPr>
    </w:p>
    <w:p w:rsidR="00433B8A" w:rsidRDefault="00433B8A" w:rsidP="00433B8A">
      <w:pPr>
        <w:pStyle w:val="Heading2"/>
        <w:jc w:val="both"/>
      </w:pPr>
      <w:r w:rsidRPr="6151746C">
        <w:rPr>
          <w:b/>
          <w:bCs/>
          <w:u w:val="single"/>
        </w:rPr>
        <w:lastRenderedPageBreak/>
        <w:t>INVESTMENT RATIOS</w:t>
      </w:r>
    </w:p>
    <w:p w:rsidR="00433B8A" w:rsidRDefault="00433B8A" w:rsidP="00433B8A">
      <w:pPr>
        <w:jc w:val="both"/>
      </w:pPr>
    </w:p>
    <w:tbl>
      <w:tblPr>
        <w:tblStyle w:val="GridTable5DarkAccent6"/>
        <w:tblW w:w="0" w:type="auto"/>
        <w:tblLook w:val="04A0"/>
      </w:tblPr>
      <w:tblGrid>
        <w:gridCol w:w="1330"/>
        <w:gridCol w:w="1320"/>
        <w:gridCol w:w="1317"/>
        <w:gridCol w:w="1317"/>
        <w:gridCol w:w="1318"/>
        <w:gridCol w:w="1317"/>
        <w:gridCol w:w="1323"/>
      </w:tblGrid>
      <w:tr w:rsidR="00433B8A" w:rsidTr="0058232E">
        <w:trPr>
          <w:cnfStyle w:val="100000000000"/>
        </w:trPr>
        <w:tc>
          <w:tcPr>
            <w:cnfStyle w:val="001000000000"/>
            <w:tcW w:w="1335" w:type="dxa"/>
          </w:tcPr>
          <w:p w:rsidR="00433B8A" w:rsidRDefault="00433B8A" w:rsidP="0058232E">
            <w:pPr>
              <w:jc w:val="both"/>
            </w:pPr>
            <w:r w:rsidRPr="6151746C">
              <w:t>YEARS</w:t>
            </w:r>
          </w:p>
        </w:tc>
        <w:tc>
          <w:tcPr>
            <w:tcW w:w="1335" w:type="dxa"/>
          </w:tcPr>
          <w:p w:rsidR="00433B8A" w:rsidRDefault="00433B8A" w:rsidP="0058232E">
            <w:pPr>
              <w:jc w:val="both"/>
              <w:cnfStyle w:val="100000000000"/>
            </w:pPr>
            <w:r w:rsidRPr="6151746C">
              <w:t>2012</w:t>
            </w:r>
          </w:p>
        </w:tc>
        <w:tc>
          <w:tcPr>
            <w:tcW w:w="1337" w:type="dxa"/>
          </w:tcPr>
          <w:p w:rsidR="00433B8A" w:rsidRDefault="00433B8A" w:rsidP="0058232E">
            <w:pPr>
              <w:jc w:val="both"/>
              <w:cnfStyle w:val="100000000000"/>
            </w:pPr>
            <w:r w:rsidRPr="6151746C">
              <w:t>2013</w:t>
            </w:r>
          </w:p>
        </w:tc>
        <w:tc>
          <w:tcPr>
            <w:tcW w:w="1337" w:type="dxa"/>
          </w:tcPr>
          <w:p w:rsidR="00433B8A" w:rsidRDefault="00433B8A" w:rsidP="0058232E">
            <w:pPr>
              <w:jc w:val="both"/>
              <w:cnfStyle w:val="100000000000"/>
            </w:pPr>
            <w:r w:rsidRPr="6151746C">
              <w:t>2014</w:t>
            </w:r>
          </w:p>
        </w:tc>
        <w:tc>
          <w:tcPr>
            <w:tcW w:w="1337" w:type="dxa"/>
          </w:tcPr>
          <w:p w:rsidR="00433B8A" w:rsidRDefault="00433B8A" w:rsidP="0058232E">
            <w:pPr>
              <w:jc w:val="both"/>
              <w:cnfStyle w:val="100000000000"/>
            </w:pPr>
            <w:r w:rsidRPr="6151746C">
              <w:t>2015</w:t>
            </w:r>
          </w:p>
        </w:tc>
        <w:tc>
          <w:tcPr>
            <w:tcW w:w="1337" w:type="dxa"/>
          </w:tcPr>
          <w:p w:rsidR="00433B8A" w:rsidRDefault="00433B8A" w:rsidP="0058232E">
            <w:pPr>
              <w:jc w:val="both"/>
              <w:cnfStyle w:val="100000000000"/>
            </w:pPr>
            <w:r w:rsidRPr="6151746C">
              <w:t>2016</w:t>
            </w:r>
          </w:p>
        </w:tc>
        <w:tc>
          <w:tcPr>
            <w:tcW w:w="1337" w:type="dxa"/>
          </w:tcPr>
          <w:p w:rsidR="00433B8A" w:rsidRDefault="00433B8A" w:rsidP="0058232E">
            <w:pPr>
              <w:jc w:val="both"/>
              <w:cnfStyle w:val="100000000000"/>
              <w:rPr>
                <w:sz w:val="18"/>
                <w:szCs w:val="18"/>
              </w:rPr>
            </w:pPr>
            <w:r w:rsidRPr="6151746C">
              <w:rPr>
                <w:sz w:val="18"/>
                <w:szCs w:val="18"/>
              </w:rPr>
              <w:t>BHP BILLITON 2016</w:t>
            </w:r>
          </w:p>
        </w:tc>
      </w:tr>
      <w:tr w:rsidR="00433B8A" w:rsidTr="0058232E">
        <w:trPr>
          <w:cnfStyle w:val="000000100000"/>
        </w:trPr>
        <w:tc>
          <w:tcPr>
            <w:cnfStyle w:val="001000000000"/>
            <w:tcW w:w="1335" w:type="dxa"/>
          </w:tcPr>
          <w:p w:rsidR="00433B8A" w:rsidRDefault="00433B8A" w:rsidP="0058232E">
            <w:pPr>
              <w:jc w:val="both"/>
            </w:pPr>
            <w:r w:rsidRPr="6151746C">
              <w:t>EARNINGS PER SHARE</w:t>
            </w:r>
          </w:p>
        </w:tc>
        <w:tc>
          <w:tcPr>
            <w:tcW w:w="1335" w:type="dxa"/>
          </w:tcPr>
          <w:p w:rsidR="00433B8A" w:rsidRDefault="00433B8A" w:rsidP="0058232E">
            <w:pPr>
              <w:jc w:val="both"/>
              <w:cnfStyle w:val="000000100000"/>
            </w:pPr>
            <w:r w:rsidRPr="6151746C">
              <w:t>(161.3)</w:t>
            </w:r>
          </w:p>
        </w:tc>
        <w:tc>
          <w:tcPr>
            <w:tcW w:w="1337" w:type="dxa"/>
          </w:tcPr>
          <w:p w:rsidR="00433B8A" w:rsidRDefault="00433B8A" w:rsidP="0058232E">
            <w:pPr>
              <w:jc w:val="both"/>
              <w:cnfStyle w:val="000000100000"/>
            </w:pPr>
            <w:r w:rsidRPr="6151746C">
              <w:t>197.3</w:t>
            </w:r>
          </w:p>
        </w:tc>
        <w:tc>
          <w:tcPr>
            <w:tcW w:w="1337" w:type="dxa"/>
          </w:tcPr>
          <w:p w:rsidR="00433B8A" w:rsidRDefault="00433B8A" w:rsidP="0058232E">
            <w:pPr>
              <w:jc w:val="both"/>
              <w:cnfStyle w:val="000000100000"/>
            </w:pPr>
            <w:r w:rsidRPr="6151746C">
              <w:t>353.1</w:t>
            </w:r>
          </w:p>
        </w:tc>
        <w:tc>
          <w:tcPr>
            <w:tcW w:w="1337" w:type="dxa"/>
          </w:tcPr>
          <w:p w:rsidR="00433B8A" w:rsidRDefault="00433B8A" w:rsidP="0058232E">
            <w:pPr>
              <w:jc w:val="both"/>
              <w:cnfStyle w:val="000000100000"/>
            </w:pPr>
            <w:r w:rsidRPr="6151746C">
              <w:t>(47.5)</w:t>
            </w:r>
          </w:p>
        </w:tc>
        <w:tc>
          <w:tcPr>
            <w:tcW w:w="1337" w:type="dxa"/>
          </w:tcPr>
          <w:p w:rsidR="00433B8A" w:rsidRDefault="00433B8A" w:rsidP="0058232E">
            <w:pPr>
              <w:jc w:val="both"/>
              <w:cnfStyle w:val="000000100000"/>
            </w:pPr>
            <w:r w:rsidRPr="6151746C">
              <w:t>256.9</w:t>
            </w:r>
          </w:p>
        </w:tc>
        <w:tc>
          <w:tcPr>
            <w:tcW w:w="1337" w:type="dxa"/>
          </w:tcPr>
          <w:p w:rsidR="00433B8A" w:rsidRDefault="00433B8A" w:rsidP="0058232E">
            <w:pPr>
              <w:jc w:val="both"/>
              <w:cnfStyle w:val="000000100000"/>
            </w:pPr>
            <w:r w:rsidRPr="6151746C">
              <w:t>(120)</w:t>
            </w:r>
          </w:p>
        </w:tc>
      </w:tr>
      <w:tr w:rsidR="00433B8A" w:rsidTr="0058232E">
        <w:tc>
          <w:tcPr>
            <w:cnfStyle w:val="001000000000"/>
            <w:tcW w:w="1335" w:type="dxa"/>
          </w:tcPr>
          <w:p w:rsidR="00433B8A" w:rsidRDefault="00433B8A" w:rsidP="0058232E">
            <w:pPr>
              <w:jc w:val="both"/>
              <w:rPr>
                <w:sz w:val="18"/>
                <w:szCs w:val="18"/>
              </w:rPr>
            </w:pPr>
            <w:r w:rsidRPr="6151746C">
              <w:rPr>
                <w:sz w:val="18"/>
                <w:szCs w:val="18"/>
              </w:rPr>
              <w:t>DIVIDEND</w:t>
            </w:r>
          </w:p>
        </w:tc>
        <w:tc>
          <w:tcPr>
            <w:tcW w:w="1335" w:type="dxa"/>
          </w:tcPr>
          <w:p w:rsidR="00433B8A" w:rsidRDefault="00433B8A" w:rsidP="0058232E">
            <w:pPr>
              <w:jc w:val="both"/>
              <w:cnfStyle w:val="000000000000"/>
            </w:pPr>
            <w:r w:rsidRPr="6151746C">
              <w:t>167</w:t>
            </w:r>
          </w:p>
        </w:tc>
        <w:tc>
          <w:tcPr>
            <w:tcW w:w="1337" w:type="dxa"/>
          </w:tcPr>
          <w:p w:rsidR="00433B8A" w:rsidRDefault="00433B8A" w:rsidP="0058232E">
            <w:pPr>
              <w:jc w:val="both"/>
              <w:cnfStyle w:val="000000000000"/>
            </w:pPr>
            <w:r w:rsidRPr="6151746C">
              <w:t>192</w:t>
            </w:r>
          </w:p>
        </w:tc>
        <w:tc>
          <w:tcPr>
            <w:tcW w:w="1337" w:type="dxa"/>
          </w:tcPr>
          <w:p w:rsidR="00433B8A" w:rsidRDefault="00433B8A" w:rsidP="0058232E">
            <w:pPr>
              <w:jc w:val="both"/>
              <w:cnfStyle w:val="000000000000"/>
            </w:pPr>
            <w:r w:rsidRPr="6151746C">
              <w:t>215</w:t>
            </w:r>
          </w:p>
        </w:tc>
        <w:tc>
          <w:tcPr>
            <w:tcW w:w="1337" w:type="dxa"/>
          </w:tcPr>
          <w:p w:rsidR="00433B8A" w:rsidRDefault="00433B8A" w:rsidP="0058232E">
            <w:pPr>
              <w:jc w:val="both"/>
              <w:cnfStyle w:val="000000000000"/>
            </w:pPr>
            <w:r w:rsidRPr="6151746C">
              <w:t>215</w:t>
            </w:r>
          </w:p>
        </w:tc>
        <w:tc>
          <w:tcPr>
            <w:tcW w:w="1337" w:type="dxa"/>
          </w:tcPr>
          <w:p w:rsidR="00433B8A" w:rsidRDefault="00433B8A" w:rsidP="0058232E">
            <w:pPr>
              <w:jc w:val="both"/>
              <w:cnfStyle w:val="000000000000"/>
            </w:pPr>
            <w:r w:rsidRPr="6151746C">
              <w:t>170</w:t>
            </w:r>
          </w:p>
        </w:tc>
        <w:tc>
          <w:tcPr>
            <w:tcW w:w="1337" w:type="dxa"/>
          </w:tcPr>
          <w:p w:rsidR="00433B8A" w:rsidRDefault="00433B8A" w:rsidP="0058232E">
            <w:pPr>
              <w:jc w:val="both"/>
              <w:cnfStyle w:val="000000000000"/>
            </w:pPr>
            <w:r w:rsidRPr="6151746C">
              <w:t>108</w:t>
            </w:r>
          </w:p>
        </w:tc>
      </w:tr>
    </w:tbl>
    <w:p w:rsidR="00433B8A" w:rsidRDefault="00433B8A" w:rsidP="00433B8A">
      <w:pPr>
        <w:jc w:val="both"/>
      </w:pPr>
    </w:p>
    <w:p w:rsidR="00433B8A" w:rsidRDefault="00433B8A" w:rsidP="00433B8A">
      <w:pPr>
        <w:jc w:val="both"/>
      </w:pPr>
    </w:p>
    <w:p w:rsidR="00433B8A" w:rsidRDefault="00433B8A" w:rsidP="00433B8A">
      <w:pPr>
        <w:pStyle w:val="Heading3"/>
        <w:jc w:val="both"/>
      </w:pPr>
      <w:r w:rsidRPr="6151746C">
        <w:rPr>
          <w:b/>
          <w:bCs/>
          <w:u w:val="single"/>
        </w:rPr>
        <w:t>EARNING PER SHARE</w:t>
      </w:r>
    </w:p>
    <w:p w:rsidR="00433B8A" w:rsidRDefault="00433B8A" w:rsidP="00433B8A">
      <w:pPr>
        <w:jc w:val="both"/>
      </w:pPr>
    </w:p>
    <w:p w:rsidR="00433B8A" w:rsidRDefault="00433B8A" w:rsidP="00433B8A">
      <w:pPr>
        <w:jc w:val="both"/>
      </w:pPr>
      <w:r w:rsidRPr="6151746C">
        <w:rPr>
          <w:lang w:val="en-US"/>
        </w:rPr>
        <w:t>The earning per share ratio relates the earnings generated by the business and available to shareholders, during a period of time, to the number of shares issued. For the equity shareholders, the amount available is the profit for the year less any preference dividend, where applicable (</w:t>
      </w:r>
      <w:r>
        <w:t xml:space="preserve"> Atrill and Mclaney, 2017). </w:t>
      </w:r>
    </w:p>
    <w:p w:rsidR="00433B8A" w:rsidRDefault="00433B8A" w:rsidP="00433B8A">
      <w:pPr>
        <w:jc w:val="both"/>
      </w:pPr>
      <w:r>
        <w:t>Earnings per share helps in measuring business performance of shares. In 2012 because of the huge loss the earning per share dropped. In 2013 the earnings recovered and in 2014 it was the highest in all 5 years. However, in 2015 it declined because there was a loss in the company. In 2016 the company again had a good performance in shares.</w:t>
      </w:r>
    </w:p>
    <w:p w:rsidR="00433B8A" w:rsidRDefault="00433B8A" w:rsidP="00433B8A">
      <w:pPr>
        <w:jc w:val="both"/>
      </w:pPr>
      <w:r>
        <w:t>The earning per share of BHP Billiton is quite lower from Rio Tinto. However, it is not very useful to compare earnings per share of different businesses because differences in financing arrangements can render any such comparison meaningless (Atrill, 2017).</w:t>
      </w:r>
    </w:p>
    <w:p w:rsidR="00433B8A" w:rsidRDefault="00433B8A" w:rsidP="00433B8A">
      <w:pPr>
        <w:jc w:val="both"/>
      </w:pPr>
    </w:p>
    <w:p w:rsidR="00433B8A" w:rsidRDefault="00433B8A" w:rsidP="00433B8A">
      <w:pPr>
        <w:jc w:val="both"/>
      </w:pPr>
      <w:r>
        <w:rPr>
          <w:noProof/>
          <w:lang w:eastAsia="en-IN"/>
        </w:rPr>
        <w:lastRenderedPageBreak/>
        <w:drawing>
          <wp:inline distT="0" distB="0" distL="0" distR="0">
            <wp:extent cx="5991226" cy="3516365"/>
            <wp:effectExtent l="0" t="0" r="0" b="0"/>
            <wp:docPr id="211717816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91226" cy="3516365"/>
                    </a:xfrm>
                    <a:prstGeom prst="rect">
                      <a:avLst/>
                    </a:prstGeom>
                  </pic:spPr>
                </pic:pic>
              </a:graphicData>
            </a:graphic>
          </wp:inline>
        </w:drawing>
      </w:r>
    </w:p>
    <w:p w:rsidR="00433B8A" w:rsidRDefault="00433B8A" w:rsidP="00433B8A">
      <w:pPr>
        <w:pStyle w:val="Heading3"/>
        <w:jc w:val="both"/>
      </w:pPr>
      <w:r w:rsidRPr="6151746C">
        <w:rPr>
          <w:b/>
          <w:bCs/>
          <w:u w:val="single"/>
        </w:rPr>
        <w:t>DIVIDEND PER SHARE</w:t>
      </w:r>
    </w:p>
    <w:p w:rsidR="00433B8A" w:rsidRDefault="00433B8A" w:rsidP="00433B8A">
      <w:pPr>
        <w:jc w:val="both"/>
      </w:pPr>
    </w:p>
    <w:p w:rsidR="00433B8A" w:rsidRDefault="00433B8A" w:rsidP="00433B8A">
      <w:pPr>
        <w:jc w:val="both"/>
        <w:rPr>
          <w:b/>
          <w:bCs/>
          <w:u w:val="single"/>
        </w:rPr>
      </w:pPr>
      <w:r>
        <w:t>Dividend per share is the sum of declared dividends issued by a company for every ordinary share outstanding. Dividend per share is the total dividends paid out by a business, including interim dividend, divided by the number of outstanding shares issued.</w:t>
      </w:r>
    </w:p>
    <w:p w:rsidR="00433B8A" w:rsidRDefault="00433B8A" w:rsidP="00433B8A">
      <w:pPr>
        <w:jc w:val="both"/>
      </w:pPr>
      <w:r>
        <w:t>In 2012 there was a 15 per cent increase in full time dividend from 2011. Again in 2013 a 15 per cent increase in dividend which shows the sustainable growth of the business. In 2014 the dividend per share increased by 12 per cent. It maintained the dividend per share at 215c for 2015. Full year dividend of $3.1 billion announced for 2016 at 170c per share.</w:t>
      </w:r>
    </w:p>
    <w:p w:rsidR="00433B8A" w:rsidRDefault="00433B8A" w:rsidP="00433B8A">
      <w:pPr>
        <w:jc w:val="both"/>
      </w:pPr>
      <w:r>
        <w:t>BHP Billiton dividend per share ratio for 2016 was 108c per share as it suffered a huge loss. It is too low in comparison of Rio Tinto but as BHP Billiton suffered a huge loss it cannot be compared.</w:t>
      </w:r>
    </w:p>
    <w:p w:rsidR="00433B8A" w:rsidRDefault="00433B8A" w:rsidP="00433B8A">
      <w:pPr>
        <w:jc w:val="both"/>
      </w:pPr>
    </w:p>
    <w:p w:rsidR="0058232E" w:rsidRDefault="0058232E">
      <w:r>
        <w:rPr>
          <w:b/>
          <w:bCs/>
        </w:rPr>
        <w:br w:type="page"/>
      </w:r>
    </w:p>
    <w:p w:rsidR="00433B8A" w:rsidRDefault="00433B8A" w:rsidP="00433B8A">
      <w:pPr>
        <w:pStyle w:val="Heading1"/>
        <w:rPr>
          <w:b w:val="0"/>
          <w:bCs w:val="0"/>
          <w:u w:val="single"/>
        </w:rPr>
      </w:pPr>
      <w:r w:rsidRPr="6151746C">
        <w:rPr>
          <w:u w:val="single"/>
        </w:rPr>
        <w:lastRenderedPageBreak/>
        <w:t>FUTURE PROJECTIONS AND RECCOMENDATIONS</w:t>
      </w:r>
    </w:p>
    <w:p w:rsidR="00433B8A" w:rsidRDefault="00433B8A" w:rsidP="00433B8A"/>
    <w:p w:rsidR="0058232E" w:rsidRPr="0058232E" w:rsidRDefault="00433B8A" w:rsidP="0058232E">
      <w:r w:rsidRPr="6151746C">
        <w:t>Rio Tinto enters 2017 in good shape and will deliver $5 billion of extra cash flow over the next five years from its mine ti market productivity programme. The group's value over volume approach, coupled with a robust balance sheet and world class assets, places Rio Tinto in a strong position to deliver superior shareholder return over the cycle. Rio Tinto could be in a position to reward shareholders with a strong dividend hike or even a share buyback (announced in 2016) next year as it benefits from sharp rise in metals prices. Net proceeds up to $2.6 billion expected from the disposal of assets in 2017, including the Coal &amp; Allied transaction for up to $2.4 billion. Rio Tinto says attracting, developing and retaining the best people will be crucial to their future success. Safety will be their number one priority and they are also determined to deliver an operating cash cost reduction of $2 billion. They will be focusing on highest returning assets in their preferred commodities, investing in high returning growth and exiting assets which don’t meet the criteria. They also plan a capital investment of $5 billion in 2017.</w:t>
      </w:r>
    </w:p>
    <w:p w:rsidR="0058232E" w:rsidRDefault="0058232E">
      <w:pPr>
        <w:rPr>
          <w:rFonts w:asciiTheme="majorHAnsi" w:eastAsiaTheme="majorEastAsia" w:hAnsiTheme="majorHAnsi" w:cstheme="majorBidi"/>
          <w:b/>
          <w:bCs/>
          <w:color w:val="365F91" w:themeColor="accent1" w:themeShade="BF"/>
          <w:sz w:val="28"/>
          <w:szCs w:val="28"/>
          <w:u w:val="single"/>
        </w:rPr>
      </w:pPr>
      <w:r>
        <w:rPr>
          <w:u w:val="single"/>
        </w:rPr>
        <w:br w:type="page"/>
      </w:r>
    </w:p>
    <w:p w:rsidR="00433B8A" w:rsidRDefault="00433B8A" w:rsidP="00433B8A">
      <w:pPr>
        <w:pStyle w:val="Heading1"/>
        <w:rPr>
          <w:b w:val="0"/>
          <w:bCs w:val="0"/>
          <w:u w:val="single"/>
        </w:rPr>
      </w:pPr>
      <w:r w:rsidRPr="6151746C">
        <w:rPr>
          <w:u w:val="single"/>
        </w:rPr>
        <w:lastRenderedPageBreak/>
        <w:t>PROS AND CONS OF RATIO ANALYSIS</w:t>
      </w:r>
    </w:p>
    <w:p w:rsidR="00433B8A" w:rsidRDefault="00433B8A" w:rsidP="00433B8A">
      <w:pPr>
        <w:jc w:val="both"/>
      </w:pPr>
    </w:p>
    <w:p w:rsidR="00433B8A" w:rsidRDefault="00433B8A" w:rsidP="00433B8A">
      <w:pPr>
        <w:pStyle w:val="Heading2"/>
        <w:jc w:val="both"/>
      </w:pPr>
      <w:r w:rsidRPr="6151746C">
        <w:rPr>
          <w:b/>
          <w:bCs/>
          <w:u w:val="single"/>
        </w:rPr>
        <w:t>PROS</w:t>
      </w:r>
    </w:p>
    <w:p w:rsidR="00433B8A" w:rsidRDefault="00433B8A" w:rsidP="00433B8A">
      <w:pPr>
        <w:jc w:val="both"/>
      </w:pPr>
    </w:p>
    <w:p w:rsidR="00433B8A" w:rsidRDefault="00433B8A" w:rsidP="00433B8A">
      <w:pPr>
        <w:jc w:val="both"/>
      </w:pPr>
      <w:r>
        <w:t>Financial ratios provide a platform for comparison of performance of companies and industry irrespective of their size, market share and sales volume. Because it is possible that a company with lower market share or sales volume is working more efficiently. Ratio analysis helps industries to set a benchmark so that the companies can measure their performances using that benchmark. A critical analysis of the ratios can help some investors to evaluate future forecasting of stock values of a company. Ratios can help in planning and performance, it helps the companies to prepare presentations for the lenders and investors and it also help companies to set their goal in comparison to industry trends. The ratios also help the company to compare with its past performance and analyze it to take necessary steps.</w:t>
      </w:r>
    </w:p>
    <w:p w:rsidR="00433B8A" w:rsidRDefault="00433B8A" w:rsidP="00433B8A">
      <w:pPr>
        <w:jc w:val="both"/>
      </w:pPr>
    </w:p>
    <w:p w:rsidR="00433B8A" w:rsidRDefault="00433B8A" w:rsidP="00433B8A">
      <w:pPr>
        <w:pStyle w:val="Heading3"/>
        <w:jc w:val="both"/>
      </w:pPr>
      <w:r w:rsidRPr="6151746C">
        <w:rPr>
          <w:b/>
          <w:bCs/>
          <w:u w:val="single"/>
        </w:rPr>
        <w:t>CONS</w:t>
      </w:r>
    </w:p>
    <w:p w:rsidR="00433B8A" w:rsidRDefault="00433B8A" w:rsidP="00433B8A"/>
    <w:p w:rsidR="00433B8A" w:rsidRDefault="00433B8A" w:rsidP="00433B8A">
      <w:pPr>
        <w:rPr>
          <w:b/>
          <w:bCs/>
          <w:u w:val="single"/>
        </w:rPr>
      </w:pPr>
      <w:r w:rsidRPr="6151746C">
        <w:t xml:space="preserve">Ratio analysis depends on the quality of the financial statements, ratios will inherit the limitation of the financial statements on which they are based. In the Case of Rio Tinto, the ratios failed to acknowledge the presence of goodwill etc. Every company follow different accounting policy and principles although Rio Tinto and BHP Billiton shares are traded in the same stock exchange they have a different balance sheet date so it is difficult to compare the closing market share price of both the companies. The investors should not over-rely on the ratios, losing the sight of underlying information on the balance sheets. The ratio provides a basis for comparison but in this case, BHP Billiton suffered a huge loss due to abnormal circumstances and it being the world's largest mining company had a profit margin very low from Rio Tinto. So, on the basis of only one comparison it cannot be said that BHP Billiton is working less efficiently the Rio Tinto. Ratios based on balance sheet like the liquidity ratio of Rio Tinto, may not be representative of the financial position of the year as a whole. </w:t>
      </w: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r>
        <w:t xml:space="preserve"> </w:t>
      </w:r>
    </w:p>
    <w:p w:rsidR="00433B8A" w:rsidRDefault="00433B8A" w:rsidP="00433B8A">
      <w:pPr>
        <w:jc w:val="both"/>
      </w:pPr>
    </w:p>
    <w:p w:rsidR="0058232E" w:rsidRDefault="0058232E">
      <w:pPr>
        <w:rPr>
          <w:rFonts w:asciiTheme="majorHAnsi" w:eastAsiaTheme="majorEastAsia" w:hAnsiTheme="majorHAnsi" w:cstheme="majorBidi"/>
          <w:b/>
          <w:bCs/>
          <w:color w:val="365F91" w:themeColor="accent1" w:themeShade="BF"/>
          <w:sz w:val="28"/>
          <w:szCs w:val="28"/>
          <w:u w:val="single"/>
        </w:rPr>
      </w:pPr>
      <w:r>
        <w:rPr>
          <w:u w:val="single"/>
        </w:rPr>
        <w:br w:type="page"/>
      </w:r>
    </w:p>
    <w:p w:rsidR="00433B8A" w:rsidRDefault="00433B8A" w:rsidP="00433B8A">
      <w:pPr>
        <w:pStyle w:val="Heading1"/>
        <w:jc w:val="both"/>
      </w:pPr>
      <w:r w:rsidRPr="6151746C">
        <w:rPr>
          <w:u w:val="single"/>
        </w:rPr>
        <w:lastRenderedPageBreak/>
        <w:t>REFERENCES</w:t>
      </w:r>
    </w:p>
    <w:p w:rsidR="00433B8A" w:rsidRDefault="00433B8A" w:rsidP="00433B8A"/>
    <w:p w:rsidR="00433B8A" w:rsidRDefault="00433B8A" w:rsidP="00433B8A">
      <w:pPr>
        <w:ind w:left="-450" w:hanging="120"/>
        <w:rPr>
          <w:rFonts w:ascii="Calibri" w:eastAsia="Calibri" w:hAnsi="Calibri" w:cs="Calibri"/>
          <w:color w:val="000000" w:themeColor="text1"/>
        </w:rPr>
      </w:pPr>
      <w:r w:rsidRPr="6151746C">
        <w:rPr>
          <w:rFonts w:ascii="Calibri" w:eastAsia="Calibri" w:hAnsi="Calibri" w:cs="Calibri"/>
          <w:color w:val="000000" w:themeColor="text1"/>
          <w:lang w:val="en-US"/>
        </w:rPr>
        <w:t xml:space="preserve">            Forbes.com. (2018). </w:t>
      </w:r>
      <w:r w:rsidRPr="6151746C">
        <w:rPr>
          <w:rFonts w:ascii="Calibri" w:eastAsia="Calibri" w:hAnsi="Calibri" w:cs="Calibri"/>
          <w:i/>
          <w:iCs/>
          <w:color w:val="000000" w:themeColor="text1"/>
          <w:lang w:val="en-US"/>
        </w:rPr>
        <w:t>Forbes Welcome</w:t>
      </w:r>
      <w:r w:rsidRPr="6151746C">
        <w:rPr>
          <w:rFonts w:ascii="Calibri" w:eastAsia="Calibri" w:hAnsi="Calibri" w:cs="Calibri"/>
          <w:color w:val="000000" w:themeColor="text1"/>
          <w:lang w:val="en-US"/>
        </w:rPr>
        <w:t xml:space="preserve">. [online] Available at:                                                                                             </w:t>
      </w:r>
      <w:hyperlink r:id="rId23">
        <w:r w:rsidRPr="6151746C">
          <w:rPr>
            <w:rStyle w:val="Hyperlink"/>
            <w:rFonts w:ascii="Calibri" w:eastAsia="Calibri" w:hAnsi="Calibri" w:cs="Calibri"/>
            <w:color w:val="000000" w:themeColor="text1"/>
            <w:lang w:val="en-US"/>
          </w:rPr>
          <w:t>https://www.forbes.com/companies/rio-</w:t>
        </w:r>
      </w:hyperlink>
      <w:r w:rsidRPr="6151746C">
        <w:rPr>
          <w:rFonts w:ascii="Calibri" w:eastAsia="Calibri" w:hAnsi="Calibri" w:cs="Calibri"/>
          <w:color w:val="000000" w:themeColor="text1"/>
          <w:lang w:val="en-US"/>
        </w:rPr>
        <w:t xml:space="preserve">  tinto/ [Accessed 2 Jan. 2018].</w:t>
      </w:r>
    </w:p>
    <w:p w:rsidR="00433B8A" w:rsidRDefault="00433B8A" w:rsidP="00433B8A">
      <w:pPr>
        <w:jc w:val="both"/>
        <w:rPr>
          <w:rFonts w:ascii="Calibri" w:eastAsia="Calibri" w:hAnsi="Calibri" w:cs="Calibri"/>
          <w:color w:val="000000" w:themeColor="text1"/>
        </w:rPr>
      </w:pPr>
      <w:r w:rsidRPr="6151746C">
        <w:rPr>
          <w:rFonts w:ascii="Calibri" w:eastAsia="Calibri" w:hAnsi="Calibri" w:cs="Calibri"/>
          <w:color w:val="000000" w:themeColor="text1"/>
          <w:lang w:val="en-US"/>
        </w:rPr>
        <w:t xml:space="preserve">Hotten, R. (2018). </w:t>
      </w:r>
      <w:r w:rsidRPr="6151746C">
        <w:rPr>
          <w:rFonts w:ascii="Calibri" w:eastAsia="Calibri" w:hAnsi="Calibri" w:cs="Calibri"/>
          <w:i/>
          <w:iCs/>
          <w:color w:val="000000" w:themeColor="text1"/>
          <w:lang w:val="en-US"/>
        </w:rPr>
        <w:t>A history of Rio Tinto</w:t>
      </w:r>
      <w:r w:rsidRPr="6151746C">
        <w:rPr>
          <w:rFonts w:ascii="Calibri" w:eastAsia="Calibri" w:hAnsi="Calibri" w:cs="Calibri"/>
          <w:color w:val="000000" w:themeColor="text1"/>
          <w:lang w:val="en-US"/>
        </w:rPr>
        <w:t xml:space="preserve">. [online] Telegraph.co.uk. Available at: </w:t>
      </w:r>
      <w:hyperlink r:id="rId24">
        <w:r w:rsidRPr="6151746C">
          <w:rPr>
            <w:rStyle w:val="Hyperlink"/>
            <w:rFonts w:ascii="Calibri" w:eastAsia="Calibri" w:hAnsi="Calibri" w:cs="Calibri"/>
            <w:color w:val="000000" w:themeColor="text1"/>
            <w:lang w:val="en-US"/>
          </w:rPr>
          <w:t>http://www.telegraph.co.uk/finance/2811968/A-history-of-Rio-Tinto.html</w:t>
        </w:r>
      </w:hyperlink>
      <w:r w:rsidRPr="6151746C">
        <w:rPr>
          <w:rFonts w:ascii="Calibri" w:eastAsia="Calibri" w:hAnsi="Calibri" w:cs="Calibri"/>
          <w:color w:val="000000" w:themeColor="text1"/>
          <w:lang w:val="en-US"/>
        </w:rPr>
        <w:t xml:space="preserve"> [Accessed 2 Jan. 2018]</w:t>
      </w:r>
    </w:p>
    <w:p w:rsidR="00433B8A" w:rsidRDefault="00433B8A" w:rsidP="00433B8A">
      <w:pPr>
        <w:ind w:left="-450" w:hanging="120"/>
        <w:rPr>
          <w:rFonts w:ascii="Calibri" w:eastAsia="Calibri" w:hAnsi="Calibri" w:cs="Calibri"/>
          <w:color w:val="000000" w:themeColor="text1"/>
        </w:rPr>
      </w:pPr>
      <w:r w:rsidRPr="6151746C">
        <w:rPr>
          <w:rFonts w:ascii="Calibri" w:eastAsia="Calibri" w:hAnsi="Calibri" w:cs="Calibri"/>
          <w:color w:val="000000" w:themeColor="text1"/>
          <w:lang w:val="en-US"/>
        </w:rPr>
        <w:t xml:space="preserve">            Markets.ft.com. (2018). </w:t>
      </w:r>
      <w:r w:rsidRPr="6151746C">
        <w:rPr>
          <w:rFonts w:ascii="Calibri" w:eastAsia="Calibri" w:hAnsi="Calibri" w:cs="Calibri"/>
          <w:i/>
          <w:iCs/>
          <w:color w:val="000000" w:themeColor="text1"/>
          <w:lang w:val="en-US"/>
        </w:rPr>
        <w:t>Rio Tinto PLC, RIO:LSE profile - FT.com</w:t>
      </w:r>
      <w:r w:rsidRPr="6151746C">
        <w:rPr>
          <w:rFonts w:ascii="Calibri" w:eastAsia="Calibri" w:hAnsi="Calibri" w:cs="Calibri"/>
          <w:color w:val="000000" w:themeColor="text1"/>
          <w:lang w:val="en-US"/>
        </w:rPr>
        <w:t xml:space="preserve">. [online] Available at:                                                </w:t>
      </w:r>
      <w:hyperlink r:id="rId25">
        <w:r w:rsidRPr="6151746C">
          <w:rPr>
            <w:rStyle w:val="Hyperlink"/>
            <w:rFonts w:ascii="Calibri" w:eastAsia="Calibri" w:hAnsi="Calibri" w:cs="Calibri"/>
            <w:color w:val="000000" w:themeColor="text1"/>
            <w:lang w:val="en-US"/>
          </w:rPr>
          <w:t>https://markets.ft.com/data/equities/tearsheet/profile?s=RIO:LSE</w:t>
        </w:r>
      </w:hyperlink>
      <w:r w:rsidRPr="6151746C">
        <w:rPr>
          <w:rFonts w:ascii="Calibri" w:eastAsia="Calibri" w:hAnsi="Calibri" w:cs="Calibri"/>
          <w:color w:val="000000" w:themeColor="text1"/>
          <w:lang w:val="en-US"/>
        </w:rPr>
        <w:t xml:space="preserve"> [Accessed 1 Jan. 2018].</w:t>
      </w:r>
    </w:p>
    <w:p w:rsidR="00433B8A" w:rsidRDefault="00433B8A" w:rsidP="00433B8A">
      <w:pPr>
        <w:ind w:left="-450" w:hanging="120"/>
        <w:rPr>
          <w:rFonts w:ascii="Calibri" w:eastAsia="Calibri" w:hAnsi="Calibri" w:cs="Calibri"/>
          <w:color w:val="000000" w:themeColor="text1"/>
        </w:rPr>
      </w:pPr>
      <w:r w:rsidRPr="6151746C">
        <w:rPr>
          <w:rFonts w:ascii="Calibri" w:eastAsia="Calibri" w:hAnsi="Calibri" w:cs="Calibri"/>
          <w:color w:val="000000" w:themeColor="text1"/>
          <w:lang w:val="en-US"/>
        </w:rPr>
        <w:t xml:space="preserve">            Riotinto.com. (2018). </w:t>
      </w:r>
      <w:r w:rsidRPr="6151746C">
        <w:rPr>
          <w:rFonts w:ascii="Calibri" w:eastAsia="Calibri" w:hAnsi="Calibri" w:cs="Calibri"/>
          <w:i/>
          <w:iCs/>
          <w:color w:val="000000" w:themeColor="text1"/>
          <w:lang w:val="en-US"/>
        </w:rPr>
        <w:t>History</w:t>
      </w:r>
      <w:r w:rsidRPr="6151746C">
        <w:rPr>
          <w:rFonts w:ascii="Calibri" w:eastAsia="Calibri" w:hAnsi="Calibri" w:cs="Calibri"/>
          <w:color w:val="000000" w:themeColor="text1"/>
          <w:lang w:val="en-US"/>
        </w:rPr>
        <w:t>. [online] Available at:                                                                                                           http://www.riotinto.com/aboutus/history4705.aspx#faq-0 [Accessed 2 Jan. 2018].</w:t>
      </w:r>
    </w:p>
    <w:p w:rsidR="00433B8A" w:rsidRDefault="00433B8A" w:rsidP="00433B8A">
      <w:pPr>
        <w:ind w:left="120" w:hanging="120"/>
        <w:jc w:val="both"/>
        <w:rPr>
          <w:rFonts w:ascii="Calibri" w:eastAsia="Calibri" w:hAnsi="Calibri" w:cs="Calibri"/>
          <w:color w:val="000000" w:themeColor="text1"/>
        </w:rPr>
      </w:pPr>
      <w:r w:rsidRPr="6151746C">
        <w:rPr>
          <w:rFonts w:ascii="Calibri" w:eastAsia="Calibri" w:hAnsi="Calibri" w:cs="Calibri"/>
          <w:color w:val="000000" w:themeColor="text1"/>
          <w:lang w:val="en-US"/>
        </w:rPr>
        <w:t xml:space="preserve">Atrill, P. and McLaney, E. (2017). </w:t>
      </w:r>
      <w:r w:rsidRPr="6151746C">
        <w:rPr>
          <w:rFonts w:ascii="Calibri" w:eastAsia="Calibri" w:hAnsi="Calibri" w:cs="Calibri"/>
          <w:i/>
          <w:iCs/>
          <w:color w:val="000000" w:themeColor="text1"/>
          <w:lang w:val="en-US"/>
        </w:rPr>
        <w:t>Accounting and finance for non-specialists</w:t>
      </w:r>
      <w:r w:rsidRPr="6151746C">
        <w:rPr>
          <w:rFonts w:ascii="Calibri" w:eastAsia="Calibri" w:hAnsi="Calibri" w:cs="Calibri"/>
          <w:color w:val="000000" w:themeColor="text1"/>
          <w:lang w:val="en-US"/>
        </w:rPr>
        <w:t>. Harlow [etc.]: Pearson.</w:t>
      </w:r>
    </w:p>
    <w:p w:rsidR="00433B8A" w:rsidRDefault="00433B8A" w:rsidP="00433B8A">
      <w:pPr>
        <w:ind w:left="120" w:hanging="120"/>
        <w:jc w:val="both"/>
        <w:rPr>
          <w:rFonts w:ascii="Calibri" w:eastAsia="Calibri" w:hAnsi="Calibri" w:cs="Calibri"/>
          <w:color w:val="000000" w:themeColor="text1"/>
        </w:rPr>
      </w:pPr>
      <w:r w:rsidRPr="6151746C">
        <w:rPr>
          <w:rFonts w:ascii="Calibri" w:eastAsia="Calibri" w:hAnsi="Calibri" w:cs="Calibri"/>
          <w:color w:val="000000" w:themeColor="text1"/>
          <w:lang w:val="en-US"/>
        </w:rPr>
        <w:t xml:space="preserve">Atrill, P. (2014). </w:t>
      </w:r>
      <w:r w:rsidRPr="6151746C">
        <w:rPr>
          <w:rFonts w:ascii="Calibri" w:eastAsia="Calibri" w:hAnsi="Calibri" w:cs="Calibri"/>
          <w:i/>
          <w:iCs/>
          <w:color w:val="000000" w:themeColor="text1"/>
          <w:lang w:val="en-US"/>
        </w:rPr>
        <w:t>Financial management for decision makers</w:t>
      </w:r>
      <w:r w:rsidRPr="6151746C">
        <w:rPr>
          <w:rFonts w:ascii="Calibri" w:eastAsia="Calibri" w:hAnsi="Calibri" w:cs="Calibri"/>
          <w:color w:val="000000" w:themeColor="text1"/>
          <w:lang w:val="en-US"/>
        </w:rPr>
        <w:t>. 7th ed. Ft Prentice Hall, pp.77-78.</w:t>
      </w:r>
    </w:p>
    <w:p w:rsidR="00433B8A" w:rsidRDefault="00433B8A" w:rsidP="00433B8A">
      <w:pPr>
        <w:ind w:left="120" w:hanging="120"/>
        <w:jc w:val="both"/>
        <w:rPr>
          <w:rFonts w:ascii="Calibri" w:eastAsia="Calibri" w:hAnsi="Calibri" w:cs="Calibri"/>
          <w:color w:val="000000" w:themeColor="text1"/>
        </w:rPr>
      </w:pPr>
      <w:r w:rsidRPr="6151746C">
        <w:rPr>
          <w:rFonts w:ascii="Calibri" w:eastAsia="Calibri" w:hAnsi="Calibri" w:cs="Calibri"/>
          <w:color w:val="000000" w:themeColor="text1"/>
          <w:lang w:val="en-US"/>
        </w:rPr>
        <w:t xml:space="preserve">Hargreaves Lansdown. (2018). </w:t>
      </w:r>
      <w:r w:rsidRPr="6151746C">
        <w:rPr>
          <w:rFonts w:ascii="Calibri" w:eastAsia="Calibri" w:hAnsi="Calibri" w:cs="Calibri"/>
          <w:i/>
          <w:iCs/>
          <w:color w:val="000000" w:themeColor="text1"/>
          <w:lang w:val="en-US"/>
        </w:rPr>
        <w:t>Rio vs. BHP - what sets these two giants apart?</w:t>
      </w:r>
      <w:r w:rsidRPr="6151746C">
        <w:rPr>
          <w:rFonts w:ascii="Calibri" w:eastAsia="Calibri" w:hAnsi="Calibri" w:cs="Calibri"/>
          <w:color w:val="000000" w:themeColor="text1"/>
          <w:lang w:val="en-US"/>
        </w:rPr>
        <w:t>. [online] Available at: https://www.hl.co.uk/news/articles/rio-vs.-bhp-what-sets-these-two-giants-apart [Accessed 2 Jan. 2018].</w:t>
      </w:r>
    </w:p>
    <w:p w:rsidR="00433B8A" w:rsidRDefault="00433B8A" w:rsidP="00433B8A">
      <w:pPr>
        <w:ind w:left="120" w:hanging="120"/>
        <w:jc w:val="both"/>
        <w:rPr>
          <w:rFonts w:ascii="Calibri" w:eastAsia="Calibri" w:hAnsi="Calibri" w:cs="Calibri"/>
          <w:color w:val="000000" w:themeColor="text1"/>
        </w:rPr>
      </w:pPr>
      <w:r w:rsidRPr="6151746C">
        <w:rPr>
          <w:rFonts w:ascii="Calibri" w:eastAsia="Calibri" w:hAnsi="Calibri" w:cs="Calibri"/>
          <w:color w:val="000000" w:themeColor="text1"/>
          <w:lang w:val="en-US"/>
        </w:rPr>
        <w:t xml:space="preserve">agencies, T. (2018). </w:t>
      </w:r>
      <w:r w:rsidRPr="6151746C">
        <w:rPr>
          <w:rFonts w:ascii="Calibri" w:eastAsia="Calibri" w:hAnsi="Calibri" w:cs="Calibri"/>
          <w:i/>
          <w:iCs/>
          <w:color w:val="000000" w:themeColor="text1"/>
          <w:lang w:val="en-US"/>
        </w:rPr>
        <w:t>Rio Tinto drops $2.99bn into red - first loss since 1995</w:t>
      </w:r>
      <w:r w:rsidRPr="6151746C">
        <w:rPr>
          <w:rFonts w:ascii="Calibri" w:eastAsia="Calibri" w:hAnsi="Calibri" w:cs="Calibri"/>
          <w:color w:val="000000" w:themeColor="text1"/>
          <w:lang w:val="en-US"/>
        </w:rPr>
        <w:t>. [online] Telegraph.co.uk. Available at: http://www.telegraph.co.uk/finance/newsbysector/industry/mining/9869464/Rio-Tinto-drops-2.99bn-into-red-first-loss-since-1995.html [Accessed 1 Jan. 2018].</w:t>
      </w:r>
    </w:p>
    <w:p w:rsidR="00433B8A" w:rsidRDefault="00433B8A" w:rsidP="00433B8A">
      <w:pPr>
        <w:ind w:left="120" w:hanging="120"/>
        <w:jc w:val="both"/>
        <w:rPr>
          <w:rFonts w:ascii="Calibri" w:eastAsia="Calibri" w:hAnsi="Calibri" w:cs="Calibri"/>
          <w:color w:val="000000" w:themeColor="text1"/>
        </w:rPr>
      </w:pPr>
      <w:r w:rsidRPr="6151746C">
        <w:rPr>
          <w:rFonts w:ascii="Calibri" w:eastAsia="Calibri" w:hAnsi="Calibri" w:cs="Calibri"/>
          <w:color w:val="000000" w:themeColor="text1"/>
          <w:lang w:val="en-US"/>
        </w:rPr>
        <w:t xml:space="preserve">Barnato, K. (2018). </w:t>
      </w:r>
      <w:r w:rsidRPr="6151746C">
        <w:rPr>
          <w:rFonts w:ascii="Calibri" w:eastAsia="Calibri" w:hAnsi="Calibri" w:cs="Calibri"/>
          <w:i/>
          <w:iCs/>
          <w:color w:val="000000" w:themeColor="text1"/>
          <w:lang w:val="en-US"/>
        </w:rPr>
        <w:t>World's largest mining firm records worst loss in its history</w:t>
      </w:r>
      <w:r w:rsidRPr="6151746C">
        <w:rPr>
          <w:rFonts w:ascii="Calibri" w:eastAsia="Calibri" w:hAnsi="Calibri" w:cs="Calibri"/>
          <w:color w:val="000000" w:themeColor="text1"/>
          <w:lang w:val="en-US"/>
        </w:rPr>
        <w:t>. [online] CNBC. Available at: https://www.cnbc.com/2016/08/16/bhp-billiton-reports-annual-loss-of-6385-billion-versus-profit-of-191-billion-a-year-ago.html [Accessed 1 Jan. 2018].</w:t>
      </w:r>
    </w:p>
    <w:p w:rsidR="00433B8A" w:rsidRDefault="00433B8A" w:rsidP="00433B8A">
      <w:pPr>
        <w:ind w:left="120" w:hanging="120"/>
        <w:rPr>
          <w:rFonts w:ascii="Calibri" w:eastAsia="Calibri" w:hAnsi="Calibri" w:cs="Calibri"/>
        </w:rPr>
      </w:pPr>
      <w:r w:rsidRPr="6151746C">
        <w:rPr>
          <w:rFonts w:ascii="Calibri" w:eastAsia="Calibri" w:hAnsi="Calibri" w:cs="Calibri"/>
          <w:lang w:val="en-US"/>
        </w:rPr>
        <w:t xml:space="preserve">Riotinto.com. (2018). </w:t>
      </w:r>
      <w:r w:rsidRPr="6151746C">
        <w:rPr>
          <w:rFonts w:ascii="Calibri" w:eastAsia="Calibri" w:hAnsi="Calibri" w:cs="Calibri"/>
          <w:i/>
          <w:iCs/>
          <w:lang w:val="en-US"/>
        </w:rPr>
        <w:t xml:space="preserve"> </w:t>
      </w:r>
      <w:r w:rsidRPr="6151746C">
        <w:rPr>
          <w:rFonts w:ascii="Calibri" w:eastAsia="Calibri" w:hAnsi="Calibri" w:cs="Calibri"/>
          <w:lang w:val="en-US"/>
        </w:rPr>
        <w:t>[online] Available at: http://www.riotinto.com/documents/RT_2016_Annual_report.pdf [Accessed 24 Dec. 2017].</w:t>
      </w:r>
    </w:p>
    <w:p w:rsidR="00433B8A" w:rsidRDefault="00433B8A" w:rsidP="00433B8A">
      <w:pPr>
        <w:ind w:left="120" w:hanging="120"/>
        <w:rPr>
          <w:rFonts w:ascii="Calibri" w:eastAsia="Calibri" w:hAnsi="Calibri" w:cs="Calibri"/>
        </w:rPr>
      </w:pPr>
      <w:r w:rsidRPr="6151746C">
        <w:rPr>
          <w:rFonts w:ascii="Calibri" w:eastAsia="Calibri" w:hAnsi="Calibri" w:cs="Calibri"/>
          <w:lang w:val="en-US"/>
        </w:rPr>
        <w:t xml:space="preserve">iotinto.com. (2018). </w:t>
      </w:r>
      <w:r w:rsidRPr="6151746C">
        <w:rPr>
          <w:rFonts w:ascii="Calibri" w:eastAsia="Calibri" w:hAnsi="Calibri" w:cs="Calibri"/>
          <w:i/>
          <w:iCs/>
          <w:lang w:val="en-US"/>
        </w:rPr>
        <w:t xml:space="preserve"> </w:t>
      </w:r>
      <w:r w:rsidRPr="6151746C">
        <w:rPr>
          <w:rFonts w:ascii="Calibri" w:eastAsia="Calibri" w:hAnsi="Calibri" w:cs="Calibri"/>
          <w:lang w:val="en-US"/>
        </w:rPr>
        <w:t>[online] Available at: http://www.riotinto.com/documents/rio_tinto_2012_annual_report.pdf [Accessed 26 Dec. 2017].</w:t>
      </w:r>
    </w:p>
    <w:p w:rsidR="00433B8A" w:rsidRDefault="00433B8A" w:rsidP="00433B8A">
      <w:pPr>
        <w:ind w:left="120" w:hanging="120"/>
        <w:rPr>
          <w:rFonts w:ascii="Calibri" w:eastAsia="Calibri" w:hAnsi="Calibri" w:cs="Calibri"/>
        </w:rPr>
      </w:pPr>
      <w:r w:rsidRPr="6151746C">
        <w:rPr>
          <w:rFonts w:ascii="Calibri" w:eastAsia="Calibri" w:hAnsi="Calibri" w:cs="Calibri"/>
          <w:lang w:val="en-US"/>
        </w:rPr>
        <w:t>Riotinto.com. (2018).  [online] Available at: http://www.riotinto.com/documents/RT_Annual_report_2013.pdf [Accessed 28 Dec. 2017].</w:t>
      </w:r>
    </w:p>
    <w:p w:rsidR="00433B8A" w:rsidRDefault="00433B8A" w:rsidP="00433B8A">
      <w:pPr>
        <w:ind w:left="120" w:hanging="120"/>
        <w:rPr>
          <w:rFonts w:ascii="Calibri" w:eastAsia="Calibri" w:hAnsi="Calibri" w:cs="Calibri"/>
        </w:rPr>
      </w:pPr>
      <w:r w:rsidRPr="6151746C">
        <w:rPr>
          <w:rFonts w:ascii="Calibri" w:eastAsia="Calibri" w:hAnsi="Calibri" w:cs="Calibri"/>
          <w:lang w:val="en-US"/>
        </w:rPr>
        <w:t>Riotinto.com. (2018).  [online] Available at: http://www.riotinto.com/documents/RT_Annual_report_2014.pdf [Accessed 24 Dec. 2017].</w:t>
      </w:r>
    </w:p>
    <w:p w:rsidR="00433B8A" w:rsidRDefault="00433B8A" w:rsidP="00433B8A">
      <w:pPr>
        <w:ind w:left="120" w:hanging="120"/>
        <w:rPr>
          <w:rFonts w:ascii="Calibri" w:eastAsia="Calibri" w:hAnsi="Calibri" w:cs="Calibri"/>
        </w:rPr>
      </w:pPr>
      <w:r w:rsidRPr="6151746C">
        <w:rPr>
          <w:rFonts w:ascii="Calibri" w:eastAsia="Calibri" w:hAnsi="Calibri" w:cs="Calibri"/>
          <w:lang w:val="en-US"/>
        </w:rPr>
        <w:t xml:space="preserve">Riotinto.com. (2018). </w:t>
      </w:r>
      <w:r w:rsidRPr="6151746C">
        <w:rPr>
          <w:rFonts w:ascii="Calibri" w:eastAsia="Calibri" w:hAnsi="Calibri" w:cs="Calibri"/>
          <w:i/>
          <w:iCs/>
          <w:lang w:val="en-US"/>
        </w:rPr>
        <w:t xml:space="preserve"> </w:t>
      </w:r>
      <w:r w:rsidRPr="6151746C">
        <w:rPr>
          <w:rFonts w:ascii="Calibri" w:eastAsia="Calibri" w:hAnsi="Calibri" w:cs="Calibri"/>
          <w:lang w:val="en-US"/>
        </w:rPr>
        <w:t>[online] Available at: http://www.riotinto.com/documents/RT_Annual_Report_2015.pdf [Accessed 27 Dec. 2017].</w:t>
      </w:r>
    </w:p>
    <w:p w:rsidR="00433B8A" w:rsidRDefault="00433B8A" w:rsidP="00433B8A">
      <w:pPr>
        <w:ind w:left="120" w:hanging="120"/>
        <w:rPr>
          <w:rFonts w:ascii="Calibri" w:eastAsia="Calibri" w:hAnsi="Calibri" w:cs="Calibri"/>
        </w:rPr>
      </w:pPr>
      <w:r w:rsidRPr="6151746C">
        <w:rPr>
          <w:rFonts w:ascii="Calibri" w:eastAsia="Calibri" w:hAnsi="Calibri" w:cs="Calibri"/>
          <w:lang w:val="en-US"/>
        </w:rPr>
        <w:t xml:space="preserve">Bhp.com. (2018). </w:t>
      </w:r>
      <w:r w:rsidRPr="6151746C">
        <w:rPr>
          <w:rFonts w:ascii="Calibri" w:eastAsia="Calibri" w:hAnsi="Calibri" w:cs="Calibri"/>
          <w:i/>
          <w:iCs/>
          <w:lang w:val="en-US"/>
        </w:rPr>
        <w:t xml:space="preserve"> </w:t>
      </w:r>
      <w:r w:rsidRPr="6151746C">
        <w:rPr>
          <w:rFonts w:ascii="Calibri" w:eastAsia="Calibri" w:hAnsi="Calibri" w:cs="Calibri"/>
          <w:lang w:val="en-US"/>
        </w:rPr>
        <w:t>[online] Available at: https://www.bhp.com/-/media/bhp/documents/investors/news/2016/160816_bhpbillitonresultsyearended30june2016.pdf?la=en [Accessed 24 Dec. 2017].</w:t>
      </w:r>
    </w:p>
    <w:p w:rsidR="00433B8A" w:rsidRDefault="00433B8A" w:rsidP="00433B8A">
      <w:pPr>
        <w:ind w:left="120" w:hanging="120"/>
        <w:rPr>
          <w:rFonts w:ascii="Calibri" w:eastAsia="Calibri" w:hAnsi="Calibri" w:cs="Calibri"/>
        </w:rPr>
      </w:pPr>
      <w:r w:rsidRPr="6151746C">
        <w:rPr>
          <w:rFonts w:ascii="Calibri" w:eastAsia="Calibri" w:hAnsi="Calibri" w:cs="Calibri"/>
          <w:lang w:val="en-US"/>
        </w:rPr>
        <w:lastRenderedPageBreak/>
        <w:t xml:space="preserve">BHP. (2018). </w:t>
      </w:r>
      <w:r w:rsidRPr="6151746C">
        <w:rPr>
          <w:rFonts w:ascii="Calibri" w:eastAsia="Calibri" w:hAnsi="Calibri" w:cs="Calibri"/>
          <w:i/>
          <w:iCs/>
          <w:lang w:val="en-US"/>
        </w:rPr>
        <w:t>BHP Billiton | Our approach</w:t>
      </w:r>
      <w:r w:rsidRPr="6151746C">
        <w:rPr>
          <w:rFonts w:ascii="Calibri" w:eastAsia="Calibri" w:hAnsi="Calibri" w:cs="Calibri"/>
          <w:lang w:val="en-US"/>
        </w:rPr>
        <w:t>. [online] Available at: https://www.bhp.com/community/our-approach [Accessed 3 Jan. 2018].</w:t>
      </w:r>
    </w:p>
    <w:p w:rsidR="00433B8A" w:rsidRDefault="00433B8A" w:rsidP="00433B8A">
      <w:pPr>
        <w:ind w:left="120" w:hanging="120"/>
        <w:rPr>
          <w:rFonts w:ascii="Calibri" w:eastAsia="Calibri" w:hAnsi="Calibri" w:cs="Calibri"/>
        </w:rPr>
      </w:pPr>
      <w:r w:rsidRPr="6151746C">
        <w:rPr>
          <w:rFonts w:ascii="Calibri" w:eastAsia="Calibri" w:hAnsi="Calibri" w:cs="Calibri"/>
          <w:lang w:val="en-US"/>
        </w:rPr>
        <w:t xml:space="preserve">Brigham, E. and Houston, J. (2017). </w:t>
      </w:r>
      <w:r w:rsidRPr="6151746C">
        <w:rPr>
          <w:rFonts w:ascii="Calibri" w:eastAsia="Calibri" w:hAnsi="Calibri" w:cs="Calibri"/>
          <w:i/>
          <w:iCs/>
          <w:lang w:val="en-US"/>
        </w:rPr>
        <w:t>Fundamentals of financial management</w:t>
      </w:r>
      <w:r w:rsidRPr="6151746C">
        <w:rPr>
          <w:rFonts w:ascii="Calibri" w:eastAsia="Calibri" w:hAnsi="Calibri" w:cs="Calibri"/>
          <w:lang w:val="en-US"/>
        </w:rPr>
        <w:t>. Boston, MA: Cengage Learning.</w:t>
      </w:r>
    </w:p>
    <w:p w:rsidR="00433B8A" w:rsidRDefault="00433B8A" w:rsidP="00433B8A">
      <w:pPr>
        <w:jc w:val="both"/>
        <w:rPr>
          <w:rFonts w:ascii="Calibri" w:eastAsia="Calibri" w:hAnsi="Calibri" w:cs="Calibri"/>
          <w:sz w:val="24"/>
          <w:szCs w:val="24"/>
        </w:rPr>
      </w:pPr>
      <w:r w:rsidRPr="6151746C">
        <w:rPr>
          <w:rFonts w:ascii="Calibri" w:eastAsia="Calibri" w:hAnsi="Calibri" w:cs="Calibri"/>
          <w:lang w:val="en-US"/>
        </w:rPr>
        <w:t xml:space="preserve"> Investopedia.com (2018) [online] Available at:   </w:t>
      </w:r>
      <w:hyperlink r:id="rId26">
        <w:r w:rsidRPr="6151746C">
          <w:rPr>
            <w:rStyle w:val="Hyperlink"/>
            <w:rFonts w:ascii="Calibri" w:eastAsia="Calibri" w:hAnsi="Calibri" w:cs="Calibri"/>
            <w:lang w:val="en-US"/>
          </w:rPr>
          <w:t>https://www.investopedia.com/terms/c/cash-</w:t>
        </w:r>
      </w:hyperlink>
      <w:r w:rsidRPr="6151746C">
        <w:rPr>
          <w:rFonts w:ascii="Calibri" w:eastAsia="Calibri" w:hAnsi="Calibri" w:cs="Calibri"/>
          <w:lang w:val="en-US"/>
        </w:rPr>
        <w:t xml:space="preserve">  ratio.asp#ixzz53h3GV3ff [Accessed 27 Dec.2017]</w:t>
      </w:r>
      <w:r w:rsidRPr="6151746C">
        <w:rPr>
          <w:rFonts w:ascii="Calibri" w:eastAsia="Calibri" w:hAnsi="Calibri" w:cs="Calibri"/>
          <w:sz w:val="24"/>
          <w:szCs w:val="24"/>
          <w:lang w:val="en-US"/>
        </w:rPr>
        <w:t xml:space="preserve">. </w:t>
      </w:r>
    </w:p>
    <w:p w:rsidR="00433B8A" w:rsidRDefault="00433B8A" w:rsidP="00433B8A">
      <w:pPr>
        <w:pStyle w:val="Heading1"/>
      </w:pPr>
      <w:r w:rsidRPr="6151746C">
        <w:rPr>
          <w:u w:val="single"/>
          <w:lang w:val="en-US"/>
        </w:rPr>
        <w:t>APPENDIX</w:t>
      </w:r>
    </w:p>
    <w:p w:rsidR="00433B8A" w:rsidRDefault="00433B8A" w:rsidP="00433B8A"/>
    <w:p w:rsidR="00433B8A" w:rsidRDefault="00433B8A" w:rsidP="00433B8A">
      <w:r w:rsidRPr="6151746C">
        <w:rPr>
          <w:b/>
          <w:bCs/>
          <w:lang w:val="en-US"/>
        </w:rPr>
        <w:t xml:space="preserve">OPERATING PROFIT MARGIN % - </w:t>
      </w:r>
      <w:r w:rsidRPr="6151746C">
        <w:rPr>
          <w:lang w:val="en-US"/>
        </w:rPr>
        <w:t>OPERATING PROFIT/ SALES</w:t>
      </w:r>
    </w:p>
    <w:p w:rsidR="00433B8A" w:rsidRDefault="00433B8A" w:rsidP="00433B8A">
      <w:r w:rsidRPr="6151746C">
        <w:rPr>
          <w:b/>
          <w:bCs/>
          <w:lang w:val="en-US"/>
        </w:rPr>
        <w:t xml:space="preserve">NET PROFIT MARGIN % -                </w:t>
      </w:r>
      <w:r w:rsidRPr="6151746C">
        <w:rPr>
          <w:lang w:val="en-US"/>
        </w:rPr>
        <w:t>NET PROFIT/ SALES</w:t>
      </w:r>
    </w:p>
    <w:p w:rsidR="00433B8A" w:rsidRDefault="00433B8A" w:rsidP="00433B8A">
      <w:pPr>
        <w:rPr>
          <w:b/>
          <w:bCs/>
        </w:rPr>
      </w:pPr>
      <w:r w:rsidRPr="6151746C">
        <w:rPr>
          <w:b/>
          <w:bCs/>
          <w:lang w:val="en-US"/>
        </w:rPr>
        <w:t xml:space="preserve">CURRENT RATIO -                             </w:t>
      </w:r>
      <w:r w:rsidRPr="6151746C">
        <w:rPr>
          <w:lang w:val="en-US"/>
        </w:rPr>
        <w:t>CURRENT ASSETS/ CURRENT LIABILITY</w:t>
      </w:r>
    </w:p>
    <w:p w:rsidR="00433B8A" w:rsidRDefault="00433B8A" w:rsidP="00433B8A">
      <w:r w:rsidRPr="6151746C">
        <w:rPr>
          <w:b/>
          <w:bCs/>
          <w:lang w:val="en-US"/>
        </w:rPr>
        <w:t xml:space="preserve">QUICK RATIO </w:t>
      </w:r>
      <w:r w:rsidRPr="6151746C">
        <w:rPr>
          <w:lang w:val="en-US"/>
        </w:rPr>
        <w:t>-                                   CURRENT ASSETS - INVENTORY/ CURRENT LIABILITY</w:t>
      </w:r>
    </w:p>
    <w:p w:rsidR="00433B8A" w:rsidRDefault="00433B8A" w:rsidP="00433B8A">
      <w:r w:rsidRPr="6151746C">
        <w:rPr>
          <w:b/>
          <w:bCs/>
          <w:lang w:val="en-US"/>
        </w:rPr>
        <w:t xml:space="preserve">CASH RATIO -                                     </w:t>
      </w:r>
      <w:r w:rsidRPr="6151746C">
        <w:rPr>
          <w:lang w:val="en-US"/>
        </w:rPr>
        <w:t>CASH/ CURRENT LIABILITIES</w:t>
      </w:r>
    </w:p>
    <w:p w:rsidR="00433B8A" w:rsidRDefault="00433B8A" w:rsidP="00433B8A">
      <w:r w:rsidRPr="6151746C">
        <w:rPr>
          <w:b/>
          <w:bCs/>
          <w:lang w:val="en-US"/>
        </w:rPr>
        <w:t xml:space="preserve">ASSET TURNOVER RATIO-               </w:t>
      </w:r>
      <w:r w:rsidRPr="6151746C">
        <w:rPr>
          <w:lang w:val="en-US"/>
        </w:rPr>
        <w:t>SALES/ TOTAL ASSETS</w:t>
      </w:r>
    </w:p>
    <w:p w:rsidR="00433B8A" w:rsidRDefault="00433B8A" w:rsidP="00433B8A">
      <w:r w:rsidRPr="6151746C">
        <w:rPr>
          <w:b/>
          <w:bCs/>
          <w:lang w:val="en-US"/>
        </w:rPr>
        <w:t>INVENTORY TURNOVER RATIO</w:t>
      </w:r>
      <w:r w:rsidRPr="6151746C">
        <w:rPr>
          <w:lang w:val="en-US"/>
        </w:rPr>
        <w:t>-     SALES/ AVERAGE INVENTORY</w:t>
      </w:r>
    </w:p>
    <w:p w:rsidR="00433B8A" w:rsidRDefault="00433B8A" w:rsidP="00433B8A">
      <w:r w:rsidRPr="6151746C">
        <w:rPr>
          <w:b/>
          <w:bCs/>
          <w:lang w:val="en-US"/>
        </w:rPr>
        <w:t>AVERAGE INVENTORY</w:t>
      </w:r>
      <w:r w:rsidRPr="6151746C">
        <w:rPr>
          <w:lang w:val="en-US"/>
        </w:rPr>
        <w:t>-                     OPENING INVENTORY + CLOSING INVENTORY/ 2</w:t>
      </w:r>
    </w:p>
    <w:p w:rsidR="00433B8A" w:rsidRDefault="00433B8A" w:rsidP="00433B8A">
      <w:r w:rsidRPr="6151746C">
        <w:rPr>
          <w:b/>
          <w:bCs/>
          <w:lang w:val="en-US"/>
        </w:rPr>
        <w:t xml:space="preserve">DEBT TO EQUITY RATIO-                   </w:t>
      </w:r>
      <w:r w:rsidRPr="6151746C">
        <w:rPr>
          <w:lang w:val="en-US"/>
        </w:rPr>
        <w:t>DEBT/ EQUITY</w:t>
      </w:r>
    </w:p>
    <w:p w:rsidR="00433B8A" w:rsidRDefault="00433B8A" w:rsidP="00433B8A">
      <w:r w:rsidRPr="6151746C">
        <w:rPr>
          <w:b/>
          <w:bCs/>
          <w:lang w:val="en-US"/>
        </w:rPr>
        <w:t xml:space="preserve">LONG TERM DEBT TO EQUITY-        </w:t>
      </w:r>
      <w:r w:rsidRPr="6151746C">
        <w:rPr>
          <w:lang w:val="en-US"/>
        </w:rPr>
        <w:t>LONG TERM DEBT/ EQUITY</w:t>
      </w:r>
    </w:p>
    <w:p w:rsidR="00433B8A" w:rsidRDefault="00433B8A" w:rsidP="00433B8A">
      <w:r w:rsidRPr="6151746C">
        <w:rPr>
          <w:b/>
          <w:bCs/>
          <w:lang w:val="en-US"/>
        </w:rPr>
        <w:t xml:space="preserve">EARNING PER SHARE RATIO-           </w:t>
      </w:r>
      <w:r w:rsidRPr="6151746C">
        <w:rPr>
          <w:lang w:val="en-US"/>
        </w:rPr>
        <w:t>EARNINGS AVAILABLE TO ORDINARY SHAREHOLDERS / NO. OF                                                                             ORDINARY SHARE IN ISSUE</w:t>
      </w:r>
    </w:p>
    <w:p w:rsidR="00433B8A" w:rsidRDefault="00433B8A" w:rsidP="00433B8A">
      <w:r w:rsidRPr="6151746C">
        <w:rPr>
          <w:b/>
          <w:bCs/>
          <w:lang w:val="en-US"/>
        </w:rPr>
        <w:t xml:space="preserve">DIVIDEND PER SHARE RATIO-          </w:t>
      </w:r>
      <w:r w:rsidRPr="6151746C">
        <w:rPr>
          <w:lang w:val="en-US"/>
        </w:rPr>
        <w:t>SUM OF DIVIDENDS OVER A PERIOD/ NO. OF SHARES</w:t>
      </w:r>
    </w:p>
    <w:p w:rsidR="00433B8A" w:rsidRDefault="00433B8A" w:rsidP="00433B8A"/>
    <w:p w:rsidR="00433B8A" w:rsidRDefault="00433B8A" w:rsidP="00433B8A">
      <w:pPr>
        <w:rPr>
          <w:b/>
          <w:bCs/>
          <w:lang w:val="en-US"/>
        </w:rPr>
      </w:pPr>
    </w:p>
    <w:p w:rsidR="00433B8A" w:rsidRDefault="00433B8A" w:rsidP="00433B8A">
      <w:pPr>
        <w:rPr>
          <w:b/>
          <w:bCs/>
          <w:lang w:val="en-US"/>
        </w:rPr>
      </w:pPr>
    </w:p>
    <w:p w:rsidR="00433B8A" w:rsidRDefault="00433B8A" w:rsidP="00433B8A">
      <w:pPr>
        <w:rPr>
          <w:b/>
          <w:bCs/>
          <w:lang w:val="en-US"/>
        </w:rPr>
      </w:pPr>
    </w:p>
    <w:p w:rsidR="00433B8A" w:rsidRDefault="00433B8A" w:rsidP="00433B8A">
      <w:pPr>
        <w:rPr>
          <w:b/>
          <w:bCs/>
          <w:lang w:val="en-US"/>
        </w:rPr>
      </w:pPr>
    </w:p>
    <w:p w:rsidR="00433B8A" w:rsidRDefault="00433B8A" w:rsidP="00433B8A">
      <w:pPr>
        <w:rPr>
          <w:b/>
          <w:bCs/>
          <w:lang w:val="en-US"/>
        </w:rPr>
      </w:pPr>
    </w:p>
    <w:p w:rsidR="00433B8A" w:rsidRDefault="00433B8A" w:rsidP="00433B8A">
      <w:pPr>
        <w:rPr>
          <w:b/>
          <w:bCs/>
          <w:lang w:val="en-US"/>
        </w:rPr>
      </w:pPr>
    </w:p>
    <w:p w:rsidR="00433B8A" w:rsidRDefault="00433B8A" w:rsidP="00433B8A">
      <w:pPr>
        <w:ind w:left="120" w:hanging="120"/>
        <w:rPr>
          <w:rFonts w:ascii="Calibri" w:eastAsia="Calibri" w:hAnsi="Calibri" w:cs="Calibri"/>
          <w:color w:val="666666"/>
          <w:sz w:val="19"/>
          <w:szCs w:val="19"/>
        </w:rPr>
      </w:pPr>
    </w:p>
    <w:p w:rsidR="00433B8A" w:rsidRDefault="00433B8A" w:rsidP="00433B8A">
      <w:pPr>
        <w:ind w:left="-450" w:hanging="120"/>
        <w:rPr>
          <w:rFonts w:ascii="Calibri" w:eastAsia="Calibri" w:hAnsi="Calibri" w:cs="Calibri"/>
          <w:color w:val="666666"/>
          <w:sz w:val="19"/>
          <w:szCs w:val="19"/>
        </w:rPr>
      </w:pPr>
    </w:p>
    <w:p w:rsidR="00433B8A" w:rsidRDefault="00433B8A" w:rsidP="00433B8A">
      <w:pPr>
        <w:jc w:val="both"/>
        <w:rPr>
          <w:rFonts w:ascii="Calibri" w:eastAsia="Calibri" w:hAnsi="Calibri" w:cs="Calibri"/>
          <w:color w:val="666666"/>
          <w:sz w:val="19"/>
          <w:szCs w:val="19"/>
        </w:rPr>
      </w:pPr>
    </w:p>
    <w:p w:rsidR="00433B8A" w:rsidRDefault="00433B8A" w:rsidP="00433B8A">
      <w:pPr>
        <w:jc w:val="both"/>
        <w:rPr>
          <w:rFonts w:ascii="Calibri" w:eastAsia="Calibri" w:hAnsi="Calibri" w:cs="Calibri"/>
          <w:color w:val="666666"/>
          <w:sz w:val="19"/>
          <w:szCs w:val="19"/>
        </w:rPr>
      </w:pPr>
    </w:p>
    <w:p w:rsidR="00433B8A" w:rsidRDefault="00433B8A" w:rsidP="00433B8A"/>
    <w:p w:rsidR="00433B8A" w:rsidRDefault="00433B8A" w:rsidP="00433B8A"/>
    <w:p w:rsidR="00433B8A" w:rsidRDefault="00433B8A" w:rsidP="00433B8A"/>
    <w:p w:rsidR="00433B8A" w:rsidRDefault="00433B8A" w:rsidP="00433B8A"/>
    <w:p w:rsidR="00433B8A" w:rsidRDefault="00433B8A" w:rsidP="00433B8A"/>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rsidP="00433B8A">
      <w:pPr>
        <w:jc w:val="both"/>
      </w:pPr>
    </w:p>
    <w:p w:rsidR="00433B8A" w:rsidRDefault="00433B8A"/>
    <w:p w:rsidR="00433B8A" w:rsidRDefault="00433B8A"/>
    <w:p w:rsidR="00433B8A" w:rsidRDefault="00433B8A"/>
    <w:p w:rsidR="00433B8A" w:rsidRDefault="00433B8A"/>
    <w:p w:rsidR="00433B8A" w:rsidRDefault="00433B8A"/>
    <w:p w:rsidR="00433B8A" w:rsidRDefault="00433B8A"/>
    <w:p w:rsidR="00433B8A" w:rsidRDefault="00433B8A"/>
    <w:sectPr w:rsidR="00433B8A" w:rsidSect="002942B2">
      <w:footerReference w:type="default" r:id="rId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DD2" w:rsidRDefault="00995DD2" w:rsidP="0058232E">
      <w:pPr>
        <w:spacing w:after="0" w:line="240" w:lineRule="auto"/>
      </w:pPr>
      <w:r>
        <w:separator/>
      </w:r>
    </w:p>
  </w:endnote>
  <w:endnote w:type="continuationSeparator" w:id="0">
    <w:p w:rsidR="00995DD2" w:rsidRDefault="00995DD2" w:rsidP="005823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30784"/>
      <w:docPartObj>
        <w:docPartGallery w:val="Page Numbers (Bottom of Page)"/>
        <w:docPartUnique/>
      </w:docPartObj>
    </w:sdtPr>
    <w:sdtContent>
      <w:p w:rsidR="0058232E" w:rsidRDefault="0058232E">
        <w:pPr>
          <w:pStyle w:val="Footer"/>
          <w:jc w:val="right"/>
        </w:pPr>
      </w:p>
      <w:p w:rsidR="0058232E" w:rsidRDefault="0058232E">
        <w:pPr>
          <w:pStyle w:val="Footer"/>
          <w:jc w:val="right"/>
        </w:pPr>
        <w:fldSimple w:instr=" PAGE   \* MERGEFORMAT ">
          <w:r w:rsidR="00F808A6">
            <w:rPr>
              <w:noProof/>
            </w:rPr>
            <w:t>1</w:t>
          </w:r>
        </w:fldSimple>
      </w:p>
    </w:sdtContent>
  </w:sdt>
  <w:p w:rsidR="0058232E" w:rsidRDefault="00582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DD2" w:rsidRDefault="00995DD2" w:rsidP="0058232E">
      <w:pPr>
        <w:spacing w:after="0" w:line="240" w:lineRule="auto"/>
      </w:pPr>
      <w:r>
        <w:separator/>
      </w:r>
    </w:p>
  </w:footnote>
  <w:footnote w:type="continuationSeparator" w:id="0">
    <w:p w:rsidR="00995DD2" w:rsidRDefault="00995DD2" w:rsidP="0058232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C866B9"/>
    <w:multiLevelType w:val="hybridMultilevel"/>
    <w:tmpl w:val="4DB6C544"/>
    <w:lvl w:ilvl="0" w:tplc="4E962C00">
      <w:start w:val="1"/>
      <w:numFmt w:val="bullet"/>
      <w:lvlText w:val=""/>
      <w:lvlJc w:val="left"/>
      <w:pPr>
        <w:ind w:left="720" w:hanging="360"/>
      </w:pPr>
      <w:rPr>
        <w:rFonts w:ascii="Symbol" w:hAnsi="Symbol" w:hint="default"/>
      </w:rPr>
    </w:lvl>
    <w:lvl w:ilvl="1" w:tplc="78526BB6">
      <w:start w:val="1"/>
      <w:numFmt w:val="bullet"/>
      <w:lvlText w:val="o"/>
      <w:lvlJc w:val="left"/>
      <w:pPr>
        <w:ind w:left="1440" w:hanging="360"/>
      </w:pPr>
      <w:rPr>
        <w:rFonts w:ascii="Courier New" w:hAnsi="Courier New" w:hint="default"/>
      </w:rPr>
    </w:lvl>
    <w:lvl w:ilvl="2" w:tplc="9352354C">
      <w:start w:val="1"/>
      <w:numFmt w:val="bullet"/>
      <w:lvlText w:val=""/>
      <w:lvlJc w:val="left"/>
      <w:pPr>
        <w:ind w:left="2160" w:hanging="360"/>
      </w:pPr>
      <w:rPr>
        <w:rFonts w:ascii="Wingdings" w:hAnsi="Wingdings" w:hint="default"/>
      </w:rPr>
    </w:lvl>
    <w:lvl w:ilvl="3" w:tplc="FF46BC46">
      <w:start w:val="1"/>
      <w:numFmt w:val="bullet"/>
      <w:lvlText w:val=""/>
      <w:lvlJc w:val="left"/>
      <w:pPr>
        <w:ind w:left="2880" w:hanging="360"/>
      </w:pPr>
      <w:rPr>
        <w:rFonts w:ascii="Symbol" w:hAnsi="Symbol" w:hint="default"/>
      </w:rPr>
    </w:lvl>
    <w:lvl w:ilvl="4" w:tplc="6C28B63A">
      <w:start w:val="1"/>
      <w:numFmt w:val="bullet"/>
      <w:lvlText w:val="o"/>
      <w:lvlJc w:val="left"/>
      <w:pPr>
        <w:ind w:left="3600" w:hanging="360"/>
      </w:pPr>
      <w:rPr>
        <w:rFonts w:ascii="Courier New" w:hAnsi="Courier New" w:hint="default"/>
      </w:rPr>
    </w:lvl>
    <w:lvl w:ilvl="5" w:tplc="698A6E04">
      <w:start w:val="1"/>
      <w:numFmt w:val="bullet"/>
      <w:lvlText w:val=""/>
      <w:lvlJc w:val="left"/>
      <w:pPr>
        <w:ind w:left="4320" w:hanging="360"/>
      </w:pPr>
      <w:rPr>
        <w:rFonts w:ascii="Wingdings" w:hAnsi="Wingdings" w:hint="default"/>
      </w:rPr>
    </w:lvl>
    <w:lvl w:ilvl="6" w:tplc="FDD80DF2">
      <w:start w:val="1"/>
      <w:numFmt w:val="bullet"/>
      <w:lvlText w:val=""/>
      <w:lvlJc w:val="left"/>
      <w:pPr>
        <w:ind w:left="5040" w:hanging="360"/>
      </w:pPr>
      <w:rPr>
        <w:rFonts w:ascii="Symbol" w:hAnsi="Symbol" w:hint="default"/>
      </w:rPr>
    </w:lvl>
    <w:lvl w:ilvl="7" w:tplc="5EA67EA4">
      <w:start w:val="1"/>
      <w:numFmt w:val="bullet"/>
      <w:lvlText w:val="o"/>
      <w:lvlJc w:val="left"/>
      <w:pPr>
        <w:ind w:left="5760" w:hanging="360"/>
      </w:pPr>
      <w:rPr>
        <w:rFonts w:ascii="Courier New" w:hAnsi="Courier New" w:hint="default"/>
      </w:rPr>
    </w:lvl>
    <w:lvl w:ilvl="8" w:tplc="D7B6EDD6">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33B8A"/>
    <w:rsid w:val="002942B2"/>
    <w:rsid w:val="00433B8A"/>
    <w:rsid w:val="0058232E"/>
    <w:rsid w:val="006F1748"/>
    <w:rsid w:val="00995DD2"/>
    <w:rsid w:val="00F808A6"/>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2B2"/>
  </w:style>
  <w:style w:type="paragraph" w:styleId="Heading1">
    <w:name w:val="heading 1"/>
    <w:basedOn w:val="Normal"/>
    <w:next w:val="Normal"/>
    <w:link w:val="Heading1Char"/>
    <w:uiPriority w:val="9"/>
    <w:qFormat/>
    <w:rsid w:val="00433B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3B8A"/>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en-US"/>
    </w:rPr>
  </w:style>
  <w:style w:type="paragraph" w:styleId="Heading3">
    <w:name w:val="heading 3"/>
    <w:basedOn w:val="Normal"/>
    <w:next w:val="Normal"/>
    <w:link w:val="Heading3Char"/>
    <w:uiPriority w:val="9"/>
    <w:unhideWhenUsed/>
    <w:qFormat/>
    <w:rsid w:val="00433B8A"/>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en-US"/>
    </w:rPr>
  </w:style>
  <w:style w:type="paragraph" w:styleId="Heading4">
    <w:name w:val="heading 4"/>
    <w:basedOn w:val="Normal"/>
    <w:next w:val="Normal"/>
    <w:link w:val="Heading4Char"/>
    <w:uiPriority w:val="9"/>
    <w:unhideWhenUsed/>
    <w:qFormat/>
    <w:rsid w:val="00433B8A"/>
    <w:pPr>
      <w:keepNext/>
      <w:keepLines/>
      <w:spacing w:before="40" w:after="0" w:line="259" w:lineRule="auto"/>
      <w:outlineLvl w:val="3"/>
    </w:pPr>
    <w:rPr>
      <w:rFonts w:asciiTheme="majorHAnsi" w:eastAsiaTheme="majorEastAsia" w:hAnsiTheme="majorHAnsi" w:cstheme="majorBidi"/>
      <w:i/>
      <w:iCs/>
      <w:color w:val="365F91"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B8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33B8A"/>
    <w:pPr>
      <w:outlineLvl w:val="9"/>
    </w:pPr>
    <w:rPr>
      <w:lang w:val="en-US"/>
    </w:rPr>
  </w:style>
  <w:style w:type="paragraph" w:styleId="TOC2">
    <w:name w:val="toc 2"/>
    <w:basedOn w:val="Normal"/>
    <w:next w:val="Normal"/>
    <w:autoRedefine/>
    <w:uiPriority w:val="39"/>
    <w:unhideWhenUsed/>
    <w:qFormat/>
    <w:rsid w:val="00433B8A"/>
    <w:pPr>
      <w:spacing w:after="100"/>
      <w:ind w:left="220"/>
    </w:pPr>
    <w:rPr>
      <w:rFonts w:eastAsiaTheme="minorEastAsia"/>
      <w:lang w:val="en-US"/>
    </w:rPr>
  </w:style>
  <w:style w:type="paragraph" w:styleId="TOC1">
    <w:name w:val="toc 1"/>
    <w:basedOn w:val="Normal"/>
    <w:next w:val="Normal"/>
    <w:autoRedefine/>
    <w:uiPriority w:val="39"/>
    <w:semiHidden/>
    <w:unhideWhenUsed/>
    <w:qFormat/>
    <w:rsid w:val="00433B8A"/>
    <w:pPr>
      <w:spacing w:after="100"/>
    </w:pPr>
    <w:rPr>
      <w:rFonts w:eastAsiaTheme="minorEastAsia"/>
      <w:lang w:val="en-US"/>
    </w:rPr>
  </w:style>
  <w:style w:type="paragraph" w:styleId="TOC3">
    <w:name w:val="toc 3"/>
    <w:basedOn w:val="Normal"/>
    <w:next w:val="Normal"/>
    <w:autoRedefine/>
    <w:uiPriority w:val="39"/>
    <w:semiHidden/>
    <w:unhideWhenUsed/>
    <w:qFormat/>
    <w:rsid w:val="00433B8A"/>
    <w:pPr>
      <w:spacing w:after="100"/>
      <w:ind w:left="440"/>
    </w:pPr>
    <w:rPr>
      <w:rFonts w:eastAsiaTheme="minorEastAsia"/>
      <w:lang w:val="en-US"/>
    </w:rPr>
  </w:style>
  <w:style w:type="paragraph" w:styleId="BalloonText">
    <w:name w:val="Balloon Text"/>
    <w:basedOn w:val="Normal"/>
    <w:link w:val="BalloonTextChar"/>
    <w:uiPriority w:val="99"/>
    <w:semiHidden/>
    <w:unhideWhenUsed/>
    <w:rsid w:val="00433B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B8A"/>
    <w:rPr>
      <w:rFonts w:ascii="Tahoma" w:hAnsi="Tahoma" w:cs="Tahoma"/>
      <w:sz w:val="16"/>
      <w:szCs w:val="16"/>
    </w:rPr>
  </w:style>
  <w:style w:type="paragraph" w:customStyle="1" w:styleId="paragraph">
    <w:name w:val="paragraph"/>
    <w:basedOn w:val="Normal"/>
    <w:rsid w:val="00433B8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normaltextrun">
    <w:name w:val="normaltextrun"/>
    <w:basedOn w:val="DefaultParagraphFont"/>
    <w:rsid w:val="00433B8A"/>
  </w:style>
  <w:style w:type="character" w:customStyle="1" w:styleId="eop">
    <w:name w:val="eop"/>
    <w:basedOn w:val="DefaultParagraphFont"/>
    <w:rsid w:val="00433B8A"/>
  </w:style>
  <w:style w:type="character" w:customStyle="1" w:styleId="Heading2Char">
    <w:name w:val="Heading 2 Char"/>
    <w:basedOn w:val="DefaultParagraphFont"/>
    <w:link w:val="Heading2"/>
    <w:uiPriority w:val="9"/>
    <w:rsid w:val="00433B8A"/>
    <w:rPr>
      <w:rFonts w:asciiTheme="majorHAnsi" w:eastAsiaTheme="majorEastAsia" w:hAnsiTheme="majorHAnsi" w:cstheme="majorBidi"/>
      <w:color w:val="365F91" w:themeColor="accent1" w:themeShade="BF"/>
      <w:sz w:val="26"/>
      <w:szCs w:val="26"/>
      <w:lang w:val="en-US"/>
    </w:rPr>
  </w:style>
  <w:style w:type="character" w:customStyle="1" w:styleId="Heading3Char">
    <w:name w:val="Heading 3 Char"/>
    <w:basedOn w:val="DefaultParagraphFont"/>
    <w:link w:val="Heading3"/>
    <w:uiPriority w:val="9"/>
    <w:rsid w:val="00433B8A"/>
    <w:rPr>
      <w:rFonts w:asciiTheme="majorHAnsi" w:eastAsiaTheme="majorEastAsia" w:hAnsiTheme="majorHAnsi" w:cstheme="majorBidi"/>
      <w:color w:val="243F60" w:themeColor="accent1" w:themeShade="7F"/>
      <w:sz w:val="24"/>
      <w:szCs w:val="24"/>
      <w:lang w:val="en-US"/>
    </w:rPr>
  </w:style>
  <w:style w:type="character" w:customStyle="1" w:styleId="Heading4Char">
    <w:name w:val="Heading 4 Char"/>
    <w:basedOn w:val="DefaultParagraphFont"/>
    <w:link w:val="Heading4"/>
    <w:uiPriority w:val="9"/>
    <w:rsid w:val="00433B8A"/>
    <w:rPr>
      <w:rFonts w:asciiTheme="majorHAnsi" w:eastAsiaTheme="majorEastAsia" w:hAnsiTheme="majorHAnsi" w:cstheme="majorBidi"/>
      <w:i/>
      <w:iCs/>
      <w:color w:val="365F91" w:themeColor="accent1" w:themeShade="BF"/>
      <w:lang w:val="en-US"/>
    </w:rPr>
  </w:style>
  <w:style w:type="character" w:styleId="Hyperlink">
    <w:name w:val="Hyperlink"/>
    <w:basedOn w:val="DefaultParagraphFont"/>
    <w:uiPriority w:val="99"/>
    <w:unhideWhenUsed/>
    <w:rsid w:val="00433B8A"/>
    <w:rPr>
      <w:color w:val="0000FF" w:themeColor="hyperlink"/>
      <w:u w:val="single"/>
    </w:rPr>
  </w:style>
  <w:style w:type="paragraph" w:styleId="ListParagraph">
    <w:name w:val="List Paragraph"/>
    <w:basedOn w:val="Normal"/>
    <w:uiPriority w:val="34"/>
    <w:qFormat/>
    <w:rsid w:val="00433B8A"/>
    <w:pPr>
      <w:spacing w:after="160" w:line="259" w:lineRule="auto"/>
      <w:ind w:left="720"/>
      <w:contextualSpacing/>
    </w:pPr>
    <w:rPr>
      <w:lang w:val="en-US"/>
    </w:rPr>
  </w:style>
  <w:style w:type="table" w:customStyle="1" w:styleId="GridTable5DarkAccent6">
    <w:name w:val="Grid Table 5 Dark Accent 6"/>
    <w:basedOn w:val="TableNormal"/>
    <w:uiPriority w:val="50"/>
    <w:rsid w:val="00433B8A"/>
    <w:pPr>
      <w:spacing w:after="0" w:line="240" w:lineRule="auto"/>
    </w:pPr>
    <w:rPr>
      <w:lang w:val="en-US"/>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Header">
    <w:name w:val="header"/>
    <w:basedOn w:val="Normal"/>
    <w:link w:val="HeaderChar"/>
    <w:uiPriority w:val="99"/>
    <w:semiHidden/>
    <w:unhideWhenUsed/>
    <w:rsid w:val="0058232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8232E"/>
  </w:style>
  <w:style w:type="paragraph" w:styleId="Footer">
    <w:name w:val="footer"/>
    <w:basedOn w:val="Normal"/>
    <w:link w:val="FooterChar"/>
    <w:uiPriority w:val="99"/>
    <w:unhideWhenUsed/>
    <w:rsid w:val="005823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32E"/>
  </w:style>
</w:styles>
</file>

<file path=word/webSettings.xml><?xml version="1.0" encoding="utf-8"?>
<w:webSettings xmlns:r="http://schemas.openxmlformats.org/officeDocument/2006/relationships" xmlns:w="http://schemas.openxmlformats.org/wordprocessingml/2006/main">
  <w:divs>
    <w:div w:id="652948313">
      <w:bodyDiv w:val="1"/>
      <w:marLeft w:val="0"/>
      <w:marRight w:val="0"/>
      <w:marTop w:val="0"/>
      <w:marBottom w:val="0"/>
      <w:divBdr>
        <w:top w:val="none" w:sz="0" w:space="0" w:color="auto"/>
        <w:left w:val="none" w:sz="0" w:space="0" w:color="auto"/>
        <w:bottom w:val="none" w:sz="0" w:space="0" w:color="auto"/>
        <w:right w:val="none" w:sz="0" w:space="0" w:color="auto"/>
      </w:divBdr>
      <w:divsChild>
        <w:div w:id="1952667203">
          <w:marLeft w:val="0"/>
          <w:marRight w:val="0"/>
          <w:marTop w:val="0"/>
          <w:marBottom w:val="0"/>
          <w:divBdr>
            <w:top w:val="none" w:sz="0" w:space="0" w:color="auto"/>
            <w:left w:val="none" w:sz="0" w:space="0" w:color="auto"/>
            <w:bottom w:val="none" w:sz="0" w:space="0" w:color="auto"/>
            <w:right w:val="none" w:sz="0" w:space="0" w:color="auto"/>
          </w:divBdr>
        </w:div>
        <w:div w:id="1866941155">
          <w:marLeft w:val="0"/>
          <w:marRight w:val="0"/>
          <w:marTop w:val="0"/>
          <w:marBottom w:val="0"/>
          <w:divBdr>
            <w:top w:val="none" w:sz="0" w:space="0" w:color="auto"/>
            <w:left w:val="none" w:sz="0" w:space="0" w:color="auto"/>
            <w:bottom w:val="none" w:sz="0" w:space="0" w:color="auto"/>
            <w:right w:val="none" w:sz="0" w:space="0" w:color="auto"/>
          </w:divBdr>
        </w:div>
        <w:div w:id="558444443">
          <w:marLeft w:val="0"/>
          <w:marRight w:val="0"/>
          <w:marTop w:val="0"/>
          <w:marBottom w:val="0"/>
          <w:divBdr>
            <w:top w:val="none" w:sz="0" w:space="0" w:color="auto"/>
            <w:left w:val="none" w:sz="0" w:space="0" w:color="auto"/>
            <w:bottom w:val="none" w:sz="0" w:space="0" w:color="auto"/>
            <w:right w:val="none" w:sz="0" w:space="0" w:color="auto"/>
          </w:divBdr>
        </w:div>
        <w:div w:id="1977294316">
          <w:marLeft w:val="0"/>
          <w:marRight w:val="0"/>
          <w:marTop w:val="0"/>
          <w:marBottom w:val="0"/>
          <w:divBdr>
            <w:top w:val="none" w:sz="0" w:space="0" w:color="auto"/>
            <w:left w:val="none" w:sz="0" w:space="0" w:color="auto"/>
            <w:bottom w:val="none" w:sz="0" w:space="0" w:color="auto"/>
            <w:right w:val="none" w:sz="0" w:space="0" w:color="auto"/>
          </w:divBdr>
        </w:div>
        <w:div w:id="1775441548">
          <w:marLeft w:val="0"/>
          <w:marRight w:val="0"/>
          <w:marTop w:val="0"/>
          <w:marBottom w:val="0"/>
          <w:divBdr>
            <w:top w:val="none" w:sz="0" w:space="0" w:color="auto"/>
            <w:left w:val="none" w:sz="0" w:space="0" w:color="auto"/>
            <w:bottom w:val="none" w:sz="0" w:space="0" w:color="auto"/>
            <w:right w:val="none" w:sz="0" w:space="0" w:color="auto"/>
          </w:divBdr>
        </w:div>
        <w:div w:id="2066832433">
          <w:marLeft w:val="0"/>
          <w:marRight w:val="0"/>
          <w:marTop w:val="0"/>
          <w:marBottom w:val="0"/>
          <w:divBdr>
            <w:top w:val="none" w:sz="0" w:space="0" w:color="auto"/>
            <w:left w:val="none" w:sz="0" w:space="0" w:color="auto"/>
            <w:bottom w:val="none" w:sz="0" w:space="0" w:color="auto"/>
            <w:right w:val="none" w:sz="0" w:space="0" w:color="auto"/>
          </w:divBdr>
        </w:div>
        <w:div w:id="1486050598">
          <w:marLeft w:val="0"/>
          <w:marRight w:val="0"/>
          <w:marTop w:val="0"/>
          <w:marBottom w:val="0"/>
          <w:divBdr>
            <w:top w:val="none" w:sz="0" w:space="0" w:color="auto"/>
            <w:left w:val="none" w:sz="0" w:space="0" w:color="auto"/>
            <w:bottom w:val="none" w:sz="0" w:space="0" w:color="auto"/>
            <w:right w:val="none" w:sz="0" w:space="0" w:color="auto"/>
          </w:divBdr>
        </w:div>
        <w:div w:id="863634542">
          <w:marLeft w:val="0"/>
          <w:marRight w:val="0"/>
          <w:marTop w:val="0"/>
          <w:marBottom w:val="0"/>
          <w:divBdr>
            <w:top w:val="none" w:sz="0" w:space="0" w:color="auto"/>
            <w:left w:val="none" w:sz="0" w:space="0" w:color="auto"/>
            <w:bottom w:val="none" w:sz="0" w:space="0" w:color="auto"/>
            <w:right w:val="none" w:sz="0" w:space="0" w:color="auto"/>
          </w:divBdr>
        </w:div>
        <w:div w:id="173957791">
          <w:marLeft w:val="0"/>
          <w:marRight w:val="0"/>
          <w:marTop w:val="0"/>
          <w:marBottom w:val="0"/>
          <w:divBdr>
            <w:top w:val="none" w:sz="0" w:space="0" w:color="auto"/>
            <w:left w:val="none" w:sz="0" w:space="0" w:color="auto"/>
            <w:bottom w:val="none" w:sz="0" w:space="0" w:color="auto"/>
            <w:right w:val="none" w:sz="0" w:space="0" w:color="auto"/>
          </w:divBdr>
        </w:div>
        <w:div w:id="603612935">
          <w:marLeft w:val="0"/>
          <w:marRight w:val="0"/>
          <w:marTop w:val="0"/>
          <w:marBottom w:val="0"/>
          <w:divBdr>
            <w:top w:val="none" w:sz="0" w:space="0" w:color="auto"/>
            <w:left w:val="none" w:sz="0" w:space="0" w:color="auto"/>
            <w:bottom w:val="none" w:sz="0" w:space="0" w:color="auto"/>
            <w:right w:val="none" w:sz="0" w:space="0" w:color="auto"/>
          </w:divBdr>
        </w:div>
        <w:div w:id="591665153">
          <w:marLeft w:val="0"/>
          <w:marRight w:val="0"/>
          <w:marTop w:val="0"/>
          <w:marBottom w:val="0"/>
          <w:divBdr>
            <w:top w:val="none" w:sz="0" w:space="0" w:color="auto"/>
            <w:left w:val="none" w:sz="0" w:space="0" w:color="auto"/>
            <w:bottom w:val="none" w:sz="0" w:space="0" w:color="auto"/>
            <w:right w:val="none" w:sz="0" w:space="0" w:color="auto"/>
          </w:divBdr>
        </w:div>
        <w:div w:id="1785223458">
          <w:marLeft w:val="0"/>
          <w:marRight w:val="0"/>
          <w:marTop w:val="0"/>
          <w:marBottom w:val="0"/>
          <w:divBdr>
            <w:top w:val="none" w:sz="0" w:space="0" w:color="auto"/>
            <w:left w:val="none" w:sz="0" w:space="0" w:color="auto"/>
            <w:bottom w:val="none" w:sz="0" w:space="0" w:color="auto"/>
            <w:right w:val="none" w:sz="0" w:space="0" w:color="auto"/>
          </w:divBdr>
        </w:div>
        <w:div w:id="407189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Sumitomo" TargetMode="External"/><Relationship Id="rId18" Type="http://schemas.openxmlformats.org/officeDocument/2006/relationships/hyperlink" Target="https://www.investopedia.com/terms/c/creditor.asp" TargetMode="External"/><Relationship Id="rId26" Type="http://schemas.openxmlformats.org/officeDocument/2006/relationships/hyperlink" Target="https://www.investopedia.com/terms/c/cash-" TargetMode="External"/><Relationship Id="rId3" Type="http://schemas.openxmlformats.org/officeDocument/2006/relationships/styles" Target="styles.xml"/><Relationship Id="rId21" Type="http://schemas.openxmlformats.org/officeDocument/2006/relationships/hyperlink" Target="https://www.investopedia.com/terms/a/accountsreceivable.asp" TargetMode="External"/><Relationship Id="rId7" Type="http://schemas.openxmlformats.org/officeDocument/2006/relationships/endnotes" Target="endnotes.xml"/><Relationship Id="rId12" Type="http://schemas.openxmlformats.org/officeDocument/2006/relationships/hyperlink" Target="https://en.wikipedia.org/wiki/Glencore" TargetMode="External"/><Relationship Id="rId17" Type="http://schemas.openxmlformats.org/officeDocument/2006/relationships/hyperlink" Target="https://www.investopedia.com/terms/s/shorttermdebt.asp" TargetMode="External"/><Relationship Id="rId25" Type="http://schemas.openxmlformats.org/officeDocument/2006/relationships/hyperlink" Target="https://markets.ft.com/data/equities/tearsheet/profile?s=RIO:LSE" TargetMode="External"/><Relationship Id="rId2" Type="http://schemas.openxmlformats.org/officeDocument/2006/relationships/numbering" Target="numbering.xml"/><Relationship Id="rId16" Type="http://schemas.openxmlformats.org/officeDocument/2006/relationships/hyperlink" Target="https://www.investopedia.com/terms/c/currentliabilities.asp" TargetMode="External"/><Relationship Id="rId20" Type="http://schemas.openxmlformats.org/officeDocument/2006/relationships/hyperlink" Target="https://www.investopedia.com/terms/l/liquidityratios.asp"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telegraph.co.uk/finance/2811968/A-history-of-Rio-Tinto.html" TargetMode="External"/><Relationship Id="rId5" Type="http://schemas.openxmlformats.org/officeDocument/2006/relationships/webSettings" Target="webSettings.xml"/><Relationship Id="rId15" Type="http://schemas.openxmlformats.org/officeDocument/2006/relationships/hyperlink" Target="https://www.investopedia.com/terms/c/cashandcashequivalents.asp" TargetMode="External"/><Relationship Id="rId23" Type="http://schemas.openxmlformats.org/officeDocument/2006/relationships/hyperlink" Target="https://www.forbes.com/companies/rio-" TargetMode="External"/><Relationship Id="rId28" Type="http://schemas.openxmlformats.org/officeDocument/2006/relationships/fontTable" Target="fontTable.xml"/><Relationship Id="rId10" Type="http://schemas.openxmlformats.org/officeDocument/2006/relationships/hyperlink" Target="https://en.wikipedia.org/wiki/Sumitomo" TargetMode="External"/><Relationship Id="rId19" Type="http://schemas.openxmlformats.org/officeDocument/2006/relationships/hyperlink" Target="https://www.investopedia.com/terms/l/liability.asp" TargetMode="External"/><Relationship Id="rId4" Type="http://schemas.openxmlformats.org/officeDocument/2006/relationships/settings" Target="settings.xml"/><Relationship Id="rId9" Type="http://schemas.openxmlformats.org/officeDocument/2006/relationships/hyperlink" Target="https://en.wikipedia.org/wiki/Glencore" TargetMode="External"/><Relationship Id="rId14" Type="http://schemas.openxmlformats.org/officeDocument/2006/relationships/image" Target="media/image3.png"/><Relationship Id="rId22" Type="http://schemas.openxmlformats.org/officeDocument/2006/relationships/image" Target="media/image4.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04E98"/>
    <w:rsid w:val="00E04E98"/>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CDA0E8DAD14B75B574E5032A351167">
    <w:name w:val="EFCDA0E8DAD14B75B574E5032A351167"/>
    <w:rsid w:val="00E04E98"/>
  </w:style>
  <w:style w:type="paragraph" w:customStyle="1" w:styleId="D9E427FEB643443390D3FD763501FE09">
    <w:name w:val="D9E427FEB643443390D3FD763501FE09"/>
    <w:rsid w:val="00E04E98"/>
  </w:style>
  <w:style w:type="paragraph" w:customStyle="1" w:styleId="7A5EE7B63C4441C696D954F1AD7F68FA">
    <w:name w:val="7A5EE7B63C4441C696D954F1AD7F68FA"/>
    <w:rsid w:val="00E04E98"/>
  </w:style>
  <w:style w:type="paragraph" w:customStyle="1" w:styleId="AFCFE7CD353E4FADB909ECCED32A4731">
    <w:name w:val="AFCFE7CD353E4FADB909ECCED32A4731"/>
    <w:rsid w:val="00E04E98"/>
  </w:style>
  <w:style w:type="paragraph" w:customStyle="1" w:styleId="6CA9B2E578FE407D9A90B50FC37ABD1E">
    <w:name w:val="6CA9B2E578FE407D9A90B50FC37ABD1E"/>
    <w:rsid w:val="00E04E98"/>
  </w:style>
  <w:style w:type="paragraph" w:customStyle="1" w:styleId="26FF565FE9B54658B479A7891DCEAA4D">
    <w:name w:val="26FF565FE9B54658B479A7891DCEAA4D"/>
    <w:rsid w:val="00E04E98"/>
  </w:style>
  <w:style w:type="paragraph" w:customStyle="1" w:styleId="F701B844A11447A5907D9BE4EB14FD9D">
    <w:name w:val="F701B844A11447A5907D9BE4EB14FD9D"/>
    <w:rsid w:val="00E04E98"/>
  </w:style>
  <w:style w:type="paragraph" w:customStyle="1" w:styleId="071AE32E2D214C019B303D1F87EF23DB">
    <w:name w:val="071AE32E2D214C019B303D1F87EF23DB"/>
    <w:rsid w:val="00E04E98"/>
  </w:style>
  <w:style w:type="paragraph" w:customStyle="1" w:styleId="6F66C3EC1D374F36836947BF835CEF95">
    <w:name w:val="6F66C3EC1D374F36836947BF835CEF95"/>
    <w:rsid w:val="00E04E98"/>
  </w:style>
  <w:style w:type="paragraph" w:customStyle="1" w:styleId="67B745E7C93F4AEB9F7B5D0A911CEB94">
    <w:name w:val="67B745E7C93F4AEB9F7B5D0A911CEB94"/>
    <w:rsid w:val="00E04E98"/>
  </w:style>
  <w:style w:type="paragraph" w:customStyle="1" w:styleId="4E6FFA2E738A40DC8A43070F8BA88844">
    <w:name w:val="4E6FFA2E738A40DC8A43070F8BA88844"/>
    <w:rsid w:val="00E04E98"/>
  </w:style>
  <w:style w:type="paragraph" w:customStyle="1" w:styleId="4B493BA46DEF4CFE8CA5C5514D7961C6">
    <w:name w:val="4B493BA46DEF4CFE8CA5C5514D7961C6"/>
    <w:rsid w:val="00E04E98"/>
  </w:style>
  <w:style w:type="paragraph" w:customStyle="1" w:styleId="99F525CDD03E49EC92BD0C8ACC673724">
    <w:name w:val="99F525CDD03E49EC92BD0C8ACC673724"/>
    <w:rsid w:val="00E04E98"/>
  </w:style>
  <w:style w:type="paragraph" w:customStyle="1" w:styleId="2D8DBB1A6ADF47CF9E0F0C345958BA93">
    <w:name w:val="2D8DBB1A6ADF47CF9E0F0C345958BA93"/>
    <w:rsid w:val="00E04E98"/>
  </w:style>
  <w:style w:type="paragraph" w:customStyle="1" w:styleId="6D2F8179293A43CA9A3A88C988124242">
    <w:name w:val="6D2F8179293A43CA9A3A88C988124242"/>
    <w:rsid w:val="00E04E98"/>
  </w:style>
  <w:style w:type="paragraph" w:customStyle="1" w:styleId="2C074C51319B4238A28F83B63BB3AA27">
    <w:name w:val="2C074C51319B4238A28F83B63BB3AA27"/>
    <w:rsid w:val="00E04E98"/>
  </w:style>
  <w:style w:type="paragraph" w:customStyle="1" w:styleId="338D13845A044A038803F24CB7BFAD45">
    <w:name w:val="338D13845A044A038803F24CB7BFAD45"/>
    <w:rsid w:val="00E04E98"/>
  </w:style>
  <w:style w:type="paragraph" w:customStyle="1" w:styleId="56C828F553C747C98A4E675E89C93186">
    <w:name w:val="56C828F553C747C98A4E675E89C93186"/>
    <w:rsid w:val="00E04E98"/>
  </w:style>
  <w:style w:type="paragraph" w:customStyle="1" w:styleId="F880422C815C41C5B9202C485E6BF192">
    <w:name w:val="F880422C815C41C5B9202C485E6BF192"/>
    <w:rsid w:val="00E04E98"/>
  </w:style>
  <w:style w:type="paragraph" w:customStyle="1" w:styleId="849449BC419449B09C0A2148FA1C4AEE">
    <w:name w:val="849449BC419449B09C0A2148FA1C4AEE"/>
    <w:rsid w:val="00E04E98"/>
  </w:style>
  <w:style w:type="paragraph" w:customStyle="1" w:styleId="1D43B583A5DB4FC087BA30A245CC7622">
    <w:name w:val="1D43B583A5DB4FC087BA30A245CC7622"/>
    <w:rsid w:val="00E04E98"/>
  </w:style>
  <w:style w:type="paragraph" w:customStyle="1" w:styleId="43E7FDA57F6143A8B7F6DD27F489DF56">
    <w:name w:val="43E7FDA57F6143A8B7F6DD27F489DF56"/>
    <w:rsid w:val="00E04E98"/>
  </w:style>
  <w:style w:type="paragraph" w:customStyle="1" w:styleId="3E8F9EE6129F448FA97903C2C6B7B9DE">
    <w:name w:val="3E8F9EE6129F448FA97903C2C6B7B9DE"/>
    <w:rsid w:val="00E04E98"/>
  </w:style>
  <w:style w:type="paragraph" w:customStyle="1" w:styleId="380B3D322FEE4D979ED14886DFA450D0">
    <w:name w:val="380B3D322FEE4D979ED14886DFA450D0"/>
    <w:rsid w:val="00E04E9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CD391D-E8A4-4123-9C41-2DFB92870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19</Pages>
  <Words>4259</Words>
  <Characters>24281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Rohit Agrawal</dc:creator>
  <cp:lastModifiedBy>Rohit Agrawal</cp:lastModifiedBy>
  <cp:revision>2</cp:revision>
  <dcterms:created xsi:type="dcterms:W3CDTF">2018-01-09T15:12:00Z</dcterms:created>
  <dcterms:modified xsi:type="dcterms:W3CDTF">2018-01-09T15:41:00Z</dcterms:modified>
</cp:coreProperties>
</file>